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Akinsanya Karen</w:t>
              </w:r>
            </w:hyperlink>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Nautilus Biotechnology,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NAUT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2"/>
            <w:vMerge w:val="restart"/>
          </w:tcPr>
          <w:p>
            <w:pPr>
              <w:ind w:left="24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4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00" w:type="dxa"/>
            <w:vAlign w:val="bottom"/>
            <w:gridSpan w:val="8"/>
            <w:vMerge w:val="continue"/>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NAUTILUS BIOTECHNOLOGY, INC.</w:t>
            </w:r>
          </w:p>
        </w:tc>
        <w:tc>
          <w:tcPr>
            <w:tcW w:w="1420" w:type="dxa"/>
            <w:vAlign w:val="bottom"/>
            <w:gridSpan w:val="5"/>
          </w:tcPr>
          <w:p>
            <w:pPr>
              <w:ind w:left="300"/>
              <w:spacing w:after="0"/>
              <w:rPr>
                <w:sz w:val="20"/>
                <w:szCs w:val="20"/>
                <w:color w:val="auto"/>
              </w:rPr>
            </w:pPr>
            <w:r>
              <w:rPr>
                <w:rFonts w:ascii="Arial" w:cs="Arial" w:eastAsia="Arial" w:hAnsi="Arial"/>
                <w:sz w:val="17"/>
                <w:szCs w:val="17"/>
                <w:color w:val="0000FF"/>
              </w:rPr>
              <w:t>03/30/2022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6"/>
            <w:vMerge w:val="restart"/>
          </w:tcPr>
          <w:p>
            <w:pPr>
              <w:ind w:left="20"/>
              <w:spacing w:after="0"/>
              <w:rPr>
                <w:sz w:val="20"/>
                <w:szCs w:val="20"/>
                <w:color w:val="auto"/>
              </w:rPr>
            </w:pPr>
            <w:r>
              <w:rPr>
                <w:rFonts w:ascii="Arial" w:cs="Arial" w:eastAsia="Arial" w:hAnsi="Arial"/>
                <w:sz w:val="17"/>
                <w:szCs w:val="17"/>
                <w:color w:val="0000FF"/>
                <w:w w:val="94"/>
              </w:rPr>
              <w:t>2701 EASTLAKE AVENUE EAST</w:t>
            </w: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28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vMerge w:val="restart"/>
          </w:tcPr>
          <w:p>
            <w:pPr>
              <w:spacing w:after="0"/>
              <w:rPr>
                <w:sz w:val="4"/>
                <w:szCs w:val="4"/>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ind w:left="26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SEATTLE</w:t>
            </w: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WA</w:t>
            </w:r>
          </w:p>
        </w:tc>
        <w:tc>
          <w:tcPr>
            <w:tcW w:w="1060" w:type="dxa"/>
            <w:vAlign w:val="bottom"/>
          </w:tcPr>
          <w:p>
            <w:pPr>
              <w:ind w:left="2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ind w:left="14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820" w:type="dxa"/>
            <w:vAlign w:val="bottom"/>
            <w:tcBorders>
              <w:bottom w:val="single" w:sz="8" w:color="2C2C2C"/>
            </w:tcBorders>
            <w:gridSpan w:val="2"/>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ind w:left="80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82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2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4.24</w:t>
            </w:r>
          </w:p>
        </w:tc>
        <w:tc>
          <w:tcPr>
            <w:tcW w:w="140" w:type="dxa"/>
            <w:vAlign w:val="bottom"/>
          </w:tcPr>
          <w:p>
            <w:pPr>
              <w:spacing w:after="0"/>
              <w:rPr>
                <w:sz w:val="17"/>
                <w:szCs w:val="17"/>
                <w:color w:val="auto"/>
              </w:rPr>
            </w:pPr>
          </w:p>
        </w:tc>
        <w:tc>
          <w:tcPr>
            <w:tcW w:w="1080" w:type="dxa"/>
            <w:vAlign w:val="bottom"/>
            <w:gridSpan w:val="2"/>
          </w:tcPr>
          <w:p>
            <w:pPr>
              <w:jc w:val="right"/>
              <w:ind w:right="177"/>
              <w:spacing w:after="0"/>
              <w:rPr>
                <w:sz w:val="20"/>
                <w:szCs w:val="20"/>
                <w:color w:val="auto"/>
              </w:rPr>
            </w:pPr>
            <w:r>
              <w:rPr>
                <w:rFonts w:ascii="Arial" w:cs="Arial" w:eastAsia="Arial" w:hAnsi="Arial"/>
                <w:sz w:val="13"/>
                <w:szCs w:val="13"/>
                <w:color w:val="0000FF"/>
              </w:rPr>
              <w:t>03/30/2022</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105,998</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03/30/2032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spacing w:after="0"/>
              <w:rPr>
                <w:sz w:val="20"/>
                <w:szCs w:val="20"/>
                <w:color w:val="auto"/>
              </w:rPr>
            </w:pPr>
            <w:r>
              <w:rPr>
                <w:rFonts w:ascii="Arial" w:cs="Arial" w:eastAsia="Arial" w:hAnsi="Arial"/>
                <w:sz w:val="17"/>
                <w:szCs w:val="17"/>
                <w:color w:val="0000FF"/>
                <w:w w:val="97"/>
              </w:rPr>
              <w:t>105,998</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105,998</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right="140"/>
        <w:spacing w:after="0" w:line="256"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 connection with the appointment of the Reporting Person to the Issuer's board of directors (the "Board") on March 30, 2022, the Reporting Person automatically received the Option (the "Initial Award") under the Issuer's Outside Director Compensation Policy and in accordance with the Issuer's 2021 Equity Incentive Plan (the "Plan"). Subject to the Reporting Person's continuous status as a "Service Provider" (as defined in the Plan), the Initial Award is scheduled to vest as to one thirty-sixth (1/36th) of the shares of common stock subject to the Initial Award on a monthly basis following the Initial Award's grant date on the same day of the month as such grant date (or on the last day of the month, if there is no corresponding day in such month). The grant date is March 30, 2022.</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Matthew B. Murphy, as</w:t>
            </w:r>
          </w:p>
        </w:tc>
        <w:tc>
          <w:tcPr>
            <w:tcW w:w="4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03/31/2022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7672"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2022-03-31T17:30:00Z</dcterms:created>
  <dcterms:modified xsi:type="dcterms:W3CDTF">2022-03-31T17:30:00Z</dcterms:modified>
</cp:coreProperties>
</file>