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2355" w:type="dxa"/>
        <w:jc w:val="left"/>
        <w:tblInd w:w="0" w:type="dxa"/>
        <w:tblCellMar>
          <w:top w:w="28" w:type="dxa"/>
          <w:left w:w="28" w:type="dxa"/>
          <w:bottom w:w="28" w:type="dxa"/>
          <w:right w:w="28" w:type="dxa"/>
        </w:tblCellMar>
      </w:tblPr>
      <w:tblGrid>
        <w:gridCol w:w="754"/>
        <w:gridCol w:w="662"/>
        <w:gridCol w:w="939"/>
      </w:tblGrid>
      <w:tr>
        <w:trPr/>
        <w:tc>
          <w:tcPr>
            <w:tcW w:w="75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SCHEDULE 14A</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120" w:after="283"/>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CellMar>
          <w:top w:w="28" w:type="dxa"/>
          <w:left w:w="28" w:type="dxa"/>
          <w:bottom w:w="28" w:type="dxa"/>
          <w:right w:w="28" w:type="dxa"/>
        </w:tblCellMar>
      </w:tblPr>
      <w:tblGrid>
        <w:gridCol w:w="124"/>
        <w:gridCol w:w="109"/>
        <w:gridCol w:w="109"/>
        <w:gridCol w:w="1999"/>
        <w:gridCol w:w="1999"/>
        <w:gridCol w:w="28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tbl>
      <w:tblPr>
        <w:tblW w:w="6179" w:type="dxa"/>
        <w:jc w:val="center"/>
        <w:tblInd w:w="0" w:type="dxa"/>
        <w:tblCellMar>
          <w:top w:w="28" w:type="dxa"/>
          <w:left w:w="28" w:type="dxa"/>
          <w:bottom w:w="28" w:type="dxa"/>
          <w:right w:w="28" w:type="dxa"/>
        </w:tblCellMar>
      </w:tblPr>
      <w:tblGrid>
        <w:gridCol w:w="1979"/>
        <w:gridCol w:w="1740"/>
        <w:gridCol w:w="2460"/>
      </w:tblGrid>
      <w:tr>
        <w:trPr/>
        <w:tc>
          <w:tcPr>
            <w:tcW w:w="1979"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NAUTILUS BIOTECHNOLOGY, INC.</w:t>
            </w:r>
          </w:p>
        </w:tc>
      </w:tr>
      <w:tr>
        <w:trPr/>
        <w:tc>
          <w:tcPr>
            <w:tcW w:w="6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8712" w:type="dxa"/>
        <w:jc w:val="left"/>
        <w:tblInd w:w="0" w:type="dxa"/>
        <w:tblCellMar>
          <w:top w:w="28" w:type="dxa"/>
          <w:left w:w="28" w:type="dxa"/>
          <w:bottom w:w="28" w:type="dxa"/>
          <w:right w:w="28" w:type="dxa"/>
        </w:tblCellMar>
      </w:tblPr>
      <w:tblGrid>
        <w:gridCol w:w="124"/>
        <w:gridCol w:w="109"/>
        <w:gridCol w:w="109"/>
        <w:gridCol w:w="2450"/>
        <w:gridCol w:w="2450"/>
        <w:gridCol w:w="34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240" w:after="283"/>
        <w:jc w:val="center"/>
        <w:rPr/>
      </w:pPr>
      <w:r>
        <w:rPr/>
        <w:drawing>
          <wp:inline distT="0" distB="63500" distL="0" distR="0">
            <wp:extent cx="3762375" cy="10477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762375" cy="1047750"/>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(206) 333-2001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Dear Fellow Stockholders: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are pleased to invite you to attend the annual meeting of stockholders of Nautilus Biotechnology, Inc. (“Nautilus”), to be held on Wednesday, June 14, 2023 at 10:00 am, Pacific time. The annual meeting will be conducted virtually via live audio webcast. You will be able to attend the annual meeting virtually by visiting www.virtualshareholdermeeting.com/NAUT2023, where you will be able to listen to the meeting live, submit questions and vote online.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attached formal meeting notice and proxy statement contain details of the business to be conducted at the annual meeting.</w:t>
      </w:r>
    </w:p>
    <w:p>
      <w:pPr>
        <w:pStyle w:val="TextBody"/>
        <w:spacing w:lineRule="auto" w:line="288" w:before="240" w:after="283"/>
        <w:rPr/>
      </w:pPr>
      <w:r>
        <w:rPr>
          <w:rFonts w:ascii="Times New Roman;sans-serif" w:hAnsi="Times New Roman;sans-serif"/>
          <w:b w:val="false"/>
          <w:color w:val="000000"/>
          <w:sz w:val="20"/>
        </w:rPr>
        <w:t xml:space="preserve">Your vote is important. Whether or not you attend the annual meeting, </w:t>
      </w:r>
      <w:r>
        <w:rPr>
          <w:rFonts w:ascii="Times New Roman;sans-serif" w:hAnsi="Times New Roman;sans-serif"/>
          <w:b w:val="false"/>
          <w:color w:val="000000"/>
          <w:sz w:val="20"/>
          <w:highlight w:val="white"/>
        </w:rPr>
        <w:t>it is important that your shares be represented and voted at the annual meeting. Therefore, we urge you to vote and submit your proxy promptly via the Internet, telephone or mail.</w:t>
      </w:r>
    </w:p>
    <w:p>
      <w:pPr>
        <w:pStyle w:val="TextBody"/>
        <w:spacing w:lineRule="auto" w:line="288" w:before="240" w:after="283"/>
        <w:rPr/>
      </w:pPr>
      <w:r>
        <w:rPr>
          <w:rFonts w:ascii="Times New Roman;sans-serif" w:hAnsi="Times New Roman;sans-serif"/>
          <w:b w:val="false"/>
          <w:color w:val="000000"/>
          <w:sz w:val="20"/>
          <w:highlight w:val="white"/>
        </w:rPr>
        <w:t>On behalf of our Board of Directors, we would like to express our appreciation for your continued support of and interest in</w:t>
      </w:r>
      <w:r>
        <w:rPr>
          <w:color w:val="000000"/>
        </w:rPr>
        <w:t xml:space="preserve"> </w:t>
      </w:r>
      <w:r>
        <w:rPr>
          <w:rFonts w:ascii="Times New Roman;sans-serif" w:hAnsi="Times New Roman;sans-serif"/>
          <w:b w:val="false"/>
          <w:color w:val="000000"/>
          <w:sz w:val="20"/>
        </w:rPr>
        <w:t>Nautilus.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spacing w:before="240" w:after="283"/>
        <w:rPr/>
      </w:pPr>
      <w:r>
        <w:rPr/>
        <w:drawing>
          <wp:inline distT="0" distB="63500" distL="0" distR="0">
            <wp:extent cx="1905000" cy="4762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905000" cy="476250"/>
                    </a:xfrm>
                    <a:prstGeom prst="rect">
                      <a:avLst/>
                    </a:prstGeom>
                  </pic:spPr>
                </pic:pic>
              </a:graphicData>
            </a:graphic>
          </wp:inline>
        </w:drawing>
      </w:r>
    </w:p>
    <w:p>
      <w:pPr>
        <w:pStyle w:val="TextBody"/>
        <w:spacing w:lineRule="auto" w:line="288" w:before="700" w:after="283"/>
        <w:rPr>
          <w:rFonts w:ascii="Times New Roman;sans-serif" w:hAnsi="Times New Roman;sans-serif"/>
          <w:b w:val="false"/>
          <w:color w:val="000000"/>
          <w:sz w:val="20"/>
        </w:rPr>
      </w:pPr>
      <w:r>
        <w:rPr>
          <w:rFonts w:ascii="Times New Roman;sans-serif" w:hAnsi="Times New Roman;sans-serif"/>
          <w:b w:val="false"/>
          <w:color w:val="000000"/>
          <w:sz w:val="20"/>
        </w:rPr>
        <w:t>Sujal Patel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2701 Eastlake Avenue East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Seattle, Washington 98102</w:t>
      </w:r>
    </w:p>
    <w:p>
      <w:pPr>
        <w:pStyle w:val="TextBody"/>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tbl>
      <w:tblPr>
        <w:tblW w:w="10205" w:type="dxa"/>
        <w:jc w:val="left"/>
        <w:tblInd w:w="0" w:type="dxa"/>
        <w:tblCellMar>
          <w:top w:w="28" w:type="dxa"/>
          <w:left w:w="28" w:type="dxa"/>
          <w:bottom w:w="28" w:type="dxa"/>
          <w:right w:w="28" w:type="dxa"/>
        </w:tblCellMar>
      </w:tblPr>
      <w:tblGrid>
        <w:gridCol w:w="628"/>
        <w:gridCol w:w="461"/>
        <w:gridCol w:w="282"/>
        <w:gridCol w:w="2909"/>
        <w:gridCol w:w="2909"/>
        <w:gridCol w:w="3016"/>
      </w:tblGrid>
      <w:tr>
        <w:trPr/>
        <w:tc>
          <w:tcPr>
            <w:tcW w:w="62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909" w:type="dxa"/>
            <w:tcBorders/>
            <w:shd w:fill="auto" w:val="clear"/>
            <w:vAlign w:val="center"/>
          </w:tcPr>
          <w:p>
            <w:pPr>
              <w:pStyle w:val="TableContents"/>
              <w:spacing w:before="0" w:after="283"/>
              <w:rPr>
                <w:sz w:val="4"/>
                <w:szCs w:val="4"/>
              </w:rPr>
            </w:pPr>
            <w:r>
              <w:rPr>
                <w:sz w:val="4"/>
                <w:szCs w:val="4"/>
              </w:rPr>
            </w:r>
          </w:p>
        </w:tc>
        <w:tc>
          <w:tcPr>
            <w:tcW w:w="2909"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r>
      <w:tr>
        <w:trPr/>
        <w:tc>
          <w:tcPr>
            <w:tcW w:w="13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Time and Date</w:t>
            </w:r>
          </w:p>
        </w:tc>
        <w:tc>
          <w:tcPr>
            <w:tcW w:w="88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 am, Pacific time, on Wednesday, June 14, 2023</w:t>
            </w:r>
          </w:p>
        </w:tc>
      </w:tr>
      <w:tr>
        <w:trPr/>
        <w:tc>
          <w:tcPr>
            <w:tcW w:w="13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w:t>
            </w:r>
          </w:p>
        </w:tc>
        <w:tc>
          <w:tcPr>
            <w:tcW w:w="88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annual meeting will be conducted virtually via live audio webcast. You will be able to attend the annual meeting virtually by visiting www.virtualshareholdermeeting.com/NAUT2023, where you will be able to listen to the meeting live, submit questions and vote online during the meeting. If you have difficulty accessing the virtual meeting during the check-in or meeting time, a technical assistance phone number will be made available on the virtual meeting registration page 15 minutes prior to the start time of the meeting.</w:t>
            </w:r>
          </w:p>
        </w:tc>
      </w:tr>
      <w:tr>
        <w:trPr/>
        <w:tc>
          <w:tcPr>
            <w:tcW w:w="13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Items of Business</w:t>
            </w:r>
          </w:p>
        </w:tc>
        <w:tc>
          <w:tcPr>
            <w:tcW w:w="883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r>
              <w:rPr>
                <w:color w:val="000000"/>
              </w:rPr>
              <w:t>•</w:t>
            </w:r>
            <w:r>
              <w:rPr>
                <w:rFonts w:ascii="Times New Roman;sans-serif" w:hAnsi="Times New Roman;sans-serif"/>
                <w:b w:val="false"/>
                <w:color w:val="000000"/>
                <w:sz w:val="20"/>
              </w:rPr>
              <w:t>To elect three Class II directors to hold office until our 2026 annual meeting of stockholders and until their respective successors are elected and qualified.</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To ratify the appointment of PricewaterhouseCoopers LLP as our independent registered public accounting firm for our fiscal year ending December 31, 2023.</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To transact other business that may properly come before the annual meeting or any adjournments or postponements thereof.</w:t>
            </w:r>
          </w:p>
        </w:tc>
      </w:tr>
      <w:tr>
        <w:trPr/>
        <w:tc>
          <w:tcPr>
            <w:tcW w:w="13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Record Date</w:t>
            </w:r>
          </w:p>
        </w:tc>
        <w:tc>
          <w:tcPr>
            <w:tcW w:w="88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2023</w:t>
            </w:r>
          </w:p>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Only stockholders of record as of April 17, 2023 are entitled to notice of and to vote at the annual meeting.</w:t>
            </w:r>
          </w:p>
        </w:tc>
      </w:tr>
      <w:tr>
        <w:trPr/>
        <w:tc>
          <w:tcPr>
            <w:tcW w:w="13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Availability of Proxy Materials</w:t>
            </w:r>
          </w:p>
        </w:tc>
        <w:tc>
          <w:tcPr>
            <w:tcW w:w="88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20"/>
              </w:rPr>
              <w:t>The Notice of Internet Availability of Proxy Materials containing instructions on how to access our proxy statement, notice of annual meeting, form of proxy and our annual report, is first being sent or given on or about April 27, 2023 to all stockholders entitled to vote at the annual meeting</w:t>
            </w:r>
            <w:r>
              <w:rPr>
                <w:rFonts w:ascii="Times New Roman;sans-serif" w:hAnsi="Times New Roman;sans-serif"/>
                <w:b w:val="false"/>
                <w:color w:val="000000"/>
                <w:sz w:val="20"/>
              </w:rPr>
              <w:t>.</w:t>
            </w:r>
          </w:p>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proxy materials and our annual report can be accessed as of April 27, 2023 by visiting www.proxyvote.com and using your 16 digit control number on the proxy card.</w:t>
            </w:r>
          </w:p>
        </w:tc>
      </w:tr>
      <w:tr>
        <w:trPr/>
        <w:tc>
          <w:tcPr>
            <w:tcW w:w="13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Voting</w:t>
            </w:r>
          </w:p>
        </w:tc>
        <w:tc>
          <w:tcPr>
            <w:tcW w:w="88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Your vote is important</w:t>
            </w:r>
            <w:r>
              <w:rPr>
                <w:rFonts w:ascii="Times New Roman;sans-serif" w:hAnsi="Times New Roman;sans-serif"/>
                <w:b w:val="false"/>
                <w:color w:val="000000"/>
                <w:sz w:val="20"/>
              </w:rPr>
              <w:t>. Whether or not you plan to attend the annual meeting, we urge you to submit your proxy or voting instructions via the Internet, telephone or mail as soon as possible.</w:t>
            </w:r>
          </w:p>
        </w:tc>
      </w:tr>
    </w:tbl>
    <w:tbl>
      <w:tblPr>
        <w:tblW w:w="3146" w:type="dxa"/>
        <w:jc w:val="left"/>
        <w:tblInd w:w="0" w:type="dxa"/>
        <w:tblCellMar>
          <w:top w:w="28" w:type="dxa"/>
          <w:left w:w="28" w:type="dxa"/>
          <w:bottom w:w="28" w:type="dxa"/>
          <w:right w:w="28" w:type="dxa"/>
        </w:tblCellMar>
      </w:tblPr>
      <w:tblGrid>
        <w:gridCol w:w="1005"/>
        <w:gridCol w:w="883"/>
        <w:gridCol w:w="1258"/>
      </w:tblGrid>
      <w:tr>
        <w:trPr/>
        <w:tc>
          <w:tcPr>
            <w:tcW w:w="100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r>
      <w:tr>
        <w:trPr/>
        <w:tc>
          <w:tcPr>
            <w:tcW w:w="31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905000" cy="3429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05000" cy="342900"/>
                          </a:xfrm>
                          <a:prstGeom prst="rect">
                            <a:avLst/>
                          </a:prstGeom>
                        </pic:spPr>
                      </pic:pic>
                    </a:graphicData>
                  </a:graphic>
                </wp:inline>
              </w:drawing>
            </w:r>
          </w:p>
        </w:tc>
      </w:tr>
    </w:tbl>
    <w:tbl>
      <w:tblPr>
        <w:tblW w:w="3224" w:type="dxa"/>
        <w:jc w:val="left"/>
        <w:tblInd w:w="0" w:type="dxa"/>
        <w:tblCellMar>
          <w:top w:w="28" w:type="dxa"/>
          <w:left w:w="28" w:type="dxa"/>
          <w:bottom w:w="28" w:type="dxa"/>
          <w:right w:w="28" w:type="dxa"/>
        </w:tblCellMar>
      </w:tblPr>
      <w:tblGrid>
        <w:gridCol w:w="1029"/>
        <w:gridCol w:w="907"/>
        <w:gridCol w:w="1288"/>
      </w:tblGrid>
      <w:tr>
        <w:trPr/>
        <w:tc>
          <w:tcPr>
            <w:tcW w:w="1029"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right"/>
        <w:tblInd w:w="0" w:type="dxa"/>
        <w:tblCellMar>
          <w:top w:w="28" w:type="dxa"/>
          <w:left w:w="28" w:type="dxa"/>
          <w:bottom w:w="28" w:type="dxa"/>
          <w:right w:w="28" w:type="dxa"/>
        </w:tblCellMar>
      </w:tblPr>
      <w:tblGrid>
        <w:gridCol w:w="3527"/>
        <w:gridCol w:w="3041"/>
        <w:gridCol w:w="3064"/>
        <w:gridCol w:w="167"/>
        <w:gridCol w:w="167"/>
        <w:gridCol w:w="239"/>
      </w:tblGrid>
      <w:tr>
        <w:trPr/>
        <w:tc>
          <w:tcPr>
            <w:tcW w:w="3527" w:type="dxa"/>
            <w:tcBorders/>
            <w:shd w:fill="auto" w:val="clear"/>
            <w:vAlign w:val="center"/>
          </w:tcPr>
          <w:p>
            <w:pPr>
              <w:pStyle w:val="TableContents"/>
              <w:spacing w:before="0" w:after="283"/>
              <w:rPr>
                <w:sz w:val="4"/>
                <w:szCs w:val="4"/>
              </w:rPr>
            </w:pPr>
            <w:r>
              <w:rPr>
                <w:sz w:val="4"/>
                <w:szCs w:val="4"/>
              </w:rPr>
            </w:r>
          </w:p>
        </w:tc>
        <w:tc>
          <w:tcPr>
            <w:tcW w:w="3041" w:type="dxa"/>
            <w:tcBorders/>
            <w:shd w:fill="auto" w:val="clear"/>
            <w:vAlign w:val="center"/>
          </w:tcPr>
          <w:p>
            <w:pPr>
              <w:pStyle w:val="TableContents"/>
              <w:spacing w:before="0" w:after="283"/>
              <w:rPr>
                <w:sz w:val="4"/>
                <w:szCs w:val="4"/>
              </w:rPr>
            </w:pPr>
            <w:r>
              <w:rPr>
                <w:sz w:val="4"/>
                <w:szCs w:val="4"/>
              </w:rPr>
            </w:r>
          </w:p>
        </w:tc>
        <w:tc>
          <w:tcPr>
            <w:tcW w:w="306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hyperlink w:anchor="i57d87238a5dc42d5b3c9b86f9f643530_13">
              <w:r>
                <w:rPr>
                  <w:rStyle w:val="InternetLink"/>
                  <w:rFonts w:ascii="Times New Roman;sans-serif" w:hAnsi="Times New Roman;sans-serif"/>
                  <w:b w:val="false"/>
                  <w:strike w:val="false"/>
                  <w:dstrike w:val="false"/>
                  <w:color w:val="0000FF"/>
                  <w:sz w:val="20"/>
                  <w:u w:val="none"/>
                  <w:effect w:val="none"/>
                </w:rPr>
                <w:t>QUESTIONS AND ANSWERS ABOUT THE PROXY MATERIALS AND OUR ANNUAL MEETING</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57d87238a5dc42d5b3c9b86f9f643530_13">
              <w:r>
                <w:rPr>
                  <w:rStyle w:val="InternetLink"/>
                  <w:rFonts w:ascii="Times New Roman;sans-serif" w:hAnsi="Times New Roman;sans-serif"/>
                  <w:b w:val="false"/>
                  <w:strike w:val="false"/>
                  <w:dstrike w:val="false"/>
                  <w:color w:val="0000FF"/>
                  <w:sz w:val="20"/>
                  <w:u w:val="none"/>
                  <w:effect w:val="none"/>
                </w:rPr>
                <w:t>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hyperlink w:anchor="i57d87238a5dc42d5b3c9b86f9f643530_16">
              <w:r>
                <w:rPr>
                  <w:rStyle w:val="InternetLink"/>
                  <w:rFonts w:ascii="Times New Roman;sans-serif" w:hAnsi="Times New Roman;sans-serif"/>
                  <w:b w:val="false"/>
                  <w:strike w:val="false"/>
                  <w:dstrike w:val="false"/>
                  <w:color w:val="0000FF"/>
                  <w:sz w:val="20"/>
                  <w:u w:val="none"/>
                  <w:effect w:val="none"/>
                </w:rPr>
                <w:t>BOARD OF DIRECTORS AND CORPORATE GOVERNANCE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6">
              <w:r>
                <w:rPr>
                  <w:rStyle w:val="InternetLink"/>
                  <w:rFonts w:ascii="Times New Roman;sans-serif" w:hAnsi="Times New Roman;sans-serif"/>
                  <w:b w:val="false"/>
                  <w:strike w:val="false"/>
                  <w:dstrike w:val="false"/>
                  <w:color w:val="0000FF"/>
                  <w:sz w:val="20"/>
                  <w:u w:val="none"/>
                  <w:effect w:val="none"/>
                </w:rPr>
                <w:t>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9">
              <w:r>
                <w:rPr>
                  <w:rStyle w:val="InternetLink"/>
                  <w:rFonts w:ascii="Times New Roman;sans-serif" w:hAnsi="Times New Roman;sans-serif"/>
                  <w:b w:val="false"/>
                  <w:strike w:val="false"/>
                  <w:dstrike w:val="false"/>
                  <w:color w:val="0000FF"/>
                  <w:sz w:val="20"/>
                  <w:u w:val="none"/>
                  <w:effect w:val="none"/>
                </w:rPr>
                <w:t>Composition of the Board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9">
              <w:r>
                <w:rPr>
                  <w:rStyle w:val="InternetLink"/>
                  <w:rFonts w:ascii="Times New Roman;sans-serif" w:hAnsi="Times New Roman;sans-serif"/>
                  <w:b w:val="false"/>
                  <w:strike w:val="false"/>
                  <w:dstrike w:val="false"/>
                  <w:color w:val="0000FF"/>
                  <w:sz w:val="20"/>
                  <w:u w:val="none"/>
                  <w:effect w:val="none"/>
                </w:rPr>
                <w:t>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22">
              <w:r>
                <w:rPr>
                  <w:rStyle w:val="InternetLink"/>
                  <w:rFonts w:ascii="Times New Roman;sans-serif" w:hAnsi="Times New Roman;sans-serif"/>
                  <w:b w:val="false"/>
                  <w:strike w:val="false"/>
                  <w:dstrike w:val="false"/>
                  <w:color w:val="0000FF"/>
                  <w:sz w:val="20"/>
                  <w:u w:val="none"/>
                  <w:effect w:val="none"/>
                </w:rPr>
                <w:t>Nominees for Director</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22">
              <w:r>
                <w:rPr>
                  <w:rStyle w:val="InternetLink"/>
                  <w:rFonts w:ascii="Times New Roman;sans-serif" w:hAnsi="Times New Roman;sans-serif"/>
                  <w:b w:val="false"/>
                  <w:strike w:val="false"/>
                  <w:dstrike w:val="false"/>
                  <w:color w:val="0000FF"/>
                  <w:sz w:val="20"/>
                  <w:u w:val="none"/>
                  <w:effect w:val="none"/>
                </w:rPr>
                <w:t>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25">
              <w:r>
                <w:rPr>
                  <w:rStyle w:val="InternetLink"/>
                  <w:rFonts w:ascii="Times New Roman;sans-serif" w:hAnsi="Times New Roman;sans-serif"/>
                  <w:b w:val="false"/>
                  <w:strike w:val="false"/>
                  <w:dstrike w:val="false"/>
                  <w:color w:val="0000FF"/>
                  <w:sz w:val="20"/>
                  <w:u w:val="none"/>
                  <w:effect w:val="none"/>
                </w:rPr>
                <w:t>Continuing Directors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25">
              <w:r>
                <w:rPr>
                  <w:rStyle w:val="InternetLink"/>
                  <w:rFonts w:ascii="Times New Roman;sans-serif" w:hAnsi="Times New Roman;sans-serif"/>
                  <w:b w:val="false"/>
                  <w:strike w:val="false"/>
                  <w:dstrike w:val="false"/>
                  <w:color w:val="0000FF"/>
                  <w:sz w:val="20"/>
                  <w:u w:val="none"/>
                  <w:effect w:val="none"/>
                </w:rPr>
                <w:t>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28">
              <w:r>
                <w:rPr>
                  <w:rStyle w:val="InternetLink"/>
                  <w:rFonts w:ascii="Times New Roman;sans-serif" w:hAnsi="Times New Roman;sans-serif"/>
                  <w:b w:val="false"/>
                  <w:strike w:val="false"/>
                  <w:dstrike w:val="false"/>
                  <w:color w:val="0000FF"/>
                  <w:sz w:val="20"/>
                  <w:u w:val="none"/>
                  <w:effect w:val="none"/>
                </w:rPr>
                <w:t>Director Independence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28">
              <w:r>
                <w:rPr>
                  <w:rStyle w:val="InternetLink"/>
                  <w:rFonts w:ascii="Times New Roman;sans-serif" w:hAnsi="Times New Roman;sans-serif"/>
                  <w:b w:val="false"/>
                  <w:strike w:val="false"/>
                  <w:dstrike w:val="false"/>
                  <w:color w:val="0000FF"/>
                  <w:sz w:val="20"/>
                  <w:u w:val="none"/>
                  <w:effect w:val="none"/>
                </w:rPr>
                <w:t>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31">
              <w:r>
                <w:rPr>
                  <w:rStyle w:val="InternetLink"/>
                  <w:rFonts w:ascii="Times New Roman;sans-serif" w:hAnsi="Times New Roman;sans-serif"/>
                  <w:b w:val="false"/>
                  <w:strike w:val="false"/>
                  <w:dstrike w:val="false"/>
                  <w:color w:val="0000FF"/>
                  <w:sz w:val="20"/>
                  <w:u w:val="none"/>
                  <w:effect w:val="none"/>
                </w:rPr>
                <w:t>Board Leadership Structure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31">
              <w:r>
                <w:rPr>
                  <w:rStyle w:val="InternetLink"/>
                  <w:rFonts w:ascii="Times New Roman;sans-serif" w:hAnsi="Times New Roman;sans-serif"/>
                  <w:b w:val="false"/>
                  <w:strike w:val="false"/>
                  <w:dstrike w:val="false"/>
                  <w:color w:val="0000FF"/>
                  <w:sz w:val="20"/>
                  <w:u w:val="none"/>
                  <w:effect w:val="none"/>
                </w:rPr>
                <w:t>10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34">
              <w:r>
                <w:rPr>
                  <w:rStyle w:val="InternetLink"/>
                  <w:rFonts w:ascii="Times New Roman;sans-serif" w:hAnsi="Times New Roman;sans-serif"/>
                  <w:b w:val="false"/>
                  <w:strike w:val="false"/>
                  <w:dstrike w:val="false"/>
                  <w:color w:val="0000FF"/>
                  <w:sz w:val="20"/>
                  <w:u w:val="none"/>
                  <w:effect w:val="none"/>
                </w:rPr>
                <w:t>Role of Board in Risk Oversight Process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34">
              <w:r>
                <w:rPr>
                  <w:rStyle w:val="InternetLink"/>
                  <w:rFonts w:ascii="Times New Roman;sans-serif" w:hAnsi="Times New Roman;sans-serif"/>
                  <w:b w:val="false"/>
                  <w:strike w:val="false"/>
                  <w:dstrike w:val="false"/>
                  <w:color w:val="0000FF"/>
                  <w:sz w:val="20"/>
                  <w:u w:val="none"/>
                  <w:effect w:val="none"/>
                </w:rPr>
                <w:t>10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37">
              <w:r>
                <w:rPr>
                  <w:rStyle w:val="InternetLink"/>
                  <w:rFonts w:ascii="Times New Roman;sans-serif" w:hAnsi="Times New Roman;sans-serif"/>
                  <w:b w:val="false"/>
                  <w:strike w:val="false"/>
                  <w:dstrike w:val="false"/>
                  <w:color w:val="0000FF"/>
                  <w:sz w:val="20"/>
                  <w:u w:val="none"/>
                  <w:effect w:val="none"/>
                </w:rPr>
                <w:t>Board Committees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37">
              <w:r>
                <w:rPr>
                  <w:rStyle w:val="InternetLink"/>
                  <w:rFonts w:ascii="Times New Roman;sans-serif" w:hAnsi="Times New Roman;sans-serif"/>
                  <w:b w:val="false"/>
                  <w:strike w:val="false"/>
                  <w:dstrike w:val="false"/>
                  <w:color w:val="0000FF"/>
                  <w:sz w:val="20"/>
                  <w:u w:val="none"/>
                  <w:effect w:val="none"/>
                </w:rPr>
                <w:t>10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689">
              <w:r>
                <w:rPr>
                  <w:rStyle w:val="InternetLink"/>
                  <w:rFonts w:ascii="Times New Roman;sans-serif" w:hAnsi="Times New Roman;sans-serif"/>
                  <w:b w:val="false"/>
                  <w:strike w:val="false"/>
                  <w:dstrike w:val="false"/>
                  <w:color w:val="0000FF"/>
                  <w:sz w:val="20"/>
                  <w:u w:val="none"/>
                  <w:effect w:val="none"/>
                </w:rPr>
                <w:t>Director Diversity</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689">
              <w:r>
                <w:rPr>
                  <w:rStyle w:val="InternetLink"/>
                  <w:rFonts w:ascii="Times New Roman;sans-serif" w:hAnsi="Times New Roman;sans-serif"/>
                  <w:b w:val="false"/>
                  <w:strike w:val="false"/>
                  <w:dstrike w:val="false"/>
                  <w:color w:val="0000FF"/>
                  <w:sz w:val="20"/>
                  <w:u w:val="none"/>
                  <w:effect w:val="none"/>
                </w:rPr>
                <w:t>12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40">
              <w:r>
                <w:rPr>
                  <w:rStyle w:val="InternetLink"/>
                  <w:rFonts w:ascii="Times New Roman;sans-serif" w:hAnsi="Times New Roman;sans-serif"/>
                  <w:b w:val="false"/>
                  <w:strike w:val="false"/>
                  <w:dstrike w:val="false"/>
                  <w:color w:val="0000FF"/>
                  <w:sz w:val="20"/>
                  <w:u w:val="none"/>
                  <w:effect w:val="none"/>
                </w:rPr>
                <w:t>Attendance at Board and Stockholder Meetings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40">
              <w:r>
                <w:rPr>
                  <w:rStyle w:val="InternetLink"/>
                  <w:rFonts w:ascii="Times New Roman;sans-serif" w:hAnsi="Times New Roman;sans-serif"/>
                  <w:b w:val="false"/>
                  <w:strike w:val="false"/>
                  <w:dstrike w:val="false"/>
                  <w:color w:val="0000FF"/>
                  <w:sz w:val="20"/>
                  <w:u w:val="none"/>
                  <w:effect w:val="none"/>
                </w:rPr>
                <w:t>13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43">
              <w:r>
                <w:rPr>
                  <w:rStyle w:val="InternetLink"/>
                  <w:rFonts w:ascii="Times New Roman;sans-serif" w:hAnsi="Times New Roman;sans-serif"/>
                  <w:b w:val="false"/>
                  <w:strike w:val="false"/>
                  <w:dstrike w:val="false"/>
                  <w:color w:val="0000FF"/>
                  <w:sz w:val="20"/>
                  <w:u w:val="none"/>
                  <w:effect w:val="none"/>
                </w:rPr>
                <w:t>Executive Sessions of Non-Employee Directors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43">
              <w:r>
                <w:rPr>
                  <w:rStyle w:val="InternetLink"/>
                  <w:rFonts w:ascii="Times New Roman;sans-serif" w:hAnsi="Times New Roman;sans-serif"/>
                  <w:b w:val="false"/>
                  <w:strike w:val="false"/>
                  <w:dstrike w:val="false"/>
                  <w:color w:val="0000FF"/>
                  <w:sz w:val="20"/>
                  <w:u w:val="none"/>
                  <w:effect w:val="none"/>
                </w:rPr>
                <w:t>13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46">
              <w:r>
                <w:rPr>
                  <w:rStyle w:val="InternetLink"/>
                  <w:rFonts w:ascii="Times New Roman;sans-serif" w:hAnsi="Times New Roman;sans-serif"/>
                  <w:b w:val="false"/>
                  <w:strike w:val="false"/>
                  <w:dstrike w:val="false"/>
                  <w:color w:val="0000FF"/>
                  <w:sz w:val="20"/>
                  <w:u w:val="none"/>
                  <w:effect w:val="none"/>
                </w:rPr>
                <w:t>Compensation Committee Interlocks and Insider Participation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46">
              <w:r>
                <w:rPr>
                  <w:rStyle w:val="InternetLink"/>
                  <w:rFonts w:ascii="Times New Roman;sans-serif" w:hAnsi="Times New Roman;sans-serif"/>
                  <w:b w:val="false"/>
                  <w:strike w:val="false"/>
                  <w:dstrike w:val="false"/>
                  <w:color w:val="0000FF"/>
                  <w:sz w:val="20"/>
                  <w:u w:val="none"/>
                  <w:effect w:val="none"/>
                </w:rPr>
                <w:t>13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49">
              <w:r>
                <w:rPr>
                  <w:rStyle w:val="InternetLink"/>
                  <w:rFonts w:ascii="Times New Roman;sans-serif" w:hAnsi="Times New Roman;sans-serif"/>
                  <w:b w:val="false"/>
                  <w:strike w:val="false"/>
                  <w:dstrike w:val="false"/>
                  <w:color w:val="0000FF"/>
                  <w:sz w:val="20"/>
                  <w:u w:val="none"/>
                  <w:effect w:val="none"/>
                </w:rPr>
                <w:t>Considerations in Evaluating Director Nominees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49">
              <w:r>
                <w:rPr>
                  <w:rStyle w:val="InternetLink"/>
                  <w:rFonts w:ascii="Times New Roman;sans-serif" w:hAnsi="Times New Roman;sans-serif"/>
                  <w:b w:val="false"/>
                  <w:strike w:val="false"/>
                  <w:dstrike w:val="false"/>
                  <w:color w:val="0000FF"/>
                  <w:sz w:val="20"/>
                  <w:u w:val="none"/>
                  <w:effect w:val="none"/>
                </w:rPr>
                <w:t>14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52">
              <w:r>
                <w:rPr>
                  <w:rStyle w:val="InternetLink"/>
                  <w:rFonts w:ascii="Times New Roman;sans-serif" w:hAnsi="Times New Roman;sans-serif"/>
                  <w:b w:val="false"/>
                  <w:strike w:val="false"/>
                  <w:dstrike w:val="false"/>
                  <w:color w:val="0000FF"/>
                  <w:sz w:val="20"/>
                  <w:u w:val="none"/>
                  <w:effect w:val="none"/>
                </w:rPr>
                <w:t>Stockholder Recommendations and Nominations to our Board of Directors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52">
              <w:r>
                <w:rPr>
                  <w:rStyle w:val="InternetLink"/>
                  <w:rFonts w:ascii="Times New Roman;sans-serif" w:hAnsi="Times New Roman;sans-serif"/>
                  <w:b w:val="false"/>
                  <w:strike w:val="false"/>
                  <w:dstrike w:val="false"/>
                  <w:color w:val="0000FF"/>
                  <w:sz w:val="20"/>
                  <w:u w:val="none"/>
                  <w:effect w:val="none"/>
                </w:rPr>
                <w:t>14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55">
              <w:r>
                <w:rPr>
                  <w:rStyle w:val="InternetLink"/>
                  <w:rFonts w:ascii="Times New Roman;sans-serif" w:hAnsi="Times New Roman;sans-serif"/>
                  <w:b w:val="false"/>
                  <w:strike w:val="false"/>
                  <w:dstrike w:val="false"/>
                  <w:color w:val="0000FF"/>
                  <w:sz w:val="20"/>
                  <w:u w:val="none"/>
                  <w:effect w:val="none"/>
                </w:rPr>
                <w:t>Communications with the Board of Directors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55">
              <w:r>
                <w:rPr>
                  <w:rStyle w:val="InternetLink"/>
                  <w:rFonts w:ascii="Times New Roman;sans-serif" w:hAnsi="Times New Roman;sans-serif"/>
                  <w:b w:val="false"/>
                  <w:strike w:val="false"/>
                  <w:dstrike w:val="false"/>
                  <w:color w:val="0000FF"/>
                  <w:sz w:val="20"/>
                  <w:u w:val="none"/>
                  <w:effect w:val="none"/>
                </w:rPr>
                <w:t>14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58">
              <w:r>
                <w:rPr>
                  <w:rStyle w:val="InternetLink"/>
                  <w:rFonts w:ascii="Times New Roman;sans-serif" w:hAnsi="Times New Roman;sans-serif"/>
                  <w:b w:val="false"/>
                  <w:strike w:val="false"/>
                  <w:dstrike w:val="false"/>
                  <w:color w:val="0000FF"/>
                  <w:sz w:val="20"/>
                  <w:u w:val="none"/>
                  <w:effect w:val="none"/>
                </w:rPr>
                <w:t>Policy Prohibiting Hedging or Pledging of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58">
              <w:r>
                <w:rPr>
                  <w:rStyle w:val="InternetLink"/>
                  <w:rFonts w:ascii="Times New Roman;sans-serif" w:hAnsi="Times New Roman;sans-serif"/>
                  <w:b w:val="false"/>
                  <w:strike w:val="false"/>
                  <w:dstrike w:val="false"/>
                  <w:color w:val="0000FF"/>
                  <w:sz w:val="20"/>
                  <w:u w:val="none"/>
                  <w:effect w:val="none"/>
                </w:rPr>
                <w:t>15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61">
              <w:r>
                <w:rPr>
                  <w:rStyle w:val="InternetLink"/>
                  <w:rFonts w:ascii="Times New Roman;sans-serif" w:hAnsi="Times New Roman;sans-serif"/>
                  <w:b w:val="false"/>
                  <w:strike w:val="false"/>
                  <w:dstrike w:val="false"/>
                  <w:color w:val="0000FF"/>
                  <w:sz w:val="20"/>
                  <w:u w:val="none"/>
                  <w:effect w:val="none"/>
                </w:rPr>
                <w:t>Corporate Governance Guidelines and Code of Business Conduct and Ethics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61">
              <w:r>
                <w:rPr>
                  <w:rStyle w:val="InternetLink"/>
                  <w:rFonts w:ascii="Times New Roman;sans-serif" w:hAnsi="Times New Roman;sans-serif"/>
                  <w:b w:val="false"/>
                  <w:strike w:val="false"/>
                  <w:dstrike w:val="false"/>
                  <w:color w:val="0000FF"/>
                  <w:sz w:val="20"/>
                  <w:u w:val="none"/>
                  <w:effect w:val="none"/>
                </w:rPr>
                <w:t>15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64">
              <w:r>
                <w:rPr>
                  <w:rStyle w:val="InternetLink"/>
                  <w:rFonts w:ascii="Times New Roman;sans-serif" w:hAnsi="Times New Roman;sans-serif"/>
                  <w:b w:val="false"/>
                  <w:strike w:val="false"/>
                  <w:dstrike w:val="false"/>
                  <w:color w:val="0000FF"/>
                  <w:sz w:val="20"/>
                  <w:u w:val="none"/>
                  <w:effect w:val="none"/>
                </w:rPr>
                <w:t>Director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64">
              <w:r>
                <w:rPr>
                  <w:rStyle w:val="InternetLink"/>
                  <w:rFonts w:ascii="Times New Roman;sans-serif" w:hAnsi="Times New Roman;sans-serif"/>
                  <w:b w:val="false"/>
                  <w:strike w:val="false"/>
                  <w:dstrike w:val="false"/>
                  <w:color w:val="0000FF"/>
                  <w:sz w:val="20"/>
                  <w:u w:val="none"/>
                  <w:effect w:val="none"/>
                </w:rPr>
                <w:t>15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67">
              <w:r>
                <w:rPr>
                  <w:rStyle w:val="InternetLink"/>
                </w:rPr>
                <w:t>PROPOSAL NO. 1: ELECTION OF CLASS </w:t>
              </w:r>
            </w:hyperlink>
            <w:hyperlink w:anchor="i57d87238a5dc42d5b3c9b86f9f643530_67">
              <w:r>
                <w:rPr>
                  <w:rStyle w:val="InternetLink"/>
                </w:rPr>
                <w:t>I</w:t>
              </w:r>
            </w:hyperlink>
            <w:hyperlink w:anchor="i57d87238a5dc42d5b3c9b86f9f643530_67">
              <w:r>
                <w:rPr>
                  <w:rStyle w:val="InternetLink"/>
                </w:rPr>
                <w:t>I DIRECTORS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67">
              <w:r>
                <w:rPr>
                  <w:rStyle w:val="InternetLink"/>
                  <w:rFonts w:ascii="Times New Roman;sans-serif" w:hAnsi="Times New Roman;sans-serif"/>
                  <w:b w:val="false"/>
                  <w:strike w:val="false"/>
                  <w:dstrike w:val="false"/>
                  <w:color w:val="0000FF"/>
                  <w:sz w:val="20"/>
                  <w:u w:val="none"/>
                  <w:effect w:val="none"/>
                </w:rPr>
                <w:t>18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70">
              <w:r>
                <w:rPr>
                  <w:rStyle w:val="InternetLink"/>
                  <w:rFonts w:ascii="Times New Roman;sans-serif" w:hAnsi="Times New Roman;sans-serif"/>
                  <w:b w:val="false"/>
                  <w:strike w:val="false"/>
                  <w:dstrike w:val="false"/>
                  <w:color w:val="0000FF"/>
                  <w:sz w:val="20"/>
                  <w:u w:val="none"/>
                  <w:effect w:val="none"/>
                </w:rPr>
                <w:t>Nominees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70">
              <w:r>
                <w:rPr>
                  <w:rStyle w:val="InternetLink"/>
                  <w:rFonts w:ascii="Times New Roman;sans-serif" w:hAnsi="Times New Roman;sans-serif"/>
                  <w:b w:val="false"/>
                  <w:strike w:val="false"/>
                  <w:dstrike w:val="false"/>
                  <w:color w:val="0000FF"/>
                  <w:sz w:val="20"/>
                  <w:u w:val="none"/>
                  <w:effect w:val="none"/>
                </w:rPr>
                <w:t>18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73">
              <w:r>
                <w:rPr>
                  <w:rStyle w:val="InternetLink"/>
                  <w:rFonts w:ascii="Times New Roman;sans-serif" w:hAnsi="Times New Roman;sans-serif"/>
                  <w:b w:val="false"/>
                  <w:strike w:val="false"/>
                  <w:dstrike w:val="false"/>
                  <w:color w:val="0000FF"/>
                  <w:sz w:val="20"/>
                  <w:u w:val="none"/>
                  <w:effect w:val="none"/>
                </w:rPr>
                <w:t>Vote Required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73">
              <w:r>
                <w:rPr>
                  <w:rStyle w:val="InternetLink"/>
                  <w:rFonts w:ascii="Times New Roman;sans-serif" w:hAnsi="Times New Roman;sans-serif"/>
                  <w:b w:val="false"/>
                  <w:strike w:val="false"/>
                  <w:dstrike w:val="false"/>
                  <w:color w:val="0000FF"/>
                  <w:sz w:val="20"/>
                  <w:u w:val="none"/>
                  <w:effect w:val="none"/>
                </w:rPr>
                <w:t>18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76">
              <w:r>
                <w:rPr>
                  <w:rStyle w:val="InternetLink"/>
                  <w:rFonts w:ascii="Times New Roman;sans-serif" w:hAnsi="Times New Roman;sans-serif"/>
                  <w:b w:val="false"/>
                  <w:strike w:val="false"/>
                  <w:dstrike w:val="false"/>
                  <w:color w:val="0000FF"/>
                  <w:sz w:val="20"/>
                  <w:u w:val="none"/>
                  <w:effect w:val="none"/>
                </w:rPr>
                <w:t>Board Recommendation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94">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hyperlink w:anchor="i57d87238a5dc42d5b3c9b86f9f643530_79">
              <w:r>
                <w:rPr>
                  <w:rStyle w:val="InternetLink"/>
                  <w:rFonts w:ascii="Times New Roman;sans-serif" w:hAnsi="Times New Roman;sans-serif"/>
                  <w:b w:val="false"/>
                  <w:strike w:val="false"/>
                  <w:dstrike w:val="false"/>
                  <w:color w:val="0000FF"/>
                  <w:sz w:val="20"/>
                  <w:u w:val="none"/>
                  <w:effect w:val="none"/>
                </w:rPr>
                <w:t>PROPOSAL NO. 2: RATIFICATION OF APPOINTMENT OF INDEPENDENT REGISTERED PUBLIC ACCOUNTING FIRM</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79">
              <w:r>
                <w:rPr>
                  <w:rStyle w:val="InternetLink"/>
                  <w:rFonts w:ascii="Times New Roman;sans-serif" w:hAnsi="Times New Roman;sans-serif"/>
                  <w:b w:val="false"/>
                  <w:strike w:val="false"/>
                  <w:dstrike w:val="false"/>
                  <w:color w:val="0000FF"/>
                  <w:sz w:val="20"/>
                  <w:u w:val="none"/>
                  <w:effect w:val="none"/>
                </w:rPr>
                <w:t>19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82">
              <w:r>
                <w:rPr>
                  <w:rStyle w:val="InternetLink"/>
                  <w:rFonts w:ascii="Times New Roman;sans-serif" w:hAnsi="Times New Roman;sans-serif"/>
                  <w:b w:val="false"/>
                  <w:strike w:val="false"/>
                  <w:dstrike w:val="false"/>
                  <w:color w:val="0000FF"/>
                  <w:sz w:val="20"/>
                  <w:u w:val="none"/>
                  <w:effect w:val="none"/>
                </w:rPr>
                <w:t>Fees Paid to the Independent Registered Public Accounting Firm</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82">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85">
              <w:r>
                <w:rPr>
                  <w:rStyle w:val="InternetLink"/>
                  <w:rFonts w:ascii="Times New Roman;sans-serif" w:hAnsi="Times New Roman;sans-serif"/>
                  <w:b w:val="false"/>
                  <w:strike w:val="false"/>
                  <w:dstrike w:val="false"/>
                  <w:color w:val="0000FF"/>
                  <w:sz w:val="20"/>
                  <w:u w:val="none"/>
                  <w:effect w:val="none"/>
                </w:rPr>
                <w:t>Auditor Independence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85">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hyperlink w:anchor="i57d87238a5dc42d5b3c9b86f9f643530_88">
              <w:r>
                <w:rPr>
                  <w:rStyle w:val="InternetLink"/>
                  <w:rFonts w:ascii="Times New Roman;sans-serif" w:hAnsi="Times New Roman;sans-serif"/>
                  <w:b w:val="false"/>
                  <w:strike w:val="false"/>
                  <w:dstrike w:val="false"/>
                  <w:color w:val="0000FF"/>
                  <w:sz w:val="20"/>
                  <w:u w:val="none"/>
                  <w:effect w:val="none"/>
                </w:rPr>
                <w:t>Audit Committee Policy on Pre-Approval of Audit and Permissible Non-Audit Services of Independent Registered Public Accounting Firm</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88">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91">
              <w:r>
                <w:rPr>
                  <w:rStyle w:val="InternetLink"/>
                  <w:rFonts w:ascii="Times New Roman;sans-serif" w:hAnsi="Times New Roman;sans-serif"/>
                  <w:b w:val="false"/>
                  <w:strike w:val="false"/>
                  <w:dstrike w:val="false"/>
                  <w:color w:val="0000FF"/>
                  <w:sz w:val="20"/>
                  <w:u w:val="none"/>
                  <w:effect w:val="none"/>
                </w:rPr>
                <w:t>Vote Required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91">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76">
              <w:r>
                <w:rPr>
                  <w:rStyle w:val="InternetLink"/>
                  <w:rFonts w:ascii="Times New Roman;sans-serif" w:hAnsi="Times New Roman;sans-serif"/>
                  <w:b w:val="false"/>
                  <w:strike w:val="false"/>
                  <w:dstrike w:val="false"/>
                  <w:color w:val="0000FF"/>
                  <w:sz w:val="20"/>
                  <w:u w:val="none"/>
                  <w:effect w:val="none"/>
                </w:rPr>
                <w:t>Board Recommendation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94">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97">
              <w:r>
                <w:rPr>
                  <w:rStyle w:val="InternetLink"/>
                  <w:rFonts w:ascii="Times New Roman;sans-serif" w:hAnsi="Times New Roman;sans-serif"/>
                  <w:b w:val="false"/>
                  <w:strike w:val="false"/>
                  <w:dstrike w:val="false"/>
                  <w:color w:val="0000FF"/>
                  <w:sz w:val="20"/>
                  <w:u w:val="none"/>
                  <w:effect w:val="none"/>
                </w:rPr>
                <w:t>REPORT OF THE AUDIT COMMITTEE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97">
              <w:r>
                <w:rPr>
                  <w:rStyle w:val="InternetLink"/>
                  <w:rFonts w:ascii="Times New Roman;sans-serif" w:hAnsi="Times New Roman;sans-serif"/>
                  <w:b w:val="false"/>
                  <w:strike w:val="false"/>
                  <w:dstrike w:val="false"/>
                  <w:color w:val="0000FF"/>
                  <w:sz w:val="20"/>
                  <w:u w:val="none"/>
                  <w:effect w:val="none"/>
                </w:rPr>
                <w:t>21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00">
              <w:r>
                <w:rPr>
                  <w:rStyle w:val="InternetLink"/>
                  <w:rFonts w:ascii="Times New Roman;sans-serif" w:hAnsi="Times New Roman;sans-serif"/>
                  <w:b w:val="false"/>
                  <w:strike w:val="false"/>
                  <w:dstrike w:val="false"/>
                  <w:color w:val="0000FF"/>
                  <w:sz w:val="20"/>
                  <w:u w:val="none"/>
                  <w:effect w:val="none"/>
                </w:rPr>
                <w:t>EXECUTIVE OFFICERS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00">
              <w:r>
                <w:rPr>
                  <w:rStyle w:val="InternetLink"/>
                  <w:rFonts w:ascii="Times New Roman;sans-serif" w:hAnsi="Times New Roman;sans-serif"/>
                  <w:b w:val="false"/>
                  <w:strike w:val="false"/>
                  <w:dstrike w:val="false"/>
                  <w:color w:val="0000FF"/>
                  <w:sz w:val="20"/>
                  <w:u w:val="none"/>
                  <w:effect w:val="none"/>
                </w:rPr>
                <w:t>22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03">
              <w:r>
                <w:rPr>
                  <w:rStyle w:val="InternetLink"/>
                  <w:rFonts w:ascii="Times New Roman;sans-serif" w:hAnsi="Times New Roman;sans-serif"/>
                  <w:b w:val="false"/>
                  <w:strike w:val="false"/>
                  <w:dstrike w:val="false"/>
                  <w:color w:val="0000FF"/>
                  <w:sz w:val="20"/>
                  <w:u w:val="none"/>
                  <w:effect w:val="none"/>
                </w:rPr>
                <w:t>EXECUTIVE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03">
              <w:r>
                <w:rPr>
                  <w:rStyle w:val="InternetLink"/>
                  <w:rFonts w:ascii="Times New Roman;sans-serif" w:hAnsi="Times New Roman;sans-serif"/>
                  <w:b w:val="false"/>
                  <w:strike w:val="false"/>
                  <w:dstrike w:val="false"/>
                  <w:color w:val="0000FF"/>
                  <w:sz w:val="20"/>
                  <w:u w:val="none"/>
                  <w:effect w:val="none"/>
                </w:rPr>
                <w:t>24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06">
              <w:r>
                <w:rPr>
                  <w:rStyle w:val="InternetLink"/>
                  <w:rFonts w:ascii="Times New Roman;sans-serif" w:hAnsi="Times New Roman;sans-serif"/>
                  <w:b w:val="false"/>
                  <w:strike w:val="false"/>
                  <w:dstrike w:val="false"/>
                  <w:color w:val="0000FF"/>
                  <w:sz w:val="20"/>
                  <w:u w:val="none"/>
                  <w:effect w:val="none"/>
                </w:rPr>
                <w:t>SECURITY OWNERSHIP OF CERTAIN BENEFICIAL OWNERS AND MANAGEMENT</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06">
              <w:r>
                <w:rPr>
                  <w:rStyle w:val="InternetLink"/>
                  <w:rFonts w:ascii="Times New Roman;sans-serif" w:hAnsi="Times New Roman;sans-serif"/>
                  <w:b w:val="false"/>
                  <w:strike w:val="false"/>
                  <w:dstrike w:val="false"/>
                  <w:color w:val="0000FF"/>
                  <w:sz w:val="20"/>
                  <w:u w:val="none"/>
                  <w:effect w:val="none"/>
                </w:rPr>
                <w:t>32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09">
              <w:r>
                <w:rPr>
                  <w:rStyle w:val="InternetLink"/>
                  <w:rFonts w:ascii="Times New Roman;sans-serif" w:hAnsi="Times New Roman;sans-serif"/>
                  <w:b w:val="false"/>
                  <w:strike w:val="false"/>
                  <w:dstrike w:val="false"/>
                  <w:color w:val="0000FF"/>
                  <w:sz w:val="20"/>
                  <w:u w:val="none"/>
                  <w:effect w:val="none"/>
                </w:rPr>
                <w:t>RELATED PERSON TRANSACTIONS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09">
              <w:r>
                <w:rPr>
                  <w:rStyle w:val="InternetLink"/>
                  <w:rFonts w:ascii="Times New Roman;sans-serif" w:hAnsi="Times New Roman;sans-serif"/>
                  <w:b w:val="false"/>
                  <w:strike w:val="false"/>
                  <w:dstrike w:val="false"/>
                  <w:color w:val="0000FF"/>
                  <w:sz w:val="20"/>
                  <w:u w:val="none"/>
                  <w:effect w:val="none"/>
                </w:rPr>
                <w:t>34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12">
              <w:r>
                <w:rPr>
                  <w:rStyle w:val="InternetLink"/>
                  <w:rFonts w:ascii="Times New Roman;sans-serif" w:hAnsi="Times New Roman;sans-serif"/>
                  <w:b w:val="false"/>
                  <w:strike w:val="false"/>
                  <w:dstrike w:val="false"/>
                  <w:color w:val="0000FF"/>
                  <w:sz w:val="20"/>
                  <w:u w:val="none"/>
                  <w:effect w:val="none"/>
                </w:rPr>
                <w:t>OTHER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12">
              <w:r>
                <w:rPr>
                  <w:rStyle w:val="InternetLink"/>
                  <w:rFonts w:ascii="Times New Roman;sans-serif" w:hAnsi="Times New Roman;sans-serif"/>
                  <w:b w:val="false"/>
                  <w:strike w:val="false"/>
                  <w:dstrike w:val="false"/>
                  <w:color w:val="0000FF"/>
                  <w:sz w:val="20"/>
                  <w:u w:val="none"/>
                  <w:effect w:val="none"/>
                </w:rPr>
                <w:t>37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15">
              <w:r>
                <w:rPr>
                  <w:rStyle w:val="InternetLink"/>
                  <w:rFonts w:ascii="Times New Roman;sans-serif" w:hAnsi="Times New Roman;sans-serif"/>
                  <w:b w:val="false"/>
                  <w:strike w:val="false"/>
                  <w:dstrike w:val="false"/>
                  <w:color w:val="0000FF"/>
                  <w:sz w:val="20"/>
                  <w:u w:val="none"/>
                  <w:effect w:val="none"/>
                </w:rPr>
                <w:t>Stockholder Proposals or Director Nominations for 2023 Annual Meeting</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15">
              <w:r>
                <w:rPr>
                  <w:rStyle w:val="InternetLink"/>
                  <w:rFonts w:ascii="Times New Roman;sans-serif" w:hAnsi="Times New Roman;sans-serif"/>
                  <w:b w:val="false"/>
                  <w:strike w:val="false"/>
                  <w:dstrike w:val="false"/>
                  <w:color w:val="0000FF"/>
                  <w:sz w:val="20"/>
                  <w:u w:val="none"/>
                  <w:effect w:val="none"/>
                </w:rPr>
                <w:t>37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18">
              <w:r>
                <w:rPr>
                  <w:rStyle w:val="InternetLink"/>
                  <w:rFonts w:ascii="Times New Roman;sans-serif" w:hAnsi="Times New Roman;sans-serif"/>
                  <w:b w:val="false"/>
                  <w:strike w:val="false"/>
                  <w:dstrike w:val="false"/>
                  <w:color w:val="0000FF"/>
                  <w:sz w:val="20"/>
                  <w:u w:val="none"/>
                  <w:effect w:val="none"/>
                </w:rPr>
                <w:t>Availability of Bylaws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18">
              <w:r>
                <w:rPr>
                  <w:rStyle w:val="InternetLink"/>
                  <w:rFonts w:ascii="Times New Roman;sans-serif" w:hAnsi="Times New Roman;sans-serif"/>
                  <w:b w:val="false"/>
                  <w:strike w:val="false"/>
                  <w:dstrike w:val="false"/>
                  <w:color w:val="0000FF"/>
                  <w:sz w:val="20"/>
                  <w:u w:val="none"/>
                  <w:effect w:val="none"/>
                </w:rPr>
                <w:t>37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21">
              <w:r>
                <w:rPr>
                  <w:rStyle w:val="InternetLink"/>
                  <w:rFonts w:ascii="Times New Roman;sans-serif" w:hAnsi="Times New Roman;sans-serif"/>
                  <w:b w:val="false"/>
                  <w:strike w:val="false"/>
                  <w:dstrike w:val="false"/>
                  <w:color w:val="0000FF"/>
                  <w:sz w:val="20"/>
                  <w:u w:val="none"/>
                  <w:effect w:val="none"/>
                </w:rPr>
                <w:t>Delinquent Section 16(a) Reports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21">
              <w:r>
                <w:rPr>
                  <w:rStyle w:val="InternetLink"/>
                  <w:rFonts w:ascii="Times New Roman;sans-serif" w:hAnsi="Times New Roman;sans-serif"/>
                  <w:b w:val="false"/>
                  <w:strike w:val="false"/>
                  <w:dstrike w:val="false"/>
                  <w:color w:val="0000FF"/>
                  <w:sz w:val="20"/>
                  <w:u w:val="none"/>
                  <w:effect w:val="none"/>
                </w:rPr>
                <w:t>37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57d87238a5dc42d5b3c9b86f9f643530_124">
              <w:r>
                <w:rPr>
                  <w:rStyle w:val="InternetLink"/>
                </w:rPr>
                <w:t>202</w:t>
              </w:r>
            </w:hyperlink>
            <w:hyperlink w:anchor="i57d87238a5dc42d5b3c9b86f9f643530_124">
              <w:r>
                <w:rPr>
                  <w:rStyle w:val="InternetLink"/>
                </w:rPr>
                <w:t>2</w:t>
              </w:r>
            </w:hyperlink>
            <w:hyperlink w:anchor="i57d87238a5dc42d5b3c9b86f9f643530_124">
              <w:r>
                <w:rPr>
                  <w:rStyle w:val="InternetLink"/>
                </w:rPr>
                <w:t xml:space="preserve"> Annual Report</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7d87238a5dc42d5b3c9b86f9f643530_124">
              <w:r>
                <w:rPr>
                  <w:rStyle w:val="InternetLink"/>
                  <w:rFonts w:ascii="Times New Roman;sans-serif" w:hAnsi="Times New Roman;sans-serif"/>
                  <w:b w:val="false"/>
                  <w:strike w:val="false"/>
                  <w:dstrike w:val="false"/>
                  <w:color w:val="0000FF"/>
                  <w:sz w:val="20"/>
                  <w:u w:val="none"/>
                  <w:effect w:val="none"/>
                </w:rPr>
                <w:t>38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2023 ANNUAL MEETING OF STOCKHOLDERS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at 10:00 am, Pacific time, on Wednesday, June 14, 2023</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the enclosed form of proxy are being furnished in connection with the solicitation of proxies by our board of directors for use at our 2023 annual meeting of stockholders, and any postponements, adjournments or continuations thereof. You will be able to attend the annual meeting virtually by visiting www.virtualshareholdermeeting.com/NAUT2023, where you will be able to listen to the annual meeting live, submit questions and vote online by entering the control number on your Notice of Internet Availability or proxy card.</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THE PROXY MATERIALS AND OUR ANNUAL MEETING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spacing w:lineRule="auto" w:line="288" w:before="240" w:after="283"/>
        <w:rPr/>
      </w:pPr>
      <w:r>
        <w:rPr>
          <w:rFonts w:ascii="Times New Roman;sans-serif" w:hAnsi="Times New Roman;sans-serif"/>
          <w:b/>
          <w:color w:val="000000"/>
          <w:sz w:val="20"/>
        </w:rPr>
        <w:t xml:space="preserve">What is Nautilus Biotechnology, Inc.’s relationship to </w:t>
      </w:r>
      <w:r>
        <w:rPr>
          <w:rFonts w:ascii="Times New Roman;sans-serif" w:hAnsi="Times New Roman;sans-serif"/>
          <w:b/>
          <w:color w:val="000000"/>
          <w:sz w:val="20"/>
          <w:highlight w:val="white"/>
        </w:rPr>
        <w:t>ARYA Sciences Acquisition Corp III</w:t>
      </w:r>
      <w:r>
        <w:rPr>
          <w:rFonts w:ascii="Times New Roman;sans-serif" w:hAnsi="Times New Roman;sans-serif"/>
          <w:b/>
          <w:color w:val="000000"/>
          <w:sz w:val="20"/>
        </w:rPr>
        <w:t xml:space="preserve">? What is the Business Combination?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Why am I receiving these materials?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the form of proxy are furnished in connection with the solicitation of proxies by our board of directors for use at the 2023 annual meeting of stockholders of Nautilus Biotechnology, Inc., a Delaware corporation, and any postponements, adjournments or continuations thereof (the “annual meeting”). The annual meeting will be held on Wednesday, June 14, 2023 at 10:00 am, Pacific time. The annual meeting will be conducted virtually via live audio webcast. You will be able to attend the annual meeting virtually by visiting www.virtualshareholdermeeting.com/NAUT2023, where you will be able to listen to the meeting live, submit questions and vote online during the meeting.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27, 2023, to all stockholders of record as of April 17, 2023. The proxy materials and our annual report can be accessed as of April 27, 2023,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What proposals will be voted on at the annual meeting?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proposals will be voted on at the annual meeting: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the election of three Class II directors to hold office until our 2026 annual meeting of stockholders and until their respective successors are elected and qualified;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ratification of the appointment of PricewaterhouseCoopers LLP as our independent registered public accounting firm for our fiscal year ending December 31, 2023;</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any other business that may properly come before the annual meeting or any adjournments or postponements thereof.</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the date of this proxy statement, our management and board of directors were not aware of any other matters to be presented at the annual meeting.</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does the board of directors recommend that I vote on these proposals?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recommends that you vote your shares: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FOR” the election of each Class II director nominee named in this proxy statement;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FOR” the ratification of the appointment of PricewaterhouseCoopers LLP as our independent registered public accounting firm for our fiscal year ending December 31,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Who is entitled to vote at the annual meeting?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as of the close of business on April 17, 2023, the record date for the annual meeting, may vote at the annual meeting. As of the record date, there were 124,866,392 shares of our common stock outstanding. Each share of common stock is entitled to one vote on each matter properly brought before the annual meeting. Stockholders are not permitted to cumulate votes with respect to the election of directors.</w:t>
      </w:r>
    </w:p>
    <w:p>
      <w:pPr>
        <w:pStyle w:val="TextBody"/>
        <w:spacing w:lineRule="auto" w:line="288" w:before="240" w:after="283"/>
        <w:rPr/>
      </w:pPr>
      <w:r>
        <w:rPr>
          <w:rFonts w:ascii="Times New Roman;sans-serif" w:hAnsi="Times New Roman;sans-serif"/>
          <w:b w:val="false"/>
          <w:i/>
          <w:color w:val="000000"/>
          <w:sz w:val="20"/>
        </w:rPr>
        <w:t>Stockholders</w:t>
      </w:r>
      <w:r>
        <w:rPr>
          <w:color w:val="000000"/>
        </w:rPr>
        <w:t xml:space="preserve"> </w:t>
      </w:r>
      <w:r>
        <w:rPr>
          <w:rFonts w:ascii="Times New Roman;sans-serif" w:hAnsi="Times New Roman;sans-serif"/>
          <w:b w:val="false"/>
          <w:i/>
          <w:color w:val="000000"/>
          <w:sz w:val="20"/>
        </w:rPr>
        <w:t>of Record</w:t>
      </w:r>
      <w:r>
        <w:rPr>
          <w:rFonts w:ascii="Times New Roman;sans-serif" w:hAnsi="Times New Roman;sans-serif"/>
          <w:b w:val="false"/>
          <w:color w:val="000000"/>
          <w:sz w:val="20"/>
        </w:rPr>
        <w:t>. If your shares are registered directly in your name with our transfer agent, Continental Stock Transfer &amp; Trust Company,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pStyle w:val="TextBody"/>
        <w:spacing w:lineRule="auto" w:line="288" w:before="240" w:after="283"/>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Is there a list of registered stockholders entitled to vote at the annual meeting?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2701 Eastlake Avenue East, Seattle, Washington 98102 by contacting our corporate secretary.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many votes are needed for approval of each proposal?</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0"/>
        </w:rPr>
        <w:t>Proposal No. 1</w:t>
      </w:r>
      <w:r>
        <w:rPr>
          <w:rFonts w:ascii="Times New Roman;sans-serif" w:hAnsi="Times New Roman;sans-serif"/>
          <w:b w:val="false"/>
          <w:color w:val="000000"/>
          <w:sz w:val="20"/>
        </w:rPr>
        <w:t xml:space="preserve">: Each director is elected by a plurality of the voting power of the shares present in person (including virtually) or represented by proxy at the annual meeting and entitled to vote on the election of directors. A plurality means that the nominees with the largest number of FOR votes are elected as directors. You may (1) vote FOR the election of each of the director nominees named herein, (2) WITHHOLD your vote for all </w:t>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director nominees, or (3) vote FOR all director nominees except for those specific director nominees from whom you WITHHOLD your vote. Because the outcome of this proposal will be determined by a plurality vote, any shares not voted FOR a particular nominee, whether as a result of choosing to WITHHOLD authority to vote or a broker non-vote, will have no effect on the outcome of the election.</w:t>
      </w:r>
    </w:p>
    <w:p>
      <w:pPr>
        <w:pStyle w:val="TextBody"/>
        <w:spacing w:lineRule="auto" w:line="288" w:before="240" w:after="283"/>
        <w:ind w:left="0" w:right="0" w:hanging="360"/>
        <w:rPr/>
      </w:pPr>
      <w:r>
        <w:rPr>
          <w:color w:val="000000"/>
        </w:rPr>
        <w:t>•</w:t>
      </w:r>
      <w:r>
        <w:rPr>
          <w:rFonts w:ascii="Times New Roman;sans-serif" w:hAnsi="Times New Roman;sans-serif"/>
          <w:b w:val="false"/>
          <w:i/>
          <w:color w:val="000000"/>
          <w:sz w:val="20"/>
        </w:rPr>
        <w:t>Proposal No. 2</w:t>
      </w:r>
      <w:r>
        <w:rPr>
          <w:rFonts w:ascii="Times New Roman;sans-serif" w:hAnsi="Times New Roman;sans-serif"/>
          <w:b w:val="false"/>
          <w:color w:val="000000"/>
          <w:sz w:val="20"/>
        </w:rPr>
        <w:t>: The ratification of the appointment of PricewaterhouseCoopers LLP as our independent registered public accounting firm for our fiscal year ending December 31, 2023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have the same effect as a vote AGAINST this proposal. Because this is a routine proposal, we do not expect any broker non-votes on this proposal.</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What is the quorum requirement for the annual meeting?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do I vote and what are the voting deadlines?</w:t>
      </w:r>
    </w:p>
    <w:p>
      <w:pPr>
        <w:pStyle w:val="TextBody"/>
        <w:spacing w:lineRule="auto" w:line="288" w:before="240" w:after="283"/>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If you are a stockholder of record, you may vote in one of the following ways: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by Internet at www.proxyvote.com, 24 hours a day, 7 days a week, until 11:59 p.m. Eastern time on June 13, 2023 (have your Notice of Internet Availability or proxy card in hand when you visit the website);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by toll-free telephone at 1-800-690-6903, 24 hours a day, 7 days a week, until 11:59 p.m. Eastern time on June 13, 2023 (have your Notice of Internet Availability or proxy card in hand when you call);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by completing, signing and mailing your proxy card (if you received printed proxy materials), which must be received prior to the annual meeting; or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by attending the annual meeting virtually by visiting www.virtualshareholdermeeting.com/NAUT2023, where you may vote during the meeting (have your Notice of Internet Availability or proxy card in hand when you visit the website, you will need your 16 digit control number on your proxy card).</w:t>
      </w:r>
    </w:p>
    <w:p>
      <w:pPr>
        <w:pStyle w:val="TextBody"/>
        <w:spacing w:lineRule="auto" w:line="288" w:before="240" w:after="283"/>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from your broker, bank or other nominee.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What if I do not specify how my shares are to be voted or fail to provide timely directions to my broker, bank or other nominee?</w:t>
      </w:r>
    </w:p>
    <w:p>
      <w:pPr>
        <w:pStyle w:val="TextBody"/>
        <w:spacing w:lineRule="auto" w:line="288" w:before="240" w:after="283"/>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If you are a stockholder of record and you submit a proxy, but you do not provide voting instructions, your shares will be voted: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FOR” the election of each Class II director nominee named in this proxy statement;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FOR” the ratification of the appointment of PricewaterhouseCoopers LLP as our independent registered public accounting firm for our fiscal year ending December 31, 2023.</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addition, if any other matters are properly brought before the annual meeting, the persons named as proxies will be authorized to vote or otherwise act on those matters in accordance with their judgment.</w:t>
      </w:r>
    </w:p>
    <w:p>
      <w:pPr>
        <w:pStyle w:val="TextBody"/>
        <w:spacing w:lineRule="auto" w:line="288" w:before="240" w:after="283"/>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PricewaterhouseCoopers LLP as our independent registered public accounting firm for our fiscal year ending December 31, 2023.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Can I change my vote or revoke my proxy?</w:t>
      </w:r>
    </w:p>
    <w:p>
      <w:pPr>
        <w:pStyle w:val="TextBody"/>
        <w:spacing w:lineRule="auto" w:line="288" w:before="240" w:after="283"/>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If you are a stockholder of record, you can change your vote or revoke your proxy before the annual meeting by: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entering a new vote by Internet or telephone (subject to the applicable deadlines for each method as set forth above);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completing and returning a later-dated proxy card, which must be received prior to the annual meeting;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delivering a written notice of revocation to our corporate secretary at Nautilus Biotechnology, Inc., 2701 Eastlake Avenue East, Seattle, Washington 98102, Attention: Corporate Secretary, which must be received prior to the annual meeting; or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attending and voting at the annual meeting (although attendance at the annual meeting will not, by itself, revoke a proxy).</w:t>
      </w:r>
    </w:p>
    <w:p>
      <w:pPr>
        <w:pStyle w:val="TextBody"/>
        <w:spacing w:lineRule="auto" w:line="288" w:before="240" w:after="283"/>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 are a street name stockholder, then your broker, bank or other nominee can provide you with instructions on how to change or revoke your proxy.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What do I need to do to attend the annual meeting?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will be hosting the annual meeting via live audio webcast only.</w:t>
      </w:r>
    </w:p>
    <w:p>
      <w:pPr>
        <w:pStyle w:val="TextBody"/>
        <w:spacing w:lineRule="auto" w:line="288" w:before="240" w:after="283"/>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xml:space="preserve">. If you were a stockholder of record as of the record date, then you may attend the annual meeting virtually, and will be able to submit your questions during the meeting and vote your shares electronically during the meeting by visiting www.virtualshareholdermeeting.com/NAUT2023. To attend and participate in the annual meeting, you will need the control number included on your Notice of Internet Availability or proxy card. The annual meeting live audio webcast will begin promptly at 10:00 am, Pacific time. We encourage you to access the meeting prior to the start time. Online check-in will begin at 9:45 am, Pacific time, and you should allow ample time for the check-in procedures. </w:t>
      </w:r>
    </w:p>
    <w:p>
      <w:pPr>
        <w:pStyle w:val="TextBody"/>
        <w:spacing w:lineRule="auto" w:line="288" w:before="240" w:after="283"/>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 were a street name stockholder as of the record date and your voting instruction form or notice of internet availability 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can I get help if I have trouble checking in or listening to the annual meeting online?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If you encounter difficulties accessing the virtual meeting during the check-in or meeting time, please call the technical support number that will be posted on the virtual meeting log-in page.</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What is the effect of giving a proxy?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Proxies are solicited by and on behalf of our board of directors. Sujal Patel, our President and Chief Executive Officer, and Anna Mowry,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 will use their own judgment to determine how to vote your shares. If the annual meeting is postponed or adjourned, then the proxy holder can vote your shares on the new meeting date, unless you have properly revoked your proxy, as described above.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can I contact Nautilus’s transfer agent?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You may contact our transfer agent, Continental Stock Transfer &amp; Trust Company, by telephone at (212) 509-4000, or by writing Continental Stock Transfer &amp; Trust Company, at 1 State Street 30th Floor, New York, NY 1004-1561. You may also access instructions with respect to certain stockholder matters (e.g., change of address) via the Internet at https://continentalstock.com/.</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are proxies solicited for the annual meeting and who is paying for such solicitation?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Where can I find the voting results of the annual meeting?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will disclose voting results on a Current Report on Form 8-K that we will file with the U.S. Securities and Exchange Commission, or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Why did I receive a Notice of Internet Availability instead of a full set of proxy materials?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What does it mean if I receive more than one Notice of Internet Availability or more than one set of printed proxy materials?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Investor Relations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 (206) 333-2001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Street name stockholders may contact their broker, bank or other nominee to request information about householding.</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Implications of being an “emerging growth company” and smaller reporting company.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an emerging growth company, as defined in the Jumpstart Our Business Startups Act of 2012, or the JOBS Act. For as long as we continue to be an emerging growth company, we may take advantage of exemptions from various reporting requirements that are applicable to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BOARD OF DIRECTORS AND CORPORATE GOVERNANCE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Composition of the Board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nine directors, seven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April 17, 2023, and certain other information for each of our directors and director nominees:</w:t>
      </w:r>
    </w:p>
    <w:tbl>
      <w:tblPr>
        <w:tblW w:w="10205" w:type="dxa"/>
        <w:jc w:val="left"/>
        <w:tblInd w:w="0" w:type="dxa"/>
        <w:tblCellMar>
          <w:top w:w="28" w:type="dxa"/>
          <w:left w:w="28" w:type="dxa"/>
          <w:bottom w:w="28" w:type="dxa"/>
          <w:right w:w="28" w:type="dxa"/>
        </w:tblCellMar>
      </w:tblPr>
      <w:tblGrid>
        <w:gridCol w:w="574"/>
        <w:gridCol w:w="478"/>
        <w:gridCol w:w="486"/>
        <w:gridCol w:w="109"/>
        <w:gridCol w:w="109"/>
        <w:gridCol w:w="109"/>
        <w:gridCol w:w="160"/>
        <w:gridCol w:w="160"/>
        <w:gridCol w:w="161"/>
        <w:gridCol w:w="109"/>
        <w:gridCol w:w="109"/>
        <w:gridCol w:w="109"/>
        <w:gridCol w:w="130"/>
        <w:gridCol w:w="130"/>
        <w:gridCol w:w="131"/>
        <w:gridCol w:w="109"/>
        <w:gridCol w:w="109"/>
        <w:gridCol w:w="109"/>
        <w:gridCol w:w="1142"/>
        <w:gridCol w:w="1094"/>
        <w:gridCol w:w="1102"/>
        <w:gridCol w:w="109"/>
        <w:gridCol w:w="109"/>
        <w:gridCol w:w="109"/>
        <w:gridCol w:w="240"/>
        <w:gridCol w:w="240"/>
        <w:gridCol w:w="241"/>
        <w:gridCol w:w="109"/>
        <w:gridCol w:w="109"/>
        <w:gridCol w:w="109"/>
        <w:gridCol w:w="230"/>
        <w:gridCol w:w="230"/>
        <w:gridCol w:w="231"/>
        <w:gridCol w:w="109"/>
        <w:gridCol w:w="109"/>
        <w:gridCol w:w="109"/>
        <w:gridCol w:w="316"/>
        <w:gridCol w:w="316"/>
        <w:gridCol w:w="451"/>
      </w:tblGrid>
      <w:tr>
        <w:trPr/>
        <w:tc>
          <w:tcPr>
            <w:tcW w:w="574"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br/>
              <w:t>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br/>
              <w:t>Term</w:t>
              <w:br/>
              <w:t>Expires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of</w:t>
              <w:br/>
              <w:t>Term for</w:t>
              <w:br/>
              <w:t>Which</w:t>
              <w:br/>
              <w:t>Nominated</w:t>
            </w:r>
          </w:p>
        </w:tc>
      </w:tr>
      <w:tr>
        <w:trPr/>
        <w:tc>
          <w:tcPr>
            <w:tcW w:w="15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Nominees for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Parag Mallick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Scientist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Matthew McIlwain </w:t>
            </w:r>
            <w:r>
              <w:rPr>
                <w:rFonts w:ascii="Times New Roman;sans-serif" w:hAnsi="Times New Roman;sans-serif"/>
                <w:b w:val="false"/>
                <w:color w:val="000000"/>
                <w:sz w:val="10"/>
              </w:rPr>
              <w:t>(1)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Farzad Nazem </w:t>
            </w:r>
            <w:r>
              <w:rPr>
                <w:rFonts w:ascii="Times New Roman;sans-serif" w:hAnsi="Times New Roman;sans-serif"/>
                <w:b w:val="false"/>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r>
      <w:tr>
        <w:trPr/>
        <w:tc>
          <w:tcPr>
            <w:tcW w:w="1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Continuing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Executive Officer, President, Secretary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Vijay Pande </w:t>
            </w:r>
            <w:r>
              <w:rPr>
                <w:rFonts w:ascii="Times New Roman;sans-serif" w:hAnsi="Times New Roman;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Michael Altman </w:t>
            </w:r>
            <w:r>
              <w:rPr>
                <w:rFonts w:ascii="Times New Roman;sans-serif" w:hAnsi="Times New Roman;sans-serif"/>
                <w:b w:val="false"/>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Melissa Epperly </w:t>
            </w:r>
            <w:r>
              <w:rPr>
                <w:rFonts w:ascii="Times New Roman;sans-serif" w:hAnsi="Times New Roman;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Matthew L. Posard </w:t>
            </w:r>
            <w:r>
              <w:rPr>
                <w:rFonts w:ascii="Times New Roman;sans-serif" w:hAnsi="Times New Roman;sans-serif"/>
                <w:b w:val="false"/>
                <w:color w:val="000000"/>
                <w:sz w:val="10"/>
              </w:rPr>
              <w:t>(1)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Chairperson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Karen Akinsanya</w:t>
            </w:r>
            <w:r>
              <w:rPr>
                <w:rFonts w:ascii="Times New Roman;sans-serif" w:hAnsi="Times New Roman;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(1)Member of audit committee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(2)Member of compensation committee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(3)Member of nominating and governance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Nominees for Director</w:t>
      </w:r>
    </w:p>
    <w:p>
      <w:pPr>
        <w:pStyle w:val="TextBody"/>
        <w:spacing w:lineRule="auto" w:line="288" w:before="240" w:after="283"/>
        <w:rPr/>
      </w:pPr>
      <w:r>
        <w:rPr>
          <w:rFonts w:ascii="Times New Roman;sans-serif" w:hAnsi="Times New Roman;sans-serif"/>
          <w:b w:val="false"/>
          <w:i/>
          <w:color w:val="000000"/>
          <w:sz w:val="20"/>
          <w:highlight w:val="white"/>
        </w:rPr>
        <w:t>Parag Mallick</w:t>
      </w:r>
      <w:r>
        <w:rPr>
          <w:rFonts w:ascii="Times New Roman;sans-serif" w:hAnsi="Times New Roman;sans-serif"/>
          <w:b w:val="false"/>
          <w:color w:val="000000"/>
          <w:sz w:val="20"/>
          <w:highlight w:val="white"/>
        </w:rPr>
        <w:t>. Parag Mallick has served as our Chief Scientist and a member of our board of directors since June 2021. Dr. Mallick co-founded Legacy Nautilus and served 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Dr. Mallick is qualified to serve on our board of directors because of his scientific expertise and his deep understanding of our business, operations and strategy.</w:t>
      </w:r>
    </w:p>
    <w:p>
      <w:pPr>
        <w:pStyle w:val="TextBody"/>
        <w:spacing w:lineRule="auto" w:line="288" w:before="240" w:after="283"/>
        <w:rPr/>
      </w:pPr>
      <w:r>
        <w:rPr>
          <w:rFonts w:ascii="Times New Roman;sans-serif" w:hAnsi="Times New Roman;sans-serif"/>
          <w:b w:val="false"/>
          <w:i/>
          <w:color w:val="000000"/>
          <w:sz w:val="20"/>
          <w:highlight w:val="white"/>
        </w:rPr>
        <w:t>Matthew McIlwain</w:t>
      </w:r>
      <w:r>
        <w:rPr>
          <w:rFonts w:ascii="Times New Roman;sans-serif" w:hAnsi="Times New Roman;sans-serif"/>
          <w:b w:val="false"/>
          <w:color w:val="000000"/>
          <w:sz w:val="20"/>
          <w:highlight w:val="white"/>
        </w:rPr>
        <w:t>. Matthew McIlwain has served on our board of directors since June 2021 and served on the Legacy Nautilus board of directors from January 2021 through the 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Process at Genuine Parts Company from January 1996 to May 2000, a consultant at McKinsey &amp; Company from August 1992 to December 1995, and in investment banking at Credit Suisse First Boston from July 1987 to July 1989. Mr. McIlwain currently serves as a director on the boards of directors of Smartsheet Inc. (NYSE: SMAR). Mr. McIlwain holds a B.A. in Government and Economics from Dartmouth College, an M.P.P. in Public Policy from Harvard University’s Kennedy School of Government, and an M.B.A. from Harvard Business School.</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Mr. McIlwain is qualified to serve on our board of directors due to his extensive industry background and experience investing in the technology and life sciences industry.</w:t>
      </w:r>
    </w:p>
    <w:p>
      <w:pPr>
        <w:pStyle w:val="TextBody"/>
        <w:spacing w:lineRule="auto" w:line="288" w:before="240" w:after="283"/>
        <w:rPr/>
      </w:pPr>
      <w:r>
        <w:rPr>
          <w:rFonts w:ascii="Times New Roman;sans-serif" w:hAnsi="Times New Roman;sans-serif"/>
          <w:b w:val="false"/>
          <w:i/>
          <w:color w:val="000000"/>
          <w:sz w:val="20"/>
          <w:highlight w:val="white"/>
        </w:rPr>
        <w:t>Farzad Nazem</w:t>
      </w:r>
      <w:r>
        <w:rPr>
          <w:rFonts w:ascii="Times New Roman;sans-serif" w:hAnsi="Times New Roman;sans-serif"/>
          <w:b w:val="false"/>
          <w:color w:val="000000"/>
          <w:sz w:val="20"/>
          <w:highlight w:val="white"/>
        </w:rPr>
        <w:t>. Farzad Nazem has served on our board of directors since June 2021 and served on the Legacy Nautilus board of directors from June 2017 through the closing 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holds a B.S. in Computer Science from California Polytechnic State University–San Luis Obispo.</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Mr. Nazem is qualified to serve on our board of directors because of his technical expertise, extensive industry background and management experience.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Continuing Directors</w:t>
      </w:r>
    </w:p>
    <w:p>
      <w:pPr>
        <w:pStyle w:val="TextBody"/>
        <w:spacing w:lineRule="auto" w:line="288" w:before="240" w:after="283"/>
        <w:rPr/>
      </w:pPr>
      <w:r>
        <w:rPr>
          <w:rFonts w:ascii="Times New Roman;sans-serif" w:hAnsi="Times New Roman;sans-serif"/>
          <w:b w:val="false"/>
          <w:i/>
          <w:color w:val="000000"/>
          <w:sz w:val="20"/>
          <w:highlight w:val="white"/>
        </w:rPr>
        <w:t>Sujal Patel</w:t>
      </w:r>
      <w:r>
        <w:rPr>
          <w:rFonts w:ascii="Times New Roman;sans-serif" w:hAnsi="Times New Roman;sans-serif"/>
          <w:b w:val="false"/>
          <w:color w:val="000000"/>
          <w:sz w:val="20"/>
          <w:highlight w:val="white"/>
        </w:rPr>
        <w:t>. Sujal Patel has served as our Chief Executive Officer, President, Secretary and a member of our board of directors since June 2021. Mr. Patel co-founded Legacy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holds a B.S. in Computer Science from the University of Maryland, College Park.</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Mr. Patel is qualified to serve on our board of directors because of his deep knowledge of our business, and strategy, and his extensive executive leadership and operational experience.</w:t>
      </w:r>
    </w:p>
    <w:p>
      <w:pPr>
        <w:pStyle w:val="TextBody"/>
        <w:spacing w:lineRule="auto" w:line="288" w:before="240" w:after="283"/>
        <w:rPr/>
      </w:pPr>
      <w:r>
        <w:rPr>
          <w:rFonts w:ascii="Times New Roman;sans-serif" w:hAnsi="Times New Roman;sans-serif"/>
          <w:b w:val="false"/>
          <w:i/>
          <w:color w:val="000000"/>
          <w:sz w:val="20"/>
          <w:highlight w:val="white"/>
        </w:rPr>
        <w:t>Vijay Pande</w:t>
      </w:r>
      <w:r>
        <w:rPr>
          <w:rFonts w:ascii="Times New Roman;sans-serif" w:hAnsi="Times New Roman;sans-serif"/>
          <w:b w:val="false"/>
          <w:color w:val="000000"/>
          <w:sz w:val="20"/>
          <w:highlight w:val="white"/>
        </w:rPr>
        <w:t>. Vijay Pande has served on our board of directors since June 2021, and served on the Legacy Nautilus board of directors from May 2018 through the closing of the Business 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Dr. Pande holds a B.S. in Physics from Princeton University and a Ph.D. in Physics from Massachusetts Institute of Technology.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Dr. Pande is qualified to serve on our board of directors because of his extensive industry experience and board experience with healthcare companies.</w:t>
      </w:r>
    </w:p>
    <w:p>
      <w:pPr>
        <w:pStyle w:val="TextBody"/>
        <w:spacing w:lineRule="auto" w:line="288" w:before="240" w:after="283"/>
        <w:rPr/>
      </w:pPr>
      <w:r>
        <w:rPr>
          <w:rFonts w:ascii="Times New Roman;sans-serif" w:hAnsi="Times New Roman;sans-serif"/>
          <w:b w:val="false"/>
          <w:i/>
          <w:color w:val="000000"/>
          <w:sz w:val="20"/>
          <w:highlight w:val="white"/>
        </w:rPr>
        <w:t>Michael Altman</w:t>
      </w:r>
      <w:r>
        <w:rPr>
          <w:rFonts w:ascii="Times New Roman;sans-serif" w:hAnsi="Times New Roman;sans-serif"/>
          <w:b w:val="false"/>
          <w:color w:val="000000"/>
          <w:sz w:val="20"/>
          <w:highlight w:val="white"/>
        </w:rPr>
        <w:t>. Michael Altman, CFA, has served on our board of directors since June 2021 and served on the ARYA board of directors from inception until the closing of 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boards of directors of Lyra Therapeutics (Nasdaq: LYRA), which is a portfolio companies of Perceptive Advisors. Mr. Altman also serves as the Chief Financial Officer and on the board of directors of ARYA Sciences Acquisition Corp IV (Nasdaq: ARYD) and ARYA Sciences Acquisition Corp V (Nasdaq: ARYE). Mr. Altman graduated from the University of Vermont with a BS in Business Administration.</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Mr. Altman is qualified to serve on our board of directors because of his broad operational and transactional experience.</w:t>
      </w:r>
    </w:p>
    <w:p>
      <w:pPr>
        <w:pStyle w:val="TextBody"/>
        <w:spacing w:before="0" w:after="0"/>
        <w:rPr/>
      </w:pPr>
      <w:r>
        <w:rPr/>
      </w:r>
    </w:p>
    <w:p>
      <w:pPr>
        <w:pStyle w:val="TextBody"/>
        <w:spacing w:lineRule="auto" w:line="288"/>
        <w:rPr/>
      </w:pPr>
      <w:r>
        <w:rPr>
          <w:rFonts w:ascii="Times New Roman;sans-serif" w:hAnsi="Times New Roman;sans-serif"/>
          <w:b w:val="false"/>
          <w:i/>
          <w:color w:val="000000"/>
          <w:sz w:val="20"/>
          <w:highlight w:val="white"/>
        </w:rPr>
        <w:t>Melissa Epperly</w:t>
      </w:r>
      <w:r>
        <w:rPr>
          <w:rFonts w:ascii="Times New Roman;sans-serif" w:hAnsi="Times New Roman;sans-serif"/>
          <w:b w:val="false"/>
          <w:color w:val="000000"/>
          <w:sz w:val="20"/>
          <w:highlight w:val="white"/>
        </w:rPr>
        <w:t xml:space="preserve">. Melissa Epperly has served on our board of directors since June 2021 and served on the Legacy Nautilus board of directors from January 2021 through the closing of the Business 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and Roivant Sciences Ltd (NASDAQ: ROIV). Ms. Epperly holds a B.A. in Biochemisty and Economics from the University of Virginia and an M.B.A from Harvard Business School.</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Ms. Epperly is qualified to serve on our board of directors because of her extensive experience as a senior financing executive in the life sciences industry.</w:t>
      </w:r>
    </w:p>
    <w:p>
      <w:pPr>
        <w:pStyle w:val="TextBody"/>
        <w:spacing w:lineRule="auto" w:line="288" w:before="240" w:after="283"/>
        <w:rPr/>
      </w:pPr>
      <w:r>
        <w:rPr>
          <w:rFonts w:ascii="Times New Roman;sans-serif" w:hAnsi="Times New Roman;sans-serif"/>
          <w:b w:val="false"/>
          <w:i/>
          <w:color w:val="000000"/>
          <w:sz w:val="20"/>
          <w:highlight w:val="white"/>
        </w:rPr>
        <w:t>Matthew L. Posard</w:t>
      </w:r>
      <w:r>
        <w:rPr>
          <w:rFonts w:ascii="Times New Roman;sans-serif" w:hAnsi="Times New Roman;sans-serif"/>
          <w:b w:val="false"/>
          <w:color w:val="000000"/>
          <w:sz w:val="20"/>
          <w:highlight w:val="white"/>
        </w:rPr>
        <w:t>. Matthew L. Posard has served on our board of directors and as Chairperson since June 2021 and served on the Legacy Nautilus board of directors from February 2019 through the closing of the Business Combination.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and DermTech (NASDAQ CM: DMTK). Mr. Posard holds a B.A. in Management Science from the University of California, San Diego.</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Mr. Posard is qualified to serve on our board of directors because of his extensive experience as an executive and serving on various boards of directors of companies in the life sciences industry.</w:t>
      </w:r>
    </w:p>
    <w:p>
      <w:pPr>
        <w:pStyle w:val="TextBody"/>
        <w:spacing w:lineRule="auto" w:line="288" w:before="240" w:after="283"/>
        <w:rPr/>
      </w:pPr>
      <w:r>
        <w:rPr>
          <w:rFonts w:ascii="Times New Roman;sans-serif" w:hAnsi="Times New Roman;sans-serif"/>
          <w:b w:val="false"/>
          <w:i/>
          <w:color w:val="000000"/>
          <w:sz w:val="20"/>
        </w:rPr>
        <w:t>Karen Akinsanya</w:t>
      </w:r>
      <w:r>
        <w:rPr>
          <w:rFonts w:ascii="Times New Roman;sans-serif" w:hAnsi="Times New Roman;sans-serif"/>
          <w:b w:val="false"/>
          <w:color w:val="000000"/>
          <w:sz w:val="20"/>
        </w:rPr>
        <w:t xml:space="preserve">. Karen Akinsanya has served on our board of directors since March 2022. Dr. Akinsanya has served as President of R&amp;D, Therapeutics of Schrödinger, Inc. (NASDAQ: SDGR), a 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received a B.Sc. in Biochemistry from Queen Mary College, University of London, a Ph.D. in Endocrine Physiology from the Imperial College and completed postdoctoral studies at the Ludwig Institute for Cancer Research, University College, London.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Dr. Akinsanya is qualified to serve on our board of directors because of her extensive industry background and experience in the life sciences industry.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Nasdaq. As a company listed on Nasdaq, 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nominating and governance committees be independent.</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Audit committee members must also satisfy the additional independence criteria set forth in Rule 10A-3 under the Securities Exchange Act of 1934, as amended, or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undertaken a review of the independence of each of our directors. Based on information provided by each director concerning his or her background, employment and affiliations, our board of directors has determined that none of Mr. Pande, Mr. Altman, Mr. Nazem, Mr. McIlwain, Ms. Epperly, Mr. Posard and Ms. Akinsanya, representing seven of our nine directors, has a relationship that would interfere with the exercise of independent judgment in carrying out the responsibilities of a director and that each of these directors is an “independent director” as defined under the listing standards of Nasdaq. Sujal Patel is not considered an independent director because of his position as our Chief Executive Officer, President and Secretary and Parag Mallick is not considered an independent director because of his position as our Chief Scientist.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directors, director nominees or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spacing w:lineRule="auto" w:line="288" w:before="240" w:after="283"/>
        <w:rPr/>
      </w:pPr>
      <w:r>
        <w:rPr>
          <w:rFonts w:ascii="Times New Roman;sans-serif" w:hAnsi="Times New Roman;sans-serif"/>
          <w:b w:val="false"/>
          <w:color w:val="000000"/>
          <w:sz w:val="20"/>
        </w:rPr>
        <w:t xml:space="preserve">Our corporate governance framework provides our board flexibility to determine the appropriate leadership structure for the company, and whether the roles of chairperson and chief executive officer should be separated or combined. </w:t>
      </w:r>
      <w:r>
        <w:rPr>
          <w:rFonts w:ascii="Times New Roman;sans-serif" w:hAnsi="Times New Roman;sans-serif"/>
          <w:b w:val="false"/>
          <w:color w:val="191919"/>
          <w:sz w:val="20"/>
          <w:highlight w:val="white"/>
        </w:rPr>
        <w:t xml:space="preserve">In making this determination, our board considers many factors, including the needs of the business, our board’s assessment of its leadership needs from time to time and the best interests of our </w:t>
      </w:r>
      <w:r>
        <w:rPr>
          <w:rFonts w:ascii="Times New Roman;sans-serif" w:hAnsi="Times New Roman;sans-serif"/>
          <w:b w:val="false"/>
          <w:color w:val="000000"/>
          <w:sz w:val="20"/>
        </w:rPr>
        <w:t>stockholders</w:t>
      </w:r>
      <w:r>
        <w:rPr>
          <w:rFonts w:ascii="Times New Roman;sans-serif" w:hAnsi="Times New Roman;sans-serif"/>
          <w:b w:val="false"/>
          <w:color w:val="191919"/>
          <w:sz w:val="20"/>
          <w:highlight w:val="white"/>
        </w:rPr>
        <w:t>.</w:t>
      </w:r>
      <w:r>
        <w:rPr>
          <w:color w:val="000000"/>
        </w:rPr>
        <w:t xml:space="preserve"> </w:t>
      </w:r>
      <w:r>
        <w:rPr>
          <w:rFonts w:ascii="Times New Roman;sans-serif" w:hAnsi="Times New Roman;sans-serif"/>
          <w:b w:val="false"/>
          <w:color w:val="000000"/>
          <w:sz w:val="20"/>
        </w:rPr>
        <w:t>If the role of chairperson is filled by a director who does not qualify as an independent director, then our corporate governance guidelines provide that one of our independent directors may serve as our lead independent director.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board believes that it is currently appropriate to separate the roles of chairperson and chief executive officer. The chief executive officer is responsible for day-to-day leadership, while our chairperson, along with the rest of our independent directors, ensures that our board’s time and attention is focused on providing independent oversight of management and matters critical to our company. The board believes that Mr. Posard’s deep knowledge of the company and industry, as well as strong leadership and governance experience, enable Mr. Posard to lead our board effectively and independently.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Role of Board in Risk Oversight Process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established the following standing committees of the board: audit committee; compensation committee; and nominating and governance committee. The composition and responsibilities of each of the committees of our board of directors is described below.</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our audit committee are Ms. Epperly, Mr. McIlwain and Mr. Posard. Ms. Epperly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directors has determined that each of Ms. Epperly and Mr. McIlwain is an audit committee financial expert within the meaning of Item 407(d) of Regulation S-K. Our audit committee is responsible for, among other things: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selecting, retaining, compensating, evaluating, overseeing and, where appropriate, terminating our independent registered public accounting firm;</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approving the scope and plans for the audits and the audit fees and approving all non-audit and tax services to be performed by the independent auditor;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evaluating the independence and qualifications of our independent registered public accounting firm;</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our financial statements, and discussing with management and our independent registered public accounting firm the results of the annual audit and the quarterly reviews;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discussing with management and our independent registered public accounting firm the quality and adequacy of our internal controls and our disclosure controls and procedures;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discussing with management our procedures regarding the presentation of our financial information, and reviewing earnings press releases and guidance;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overseeing the design, implementation and performance of our internal audit function, if any;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setting hiring policies with regard to the hiring of employees and former employees of our independent auditor and overseeing compliance with such policies;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approving and monitoring related party transactions;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monitoring compliance with our code of business conduct and ethics, and reviewing conflicts of interest of our board members and officers;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discussing with management and our independent auditor the adequacy and effectiveness of our legal, regulatory and ethical compliance programs;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discussing with management and our independent auditor our guidelines and policies to identify, monitor and address enterprise risks.</w:t>
      </w:r>
    </w:p>
    <w:p>
      <w:pPr>
        <w:pStyle w:val="TextBody"/>
        <w:spacing w:lineRule="auto" w:line="288" w:before="240" w:after="283"/>
        <w:rPr/>
      </w:pPr>
      <w:r>
        <w:rPr>
          <w:rFonts w:ascii="Times New Roman;sans-serif" w:hAnsi="Times New Roman;sans-serif"/>
          <w:b w:val="false"/>
          <w:color w:val="000000"/>
          <w:sz w:val="20"/>
        </w:rPr>
        <w:t xml:space="preserve">Our audit committee operates under a written charter that satisfies the applicable rules and regulations of the SEC and the listing standards of Nasdaq. A copy of the charter of our audit committee is available on our website at </w:t>
      </w:r>
      <w:r>
        <w:rPr>
          <w:rFonts w:ascii="Times New Roman;sans-serif" w:hAnsi="Times New Roman;sans-serif"/>
          <w:b w:val="false"/>
          <w:color w:val="000000"/>
          <w:sz w:val="20"/>
          <w:highlight w:val="white"/>
        </w:rPr>
        <w:t>http://www.nautilus.bio/investors/</w:t>
      </w:r>
      <w:r>
        <w:rPr>
          <w:rFonts w:ascii="Times New Roman;sans-serif" w:hAnsi="Times New Roman;sans-serif"/>
          <w:b w:val="false"/>
          <w:color w:val="000000"/>
          <w:sz w:val="20"/>
        </w:rPr>
        <w:t xml:space="preserve">. During 2022, our audit committee held five meetings.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current members of our compensation committee are Mr. Posard, Mr. Altman and Mr. Nazem. Mr. Posard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approving or making recommendations to our board of directors regarding the compensation for our executive officers, including our chief executive officer;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approving and administering our employee benefit and equity incentive plans;</w:t>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establishing and reviewing the compensation plans and programs of our employees, and ensuring that they are consistent with our general compensation strategy;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monitoring compliance with any stock ownership guidelines;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approving or making recommendations to our board of directors regarding the creation or revision of any clawback policy;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making recommendations to our board of directors regarding non-employee director compensation.</w:t>
      </w:r>
    </w:p>
    <w:p>
      <w:pPr>
        <w:pStyle w:val="TextBody"/>
        <w:spacing w:lineRule="auto" w:line="288" w:before="240" w:after="283"/>
        <w:rPr/>
      </w:pPr>
      <w:r>
        <w:rPr>
          <w:rFonts w:ascii="Times New Roman;sans-serif" w:hAnsi="Times New Roman;sans-serif"/>
          <w:b w:val="false"/>
          <w:color w:val="000000"/>
          <w:sz w:val="20"/>
        </w:rPr>
        <w:t xml:space="preserve">Our compensation committee operates under a written charter that satisfies the applicable rules and regulations of the SEC and the listing standards of Nasdaq. A copy of the charter of our compensation committee is available on our website at </w:t>
      </w:r>
      <w:r>
        <w:rPr>
          <w:rFonts w:ascii="Times New Roman;sans-serif" w:hAnsi="Times New Roman;sans-serif"/>
          <w:b w:val="false"/>
          <w:color w:val="000000"/>
          <w:sz w:val="20"/>
          <w:highlight w:val="white"/>
        </w:rPr>
        <w:t>http://www.nautilus.bio/investors/</w:t>
      </w:r>
      <w:r>
        <w:rPr>
          <w:rFonts w:ascii="Times New Roman;sans-serif" w:hAnsi="Times New Roman;sans-serif"/>
          <w:b w:val="false"/>
          <w:color w:val="000000"/>
          <w:sz w:val="20"/>
        </w:rPr>
        <w:t>. During 2022, our compensation committee held five meetings.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Nominating and Governance Committee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current members of our nominating and governance committee are Mr. McIlwain, Mr. Pande and Ms. Akinsanya. Mr. McIlwain is the chairperson of our nominating and governance committee. Our board of directors has determined that each member of our nominating and governance committee meets the requirements for independence for nominating and governance committee members under the listing standards of Nasdaq. Our nominating and governance committee is responsible for, among other things: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assessing and making recommendations to our board of directors regarding desired qualifications, expertise and characteristics sought of board members;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identifying, evaluating, selecting or making recommendations to our board of directors regarding nominees for election to our board of directors;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developing policies and procedures for considering stockholder nominees for election to our board of directors;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our succession planning process for our chief executive officer and any other members of our executive management team;</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making recommendations to our board of directors regarding the composition, organization and governance of our board of directors and its committees;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reviewing and making recommendations to our board of directors regarding our corporate governance guidelines and corporate governance framework;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overseeing director orientation for new directors and continuing education for our directors;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overseeing the evaluation of the performance of our board of directors and its committees;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administering policies and procedures for communications with the non-management members of our board of directors.</w:t>
      </w:r>
    </w:p>
    <w:p>
      <w:pPr>
        <w:pStyle w:val="TextBody"/>
        <w:spacing w:lineRule="auto" w:line="288" w:before="240" w:after="283"/>
        <w:rPr/>
      </w:pPr>
      <w:r>
        <w:rPr>
          <w:rFonts w:ascii="Times New Roman;sans-serif" w:hAnsi="Times New Roman;sans-serif"/>
          <w:b w:val="false"/>
          <w:color w:val="000000"/>
          <w:sz w:val="20"/>
        </w:rPr>
        <w:t xml:space="preserve">Our nominating and governance committee operates under a written charter that satisfies the applicable listing standards of Nasdaq. A copy of the charter of our nominating and governance committee is available on our website at </w:t>
      </w:r>
      <w:r>
        <w:rPr>
          <w:rFonts w:ascii="Times New Roman;sans-serif" w:hAnsi="Times New Roman;sans-serif"/>
          <w:b w:val="false"/>
          <w:color w:val="000000"/>
          <w:sz w:val="20"/>
          <w:highlight w:val="white"/>
        </w:rPr>
        <w:t>http://www.nautilus.bio/investors/</w:t>
      </w:r>
      <w:r>
        <w:rPr>
          <w:rFonts w:ascii="Times New Roman;sans-serif" w:hAnsi="Times New Roman;sans-serif"/>
          <w:b w:val="false"/>
          <w:color w:val="000000"/>
          <w:sz w:val="20"/>
        </w:rPr>
        <w:t xml:space="preserve">. During 2022, our nominating and governance committee held four meetings.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Director Diversity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Board Diversity Matrix (as of April 17, 2023)</w:t>
      </w:r>
    </w:p>
    <w:tbl>
      <w:tblPr>
        <w:tblW w:w="8373" w:type="dxa"/>
        <w:jc w:val="left"/>
        <w:tblInd w:w="0" w:type="dxa"/>
        <w:tblCellMar>
          <w:top w:w="28" w:type="dxa"/>
          <w:left w:w="28" w:type="dxa"/>
          <w:bottom w:w="28" w:type="dxa"/>
          <w:right w:w="28" w:type="dxa"/>
        </w:tblCellMar>
      </w:tblPr>
      <w:tblGrid>
        <w:gridCol w:w="1369"/>
        <w:gridCol w:w="1201"/>
        <w:gridCol w:w="1210"/>
        <w:gridCol w:w="180"/>
        <w:gridCol w:w="180"/>
        <w:gridCol w:w="181"/>
        <w:gridCol w:w="245"/>
        <w:gridCol w:w="245"/>
        <w:gridCol w:w="246"/>
        <w:gridCol w:w="370"/>
        <w:gridCol w:w="370"/>
        <w:gridCol w:w="371"/>
        <w:gridCol w:w="645"/>
        <w:gridCol w:w="645"/>
        <w:gridCol w:w="915"/>
      </w:tblGrid>
      <w:tr>
        <w:trPr/>
        <w:tc>
          <w:tcPr>
            <w:tcW w:w="136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r>
      <w:tr>
        <w:trPr/>
        <w:tc>
          <w:tcPr>
            <w:tcW w:w="8373" w:type="dxa"/>
            <w:gridSpan w:val="15"/>
            <w:tcBorders>
              <w:top w:val="single" w:sz="8" w:space="0" w:color="000000"/>
              <w:left w:val="single" w:sz="8" w:space="0" w:color="000000"/>
              <w:bottom w:val="single" w:sz="8" w:space="0" w:color="000000"/>
              <w:right w:val="single" w:sz="8" w:space="0" w:color="000000"/>
            </w:tcBorders>
            <w:shd w:fill="2E74B5" w:val="clear"/>
            <w:tcMar>
              <w:top w:w="30" w:type="dxa"/>
              <w:bottom w:w="30" w:type="dxa"/>
            </w:tcMar>
            <w:vAlign w:val="center"/>
          </w:tcPr>
          <w:p>
            <w:pPr>
              <w:pStyle w:val="TableContents"/>
              <w:spacing w:lineRule="auto" w:line="268" w:before="0" w:after="283"/>
              <w:jc w:val="left"/>
              <w:rPr>
                <w:rFonts w:ascii="Times New Roman;sans-serif" w:hAnsi="Times New Roman;sans-serif"/>
                <w:b/>
                <w:color w:val="FFFFFF"/>
                <w:sz w:val="24"/>
                <w:u w:val="single"/>
              </w:rPr>
            </w:pPr>
            <w:r>
              <w:rPr>
                <w:rFonts w:ascii="Times New Roman;sans-serif" w:hAnsi="Times New Roman;sans-serif"/>
                <w:b/>
                <w:color w:val="FFFFFF"/>
                <w:sz w:val="24"/>
                <w:u w:val="single"/>
              </w:rPr>
              <w:t>Board Size</w:t>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4593" w:type="dxa"/>
            <w:gridSpan w:val="12"/>
            <w:tcBorders>
              <w:top w:val="single" w:sz="8" w:space="0" w:color="000000"/>
              <w:left w:val="single" w:sz="8" w:space="0" w:color="000000"/>
              <w:right w:val="single" w:sz="8" w:space="0" w:color="000000"/>
            </w:tcBorders>
            <w:shd w:fill="DEEAF6"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780" w:type="dxa"/>
            <w:gridSpan w:val="3"/>
            <w:tcBorders>
              <w:top w:val="single" w:sz="8" w:space="0" w:color="000000"/>
              <w:left w:val="single" w:sz="8" w:space="0" w:color="000000"/>
            </w:tcBorders>
            <w:shd w:fill="2E74B5"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FFFFFF"/>
                <w:sz w:val="24"/>
              </w:rPr>
            </w:pPr>
            <w:r>
              <w:rPr>
                <w:rFonts w:ascii="Times New Roman;sans-serif" w:hAnsi="Times New Roman;sans-serif"/>
                <w:b/>
                <w:color w:val="FFFFFF"/>
                <w:sz w:val="24"/>
              </w:rPr>
              <w:t>Part I: Gender Identity</w:t>
            </w:r>
          </w:p>
        </w:tc>
        <w:tc>
          <w:tcPr>
            <w:tcW w:w="541" w:type="dxa"/>
            <w:gridSpan w:val="3"/>
            <w:tcBorders>
              <w:top w:val="single" w:sz="8" w:space="0" w:color="000000"/>
              <w:left w:val="single" w:sz="8" w:space="0" w:color="000000"/>
            </w:tcBorders>
            <w:shd w:fill="2E74B5"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FFFFFF"/>
                <w:sz w:val="20"/>
              </w:rPr>
            </w:pPr>
            <w:r>
              <w:rPr>
                <w:rFonts w:ascii="Times New Roman;sans-serif" w:hAnsi="Times New Roman;sans-serif"/>
                <w:b/>
                <w:color w:val="FFFFFF"/>
                <w:sz w:val="20"/>
              </w:rPr>
              <w:t>Male</w:t>
            </w:r>
          </w:p>
        </w:tc>
        <w:tc>
          <w:tcPr>
            <w:tcW w:w="736" w:type="dxa"/>
            <w:gridSpan w:val="3"/>
            <w:tcBorders>
              <w:top w:val="single" w:sz="8" w:space="0" w:color="000000"/>
              <w:left w:val="single" w:sz="8" w:space="0" w:color="000000"/>
            </w:tcBorders>
            <w:shd w:fill="2E74B5"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FFFFFF"/>
                <w:sz w:val="20"/>
              </w:rPr>
            </w:pPr>
            <w:r>
              <w:rPr>
                <w:rFonts w:ascii="Times New Roman;sans-serif" w:hAnsi="Times New Roman;sans-serif"/>
                <w:b/>
                <w:color w:val="FFFFFF"/>
                <w:sz w:val="20"/>
              </w:rPr>
              <w:t>Female</w:t>
            </w:r>
          </w:p>
        </w:tc>
        <w:tc>
          <w:tcPr>
            <w:tcW w:w="1111" w:type="dxa"/>
            <w:gridSpan w:val="3"/>
            <w:tcBorders>
              <w:top w:val="single" w:sz="8" w:space="0" w:color="000000"/>
              <w:left w:val="single" w:sz="8" w:space="0" w:color="000000"/>
            </w:tcBorders>
            <w:shd w:fill="2E74B5"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FFFFFF"/>
                <w:sz w:val="20"/>
              </w:rPr>
            </w:pPr>
            <w:r>
              <w:rPr>
                <w:rFonts w:ascii="Times New Roman;sans-serif" w:hAnsi="Times New Roman;sans-serif"/>
                <w:b/>
                <w:color w:val="FFFFFF"/>
                <w:sz w:val="20"/>
              </w:rPr>
              <w:t>Non-Binary</w:t>
            </w:r>
          </w:p>
        </w:tc>
        <w:tc>
          <w:tcPr>
            <w:tcW w:w="2205" w:type="dxa"/>
            <w:gridSpan w:val="3"/>
            <w:tcBorders>
              <w:top w:val="single" w:sz="8" w:space="0" w:color="000000"/>
              <w:left w:val="single" w:sz="8" w:space="0" w:color="000000"/>
              <w:right w:val="single" w:sz="8" w:space="0" w:color="000000"/>
            </w:tcBorders>
            <w:shd w:fill="2E74B5" w:val="clear"/>
            <w:tcMar>
              <w:top w:w="30" w:type="dxa"/>
              <w:bottom w:w="0" w:type="dxa"/>
            </w:tcMar>
            <w:vAlign w:val="center"/>
          </w:tcPr>
          <w:p>
            <w:pPr>
              <w:pStyle w:val="TableContents"/>
              <w:spacing w:lineRule="auto" w:line="268" w:before="0" w:after="283"/>
              <w:jc w:val="center"/>
              <w:rPr>
                <w:rFonts w:ascii="Times New Roman;sans-serif" w:hAnsi="Times New Roman;sans-serif"/>
                <w:b/>
                <w:color w:val="FFFFFF"/>
                <w:sz w:val="20"/>
              </w:rPr>
            </w:pPr>
            <w:r>
              <w:rPr>
                <w:rFonts w:ascii="Times New Roman;sans-serif" w:hAnsi="Times New Roman;sans-serif"/>
                <w:b/>
                <w:color w:val="FFFFFF"/>
                <w:sz w:val="20"/>
              </w:rPr>
              <w:t>Did Not Disclose Gender</w:t>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directors based on gender identity</w:t>
            </w:r>
          </w:p>
        </w:tc>
        <w:tc>
          <w:tcPr>
            <w:tcW w:w="541" w:type="dxa"/>
            <w:gridSpan w:val="3"/>
            <w:tcBorders>
              <w:top w:val="single" w:sz="8" w:space="0" w:color="000000"/>
              <w:left w:val="single" w:sz="8" w:space="0" w:color="000000"/>
              <w:bottom w:val="single" w:sz="8" w:space="0" w:color="000000"/>
            </w:tcBorders>
            <w:shd w:fill="DEEAF6"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36" w:type="dxa"/>
            <w:gridSpan w:val="3"/>
            <w:tcBorders>
              <w:top w:val="single" w:sz="8" w:space="0" w:color="000000"/>
              <w:left w:val="single" w:sz="8" w:space="0" w:color="000000"/>
              <w:bottom w:val="single" w:sz="8" w:space="0" w:color="000000"/>
            </w:tcBorders>
            <w:shd w:fill="DEEAF6"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11" w:type="dxa"/>
            <w:gridSpan w:val="3"/>
            <w:tcBorders>
              <w:top w:val="single" w:sz="8" w:space="0" w:color="000000"/>
              <w:left w:val="single" w:sz="8" w:space="0" w:color="000000"/>
              <w:bottom w:val="single" w:sz="8" w:space="0" w:color="000000"/>
            </w:tcBorders>
            <w:shd w:fill="DEEAF6" w:val="clear"/>
            <w:tcMar>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bottom w:val="single" w:sz="8" w:space="0" w:color="000000"/>
              <w:right w:val="single" w:sz="8" w:space="0" w:color="000000"/>
            </w:tcBorders>
            <w:shd w:fill="DEEAF6" w:val="clear"/>
            <w:vAlign w:val="center"/>
          </w:tcPr>
          <w:p>
            <w:pPr>
              <w:pStyle w:val="TableContents"/>
              <w:spacing w:before="0" w:after="283"/>
              <w:rPr>
                <w:sz w:val="4"/>
                <w:szCs w:val="4"/>
              </w:rPr>
            </w:pPr>
            <w:r>
              <w:rPr>
                <w:sz w:val="4"/>
                <w:szCs w:val="4"/>
              </w:rPr>
            </w:r>
          </w:p>
        </w:tc>
      </w:tr>
      <w:tr>
        <w:trPr/>
        <w:tc>
          <w:tcPr>
            <w:tcW w:w="8373" w:type="dxa"/>
            <w:gridSpan w:val="15"/>
            <w:tcBorders>
              <w:top w:val="single" w:sz="8" w:space="0" w:color="000000"/>
              <w:left w:val="single" w:sz="8" w:space="0" w:color="000000"/>
              <w:right w:val="single" w:sz="8" w:space="0" w:color="000000"/>
            </w:tcBorders>
            <w:shd w:fill="2E74B5" w:val="clear"/>
            <w:tcMar>
              <w:top w:w="30" w:type="dxa"/>
              <w:bottom w:w="0" w:type="dxa"/>
            </w:tcMar>
            <w:vAlign w:val="center"/>
          </w:tcPr>
          <w:p>
            <w:pPr>
              <w:pStyle w:val="TableContents"/>
              <w:spacing w:lineRule="auto" w:line="268" w:before="0" w:after="283"/>
              <w:jc w:val="left"/>
              <w:rPr>
                <w:rFonts w:ascii="Times New Roman;sans-serif" w:hAnsi="Times New Roman;sans-serif"/>
                <w:b/>
                <w:color w:val="FFFFFF"/>
                <w:sz w:val="20"/>
              </w:rPr>
            </w:pPr>
            <w:r>
              <w:rPr>
                <w:rFonts w:ascii="Times New Roman;sans-serif" w:hAnsi="Times New Roman;sans-serif"/>
                <w:b/>
                <w:color w:val="FFFFFF"/>
                <w:sz w:val="20"/>
              </w:rPr>
              <w:t>Part II: Demographic Background</w:t>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54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Native American</w:t>
            </w:r>
          </w:p>
        </w:tc>
        <w:tc>
          <w:tcPr>
            <w:tcW w:w="54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541"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36"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54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54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541"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36"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54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tcBorders>
            <w:shd w:fill="DEEAF6"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54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EEAF6"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EEAF6" w:val="clear"/>
            <w:tcMar>
              <w:bottom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left w:val="single" w:sz="8" w:space="0" w:color="000000"/>
              <w:bottom w:val="single" w:sz="8" w:space="0" w:color="000000"/>
            </w:tcBorders>
            <w:shd w:fill="DEEAF6"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541" w:type="dxa"/>
            <w:gridSpan w:val="3"/>
            <w:tcBorders>
              <w:top w:val="single" w:sz="8" w:space="0" w:color="000000"/>
              <w:left w:val="single" w:sz="8" w:space="0" w:color="000000"/>
              <w:bottom w:val="single" w:sz="8" w:space="0" w:color="000000"/>
            </w:tcBorders>
            <w:shd w:fill="DEEAF6" w:val="clear"/>
            <w:tcMar>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bottom w:val="single" w:sz="8" w:space="0" w:color="000000"/>
            </w:tcBorders>
            <w:shd w:fill="DEEAF6" w:val="clear"/>
            <w:tcMar>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bottom w:val="single" w:sz="8" w:space="0" w:color="000000"/>
            </w:tcBorders>
            <w:shd w:fill="DEEAF6" w:val="clear"/>
            <w:tcMar>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bottom w:val="single" w:sz="8" w:space="0" w:color="000000"/>
              <w:right w:val="single" w:sz="8" w:space="0" w:color="000000"/>
            </w:tcBorders>
            <w:shd w:fill="DEEAF6"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Attendance at Board and Stockholder Meetings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our fiscal year ended December 31, 2022, our board of directors held 5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 as a director.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do not have a formal policy regarding attendance by members of our board of directors at the annual meetings of stockholders, we encourage, but do not require, directors to attend. Eight members of our board of directors attended our 2022 annual meeting of stockholders.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Executive Sessions of Non-Employee Directors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88" w:before="240" w:after="283"/>
        <w:rPr/>
      </w:pPr>
      <w:r>
        <w:rPr>
          <w:rFonts w:ascii="Times New Roman;sans-serif" w:hAnsi="Times New Roman;sans-serif"/>
          <w:b w:val="false"/>
          <w:color w:val="000000"/>
          <w:sz w:val="20"/>
          <w:highlight w:val="white"/>
        </w:rPr>
        <w:t xml:space="preserve">During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 xml:space="preserve">, the members of our compensation committee </w:t>
      </w:r>
      <w:r>
        <w:rPr>
          <w:rFonts w:ascii="Times New Roman;sans-serif" w:hAnsi="Times New Roman;sans-serif"/>
          <w:b w:val="false"/>
          <w:color w:val="000000"/>
          <w:sz w:val="20"/>
        </w:rPr>
        <w:t>were Mr. Posard, Mr. Altman and Mr. Nazem</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Considerations in Evaluating Director Nominees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uses a variety of methods for identifying and evaluating potential director nominees. In its evaluation of director candidates, including the current directors eligible for re-election, our nominating and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governance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governance committee considers a broad range of perspectives, backgrounds and experiences.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If our nominating and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After completing its review and evaluation of director candidates, our nominating and governance committee recommends to our full board of directors the director nominees for selection. Our nominating and governance committee has discretion to decide which individuals to recommend for nomination as directors and our board of directors has the final authority in determining the selection of director candidates for nomination to our board.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Stockholder Recommendations and Nominations to our Board of Directors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governance committee will evaluate such recommendations in accordance with its charter, our bylaws and corporate governance guidelines and the director nominee criteria described above.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stockholder that wants to recommend a candidate to our board of directors should direct the recommendation in writing by letter to our corporate secretary at Nautilus Biotechnology, Inc., 2701 Eastlake Avenue East, Seattle, Washington 98102,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governance committee has discretion to decide which individuals to recommend for nomination as directors.</w:t>
      </w:r>
    </w:p>
    <w:p>
      <w:pPr>
        <w:pStyle w:val="TextBody"/>
        <w:spacing w:lineRule="auto" w:line="288" w:before="240" w:after="283"/>
        <w:rPr/>
      </w:pPr>
      <w:r>
        <w:rPr>
          <w:rFonts w:ascii="Times New Roman;sans-serif" w:hAnsi="Times New Roman;sans-serif"/>
          <w:b w:val="false"/>
          <w:color w:val="000000"/>
          <w:sz w:val="20"/>
        </w:rPr>
        <w:t>Under our amended and restated bylaws, stockholders may also directly nominate persons for our board of directors. Any nomination must comply with the requirements set forth in our amended and restated bylaws and the rules and regulations of the SEC, including but not limited to Rule 14a-8 and Rule 14a-19 under the Exchange Act, and should be sent in writing to our corporate secretary at the address above. To be timely for our 2024 annual meeting of stockholders, nominations must be received by our corporate secretary observing the deadlines discussed below under “</w:t>
      </w:r>
      <w:r>
        <w:rPr>
          <w:rFonts w:ascii="Times New Roman;sans-serif" w:hAnsi="Times New Roman;sans-serif"/>
          <w:b w:val="false"/>
          <w:i/>
          <w:color w:val="000000"/>
          <w:sz w:val="20"/>
        </w:rPr>
        <w:t>Other Matters—Stockholder Proposals or Director Nominations for 2024 Annual Meeting</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Communications with the Board of Directors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and other interested parties wishing to communicate directly with our non-management directors, may do so by writing and sending the correspondence to our Chief Financial Officer or General Counsel by mail to our principal executive offices at Nautilus Biotechnology, Inc., 2701 Eastlake Avenue East, Seattle, Washington 98102. Our Chief Financial Officer or General Counsel, in consultation with appropriate directors as necessary, will review all incoming communications and screen for communications that (1) are solicitations for products and services, (2) relate to matters of a </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Financial Officer or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Policy Prohibiting Hedging or Pledging of Securities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Corporate Governance Guidelines and Code of Business Conduct and Ethics</w:t>
      </w:r>
    </w:p>
    <w:p>
      <w:pPr>
        <w:pStyle w:val="TextBody"/>
        <w:spacing w:lineRule="auto" w:line="288" w:before="240" w:after="283"/>
        <w:rPr/>
      </w:pPr>
      <w:r>
        <w:rPr>
          <w:rFonts w:ascii="Times New Roman;sans-serif" w:hAnsi="Times New Roman;sans-serif"/>
          <w:b w:val="false"/>
          <w:color w:val="000000"/>
          <w:sz w:val="20"/>
        </w:rPr>
        <w:t xml:space="preserve">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w:t>
      </w:r>
      <w:r>
        <w:rPr>
          <w:rFonts w:ascii="Times New Roman;sans-serif" w:hAnsi="Times New Roman;sans-serif"/>
          <w:b w:val="false"/>
          <w:color w:val="000000"/>
          <w:sz w:val="20"/>
          <w:highlight w:val="white"/>
        </w:rPr>
        <w:t>http://www.nautilus.bio/investors/</w:t>
      </w:r>
      <w:r>
        <w:rPr>
          <w:rFonts w:ascii="Times New Roman;sans-serif" w:hAnsi="Times New Roman;sans-serif"/>
          <w:b w:val="false"/>
          <w:color w:val="000000"/>
          <w:sz w:val="20"/>
        </w:rPr>
        <w:t>. We will post amendments to our code of business conduct and ethics or any waivers of our code of business conduct and ethics for directors and executive officers on the same website.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Director Compensation Policy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reviews director compensation periodically to ensure that director compensation remains competitive such that we are able to recruit and retain qualified directors. </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originally became effective in connection with the closing of the Business Combination in June 2021, and was subsequently amended, effective as of February 15, 2023, to set upper limits on the number of shares of common stock subject to each Initial Award and Annual Award (as described below) granted under the policy.</w:t>
      </w:r>
    </w:p>
    <w:p>
      <w:pPr>
        <w:pStyle w:val="TextBody"/>
        <w:spacing w:lineRule="auto" w:line="288" w:before="24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Cash Compensation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Outside Director Compensation Policy provides for the following cash compensation program for our non-employee directors: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$40,000 per year for service as a non-employee director;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$40,000 per year for service as non-employee chair of our board of directors;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$20,000 per year for service as chair of our audit committee;</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$10,000 per year for service as a member of our audit committee;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$14,000 per year for service as chair of our compensation committee;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$7,000 per year for service as a member of our compensation committee;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$10,000 per year for service as chair of our nominating and governance committee;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$5,000 per year for service as a member of our nominating and governance committee.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pStyle w:val="TextBody"/>
        <w:spacing w:lineRule="auto" w:line="288" w:before="24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Equity Compensation</w:t>
      </w:r>
    </w:p>
    <w:p>
      <w:pPr>
        <w:pStyle w:val="TextBody"/>
        <w:spacing w:lineRule="auto" w:line="288" w:before="240" w:after="283"/>
        <w:ind w:left="0" w:right="0" w:firstLine="360"/>
        <w:rPr/>
      </w:pPr>
      <w:r>
        <w:rPr>
          <w:rFonts w:ascii="Times New Roman;sans-serif" w:hAnsi="Times New Roman;sans-serif"/>
          <w:b w:val="false"/>
          <w:i/>
          <w:color w:val="000000"/>
          <w:sz w:val="20"/>
        </w:rPr>
        <w:t>Initial Award</w:t>
      </w:r>
      <w:r>
        <w:rPr>
          <w:rFonts w:ascii="Times New Roman;sans-serif" w:hAnsi="Times New Roman;sans-serif"/>
          <w:b w:val="false"/>
          <w:color w:val="000000"/>
          <w:sz w:val="20"/>
        </w:rPr>
        <w:t>. Pursuant to our Outside Director Compensation Policy, each person who first becomes a non-employee director after the effective date of such policy will receive, on the first trading day on or after the date that the person first becomes a non-employee director, an initial award of stock options to purchase shares of our common stock (the “Initial Award”). The Initial Award will cover a number of shares of common stock equal to the lesser of (a) such number of shares of common stock that results in the Initial Award having an aggregate grant date fair value (determined in accordance with U.S. GAAP) of $370,000 (but with any resulting fractional share rounded down to the nearest whole share), or (b) 90,000 shares of common stock. Prior to the amendment of the Outside Director Compensation Policy in February 2023, each Initial Award covered a number of shares of common stock that resulted in the Initial Award having an aggregate grant date fair value (determined in accordance with U.S. GAAP) of $370,000. Each Initial Award will be scheduled to vest in equal installments as to 1/36th of the shares of our common stock subject to the Initial Award on a monthly basis following the Initial Award’s grant date, on the same day of the month as the grant date, subject to continued service to us through the applicable vesting dates. If the person was a member of our board of directors and also an employee, then becoming a non-employee director due to termination of employment will not entitle the person to an Initial Award.</w:t>
      </w:r>
    </w:p>
    <w:p>
      <w:pPr>
        <w:pStyle w:val="TextBody"/>
        <w:spacing w:lineRule="auto" w:line="288" w:before="240" w:after="283"/>
        <w:ind w:left="0" w:right="0" w:firstLine="360"/>
        <w:rPr/>
      </w:pPr>
      <w:r>
        <w:rPr>
          <w:rFonts w:ascii="Times New Roman;sans-serif" w:hAnsi="Times New Roman;sans-serif"/>
          <w:b w:val="false"/>
          <w:i/>
          <w:color w:val="000000"/>
          <w:sz w:val="20"/>
        </w:rPr>
        <w:t>Annual Award</w:t>
      </w:r>
      <w:r>
        <w:rPr>
          <w:rFonts w:ascii="Times New Roman;sans-serif" w:hAnsi="Times New Roman;sans-serif"/>
          <w:b w:val="false"/>
          <w:color w:val="000000"/>
          <w:sz w:val="20"/>
        </w:rPr>
        <w:t>. Each non-employee director automatically will receive, on the first trading day immediately after the date of each annual meeting of our stockholders (an “Annual Meeting”) that occurs following the effective date of our Outside Director Compensation Policy, an annual award of stock options to purchase shares of our common stock (the “Annual Award”). Each Annual Award will cover a number of shares of common stock equal to the lesser of (a) such number of shares of common stock that results in the Annual Award having an aggregate grant date fair value (determined in accordance with U.S. GAAP) of $185,000 (but with any resulting fractional share rounded down to the nearest whole share), or (b) 45,000 shares of our common stock, except if an individual began service as a non-employee director after the date of the Annual Meeting that occurred immediately prior to such Annual Meeting, then the Annual Award granted to such non-employee director will cover a number of shares of common stock determined in the manner previously described, but prorated based on the number of whole months that the individual served as a non-employee director prior to the Annual Award’s grant date during the 12 month period immediately preceding such Annual Meeting. Prior to the amendment of the Outside Director Compensation Policy in February 2023, each Annual Award covered a number of shares of common stock that resulted in the Annual Award having an aggregate grant date fair value (determined in accordance with U.S. GAAP) of $185,000, subject to the same proration as set forth above for any director that began service as a non-employee director after the date of the preceding Annual Meeting (or the Business Combination in the case of the first Annual Meeting thereafter). Each Annual Award will be scheduled to vest as to 1/12th of the shares of our common stock subject to such award on a monthly basis following the Annual Award’s grant date, on the same day of the month as the grant date, subject to continued service to us through the applicable vesting dates.</w:t>
      </w:r>
    </w:p>
    <w:p>
      <w:pPr>
        <w:pStyle w:val="TextBody"/>
        <w:spacing w:lineRule="auto" w:line="288" w:before="240" w:after="283"/>
        <w:ind w:left="0" w:right="0" w:firstLine="360"/>
        <w:rPr/>
      </w:pPr>
      <w:r>
        <w:rPr>
          <w:rFonts w:ascii="Times New Roman;sans-serif" w:hAnsi="Times New Roman;sans-serif"/>
          <w:b w:val="false"/>
          <w:i/>
          <w:color w:val="000000"/>
          <w:sz w:val="20"/>
        </w:rPr>
        <w:t>Change in Control</w:t>
      </w:r>
      <w:r>
        <w:rPr>
          <w:rFonts w:ascii="Times New Roman;sans-serif" w:hAnsi="Times New Roman;sans-serif"/>
          <w:b w:val="false"/>
          <w:color w:val="000000"/>
          <w:sz w:val="20"/>
        </w:rPr>
        <w:t xml:space="preserve">. In the event of our change in control, as defined in the 2021 Equity Incentive Plan (“2021 Plan”), each non-employee director’s then outstanding equity awards covering shares of our common stock that were granted to </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him or her while a non-employee director will accelerate vesting in full, provided that he or she remains a non-employee director through the date of such change in control.</w:t>
      </w:r>
    </w:p>
    <w:p>
      <w:pPr>
        <w:pStyle w:val="TextBody"/>
        <w:spacing w:lineRule="auto" w:line="288" w:before="240" w:after="283"/>
        <w:ind w:left="0" w:right="0" w:firstLine="360"/>
        <w:rPr/>
      </w:pPr>
      <w:r>
        <w:rPr>
          <w:rFonts w:ascii="Times New Roman;sans-serif" w:hAnsi="Times New Roman;sans-serif"/>
          <w:b w:val="false"/>
          <w:i/>
          <w:color w:val="000000"/>
          <w:sz w:val="20"/>
        </w:rPr>
        <w:t>Other Award Terms</w:t>
      </w:r>
      <w:r>
        <w:rPr>
          <w:rFonts w:ascii="Times New Roman;sans-serif" w:hAnsi="Times New Roman;sans-serif"/>
          <w:b w:val="false"/>
          <w:color w:val="000000"/>
          <w:sz w:val="20"/>
        </w:rPr>
        <w:t>. Each Initial Award and Annual Award will be granted under the 2021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pStyle w:val="TextBody"/>
        <w:spacing w:lineRule="auto" w:line="288" w:before="240" w:after="283"/>
        <w:ind w:left="0" w:right="0" w:firstLine="360"/>
        <w:rPr/>
      </w:pPr>
      <w:r>
        <w:rPr>
          <w:rFonts w:ascii="Times New Roman;sans-serif" w:hAnsi="Times New Roman;sans-serif"/>
          <w:b w:val="false"/>
          <w:i/>
          <w:color w:val="000000"/>
          <w:sz w:val="20"/>
        </w:rPr>
        <w:t>Director Compensation Limits</w:t>
      </w:r>
      <w:r>
        <w:rPr>
          <w:rFonts w:ascii="Times New Roman;sans-serif" w:hAnsi="Times New Roman;sans-serif"/>
          <w:b w:val="false"/>
          <w:color w:val="000000"/>
          <w:sz w:val="20"/>
        </w:rPr>
        <w:t>. Our Outside Director Compensation Policy and the 2021 Plan provide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Director Compensation for Fiscal Year 2022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compensation earned for service on our board of directors during the year ended December 31, 2022 by non-employee directors. Neither Mr. Patel nor Dr. Mallick received any additional compensation for their service as a director in 2022. Mr. Patel and Dr. Mallick’s compensation as a named executive officer is set forth below under “— Summary Compensation Table.”</w:t>
      </w:r>
    </w:p>
    <w:tbl>
      <w:tblPr>
        <w:tblW w:w="6792" w:type="dxa"/>
        <w:jc w:val="left"/>
        <w:tblInd w:w="0" w:type="dxa"/>
        <w:tblCellMar>
          <w:top w:w="28" w:type="dxa"/>
          <w:left w:w="28" w:type="dxa"/>
          <w:bottom w:w="28" w:type="dxa"/>
          <w:right w:w="28" w:type="dxa"/>
        </w:tblCellMar>
      </w:tblPr>
      <w:tblGrid>
        <w:gridCol w:w="781"/>
        <w:gridCol w:w="688"/>
        <w:gridCol w:w="691"/>
        <w:gridCol w:w="109"/>
        <w:gridCol w:w="109"/>
        <w:gridCol w:w="109"/>
        <w:gridCol w:w="462"/>
        <w:gridCol w:w="404"/>
        <w:gridCol w:w="406"/>
        <w:gridCol w:w="109"/>
        <w:gridCol w:w="109"/>
        <w:gridCol w:w="109"/>
        <w:gridCol w:w="413"/>
        <w:gridCol w:w="413"/>
        <w:gridCol w:w="396"/>
        <w:gridCol w:w="109"/>
        <w:gridCol w:w="109"/>
        <w:gridCol w:w="109"/>
        <w:gridCol w:w="413"/>
        <w:gridCol w:w="413"/>
        <w:gridCol w:w="331"/>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w:t>
              <w:br/>
              <w:t>paid 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w:t>
            </w:r>
          </w:p>
          <w:p>
            <w:pPr>
              <w:pStyle w:val="TableContents"/>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Karen Akinsanya</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400,831 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431,947 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Michael Altman</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184,999 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231,999 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Melissa Epperly</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184,999 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Matthew McIlwain</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184,999 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244,999 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Farzad Nazem</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184,999 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231,999 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Vijay Pande</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184,999 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229,999 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Matthew Posard</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104,000 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184,999 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288,999 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 accordance with SEC rules, this column reflects the aggregate grant date fair value of the stock option awards granted during 2022,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 of December 31, 2022, Ms. Akinsanya holds outstanding options to purchase 120,409 shares.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(3)As of December 31, 2022, Mr. Altman holds outstanding options to purchase 130,902 shares.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(4)As of December 31, 2022, Ms. Epperly holds outstanding options to purchase 159,028 shares.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(5)As of December 31, 2022, Mr. McIlwain holds outstanding options to purchase 122,747 shares.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(6)As of December 31, 2022, Mr. Nazem holds outstanding options to purchase 122,747 shares.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(7)As of December 31, 2022, Mr. Pande holds outstanding options to purchase 122,747 shares.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(8)As of December 31, 2022, Mr. Posard holds outstanding options to purchase 354,943 shares. </w:t>
      </w:r>
    </w:p>
    <w:p>
      <w:pPr>
        <w:pStyle w:val="TextBody"/>
        <w:spacing w:before="24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ELECTION OF CLASS II DIRECTORS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nine directors and is divided into three classes with staggered three-year terms. At the annual meeting, three Class 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Nominees</w:t>
      </w:r>
    </w:p>
    <w:p>
      <w:pPr>
        <w:pStyle w:val="TextBody"/>
        <w:spacing w:lineRule="auto" w:line="288" w:before="240" w:after="283"/>
        <w:rPr/>
      </w:pPr>
      <w:r>
        <w:rPr>
          <w:rFonts w:ascii="Times New Roman;sans-serif" w:hAnsi="Times New Roman;sans-serif"/>
          <w:b w:val="false"/>
          <w:color w:val="000000"/>
          <w:sz w:val="20"/>
        </w:rPr>
        <w:t>Our nominating and governance committee has recommended, and our board of directors has approved, Parag Mallick</w:t>
      </w:r>
      <w:r>
        <w:rPr>
          <w:rFonts w:ascii="Times New Roman;sans-serif" w:hAnsi="Times New Roman;sans-serif"/>
          <w:b w:val="false"/>
          <w:color w:val="000000"/>
          <w:sz w:val="20"/>
          <w:highlight w:val="white"/>
        </w:rPr>
        <w:t>, Matthew McIlwain and Farzad Nazem</w:t>
      </w:r>
      <w:r>
        <w:rPr>
          <w:color w:val="000000"/>
        </w:rPr>
        <w:t xml:space="preserve"> </w:t>
      </w:r>
      <w:r>
        <w:rPr>
          <w:rFonts w:ascii="Times New Roman;sans-serif" w:hAnsi="Times New Roman;sans-serif"/>
          <w:b w:val="false"/>
          <w:color w:val="000000"/>
          <w:sz w:val="20"/>
        </w:rPr>
        <w:t xml:space="preserve">as nominees for election as Class II directors at the annual meeting. If elected, each of </w:t>
      </w:r>
      <w:r>
        <w:rPr>
          <w:rFonts w:ascii="Times New Roman;sans-serif" w:hAnsi="Times New Roman;sans-serif"/>
          <w:b w:val="false"/>
          <w:color w:val="000000"/>
          <w:sz w:val="20"/>
          <w:highlight w:val="white"/>
        </w:rPr>
        <w:t>Mr. Mallick, Mr. McIlwain and Mr. Nazem</w:t>
      </w:r>
      <w:r>
        <w:rPr>
          <w:color w:val="000000"/>
        </w:rPr>
        <w:t xml:space="preserve"> </w:t>
      </w:r>
      <w:r>
        <w:rPr>
          <w:rFonts w:ascii="Times New Roman;sans-serif" w:hAnsi="Times New Roman;sans-serif"/>
          <w:b w:val="false"/>
          <w:color w:val="000000"/>
          <w:sz w:val="20"/>
        </w:rPr>
        <w:t>will serve as a Class II director until the 2026 annual meeting of stockholders and until his or her respective successor is elected and qualified or until his or her earlier death, resignation or removal. For more information concerning the nominees, please see the section titled “</w:t>
      </w:r>
      <w:r>
        <w:rPr>
          <w:rFonts w:ascii="Times New Roman;sans-serif" w:hAnsi="Times New Roman;sans-serif"/>
          <w:b w:val="false"/>
          <w:i/>
          <w:color w:val="000000"/>
          <w:sz w:val="20"/>
        </w:rPr>
        <w:t>Board of Directors and Corporate Governance</w:t>
      </w:r>
      <w:r>
        <w:rPr>
          <w:rFonts w:ascii="Times New Roman;sans-serif" w:hAnsi="Times New Roman;sans-serif"/>
          <w:b w:val="false"/>
          <w:color w:val="000000"/>
          <w:sz w:val="20"/>
        </w:rPr>
        <w:t>.”</w:t>
      </w:r>
    </w:p>
    <w:p>
      <w:pPr>
        <w:pStyle w:val="TextBody"/>
        <w:spacing w:lineRule="auto" w:line="288" w:before="240" w:after="283"/>
        <w:rPr/>
      </w:pPr>
      <w:r>
        <w:rPr>
          <w:rFonts w:ascii="Times New Roman;sans-serif" w:hAnsi="Times New Roman;sans-serif"/>
          <w:b w:val="false"/>
          <w:color w:val="000000"/>
          <w:sz w:val="20"/>
          <w:highlight w:val="white"/>
        </w:rPr>
        <w:t>Mr. Mallick, Mr. McIlwain and Mr. Nazem</w:t>
      </w:r>
      <w:r>
        <w:rPr>
          <w:color w:val="000000"/>
        </w:rPr>
        <w:t xml:space="preserve"> </w:t>
      </w:r>
      <w:r>
        <w:rPr>
          <w:rFonts w:ascii="Times New Roman;sans-serif" w:hAnsi="Times New Roman;sans-serif"/>
          <w:b w:val="false"/>
          <w:color w:val="000000"/>
          <w:sz w:val="20"/>
        </w:rPr>
        <w:t>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Board Recommendation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OUR BOARD OF DIRECTORS RECOMMENDS A VOTE “FOR” THE ELECTION OF EACH OF THE DIRECTOR NOMINEES NAMED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RATIFICATION OF APPOINTMENT OF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appointed PricewaterhouseCoopers LLP as our independent registered public accounting firm to audit our financial statements for our fiscal year ending December 31, 2023. PricewaterhouseCoopers LLP served as our independent registered public accounting firm for the fiscal year ended December 31, 2022.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At the annual meeting, we are asking our stockholders to ratify the appointment of PricewaterhouseCoopers LLP as our independent registered public accounting firm for our fiscal year ending December 31, 2023. Our audit committee is submitting the appointment of PricewaterhouseCoopers LLP to our stockholders because we value our stockholders’ views on our independent registered public accounting firm and as a matter of good corporate governance.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PricewaterhouseCoopers LLP, then our audit committee may reconsider the appointment. One or more representatives of PricewaterhouseCoopers LLP are expected to be present at the annual meeting, and they will have an opportunity to make a statement and are expected to be available to respond to appropriate questions from our stockholders.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Change in Certifying Accountant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June 9, 2021, the audit committee of our board of directors approved a resolution appointing PricewaterhouseCoopers LLP as New Nautilus’ independent registered public accounting firm to audit New Nautilus’ consolidated financial statements for the fiscal year ending December 31, 2021. PricewaterhouseCoopers LLP served as the independent registered public accounting firm of Legacy Nautilus prior to the Business Combination. Accordingly, Withum, ARYA’s independent registered public accounting firm prior to the Business Combination, was informed on June 9, 2021 that it was dismissed as New Nautilus’ independent registered public accounting firm.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ARYA’s fiscal year ending December 31, 2020 and the subsequent interim period through June 9, 2021, there were no “reportable events” (as defined in Item 304(a)(1)(v) of Regulation S-K under the Securities Exchange Act of 1934, as amended (the “Exchange Act”)).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New Nautilus provided Withum with a copy of the foregoing disclosures and requested that Withum furnish Nautilus Biotechnology, Inc. with a letter addressed to the SEC stating whether it agrees with the statements made by New Nautilus set forth above. Withum furnished such letter in June 2021 and a copy was filed as Exhibit 16.1 to New Nautilus’ Form 8-K filed with the SEC on June 10,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ending December 31, 2020 and the subsequent interim period through June 9, 2021, neither New Nautilus, nor any party on behalf of New Nautilus, consulted with PricewaterhouseCoopers LLP with respect to either (i) the application of accounting principles to a specified transaction, either completed or proposed, or the type of the audit opinion that might be rendered with respect to New Nautilus’ consolidated financial statements, and no written report or oral advice was provided to New Nautilus by PricewaterhouseCoopers LLP that was an important factor considered by New Nautilus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Fees Paid to the Independent Registered Public Accounting Firm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for professional audit services and other services rendered by PricewaterhouseCoopers LLP to us for our fiscal year ended December 31, 2022. For our fiscal year ended December 31, 2021, the following table presents fees for professional audit services and other services rendered by PricewaterhouseCoopers LLP to Legacy Nautilus prior to the Closing Date and to Nautilus Biotechnology, Inc following the Closing Date.</w:t>
      </w:r>
    </w:p>
    <w:tbl>
      <w:tblPr>
        <w:tblW w:w="4014" w:type="dxa"/>
        <w:jc w:val="left"/>
        <w:tblInd w:w="0" w:type="dxa"/>
        <w:tblCellMar>
          <w:top w:w="28" w:type="dxa"/>
          <w:left w:w="28" w:type="dxa"/>
          <w:bottom w:w="28" w:type="dxa"/>
          <w:right w:w="28" w:type="dxa"/>
        </w:tblCellMar>
      </w:tblPr>
      <w:tblGrid>
        <w:gridCol w:w="515"/>
        <w:gridCol w:w="451"/>
        <w:gridCol w:w="459"/>
        <w:gridCol w:w="196"/>
        <w:gridCol w:w="736"/>
        <w:gridCol w:w="109"/>
        <w:gridCol w:w="109"/>
        <w:gridCol w:w="109"/>
        <w:gridCol w:w="109"/>
        <w:gridCol w:w="196"/>
        <w:gridCol w:w="871"/>
        <w:gridCol w:w="154"/>
      </w:tblGrid>
      <w:tr>
        <w:trPr/>
        <w:tc>
          <w:tcPr>
            <w:tcW w:w="51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60"/>
              <w:ind w:left="0" w:right="0" w:hanging="216"/>
              <w:rPr/>
            </w:pPr>
            <w:r>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Audit Fees(1)</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863,500 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2,266,260 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Audit-Related Fees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Tax Fees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All Other Fees(2)</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Fees</w:t>
            </w:r>
          </w:p>
        </w:tc>
        <w:tc>
          <w:tcPr>
            <w:tcW w:w="19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866,578 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2,267,160 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pPr>
      <w:r>
        <w:rPr>
          <w:rFonts w:ascii="Times New Roman;sans-serif" w:hAnsi="Times New Roman;sans-serif"/>
          <w:b w:val="false"/>
          <w:color w:val="000000"/>
          <w:sz w:val="16"/>
        </w:rPr>
        <w:t>(1)</w:t>
      </w:r>
      <w:r>
        <w:rPr>
          <w:color w:val="000000"/>
        </w:rPr>
        <w:t>“</w:t>
      </w:r>
      <w:r>
        <w:rPr>
          <w:rFonts w:ascii="Times New Roman;sans-serif" w:hAnsi="Times New Roman;sans-serif"/>
          <w:b w:val="false"/>
          <w:color w:val="000000"/>
          <w:sz w:val="16"/>
        </w:rPr>
        <w:t>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 This category also includes fees for services incurred in connection with the Business Combination.</w:t>
      </w:r>
    </w:p>
    <w:p>
      <w:pPr>
        <w:pStyle w:val="TextBody"/>
        <w:spacing w:lineRule="auto" w:line="288" w:before="0" w:after="0"/>
        <w:ind w:left="0" w:right="0" w:hanging="360"/>
        <w:rPr/>
      </w:pPr>
      <w:r>
        <w:rPr>
          <w:rFonts w:ascii="Times New Roman;sans-serif" w:hAnsi="Times New Roman;sans-serif"/>
          <w:b w:val="false"/>
          <w:color w:val="000000"/>
          <w:sz w:val="16"/>
        </w:rPr>
        <w:t>(2)</w:t>
      </w:r>
      <w:r>
        <w:rPr>
          <w:color w:val="000000"/>
        </w:rPr>
        <w:t>“</w:t>
      </w:r>
      <w:r>
        <w:rPr>
          <w:rFonts w:ascii="Times New Roman;sans-serif" w:hAnsi="Times New Roman;sans-serif"/>
          <w:b w:val="false"/>
          <w:color w:val="000000"/>
          <w:sz w:val="16"/>
        </w:rPr>
        <w:t>All Other Fees” consist of the cost of a subscription accounting research software.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Auditor Independence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2022, there were no other professional services provided by PricewaterhouseCoopers LLP, other than those listed above, that would have required our audit committee to consider their compatibility with maintaining the independence of PricewaterhouseCoopers LLP.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Audit Committee Policy on Pre-Approval of Audit and Permissible Non-Audit Services of Independent Registered Public Accounting Firm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Effective upon the closing of the Business Combination, 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Since the adoption of this policy, all services provided by PricewaterhouseCoopers LLP have been pre-approved by our audit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PricewaterhouseCoopers LLP as our independent registered public accounting firm for our fiscal year ending December 31, 2023 requires the affirmative vote of a majority of the voting power of the shares present in person (including virtually) or represented by proxy at the annual meeting and entitled to vote thereon. Abstentions will have the same effect as a vote AGAINST this proposal.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Board Recommendation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OUR BOARD OF DIRECTORS RECOMMENDS A VOTE “FOR” THE RATIFICATION OF THE APPOINTMENT OF PRICEWATERHOUSECOOPERS LLP AS OUR INDEPENDENT REGISTERED PUBLIC ACCOUNTING FIRM FOR OUR FISCAL YEAR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spacing w:lineRule="auto" w:line="288" w:before="240" w:after="283"/>
        <w:rPr/>
      </w:pPr>
      <w:r>
        <w:rPr>
          <w:rFonts w:ascii="Times New Roman;sans-serif" w:hAnsi="Times New Roman;sans-serif"/>
          <w:b w:val="false"/>
          <w:color w:val="000000"/>
          <w:sz w:val="20"/>
        </w:rPr>
        <w:t xml:space="preserve">The Audit Committee is a committee of the board of directors comprised solely of independent directors as required by Nasdaq listing standards and SEC rules and regulations. The primary purpose of our Audit Committee is to oversee our financial reporting process on behalf of our Board. The Audit Committee’s functions are more fully described in its charter, which is available on our website at </w:t>
      </w:r>
      <w:r>
        <w:rPr>
          <w:rFonts w:ascii="Times New Roman;sans-serif" w:hAnsi="Times New Roman;sans-serif"/>
          <w:b w:val="false"/>
          <w:color w:val="000000"/>
          <w:sz w:val="20"/>
          <w:highlight w:val="white"/>
        </w:rPr>
        <w:t>http://www.nautilus.bio/investors/</w:t>
      </w:r>
      <w:r>
        <w:rPr>
          <w:rFonts w:ascii="Times New Roman;sans-serif" w:hAnsi="Times New Roman;sans-serif"/>
          <w:b w:val="false"/>
          <w:color w:val="000000"/>
          <w:sz w:val="20"/>
        </w:rPr>
        <w:t>. The composition of the Audit Committee, the attributes of its members and the responsibilities of the Audit Committee, as reflected in its charter, are intended to be in accordance with applicable requirements for corporate audit committees. The Audit Committee reviews and reassesses the adequacy of its charter and the Audit Committee’s performance on an annual basis.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With respect to the Company’s financial reporting process, the Company’s management is responsible for (1) establishing and maintaining internal controls and (2) preparing the Company’s consolidated financial statements. The Company’s independent registered public accounting firm, PricewaterhouseCoopers LLP (“PwC”), is responsible for performing an independent audit of the Company’s consolidated financial statements in accordance with the auditing standards of the Public Company Accounting Oversight Board (“PCAOB”) and to issue a report thereon. It is the responsibility of the audit committee to oversee these activities. It is not the responsibility of the audit committee to prepare the Company’s financial statements. Those are fundamental responsibilities of management. In the performance of its oversight function, the audit committee has: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reviewed and discussed the audited financial statements with management and PwC;</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discussed with PwC the matters required to be discussed by the applicable requirements of PCAOB and the Securities and Exchange Commission (“SEC”);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received the written disclosures and the letters from PwC required by applicable requirements of the PCAOB regarding the independent accountant’s communications with the audit committee concerning independence, and has discussed with PwC its independence.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Based on the audit committee’s review and discussions with management and PwC, the audit committee recommended to the board of directors that the audited financial statements be included in the Annual Report on Form 10-K for the fiscal year ended December 31, 2022 for filing with the SEC.</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Respectfully submitted by the members of the Audit Committee of the Board of Directors:</w:t>
      </w:r>
    </w:p>
    <w:p>
      <w:pPr>
        <w:pStyle w:val="TextBody"/>
        <w:spacing w:lineRule="auto" w:line="288" w:before="480" w:after="283"/>
        <w:rPr>
          <w:rFonts w:ascii="Times New Roman;sans-serif" w:hAnsi="Times New Roman;sans-serif"/>
          <w:b w:val="false"/>
          <w:color w:val="000000"/>
          <w:sz w:val="20"/>
        </w:rPr>
      </w:pPr>
      <w:r>
        <w:rPr>
          <w:rFonts w:ascii="Times New Roman;sans-serif" w:hAnsi="Times New Roman;sans-serif"/>
          <w:b w:val="false"/>
          <w:color w:val="000000"/>
          <w:sz w:val="20"/>
        </w:rPr>
        <w:t>Melissa Epperly (Chairperson)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Matthew Posard</w:t>
      </w:r>
    </w:p>
    <w:p>
      <w:pPr>
        <w:pStyle w:val="TextBody"/>
        <w:spacing w:lineRule="auto" w:line="288" w:before="1000" w:after="283"/>
        <w:rPr>
          <w:rFonts w:ascii="Times New Roman;sans-serif" w:hAnsi="Times New Roman;sans-serif"/>
          <w:b w:val="false"/>
          <w:i/>
          <w:color w:val="000000"/>
          <w:sz w:val="20"/>
        </w:rPr>
      </w:pPr>
      <w:r>
        <w:rPr>
          <w:rFonts w:ascii="Times New Roman;sans-serif" w:hAnsi="Times New Roman;sans-serif"/>
          <w:b w:val="false"/>
          <w:i/>
          <w:color w:val="000000"/>
          <w:sz w:val="20"/>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Nautilus under the Securities Act of 1933, as amended, or the Securities Act, or the Exchange Act, except to the extent Nautilus specifically requests that the information be treated as “soliciting material” or specifically incorporates it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about our executive officers as of April 17, 2023.</w:t>
      </w:r>
    </w:p>
    <w:tbl>
      <w:tblPr>
        <w:tblW w:w="7554" w:type="dxa"/>
        <w:jc w:val="left"/>
        <w:tblInd w:w="0" w:type="dxa"/>
        <w:tblCellMar>
          <w:top w:w="28" w:type="dxa"/>
          <w:left w:w="28" w:type="dxa"/>
          <w:bottom w:w="28" w:type="dxa"/>
          <w:right w:w="28" w:type="dxa"/>
        </w:tblCellMar>
      </w:tblPr>
      <w:tblGrid>
        <w:gridCol w:w="483"/>
        <w:gridCol w:w="425"/>
        <w:gridCol w:w="426"/>
        <w:gridCol w:w="109"/>
        <w:gridCol w:w="109"/>
        <w:gridCol w:w="109"/>
        <w:gridCol w:w="130"/>
        <w:gridCol w:w="130"/>
        <w:gridCol w:w="131"/>
        <w:gridCol w:w="109"/>
        <w:gridCol w:w="109"/>
        <w:gridCol w:w="109"/>
        <w:gridCol w:w="1508"/>
        <w:gridCol w:w="1508"/>
        <w:gridCol w:w="2159"/>
      </w:tblGrid>
      <w:tr>
        <w:trPr/>
        <w:tc>
          <w:tcPr>
            <w:tcW w:w="48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Executive Officer, President, Secretary and Director</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Parag Mallick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Scientist and Director</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Anna Mowry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Financial Officer and Treasurer</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Nick Nelson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Business Officer and Senior Vice President, Business Development</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Subra Sankar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Vice President, Product Development</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Matthew Murphy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Counsel</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Gwen Weld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People Officer</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 Godwin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Vice President, Operations</w:t>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biography of Mr. Patel, please see “Board of Directors and Corporate Governance - Continuing Directors.” For the biography of Dr. Mallick, please see “Board of Directors and Corporate Governance - Nominees for Director.”</w:t>
      </w:r>
    </w:p>
    <w:p>
      <w:pPr>
        <w:pStyle w:val="TextBody"/>
        <w:spacing w:lineRule="auto" w:line="288" w:before="240" w:after="283"/>
        <w:rPr/>
      </w:pPr>
      <w:r>
        <w:rPr>
          <w:rFonts w:ascii="Times New Roman;sans-serif" w:hAnsi="Times New Roman;sans-serif"/>
          <w:b w:val="false"/>
          <w:i/>
          <w:color w:val="000000"/>
          <w:sz w:val="20"/>
          <w:highlight w:val="white"/>
        </w:rPr>
        <w:t>Anna Mowry</w:t>
      </w:r>
      <w:r>
        <w:rPr>
          <w:rFonts w:ascii="Times New Roman;sans-serif" w:hAnsi="Times New Roman;sans-serif"/>
          <w:b w:val="false"/>
          <w:color w:val="000000"/>
          <w:sz w:val="20"/>
          <w:highlight w:val="white"/>
        </w:rPr>
        <w:t>. Anna Mowry has served as our Chief Financial Officer and Treasurer since June 2021. Ms. Mowry served as Legacy Nautilus’ Chief Financial Officer and 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pStyle w:val="TextBody"/>
        <w:spacing w:lineRule="auto" w:line="288" w:before="240" w:after="283"/>
        <w:rPr/>
      </w:pPr>
      <w:r>
        <w:rPr>
          <w:rFonts w:ascii="Times New Roman;sans-serif" w:hAnsi="Times New Roman;sans-serif"/>
          <w:b w:val="false"/>
          <w:i/>
          <w:color w:val="000000"/>
          <w:sz w:val="20"/>
          <w:highlight w:val="white"/>
        </w:rPr>
        <w:t>Nick Nelson</w:t>
      </w:r>
      <w:r>
        <w:rPr>
          <w:rFonts w:ascii="Times New Roman;sans-serif" w:hAnsi="Times New Roman;sans-serif"/>
          <w:b w:val="false"/>
          <w:color w:val="000000"/>
          <w:sz w:val="20"/>
          <w:highlight w:val="white"/>
        </w:rPr>
        <w:t>. Nick Nelson has served as our Chief Business Officer and Senior Vice President, Business Development since June 2021. Mr Nelson served as Legacy 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pStyle w:val="TextBody"/>
        <w:spacing w:lineRule="auto" w:line="288" w:before="240" w:after="283"/>
        <w:rPr/>
      </w:pPr>
      <w:r>
        <w:rPr>
          <w:rFonts w:ascii="Times New Roman;sans-serif" w:hAnsi="Times New Roman;sans-serif"/>
          <w:b w:val="false"/>
          <w:i/>
          <w:color w:val="000000"/>
          <w:sz w:val="20"/>
          <w:highlight w:val="white"/>
        </w:rPr>
        <w:t>Subra Sankar</w:t>
      </w:r>
      <w:r>
        <w:rPr>
          <w:rFonts w:ascii="Times New Roman;sans-serif" w:hAnsi="Times New Roman;sans-serif"/>
          <w:b w:val="false"/>
          <w:color w:val="000000"/>
          <w:sz w:val="20"/>
          <w:highlight w:val="white"/>
        </w:rPr>
        <w:t>. Subra Sankar has served as our Senior Vice President, Product Development since June 2021. Dr. Sankar served as Legacy Nautilus’ Senior Vice President, 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pStyle w:val="TextBody"/>
        <w:spacing w:lineRule="auto" w:line="288" w:before="240" w:after="283"/>
        <w:rPr/>
      </w:pPr>
      <w:r>
        <w:rPr>
          <w:rFonts w:ascii="Times New Roman;sans-serif" w:hAnsi="Times New Roman;sans-serif"/>
          <w:b w:val="false"/>
          <w:i/>
          <w:color w:val="000000"/>
          <w:sz w:val="20"/>
          <w:highlight w:val="white"/>
        </w:rPr>
        <w:t>Matthew Murphy</w:t>
      </w:r>
      <w:r>
        <w:rPr>
          <w:rFonts w:ascii="Times New Roman;sans-serif" w:hAnsi="Times New Roman;sans-serif"/>
          <w:b w:val="false"/>
          <w:color w:val="000000"/>
          <w:sz w:val="20"/>
          <w:highlight w:val="white"/>
        </w:rPr>
        <w:t xml:space="preserve">. Matthew Murphy has served as our General Counsel since June 2021. Mr. Murphy served as Legacy Nautilus’ General Counsel from April 2021 through the 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Gwen Weld. </w:t>
      </w:r>
      <w:r>
        <w:rPr>
          <w:rFonts w:ascii="Times New Roman;sans-serif" w:hAnsi="Times New Roman;sans-serif"/>
          <w:b w:val="false"/>
          <w:color w:val="000000"/>
          <w:sz w:val="20"/>
        </w:rPr>
        <w:t xml:space="preserve">Gwen Weld has served as our Chief People Officer since April 2022. Ms. Weld served as a human resources consultant for us and Legacy Nautilus from September 2020 to April 2022. Prior to joining us, from April 2019 to April 2022, Ms. Weld served as Interim Chief People Officer at Amperity, a software company. From April 2021 to April 2022, Ms. Weld served as a human resources consultant for OctoML, a software development company. From June 2006 to December 2011, Ms. Weld served as Vice President of Global People and Infrastructure at Isilon Systems, </w:t>
      </w:r>
      <w:r>
        <w:rPr>
          <w:rFonts w:ascii="Times New Roman;sans-serif" w:hAnsi="Times New Roman;sans-serif"/>
          <w:b w:val="false"/>
          <w:color w:val="000000"/>
          <w:sz w:val="20"/>
          <w:highlight w:val="white"/>
        </w:rPr>
        <w:t xml:space="preserve">an enterprise data storage company, and previously served as </w:t>
      </w:r>
      <w:r>
        <w:rPr>
          <w:rFonts w:ascii="Times New Roman;sans-serif" w:hAnsi="Times New Roman;sans-serif"/>
          <w:b w:val="false"/>
          <w:color w:val="000000"/>
          <w:sz w:val="20"/>
        </w:rPr>
        <w:t>General Manager of Human Resources at Microsoft Corporation, a technology company, for nearly twenty years, leading Microsoft’s human resources agenda for its various groups and overseeing worldwide recruiting and alternative staffing. Ms. Weld studied business administration at Pace University.</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Mary Godwin</w:t>
      </w:r>
      <w:r>
        <w:rPr>
          <w:rFonts w:ascii="Times New Roman;sans-serif" w:hAnsi="Times New Roman;sans-serif"/>
          <w:b w:val="false"/>
          <w:color w:val="000000"/>
          <w:sz w:val="20"/>
        </w:rPr>
        <w:t xml:space="preserve">. Mary Godwin has served as our Senior Vice President, Operations since July 2022. Ms. Godwin previously served as our Vice President, Operations from January 2020 to June 2022. Prior to joining us, from January 2014 to November 2018, Ms. Godwin served as Vice President, Operations at Qumulo, Inc., a data storage company. Ms. Godwin holds a B.S. in Plastics Engineering from the University of Massachusetts, Lowell and a Master of Business Administration degree from Santa Clara University.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provides an overview of our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with input from our Chief Executive Officer (other than with respect to his own compensation), has historically determined the compensation for our named executive officers. The following table provides information regarding the compensation of our principal executive officer, our Chief Scientist, and our next two most highly compensated executive officers who were serving as executive officers as of December 31, 2022, the end of our last completed fiscal year. We refer to these executive officers in this Proxy Statement as our named executive officers. For the year ended December 31, 2022, our named executive officers were: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Sujal Patel, Chief Executive Officer, President, and Secretary;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Parag Mallick, Chief Scientist;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Gwen Weld, Chief People Officer; and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Anna Mowry, Chief Financial Officer and Treasurer.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Summary Compensation Table for the Fiscal Year Ended December 31, 2022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compensation earned by our named executive officers for the fiscal years ended December 31, 2022 and December 31, 2021.</w:t>
      </w:r>
    </w:p>
    <w:tbl>
      <w:tblPr>
        <w:tblW w:w="10205" w:type="dxa"/>
        <w:jc w:val="left"/>
        <w:tblInd w:w="0" w:type="dxa"/>
        <w:tblCellMar>
          <w:top w:w="28" w:type="dxa"/>
          <w:left w:w="28" w:type="dxa"/>
          <w:bottom w:w="28" w:type="dxa"/>
          <w:right w:w="28" w:type="dxa"/>
        </w:tblCellMar>
      </w:tblPr>
      <w:tblGrid>
        <w:gridCol w:w="611"/>
        <w:gridCol w:w="404"/>
        <w:gridCol w:w="406"/>
        <w:gridCol w:w="109"/>
        <w:gridCol w:w="109"/>
        <w:gridCol w:w="109"/>
        <w:gridCol w:w="174"/>
        <w:gridCol w:w="174"/>
        <w:gridCol w:w="178"/>
        <w:gridCol w:w="109"/>
        <w:gridCol w:w="109"/>
        <w:gridCol w:w="109"/>
        <w:gridCol w:w="413"/>
        <w:gridCol w:w="413"/>
        <w:gridCol w:w="109"/>
        <w:gridCol w:w="109"/>
        <w:gridCol w:w="109"/>
        <w:gridCol w:w="109"/>
        <w:gridCol w:w="109"/>
        <w:gridCol w:w="109"/>
        <w:gridCol w:w="109"/>
        <w:gridCol w:w="488"/>
        <w:gridCol w:w="488"/>
        <w:gridCol w:w="211"/>
        <w:gridCol w:w="109"/>
        <w:gridCol w:w="109"/>
        <w:gridCol w:w="109"/>
        <w:gridCol w:w="413"/>
        <w:gridCol w:w="413"/>
        <w:gridCol w:w="366"/>
        <w:gridCol w:w="109"/>
        <w:gridCol w:w="109"/>
        <w:gridCol w:w="109"/>
        <w:gridCol w:w="360"/>
        <w:gridCol w:w="361"/>
        <w:gridCol w:w="182"/>
        <w:gridCol w:w="182"/>
        <w:gridCol w:w="182"/>
        <w:gridCol w:w="186"/>
        <w:gridCol w:w="109"/>
        <w:gridCol w:w="109"/>
        <w:gridCol w:w="109"/>
        <w:gridCol w:w="488"/>
        <w:gridCol w:w="488"/>
        <w:gridCol w:w="226"/>
      </w:tblGrid>
      <w:tr>
        <w:trPr/>
        <w:tc>
          <w:tcPr>
            <w:tcW w:w="61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Non-equity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incentive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plan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All other</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1"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Sujal Patel</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 Officer and Secretary</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1,256,572 </w:t>
            </w:r>
          </w:p>
        </w:tc>
        <w:tc>
          <w:tcPr>
            <w:tcW w:w="21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BFE4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1,757,772 </w:t>
            </w:r>
          </w:p>
        </w:tc>
        <w:tc>
          <w:tcPr>
            <w:tcW w:w="22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436,731 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lineRule="auto" w:line="288" w:before="53" w:after="30"/>
              <w:jc w:val="left"/>
              <w:rPr>
                <w:rFonts w:ascii="Arial;sans-serif" w:hAnsi="Arial;sans-serif"/>
                <w:b w:val="false"/>
                <w:color w:val="000000"/>
                <w:sz w:val="16"/>
                <w:highlight w:val="cyan"/>
              </w:rPr>
            </w:pPr>
            <w:r>
              <w:rPr>
                <w:rFonts w:ascii="Arial;sans-serif" w:hAnsi="Arial;sans-serif"/>
                <w:b w:val="false"/>
                <w:color w:val="000000"/>
                <w:sz w:val="16"/>
                <w:highlight w:val="cyan"/>
              </w:rPr>
              <w:t>(4)</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5,953,337 </w:t>
            </w:r>
          </w:p>
        </w:tc>
        <w:tc>
          <w:tcPr>
            <w:tcW w:w="21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154,583 </w:t>
            </w:r>
          </w:p>
        </w:tc>
        <w:tc>
          <w:tcPr>
            <w:tcW w:w="36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60,684 </w:t>
            </w:r>
          </w:p>
        </w:tc>
        <w:tc>
          <w:tcPr>
            <w:tcW w:w="18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BFE4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3"/>
                <w:highlight w:val="cyan"/>
              </w:rPr>
            </w:pPr>
            <w:r>
              <w:rPr>
                <w:rFonts w:ascii="Times New Roman;sans-serif" w:hAnsi="Times New Roman;sans-serif"/>
                <w:b w:val="false"/>
                <w:color w:val="000000"/>
                <w:sz w:val="13"/>
                <w:highlight w:val="cyan"/>
              </w:rPr>
              <w:t>(5)</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6,605,335 </w:t>
            </w:r>
          </w:p>
        </w:tc>
        <w:tc>
          <w:tcPr>
            <w:tcW w:w="22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Parag Mallick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Scientist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879,600 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1,279,600 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3,501,960 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117,742 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3,999,510 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Gwen Weld</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People Officer</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245,539 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1,474,391 </w:t>
            </w:r>
          </w:p>
        </w:tc>
        <w:tc>
          <w:tcPr>
            <w:tcW w:w="21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60,667 </w:t>
            </w:r>
          </w:p>
        </w:tc>
        <w:tc>
          <w:tcPr>
            <w:tcW w:w="36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84,762 </w:t>
            </w:r>
          </w:p>
        </w:tc>
        <w:tc>
          <w:tcPr>
            <w:tcW w:w="18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BFE4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1,865,359 </w:t>
            </w:r>
          </w:p>
        </w:tc>
        <w:tc>
          <w:tcPr>
            <w:tcW w:w="22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Anna Mowry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879,600 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102,375 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1,347,175 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(1)In accordance with SEC rules, this column reflects the aggregate grant date fair value of the stock option awards granted during 2021 or 2022,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For a discussion of valuation assumptions, see the notes Note 9 to our audited financial statements included in our Annual Report on Form 10-K for the fiscal year ended December 31, 2022, filed with the SEC on February 23, 2023. </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(2)These amounts represent performance-based cash bonuses paid under the Incentive Plan (as defined below) for the years ended December 31, 2021 and December 31, 2022, respectively, each of which was paid in the subsequent fiscal year (other than with respect to $24,267 and $40,950 paid to Ms. Weld and Ms. Mowry, respectively, in 2023 for individual performance objectives achieved for the year ended December 31, 2022). Each of Mr. Patel and Dr. Mallick voluntarily declined any payments under the Incentive Plan for the year ended December 31, 2022, as described below. If Mr. Patel and Dr. Mallick had received cash bonuses under the Incentive Plan based on the same determinations with respect to cash bonuses for our other NEOs, Mr. Patel would have received a payment of $125,000 and Dr. Mallick would have received a payment of $100,000. The Incentive Plan is more fully described below under the section titled “—Non-Equity Incentive Plan Compensation.”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(3)The amounts reported represent $1,200 in parking benefits.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(4)The amount reported reflects the total salary earned by Mr. Patel for 2021. Mr. Patel’s annual base salary was $350,000 from January 2021 until the closing of the Business Combination on June 9, 2021 and was increased to an annual base salary of $500,000, effective as of the closing of the Business Combination on June 9, 2021.</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(5)The amounts reported represent (i) $1,200 in parking benefits and (ii) $59,484 in payment of a filing fee for a notice required under the Hart-Scott-Rodino Antitrust Improvements Act of 1976, as amended, to permit Mr. Patel to acquire additional Company securities and related tax equalization payments.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(6)The amount reported reflects the total salary earned by Dr. Mallick for 2021. Dr. Mallick’s annual base salary was $350,000 from January 2021 until the closing of the Business Combination on June 9, 2021 and was increased to an annual base salary of $400,000, effective as of the closing of the Business Combination on June 9, 2021.</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(7)Ms. Weld commenced employment with us in April 2022, and therefore the compensation set forth in the table above reflects the amount earned for the portion of 2022 in which she was employed by us.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(8)The amounts reported reflect (i) $84,762 in pre-employment consulting services and (ii) $900 in parking benefits.</w: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Non-Equity Incentive Plan Compensation</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the Executive Incentive Compensation Plan (the “Incentive Plan”), which allows our board of directors or compensation committee to grant incentive awards,generally payable in cash, to employees selected by our compensation committee, including our executive officers, based upon performance goals established by our compensation committee. In January 2022, our board of directors approved performance goals under the Incentive Plan for 2022 (the “2022 Bonus Plan”).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goals under the 2022 Bonus Plan applied to each of our named executive officers and consisted of five financial or strategic goals with respect to Nautilus (or “corporate performance goals”) for the 2022 year related to certain profiling milestones, certain instrument readiness, partnerships and collaborations, certain publications and financial metrics related to bookings, revenue and ending cash balance. Each corporate performance goal was provided a specific weighting, and the extent of achievement of each such goal (expressed as a percentage and weighted accordingly) determined the payout with respect to the portion of the cash incentive opportunity allocated to such goal. Each of Mr. Patel and Dr. Mallick’s cash incentive opportunities for 2022 were based 100% on the corporate performance goals. </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Ms. Weld and Ms. Mowry, the 2022 Bonus Plan additionally provided for individual performance goals (as determined by the compensation committee of our board of directors, and which related to corporate and strategic objectives specific to Ms. Weld and Ms. Mowry, respectively) that were required to be achieved during 2022. Each of Ms. Weld’s and Ms. Mowry’s total cash incentive opportunity for 2022 was based 75% on achievement of the corporate performance goals (in the case of Ms. Weld, prorated for the portion of the year that Ms. Weld was employed by the Company) and 25% on achievement of the applicable individual performance goals. </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before the board of directors or compensation committee made any determinations regarding any bonuses to be paid to executives for 2022 performance, each of Mr. Patel and Dr. Mallick informed the board of directors that he voluntarily declined any bonus payments for 2022. </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 xml:space="preserve">In February 2023, our board of directors, based upon a review of the Company’s corporate performance against objectives under the 2022 Bonus Plan, determined that some of the goals were met while others were not. In its review of such corporate performance, our board of directors considered additional factors related to the Company’s performance for the year, including that notwithstanding the non-achievement of some of the goals, </w:t>
      </w:r>
      <w:r>
        <w:rPr>
          <w:rFonts w:ascii="Times New Roman;sans-serif" w:hAnsi="Times New Roman;sans-serif"/>
          <w:b w:val="false"/>
          <w:color w:val="000000"/>
          <w:sz w:val="20"/>
          <w:highlight w:val="white"/>
        </w:rPr>
        <w:t xml:space="preserve">the Company made significant progress in multiple other important areas of product development other than those reflected by those specific goals. Based on these factors our board of directors approved </w:t>
      </w:r>
      <w:r>
        <w:rPr>
          <w:rFonts w:ascii="Times New Roman;sans-serif" w:hAnsi="Times New Roman;sans-serif"/>
          <w:b w:val="false"/>
          <w:color w:val="000000"/>
          <w:sz w:val="20"/>
        </w:rPr>
        <w:t>payment of</w:t>
      </w:r>
      <w:r>
        <w:rPr>
          <w:color w:val="000000"/>
        </w:rPr>
        <w:t xml:space="preserve"> </w:t>
      </w:r>
      <w:r>
        <w:rPr>
          <w:rFonts w:ascii="Times New Roman;sans-serif" w:hAnsi="Times New Roman;sans-serif"/>
          <w:b w:val="false"/>
          <w:color w:val="000000"/>
          <w:sz w:val="20"/>
        </w:rPr>
        <w:t xml:space="preserve">cash bonuses to Ms. Weld and Ms. Mowry in an amount equivalent to 50% achievement of the corporate performance goals under the 2022 Bonus Plan.The cash bonuses were paid to Ms. Weld and Ms. Mowry in early 2023.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in the Summary Compensation Table under the column titled “Non-equity incentive plan compensation” for each of Ms. Weld and Ms. Mowry are equal to the sum of (i) 75% of her target bonus opportunity, multiplied by 50% for the corporate performance component, and (ii) 25% of her target bonus opportunity allocated to the individual performance component, multiplied by the percentage of achievement of such goals for 2022. For 2022, the cash incentive bonus under the 2022 Bonus Plan for our named executive officers was $60,667 for Ms. Weld (of which $36,400 was paid </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out based on achievement of the corporate performance goals and $24,267 was paid out based on achievement of her individual performance goals) and $102,375 for Ms. Mowry (of which $61,425 was paid out based on achievement of the corporate performance goals and $40,950 was paid out based on achievement of her individual performance goals). If Mr. Patel and Dr. Mallick had not declined payment under the 2022 Bonus Plan, then based on the equivalent of 50% achievement of the corporate performance goals, Mr. Patel’s bonus would have been $125,000 and Dr. Mallick’s bonus would have been $100,000.</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Outstanding Equity Awards at Fiscal Year-End December 31, 2022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equity awards granted to the named executive officers that remained outstanding as of December 31, 2022. The number of shares subject to each award granted prior to the Business Combination and, where applicable, the exercise price per share, reflect all changes as a result of our capitalization adjustments in connection with the Business Combination.</w:t>
      </w:r>
    </w:p>
    <w:tbl>
      <w:tblPr>
        <w:tblW w:w="9301" w:type="dxa"/>
        <w:jc w:val="left"/>
        <w:tblInd w:w="0" w:type="dxa"/>
        <w:tblCellMar>
          <w:top w:w="28" w:type="dxa"/>
          <w:left w:w="28" w:type="dxa"/>
          <w:bottom w:w="28" w:type="dxa"/>
          <w:right w:w="28" w:type="dxa"/>
        </w:tblCellMar>
      </w:tblPr>
      <w:tblGrid>
        <w:gridCol w:w="391"/>
        <w:gridCol w:w="344"/>
        <w:gridCol w:w="345"/>
        <w:gridCol w:w="109"/>
        <w:gridCol w:w="109"/>
        <w:gridCol w:w="109"/>
        <w:gridCol w:w="305"/>
        <w:gridCol w:w="305"/>
        <w:gridCol w:w="305"/>
        <w:gridCol w:w="157"/>
        <w:gridCol w:w="157"/>
        <w:gridCol w:w="157"/>
        <w:gridCol w:w="109"/>
        <w:gridCol w:w="109"/>
        <w:gridCol w:w="109"/>
        <w:gridCol w:w="385"/>
        <w:gridCol w:w="385"/>
        <w:gridCol w:w="386"/>
        <w:gridCol w:w="109"/>
        <w:gridCol w:w="109"/>
        <w:gridCol w:w="109"/>
        <w:gridCol w:w="368"/>
        <w:gridCol w:w="368"/>
        <w:gridCol w:w="241"/>
        <w:gridCol w:w="241"/>
        <w:gridCol w:w="241"/>
        <w:gridCol w:w="246"/>
        <w:gridCol w:w="109"/>
        <w:gridCol w:w="109"/>
        <w:gridCol w:w="109"/>
        <w:gridCol w:w="359"/>
        <w:gridCol w:w="359"/>
        <w:gridCol w:w="361"/>
        <w:gridCol w:w="109"/>
        <w:gridCol w:w="109"/>
        <w:gridCol w:w="109"/>
        <w:gridCol w:w="369"/>
        <w:gridCol w:w="369"/>
        <w:gridCol w:w="522"/>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4" w:type="dxa"/>
            <w:gridSpan w:val="3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Option Awards</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securities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underlying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unexercised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securities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underlying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unexercised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spacing w:lineRule="auto" w:line="288" w:before="0" w:after="0"/>
              <w:jc w:val="center"/>
              <w:rPr/>
            </w:pPr>
            <w:r>
              <w:rPr>
                <w:rFonts w:ascii="Times New Roman;sans-serif" w:hAnsi="Times New Roman;sans-serif"/>
                <w:b/>
                <w:color w:val="000000"/>
                <w:sz w:val="16"/>
              </w:rPr>
              <w:t>(#) unexercisable</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w:t>
            </w:r>
          </w:p>
          <w:p>
            <w:pPr>
              <w:pStyle w:val="TableContents"/>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1/31/2021</w:t>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33" w:after="3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377,879 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410,854 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33" w:after="3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1/31/2031</w:t>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2/25/2022</w:t>
            </w:r>
          </w:p>
        </w:tc>
        <w:tc>
          <w:tcPr>
            <w:tcW w:w="471" w:type="dxa"/>
            <w:gridSpan w:val="3"/>
            <w:tcBorders/>
            <w:shd w:fill="CCEEFF"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2/25/2032</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Parag Mallick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1/31/2021</w:t>
            </w:r>
          </w:p>
        </w:tc>
        <w:tc>
          <w:tcPr>
            <w:tcW w:w="471"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222,338 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241,681 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1/31/2031</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2/25/2022</w:t>
            </w:r>
          </w:p>
        </w:tc>
        <w:tc>
          <w:tcPr>
            <w:tcW w:w="471"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2/25/2032</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Gwen Weld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10/15/2020</w:t>
            </w:r>
          </w:p>
        </w:tc>
        <w:tc>
          <w:tcPr>
            <w:tcW w:w="471" w:type="dxa"/>
            <w:gridSpan w:val="3"/>
            <w:tcBorders/>
            <w:shd w:fill="CCEEFF"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4,535 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10/15/2030</w:t>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5/4/2022</w:t>
            </w:r>
          </w:p>
        </w:tc>
        <w:tc>
          <w:tcPr>
            <w:tcW w:w="471" w:type="dxa"/>
            <w:gridSpan w:val="3"/>
            <w:tcBorders/>
            <w:shd w:fill="CCEEFF"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5/4/2032</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Anna Mowry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12/3/2020</w:t>
            </w:r>
          </w:p>
        </w:tc>
        <w:tc>
          <w:tcPr>
            <w:tcW w:w="471"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213,243 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222,125 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rFonts w:ascii="Arial;sans-serif" w:hAnsi="Arial;sans-serif"/>
                <w:b w:val="false"/>
                <w:color w:val="000000"/>
                <w:sz w:val="10"/>
              </w:rPr>
            </w:pPr>
            <w:r>
              <w:rPr>
                <w:rFonts w:ascii="Arial;sans-serif" w:hAnsi="Arial;sans-serif"/>
                <w:b w:val="false"/>
                <w:color w:val="000000"/>
                <w:sz w:val="10"/>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12/3/2030</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2/25/2022</w:t>
            </w:r>
          </w:p>
        </w:tc>
        <w:tc>
          <w:tcPr>
            <w:tcW w:w="471"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2/25/2032</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pPr>
      <w:r>
        <w:rPr>
          <w:rFonts w:ascii="Times New Roman;sans-serif" w:hAnsi="Times New Roman;sans-serif"/>
          <w:b w:val="false"/>
          <w:color w:val="000000"/>
          <w:sz w:val="16"/>
        </w:rPr>
        <w:t>(1)The unvested portions of these awards may be subject to vesting acceleration under certain circumstances, described below under “—</w:t>
      </w:r>
      <w:r>
        <w:rPr>
          <w:rFonts w:ascii="Times New Roman;sans-serif" w:hAnsi="Times New Roman;sans-serif"/>
          <w:b w:val="false"/>
          <w:i/>
          <w:color w:val="000000"/>
          <w:sz w:val="16"/>
        </w:rPr>
        <w:t>Potential Payments upon Termination or Change in Control.</w:t>
      </w:r>
      <w:r>
        <w:rPr>
          <w:color w:val="000000"/>
        </w:rPr>
        <w: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stock option awards that were granted by Legacy Nautilus to Mr. Patel, Ms. Weld and Ms. Mowry prior to the closing of the Business Combination were granted with a per share exercise price equal to the fair market value of one share of Legacy Nautilus Common Stock on the date of grant, as determined in good faith by Legacy Nautilus’ board of directors. The stock option granted following the closing of the Business Combination was granted with a per share exercise price equal to the closing price of the Company’s common stock in trading on the Nasdaq Global Select Market on the date of grant.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(3)Option granted under and subject to the terms of the Legacy Nautilus 2017 Equity Incentive Plan (the “2017 Plan”).”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(4)Twenty-five percent of the shares subject to this option vested on January 31, 2022, and one thirty-sixth (1/36th) of the remaining shares subject to this option shall vest each month thereafter, subject to the optionee continuing to be a service provider to Nautilus through each such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(5)Option granted under and subject to the terms of the 2021 Plan.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(6)Twenty-five percent of the shares subject to this option vested on February 25, 2023, and one thirty-sixth (1/36th) of the remaining shares subject to this option shall vest each month thereafter, subject to the optionee continuing to be a service provider to Nautilus through each such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(7)13/49th of the shares subject to this option vested on December 3, 2021,, and one forty-ninth(1/49th) of the shares subject to this option shall vest each month thereafter, subject to the optionee continuing to be a service provider to Nautilus through each such date.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Employment Arrangements with Named Executive Officers</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Sujal Patel</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 confirmatory employment letter with Mr. Patel, our Chief Executive Officer, effective as of April 6, 2021. The confirmatory employment letter has no specific term and provides that Mr. Patel is an at-will employee. The confirmatory employment letter superseded any prior agreements and understandings that Mr. Patel may have entered into concerning his employment relationship with us. For 2022, Mr. Patel’s annual base salary was $500,000 and he was eligible for a target annual cash bonus opportunity equal to 50% of his annual base salary. On February 15, 2023, our board of directors, upon recommendation of the compensation committee, approved an increase in Mr. Patel’s base salary to $535,000, effective retroactive to January 1, 2023, and an increase in his annual cash bonus opportunity for 2023 to 80% of his annual base salary.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Parag Mallick</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a confirmatory employment letter with Dr. Mallick, our Chief Scientist, effective as of April 6, 2021. The confirmatory employment letter has no specific term and provides that Dr. Mallick is an at-will employee. The confirmatory employment letter superseded any prior agreements and understandings that Dr. Mallick may have entered into concerning his employment relationship with us. For 2022, Dr. Mallick’s annual base salary was $400,000 and he was eligible for a target annual cash bonus opportunity equal to 50% of his annual base salary. On February 15, 2023, our board of directors, upon recommendation of the compensation committee, approved an increase in Dr. Mallick’s base salary to $420,000, effective retroactive to January 1, 2023.</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Gwen Weld</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28, 2022, we entered into an offer letter with Ms. Weld, our Chief People Officer. The offer letter has no specific term and provides that Ms. Weld is an at-will employee. Ms. Weld’s offer letter also contemplated that we would grant her an option to purchase 375,000 shares of common stock, which was granted in May 2022 and is set forth in the “Outstanding Equity Awards at Fiscal Year-End December 31, 2022” table above. For 2022, Ms. Weld annual base salary was $336,000 and she was eligible for a target annual cash bonus opportunity equal to 40% of her annual base salary, pro-rated for the portion of the year in which she was employed by us. On February 15, 2023, our board of directors, upon recommendation of the compensation committee, approved an increase in Ms. Weld’s base salary to $351,000, effective retroactive to January 1, 2023.</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Anna Mowry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a confirmatory employment letter with Ms. Mowry, our Chief Financial Officer, effective as of April 6, 2021. The confirmatory employment letter has no specific term and provides that Ms. Mowry is an at-will employee. The confirmatory employment letter superseded any prior agreements and understandings that Ms. Mowry may have entered into concerning her employment relationship with us. For 2022, Ms. Mowry’s annual base salary was $364,000 and she was eligible for a target annual cash bonus opportunity equal to 45% of her annual base salary. On February 15, 2023, our board of directors, upon recommendation of the compensation committee, approved an increase in Ms. Mowry’s base salary to $386,000, effective retroactive to January 1,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Equity Based Incentive Awards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equity-based incentive awards are designed to more closely align the interests of our stockholders with those of our employees and consultants, including our named executive officers. Our board of directors is responsible for approving equity grants to our employees and consultants, including our named executive officers. In 2022, stock option awards were the only form of equity awards we granted to our named executive officers. Following the closing of the Business Combination, we have granted equity incentive awards under the terms of our 2021 Equity Incentive Plan (the “2021 Plan”). Options under the 2021 Plan are granted with a per share exercise price equal to the closing price of a share of the Company’s common stock in trading on the Nasdaq Global Select Market on the date of grant. </w:t>
      </w:r>
    </w:p>
    <w:p>
      <w:pPr>
        <w:pStyle w:val="TextBody"/>
        <w:spacing w:lineRule="auto" w:line="288" w:before="240" w:after="283"/>
        <w:ind w:left="0" w:right="0" w:firstLine="360"/>
        <w:rPr/>
      </w:pPr>
      <w:r>
        <w:rPr>
          <w:rFonts w:ascii="Times New Roman;sans-serif" w:hAnsi="Times New Roman;sans-serif"/>
          <w:b w:val="false"/>
          <w:color w:val="000000"/>
          <w:sz w:val="20"/>
        </w:rPr>
        <w:t>Our stock option awards generally vest over a four-year period and may be subject to acceleration of vesting and exercisability under certain termination and change in control events. See “—</w:t>
      </w:r>
      <w:r>
        <w:rPr>
          <w:rFonts w:ascii="Times New Roman;sans-serif" w:hAnsi="Times New Roman;sans-serif"/>
          <w:b w:val="false"/>
          <w:i/>
          <w:color w:val="000000"/>
          <w:sz w:val="20"/>
        </w:rPr>
        <w:t>Outstanding Equity Awards at Fiscal Year-End December 31, 2022</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Potential Payments Upon Termination or Change of Control.</w:t>
      </w:r>
      <w:r>
        <w:rPr>
          <w:color w:val="000000"/>
        </w:rPr>
        <w: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of Control</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manner in which a named executive officer’s service terminates, that named executive officer is entitled to receive amounts earned during his or her term of service, including unpaid salary and unused vacation, as applicable. </w:t>
      </w:r>
    </w:p>
    <w:p>
      <w:pPr>
        <w:pStyle w:val="TextBody"/>
        <w:spacing w:lineRule="auto" w:line="268"/>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our named executive officers holds stock options granted subject to the general terms of the 2017 Plan or the 2021 Plan. Each such equity incentive plan generally provides that, in the event of a change in control (as defined in each such plan), equity awards will be treated as the administrator of such plan determines, provided that, in the event that the successor corporation does not assume or substitute for an equity award (or portion thereof), then the equity award (or portion thereof) not assumed or substituted for will fully vest and become fully exercisable and, with respect to awards subject to performance-based vesting, the performance goals will be deemed achieved at target levels, unless for equity awards granted under the 2021 Plan, such treatment is specifically provided otherwise by written agreement.</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 change in control and severance agreement (each, a “CIC Agreement”) with each of our named executive officers which provides for certain severance and change in control benefits as summarized below.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Each CIC Agreement supersedes any prior agreement or arrangement that the named executive officer may have had with us that provides for severance or change in control payments and benefits.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CIC Agreements with each of Mr. Patel, Dr. Mallick and Ms. Mowry have an initial term of three years commencing on June 8, 2021, the business day immediately prior to the closing of the Business Combination. Ms. Weld’s CIC Agreement has an initial term of three years from April 12, 2022. On the three-year anniversary of the effective date of each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CIC Agreements provide that if, other than during the period beginning three months before a change in control through the one-year anniversary of a change in control, or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our favor: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 lump sum cash payment equal to 100% for Mr. Patel, or 50% for Dr. Mallick, Ms. Weld and Ms. Mowry, of the named executive officer’s base salary as in effect immediately before such termination;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Payment by us of the employer portion of the premiums required for continued coverage pursuant to COBRA under our group health, dental and vision care plans for the named executive officer and his or her eligible dependents for up to twelve months for Mr. Patel, or six months for Dr. Mallick, Ms. Weld and Ms. Mowry.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during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 lump sum cash payment equal to 150% for Mr. Patel, or 100% for Dr. Mallick, Ms. Weld and Ms. Mowry, of the named executive officer’s base salary as in effect immediately before such termination or if greater, the base salary in effect immediately before the change in control;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 lump sum cash payment equal to 150% for Mr. Patel, or 100% for Dr. Mallick, Ms. Weld and Ms. Mowry, of the named executive officer’s target bonus opportunity as in effect immediately before such termination or if greater, the target bonus opportunity in effect immediately before the change in control;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Payment by us of the premiums required for continued coverage pursuant to COBRA under our group health, dental and vision care plans for the named executive officer and his or her eligible dependents for up to eighteen months for Mr. Patel, or twelve months for Dr. Mallick, Ms. Weld and Ms. Mowry;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100% accelerated vesting and exercisability of the outstanding and unvested equity awards (other than equity awards subject to performance-based vesting criteria) granted to the named executive officer.</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definitions generally apply for purposes of each CIC Agreement: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cause” generally means (a) a named executive officer’s failure to substantially perform his or her material duties and obligations as an employee (for reasons other than a named executive officer’s death or disability), which is not cured to the sole and reasonable satisfaction of the Company (or, for Mr. Patel, our board of directors); (b) a named executive officer’s failure or refusal to comply with the policies, standards and regulations established by the Company from time to time, which failure is not cured to the sole and reasonable satisfaction of the Company (or, for Mr. Patel, our board of directors); (c) any act of personal dishonesty, moral turpitude, fraud, embezzlement, misrepresentation, or other unlawful act committed by a named executive officer that results in harm to the Company or its affiliates, including financial or reputational; (d) a named executive officer’s violation of a federal or state law or regulation applicable to the business of the Company or its affiliates; (e) a named executive officer being convicted of, or entering a plea of nolo contendere or guilty to, a felony under the laws of the United States or its equivalent in the jurisdiction in which the act that constituted the felony occurred; (f) a named executive officer’s material breach of the terms of his or her applicable CIC Agreement or any other agreement between a named executive officer and the Company (or any affiliate of the Company); or (g) the Company’s economic duress or necessity, as determined by the Company, in its sole and reasonable discretion (or, for Mr. Patel, by our board of directors). With respect to clauses (a) and (b) above only, a named executive officer will have 10 days to cure following written notice of a named executive officer’s failure or refusal to perform or comply.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 in control” generally means the first occurrence of any of the following events on or after the Effective Date: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the acquisition of additional stock by any one Person, who is considered to own more than 50% of the total voting power of the stock of the Company will not be considered a change in control; provided, further, that any change in the ownership of the stock of the Company as a result of a private financing of the Company that is approved by our board of directors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the Company has a class of securities registered pursuant to Section 12 of the U.S. Securities Exchange Act of 1934, as amended, a change in the effective control of the Company which occurs on the date that a majority of members of the board of directors is replaced during any 12 month period by directors whose appointment or election is not endorsed by a majority of the members of the board of directors prior to the date of the appointment or election.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change in the ownership of a substantial portion of the Company’s assets which occurs on the date that any Person acquires (or has acquired during the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50% or more of the total value or voting power of which is owned, directly or indirectly, by the Company, (iii) a Person, that owns, directly or indirectly, 50% or more of the total value or voting power of all the outstanding stock of the Company, or (iv) an entity, at least 50% of the total value or voting power of which is owned, directly or indirectly, by a Person previously described in this definition.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disability” generally means total and permanent disability as defined in Section 22(e)(3) of the Internal Revenue Code.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good reason” generally means a named executive officer’s termination of his or her employment with the Company within 90 days following the expiration of the Company’s cure period (as defined below) following the occurrence of any of the following without a named executive officer’s written consent: (a) a material reduction in a named executive officer’s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a named executive officer’s principal work location to a principal work location more than 40 miles from a named executive officer’s principal work location immediately before such relocation; or (c) a reduction in a named executive officer then current base salary by at least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a named executive officer must not terminate employment with the Company without first providing the Company with written notice of the acts or omissions constituting the grounds for “good reason” within 90 days following the initial existence of the grounds for “good reason” and a cure period of 30 days following the date of such notice (the “cure period”). </w:t>
      </w:r>
    </w:p>
    <w:p>
      <w:pPr>
        <w:pStyle w:val="TextBody"/>
        <w:spacing w:lineRule="auto" w:line="268" w:before="240" w:after="283"/>
        <w:rPr>
          <w:rFonts w:ascii="Times New Roman;sans-serif" w:hAnsi="Times New Roman;sans-serif"/>
          <w:b/>
          <w:color w:val="000000"/>
          <w:sz w:val="20"/>
        </w:rPr>
      </w:pPr>
      <w:r>
        <w:rPr>
          <w:rFonts w:ascii="Times New Roman;sans-serif" w:hAnsi="Times New Roman;sans-serif"/>
          <w:b/>
          <w:color w:val="000000"/>
          <w:sz w:val="20"/>
        </w:rPr>
        <w:t>Executive Incentive Compensation Plan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we adopted the Incentive Plan. The Incentive Plan is administered by our board of directors or a committee appointed by our board of directors. The Incentive Plan allows us to grant incentive awards, generally payable in cash, to employees selected by the administrator, including our executive officers, based upon any performance goals that may be established by the administrator. </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administrator may determine any such increase, reduction, or elimination on the basis of such factors as it deems relevant, and the administrator is not required to establish any allocation or weighting with respect to the factors it considers. Actual awards generally will be paid in cash (or its equivalent) only after they are earned, and, unless otherwise determined by the administrator, a participant must be employed with us through the date the actual award is paid. The administrator of the Incentive Plan may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Benefits and Perquisites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benefits to our executive officers on the same basis as provided to all of our employees, including health, dental and vision insurance; life insurance; accidental death and dismemberment insurance; short-and long-term disability </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insurance; a flexible spending account; and a tax-qualified Section 401(k) plan for which no match is provided by us. We do not maintain any executive-specific benefit or perquisite programs.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Retirement Benefits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Internal Revenue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Internal Revenue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provides information as of December 31, 2022 with respect to shares of our common stock that may be issued under our existing equity compensation plans.</w:t>
      </w:r>
    </w:p>
    <w:tbl>
      <w:tblPr>
        <w:tblW w:w="10205" w:type="dxa"/>
        <w:jc w:val="left"/>
        <w:tblInd w:w="0" w:type="dxa"/>
        <w:tblCellMar>
          <w:top w:w="28" w:type="dxa"/>
          <w:left w:w="28" w:type="dxa"/>
          <w:bottom w:w="28" w:type="dxa"/>
          <w:right w:w="28" w:type="dxa"/>
        </w:tblCellMar>
      </w:tblPr>
      <w:tblGrid>
        <w:gridCol w:w="1508"/>
        <w:gridCol w:w="1325"/>
        <w:gridCol w:w="1323"/>
        <w:gridCol w:w="109"/>
        <w:gridCol w:w="109"/>
        <w:gridCol w:w="109"/>
        <w:gridCol w:w="527"/>
        <w:gridCol w:w="527"/>
        <w:gridCol w:w="529"/>
        <w:gridCol w:w="109"/>
        <w:gridCol w:w="109"/>
        <w:gridCol w:w="109"/>
        <w:gridCol w:w="527"/>
        <w:gridCol w:w="527"/>
        <w:gridCol w:w="529"/>
        <w:gridCol w:w="109"/>
        <w:gridCol w:w="109"/>
        <w:gridCol w:w="109"/>
        <w:gridCol w:w="554"/>
        <w:gridCol w:w="554"/>
        <w:gridCol w:w="794"/>
      </w:tblGrid>
      <w:tr>
        <w:trPr/>
        <w:tc>
          <w:tcPr>
            <w:tcW w:w="1508"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 Number of</w:t>
              <w:br/>
              <w:t>Securities to be</w:t>
              <w:br/>
              <w:t>Issued Upon Exercise</w:t>
              <w:br/>
              <w:t>of Outstanding</w:t>
              <w:br/>
              <w:t>Options, Warrants</w:t>
              <w:br/>
              <w:t>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 Weighted-</w:t>
              <w:br/>
              <w:t>Average Exercise</w:t>
              <w:br/>
              <w:t>Price of Outstanding</w:t>
              <w:br/>
              <w:t>Options, Warrants</w:t>
              <w:br/>
              <w:t>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 Number of Securities</w:t>
              <w:br/>
              <w:t>Remaining Available for</w:t>
              <w:br/>
              <w:t>Future Issuance Under</w:t>
              <w:br/>
              <w:t>Equity Compensation</w:t>
              <w:br/>
              <w:t>Plans (Excluding</w:t>
              <w:br/>
              <w:t>Securities Reflected in</w:t>
              <w:br/>
              <w:t>Column (a))</w:t>
            </w:r>
          </w:p>
        </w:tc>
      </w:tr>
      <w:tr>
        <w:trPr/>
        <w:tc>
          <w:tcPr>
            <w:tcW w:w="4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plans approved by security 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6"/>
              </w:rPr>
              <w:t xml:space="preserve">2017 Plan </w:t>
            </w:r>
            <w:r>
              <w:rPr>
                <w:rFonts w:ascii="Times New Roman;sans-serif" w:hAnsi="Times New Roman;sans-serif"/>
                <w:b w:val="false"/>
                <w:i/>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5,771,617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6"/>
              </w:rPr>
              <w:t xml:space="preserve">2021 Plan </w:t>
            </w:r>
            <w:r>
              <w:rPr>
                <w:rFonts w:ascii="Times New Roman;sans-serif" w:hAnsi="Times New Roman;sans-serif"/>
                <w:b w:val="false"/>
                <w:i/>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5,713,826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17,298,043</w:t>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6"/>
              </w:rPr>
              <w:t xml:space="preserve">ESPP </w:t>
            </w:r>
            <w:r>
              <w:rPr>
                <w:rFonts w:ascii="Times New Roman;sans-serif" w:hAnsi="Times New Roman;sans-serif"/>
                <w:b w:val="false"/>
                <w:i/>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2,388,735</w:t>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plans not approved by security 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11,485,443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19,686,778</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pPr>
      <w:r>
        <w:rPr>
          <w:rFonts w:ascii="Times New Roman;sans-serif" w:hAnsi="Times New Roman;sans-serif"/>
          <w:b w:val="false"/>
          <w:color w:val="000000"/>
          <w:sz w:val="16"/>
        </w:rPr>
        <w:t>(1)</w:t>
      </w:r>
      <w:r>
        <w:rPr>
          <w:rFonts w:ascii="Times New Roman;sans-serif" w:hAnsi="Times New Roman;sans-serif"/>
          <w:b w:val="false"/>
          <w:color w:val="000000"/>
          <w:sz w:val="16"/>
          <w:highlight w:val="white"/>
        </w:rPr>
        <w:t>The Legacy Nautilus board of directors adopted, and Legacy Nautilus stockholders approved, the 2017 Plan.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(2)Our board of directors adopted, and our stockholders approved, the 2021 Plan. The 2021 Plan provides that the number of shares available for issuance under the 2021 Plan will be increased on the first day of each fiscal year beginning with the 2022 fiscal year, in an amount equal to the least of (i) 18,672,000 shares, (ii) five percent (5%) of the outstanding shares of common stock on the last day of the immediately preceding fiscal year or (iii) such other amount as our board of directors may determine. On January 1, 2023, the number of shares available under the 2021 Plan increased by 6,243,274 shares pursuant to this feature.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provision is 7,500,000 shares).</w:t>
      </w:r>
    </w:p>
    <w:p>
      <w:pPr>
        <w:pStyle w:val="TextBody"/>
        <w:spacing w:lineRule="auto" w:line="288" w:before="0" w:after="0"/>
        <w:ind w:left="0" w:right="0" w:hanging="360"/>
        <w:rPr/>
      </w:pPr>
      <w:r>
        <w:rPr>
          <w:rFonts w:ascii="Times New Roman;sans-serif" w:hAnsi="Times New Roman;sans-serif"/>
          <w:b w:val="false"/>
          <w:color w:val="000000"/>
          <w:sz w:val="16"/>
        </w:rPr>
        <w:t>(3)</w:t>
      </w:r>
      <w:r>
        <w:rPr>
          <w:rFonts w:ascii="Times New Roman;sans-serif" w:hAnsi="Times New Roman;sans-serif"/>
          <w:b w:val="false"/>
          <w:color w:val="000000"/>
          <w:sz w:val="16"/>
          <w:highlight w:val="white"/>
        </w:rPr>
        <w:t xml:space="preserve">Our board of directors adopted, and our shareholders approved, the ESPP. The ESPP provides that the number of shares available for issuance under the ESPP will be increased on the first day of each fiscal year beginning with the 2022 fiscal year, in an amount equal to the least of (i) 3,734,500 shares, (ii) one percent (1%) of the outstanding shares of common stock on the last day of the immediately preceding fiscal year or (iii) such other amount as the administrator may determine. On January 1, 2023, the number of shares available under the ESPP increased by 1,248,654 shares pursuant to this feature.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the beneficial ownership of Common Stock as of April 17, 2023 by: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each person known by us to be the beneficial owner of more than 5% of our outstanding Common Stock;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each of our named executive officers and our directors;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all of our executive officers and directors as a group.</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April 17, 2023. Shares subject to options that are currently exercisable or exercisable within 60 days of April 17, 2023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the directors and executive officers of New Nautilus is 2701 Eastlake Avenue East, Seattle, WA 98102. The percentage of beneficial ownership of New Nautilus is calculated based on 124,866,392 shares of Common Stock outstanding as of April 17, 2023.</w:t>
      </w:r>
    </w:p>
    <w:tbl>
      <w:tblPr>
        <w:tblW w:w="7102" w:type="dxa"/>
        <w:jc w:val="left"/>
        <w:tblInd w:w="0" w:type="dxa"/>
        <w:tblCellMar>
          <w:top w:w="28" w:type="dxa"/>
          <w:left w:w="28" w:type="dxa"/>
          <w:bottom w:w="28" w:type="dxa"/>
          <w:right w:w="28" w:type="dxa"/>
        </w:tblCellMar>
      </w:tblPr>
      <w:tblGrid>
        <w:gridCol w:w="1580"/>
        <w:gridCol w:w="1390"/>
        <w:gridCol w:w="1394"/>
        <w:gridCol w:w="109"/>
        <w:gridCol w:w="109"/>
        <w:gridCol w:w="109"/>
        <w:gridCol w:w="469"/>
        <w:gridCol w:w="469"/>
        <w:gridCol w:w="471"/>
        <w:gridCol w:w="109"/>
        <w:gridCol w:w="109"/>
        <w:gridCol w:w="109"/>
        <w:gridCol w:w="197"/>
        <w:gridCol w:w="197"/>
        <w:gridCol w:w="281"/>
      </w:tblGrid>
      <w:tr>
        <w:trPr/>
        <w:tc>
          <w:tcPr>
            <w:tcW w:w="158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and Address of Beneficial Owners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Sujal Patel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17,694,050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Parag Mallick</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21,038,067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Gwen Weld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143,910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Anna Mowry</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412,053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Melissa Epperly</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142,904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Matthew McIlwain</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6,602,592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Farzad Nazem</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2,010,893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Vijay Pande</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Matthew L. Posard</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484,543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Michael Altman</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4,262,590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Karen Akinsanya</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55,632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20"/>
              </w:rPr>
              <w:t>All directors and officers as a group (15 persons)</w:t>
            </w:r>
            <w:r>
              <w:rPr>
                <w:rFonts w:ascii="Times New Roman;sans-serif" w:hAnsi="Times New Roman;sans-serif"/>
                <w:b w:val="false"/>
                <w:i/>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54,843,130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Five Percent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Perceptive Life Sciences Master Fund Ltd.</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9,111,151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Entities affiliated with Andreessen Horowitz</w:t>
            </w:r>
            <w:r>
              <w:rPr>
                <w:rFonts w:ascii="Times New Roman;sans-serif" w:hAnsi="Times New Roman;sans-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17,653,917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Entities affiliated with Cercano Management</w:t>
            </w:r>
            <w:r>
              <w:rPr>
                <w:rFonts w:ascii="Times New Roman;sans-serif" w:hAnsi="Times New Roman;sans-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7,172,985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Entities affiliated with Madrona Ventures</w:t>
            </w:r>
            <w:r>
              <w:rPr>
                <w:rFonts w:ascii="Times New Roman;sans-serif" w:hAnsi="Times New Roman;sans-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6,602,592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*Less than 1%</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(1)Consists of (i) 9,924,488 shares held by Mr. Patel, (ii) 5,280,476 shares held by PFV I, LLC, (iii) 1,814,035 shares held by the Sujal Patel 2020 Children's Trust, u/a/d December 3, 2020 (the “Patel Trust”) and (iv) 585,051 shares subject to options held by Mr. Patel exercisable withing 60 days of April 17, 2023.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(2)Consists of (i) 20,479,892 shares held by Dr. Mallick, (ii) 200,000 shares held by The Dream Finder Foundation, and (iii) 358,175 shares subject to options held by Dr. Mallick exercisable within 60 days of April 17, 2023.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(3)Consists of (i) 30,000 shares held by Ms. Weld and (ii) 113,910 shares subject to options held by Ms. Weld exercisable within 60 days of April 17, 2023.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(4)Consists of (i) 58,000 shares held by Ms. Mowry and (ii) 354,053 shares subject to options held by Ms. Mowry exercisable within 60 days of April 17, 2023.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(5)Consists of shares subject to options held by Ms. Epperly exercisable within 60 days of April 17, 2023.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(6)Consists of the shares set forth in footnote 16 below.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(7)Consists of (i) 1,888,146 shares held by HAND Capital, LLC and (ii) 122,747 shares subject to options held by Mr. Nazem exercisable within 60 days of April 17, 2023. Mr. Nazem is the manager of HAND Capital, LLC and as such has voting and investment power over the shares held by HAND Capital, LLC.</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(8)Mr. Pande has no voting or investment control over the shares held by entities affiliated with Andreessen Horowitz that are included in footnote 12 below.</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(9)Consists of (i) 50,000 shares held by Mr. Posard, (ii) 100,000 shares held by the Matthew and Elizabeth Posard Trust and (iii) 334,543 shares subject to options held by Mr. Posard exercisable within 60 days of April 17, 2023. Mr. Posard is the trustee of the Matthew and Elizabeth Posard Trust and as such has voting and investment control over shares held by the Matthew and Elizabeth Posard Trust.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(10)Consists of (i) 4,146,500 shares held in the name of ARYA’s sponsor, ARYA Sciences Holdings III, a Cayman Islands exempted limited company (“ARYA’s Sponsor”) and (ii) 116,090 shares subject to options held by Mr. Altman exercisable within 60 days of April 17, 2023.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(11)Consists of shares subject to options held by Ms. Akinsanya exercisable within 60 days of April 17, 2023.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(12)Consists of (i) 50,689,272 shares beneficially owned by the directors and officers and (ii) 4,153,858 shares subject to options held by the directors and officers exercisable within 60 days of April 17, 2023.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(13)Shares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(14)Consists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(15)Consists of (i) 3,586,493 shares held by Vulcan Capital Holdings Columbia LLC (“VCHC”) and (ii) 3,586,492 shares held by VCVC V LLC (“VCVC”). Based solely on the most recently available Schedule 13G filed with the SEC on February 13, 2023, Cercano Management LLC (“Cercano”) may be deemed to be the beneficial owner of such shares as Cercano acts as an investment adviser to VCHC and VCVC pursuant to investment management agreements whereby all voting and investment discretion has been contractually allocated to Cercano, and such discretion may not be revoked with less than 61 days’ notice, and Christopher N. Ordnorff may also be deemed to be the beneficial owner of such shares because he controls Cercano in his position as managing member of Cercano.  Both Cercano and Mr. Orndorff disclaim, for purposes of Section 16 of the Securities Exchange Act of 1934, beneficial ownership of these securities, except to the extent of their respective pecuniary interests therein, and this report shall not be deemed an admission that either of Cercano or Mr. Orndorff is the beneficial owner of such securities for purposes of Section 16 or for any other purposes. The address for the foregoing entities is 1110 112th Avenue NE, Suite 202, Bellevue, WA 98004.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(16)Consists of (i) 5,798,394 shares held by Madrona Venture Fund VI, LP (“Madrona Fund VI”), (ii) 222,376 shares held by Madrona Venture Fund VI-A, LP (“Madrona Fund VI-A”), (iii) 459,075 shares held by Mr. McIlwain and (iv) 122,747 shares subject to options held by Mr. McIlwain exercisable within 60 days of April 17, 2023. Madrona Investment Partners VI, L.P. (“Madrona Partners VI”) is the general partner of each of Madrona Fund VI and Madrona Fund VI-A, and Madrona VI General Partner, LLC (“Madrona VI LLC”) is the general partner of Madrona Partners VI. Matthew McIlwain, together with Paul Goodrich, Scott Jacobson, Len Jordon, Tim Porter, Soma Somasegar, Hope Cochran, and Steve Singh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pStyle w:val="TextBody"/>
        <w:spacing w:lineRule="auto" w:line="288" w:before="240" w:after="283"/>
        <w:ind w:left="0" w:right="0" w:firstLine="360"/>
        <w:rPr/>
      </w:pPr>
      <w:r>
        <w:rPr>
          <w:rFonts w:ascii="Times New Roman;sans-serif" w:hAnsi="Times New Roman;sans-serif"/>
          <w:b w:val="false"/>
          <w:color w:val="000000"/>
          <w:sz w:val="20"/>
        </w:rPr>
        <w:t>Please see the sections titled “</w:t>
      </w:r>
      <w:r>
        <w:rPr>
          <w:rFonts w:ascii="Times New Roman;sans-serif" w:hAnsi="Times New Roman;sans-serif"/>
          <w:b w:val="false"/>
          <w:i/>
          <w:color w:val="000000"/>
          <w:sz w:val="20"/>
        </w:rPr>
        <w:t>Executive Compensation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Related Person Transactions</w:t>
      </w:r>
      <w:r>
        <w:rPr>
          <w:color w:val="000000"/>
        </w:rPr>
        <w:t xml:space="preserve">” </w:t>
      </w:r>
      <w:r>
        <w:rPr>
          <w:rFonts w:ascii="Times New Roman;sans-serif" w:hAnsi="Times New Roman;sans-serif"/>
          <w:b w:val="false"/>
          <w:color w:val="000000"/>
          <w:sz w:val="20"/>
        </w:rPr>
        <w:t>appearing elsewhere in this proxy statement for information regarding material relationships with our principal securityholders within the past two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RELATED PERSON TRANSACTIONS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Described below are any transactions occurring since January 1, 2021 and any currently proposed transactions to which we or either of ARYA or Legacy Nautilus was a party and in which:</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amounts involved exceeded or will exceed the lesser of $120,000 or 1% of the average of our total assets at year-end for the last two completed fiscal years;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 director, executive officer, holder of more than 5% of the outstanding capital stock of us, ARYA or Legacy Nautilus, or any member of such person’s immediate family had or will have a direct or indirect material interest.</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Transfer Agreement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Legacy Nautilus, Parag Mallick, our, and previously Legacy Nautilus’, Chief Scientist and director, and certain holders of Legacy Nautilus capital stock or their affiliates entered into a Stock Transfer Agreement pursuant to which Dr. Mallick transferred and sold an aggregate total of 147,275 shares (before giving effect to the exchange upon consummation of the Business Combination) to the purchasers party thereto at a price per share of $33.95 (before giving effect to the exchange upon consummation of the Business Combination) for aggregate gross proceeds of $4,999,986.25. Legacy Nautilus did not purchase any of the shares sold by Dr. Mallick pursuant to the agreement and was a party to the agreement solely for the purpose of acknowledging the transfer and waiving certain restrictions on transfer governing the shares set forth in the existing Legacy Nautilus shareholder agreements and governing documents. Purchasers in the transaction included stockholders that beneficially owned more than 5% of Legacy Nautilus’ outstanding capital stock at the time of such transaction and/or were represented on Legacy Nautilus’ board of directors at the time of the transaction. The following table presents the number of shares and the total purchase price paid by these entities.</w:t>
      </w:r>
    </w:p>
    <w:tbl>
      <w:tblPr>
        <w:tblW w:w="10205" w:type="dxa"/>
        <w:jc w:val="left"/>
        <w:tblInd w:w="0" w:type="dxa"/>
        <w:tblCellMar>
          <w:top w:w="28" w:type="dxa"/>
          <w:left w:w="28" w:type="dxa"/>
          <w:bottom w:w="28" w:type="dxa"/>
          <w:right w:w="28" w:type="dxa"/>
        </w:tblCellMar>
      </w:tblPr>
      <w:tblGrid>
        <w:gridCol w:w="2486"/>
        <w:gridCol w:w="2186"/>
        <w:gridCol w:w="2202"/>
        <w:gridCol w:w="109"/>
        <w:gridCol w:w="109"/>
        <w:gridCol w:w="109"/>
        <w:gridCol w:w="445"/>
        <w:gridCol w:w="379"/>
        <w:gridCol w:w="381"/>
        <w:gridCol w:w="109"/>
        <w:gridCol w:w="109"/>
        <w:gridCol w:w="109"/>
        <w:gridCol w:w="488"/>
        <w:gridCol w:w="488"/>
        <w:gridCol w:w="496"/>
      </w:tblGrid>
      <w:tr>
        <w:trPr/>
        <w:tc>
          <w:tcPr>
            <w:tcW w:w="2486"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2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6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 of</w:t>
              <w:br/>
              <w:t>Nautilus</w:t>
              <w:b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Purchase</w:t>
              <w:br/>
              <w:t>Price ($)</w:t>
            </w:r>
          </w:p>
        </w:tc>
      </w:tr>
      <w:tr>
        <w:trPr/>
        <w:tc>
          <w:tcPr>
            <w:tcW w:w="6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Andreessen Horowitz LSV Fund II, LP, for itself and as nominee for Andreessen Horowitz LSV Fund II-B, L.P. and Andreessen Horowitz LSV Fund II-Q, L.P.</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2,528,936 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904,360 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Entities affiliated with Madrona Venture Fund VI</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23,448 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796,060 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HAND Capital,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277,134 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(1)Vijay Pande is a member of our board of directors and was a member of Legacy Nautilus’ board of directors and is an affiliate of Andreessen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(2)Stuart Nagae was a member of Legacy Nautilus’ board of directors and is an affiliate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(3)Matthew McIlwain is a member of our board of directors and was a member of Legacy Nautilus’ board of directors and is an affiliate of Madrona Venture Fund VI.</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(4)Farzad Nazem is a member of our board of directors and was a member of Legacy Nautilus’ board of directors and is the manager of HAND Capital, LLC.</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PIPE Subscription Agreements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Business Combination Agreement, effective as of February 7, 2021, ARYA entered into the Subscription Agreements (each, a “Subscription Agreement”) with the Perceptive PIPE Investor and certain other PIPE investors (the “Other PIPE Investors,” and the Other PIPE Investors, together with the Perceptive PIPE Investor, the “PIPE Investors”), pursuant to which the PIPE Investors agreed to subscribe for and purchase, and ARYA agreed to issue and sell to the PIPE Investors, an aggregate of 20,000,000 shares of our Common Stock at a price of $10.00 per share, for aggregate gross proceeds of $200 million. The Perceptive PIPE Investor funded $55 million in the PIPE Financing. The shares of our Common Stock issued pursuant to the Subscription Agreements were not registered under the Securities Act and were issued in reliance of the exemption provided in Section 4(a)(2) of the Securities Act. We granted the PIPE Investors certain registration rights in connection with the PIPE Financing requiring us to file and maintain an effective resale registration statement with respect to the PIPE Shares for the benefit of the PIPE Investors. The Other PIPE Investors include stockholders that beneficially owned more than 5% of Legacy Nautilus’ outstanding capital stock at the time of entering into the applicable Subscription Agreement and/or were represented on Legacy Nautilus’ board of directors at such time. The following table presents the number of shares purchased and the total purchase price paid by </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individuals and entities, as well as the Perceptive PIPE Investor. In addition to such individuals and entities, as set forth below, funds affiliated with BAIN Capital Life Sciences Investors, LLC, previously a holder of more than 5% of ARYA’s outstanding capital stock, purchased $10,000,000 of our Common Stock in the PIPE Financing. </w:t>
      </w:r>
    </w:p>
    <w:tbl>
      <w:tblPr>
        <w:tblW w:w="10205" w:type="dxa"/>
        <w:jc w:val="left"/>
        <w:tblInd w:w="0" w:type="dxa"/>
        <w:tblCellMar>
          <w:top w:w="28" w:type="dxa"/>
          <w:left w:w="28" w:type="dxa"/>
          <w:bottom w:w="28" w:type="dxa"/>
          <w:right w:w="28" w:type="dxa"/>
        </w:tblCellMar>
      </w:tblPr>
      <w:tblGrid>
        <w:gridCol w:w="2452"/>
        <w:gridCol w:w="2149"/>
        <w:gridCol w:w="2180"/>
        <w:gridCol w:w="109"/>
        <w:gridCol w:w="109"/>
        <w:gridCol w:w="109"/>
        <w:gridCol w:w="488"/>
        <w:gridCol w:w="488"/>
        <w:gridCol w:w="286"/>
        <w:gridCol w:w="109"/>
        <w:gridCol w:w="109"/>
        <w:gridCol w:w="109"/>
        <w:gridCol w:w="540"/>
        <w:gridCol w:w="541"/>
        <w:gridCol w:w="427"/>
      </w:tblGrid>
      <w:tr>
        <w:trPr/>
        <w:tc>
          <w:tcPr>
            <w:tcW w:w="2452"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r>
      <w:tr>
        <w:trPr/>
        <w:tc>
          <w:tcPr>
            <w:tcW w:w="6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w:t>
              <w:br/>
              <w:t>Price ($)</w:t>
            </w:r>
          </w:p>
        </w:tc>
      </w:tr>
      <w:tr>
        <w:trPr/>
        <w:tc>
          <w:tcPr>
            <w:tcW w:w="6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Andreessen Horowitz LSV Fund II, LP, for itself and as nominee for Andreessen Horowitz LSV Fund II-B, L.P. and Andreessen Horowitz LSV Fund II-Q, L.P.</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10,856,560 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1,248,113 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12,481,130 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1"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Entities affiliated with Madrona Venture Fund VI</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1,258,945 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12,589,450 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HAND Capital,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722,860 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1"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Matthew Posard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Perceptive PIPE Investor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55,000,000 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1"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Entities affiliated with BAIN Capital Life Sciences Investors, LLC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(1)Vijay Pande is a member of our board of directors and was a member of Legacy Nautilus’ board of directors and is a representative of Andreessen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(2)Stuart Nagae was a member of Legacy Nautilus’ board of directors and is a representative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(3)Matthew McIlwain is a member of our board of directors and was a member of Legacy Nautilus’ board of directors and is a representative of Madrona Venture Fund VI.</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(4)Farzad Nazem is a member of our board of directors and was a member of Legacy Nautilus’ board of directors and is the manager of HAND Capital, LLC.</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(5)Mr. Posard is a member of our board of directors and was a member of Legacy Nautilus’ board of directors.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(6)Michael Altman is a member of our board of directors, was a member of ARYA’s board of directors, and is a representative of the Perceptive PIPE Investor.</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(7)Entities affiliated with BAIN Capital Life Sciences Investors, LLC beneficially owned greater than 5% of ARYA’s outstanding capital stock prior to the closing of the Business Combination.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closing of the PIPE Financing was contingent upon, among other customary closing conditions, the substantially concurrent closing of the Business Combination. The purpose of the PIPE Financing was to raise additional capital for use by us following the Business Combination.</w:t>
      </w:r>
    </w:p>
    <w:p>
      <w:pPr>
        <w:pStyle w:val="TextBody"/>
        <w:spacing w:lineRule="auto" w:line="288" w:before="24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Our Policies and Procedures for Related Party Transactions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risks, costs, and benefits to us;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impact on a director’s independence in the event the related person is a director, immediate family member of a director or an entity with which a director is affiliated;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terms of the transaction;</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availability of other sources for comparable services or products;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terms available to or from, as the case may be, unrelated third parties.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audit committee will approve only those transactions that it determines are fair to us and in our best interests. All of the transactions described above were entered into prior to the adoption of such policy.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Stockholder Proposals or Director Nominations for 2024 Annual Meeting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If a stockholder would like us to consider including a proposal in our proxy statement for our 2024 annual meeting pursuant to Rule 14a-8 of the Exchange Act, then the proposal must be received by our corporate secretary at our principal executive offices on or before December 29, 2023. In addition, stockholder proposals must comply with the requirements of Rule 14a-8 regarding the inclusion of stockholder proposals in company-sponsored proxy materials. Proposals should be addressed to:</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2024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no earlier than 8:00 a.m., Pacific time, on February 15, 2024,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no later than 5:00 p.m., Pacific time, on March 16, 2024.</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the event that we hold our 2024 annual meeting more or less than 25 days after the one-year anniversary of this year’s annual meeting, then such written notice must be received by our corporate secretary at our principal executive offices: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no earlier than 8:00 a.m., Pacific time, on the 120th day prior to the day of our 2024 annual meeting,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no later than 5:00 p.m., Pacific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is first made by us.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satisfying the requirements of our amended and restated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April 15, 2024.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Availability of Bylaws</w:t>
      </w:r>
    </w:p>
    <w:p>
      <w:pPr>
        <w:pStyle w:val="TextBody"/>
        <w:spacing w:lineRule="auto" w:line="288" w:before="240" w:after="283"/>
        <w:rPr/>
      </w:pPr>
      <w:r>
        <w:rPr>
          <w:rFonts w:ascii="Times New Roman;sans-serif" w:hAnsi="Times New Roman;sans-serif"/>
          <w:b w:val="false"/>
          <w:color w:val="000000"/>
          <w:sz w:val="20"/>
        </w:rPr>
        <w:t xml:space="preserve">A copy of our amended and restated bylaws may be obtained by accessing our filings on the SEC’s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You may also contact our corporate secretary at our principal executive offices for a copy of the relevant bylaw provisions regarding the requirements for making stockholder proposals and nominating director candidates.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fiscal year ended December 31, 2022, all directors, executive officers and greater than 10% stockholders complied with all Section 16(a) filing requirements applicable to them..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making these statements, we have relied upon examination of the filings made with the SEC and the written representations of our directors and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2022 Annual Report</w:t>
      </w:r>
    </w:p>
    <w:p>
      <w:pPr>
        <w:pStyle w:val="TextBody"/>
        <w:spacing w:lineRule="auto" w:line="288" w:before="240" w:after="283"/>
        <w:rPr/>
      </w:pPr>
      <w:r>
        <w:rPr>
          <w:rFonts w:ascii="Times New Roman;sans-serif" w:hAnsi="Times New Roman;sans-serif"/>
          <w:b w:val="false"/>
          <w:color w:val="000000"/>
          <w:sz w:val="20"/>
        </w:rPr>
        <w:t xml:space="preserve">Our financial statements for our fiscal year ended December 31, 2022 are included in our annual report, which we will make available to stockholders at the same time as this proxy statement. Our proxy materials and our annual report are posted on our website at </w:t>
      </w:r>
      <w:r>
        <w:rPr>
          <w:rFonts w:ascii="Times New Roman;sans-serif" w:hAnsi="Times New Roman;sans-serif"/>
          <w:b w:val="false"/>
          <w:color w:val="000000"/>
          <w:sz w:val="20"/>
          <w:highlight w:val="white"/>
        </w:rPr>
        <w:t>http://www.nautilus.bio/investors/</w:t>
      </w:r>
      <w:r>
        <w:rPr>
          <w:color w:val="000000"/>
        </w:rPr>
        <w:t xml:space="preserve"> </w:t>
      </w:r>
      <w:r>
        <w:rPr>
          <w:rFonts w:ascii="Times New Roman;sans-serif" w:hAnsi="Times New Roman;sans-serif"/>
          <w:b w:val="false"/>
          <w:color w:val="000000"/>
          <w:sz w:val="20"/>
        </w:rPr>
        <w:t xml:space="preserve">and are available from the SEC at its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w:t>
      </w:r>
      <w:r>
        <w:rPr>
          <w:rFonts w:ascii="Times New Roman;sans-serif" w:hAnsi="Times New Roman;sans-serif"/>
          <w:b/>
          <w:color w:val="000000"/>
          <w:sz w:val="20"/>
        </w:rPr>
        <w:t>You may also obtain a copy of our annual report, free of charge, by sending a written request to Nautilus Biotechnology, Inc., 2701 Eastlake Avenue East, Seattle, Washington 98102, Attention: Investor Relations.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It is important that your shares be represented at the annual meeting, regardless of the number of shares that you hold. You are, therefore, urged to vote as promptly as possible to ensure your vote is recorded.</w:t>
      </w:r>
    </w:p>
    <w:p>
      <w:pPr>
        <w:pStyle w:val="TextBody"/>
        <w:spacing w:lineRule="auto" w:line="288" w:before="480" w:after="283"/>
        <w:rPr>
          <w:rFonts w:ascii="Times New Roman;sans-serif" w:hAnsi="Times New Roman;sans-serif"/>
          <w:b/>
          <w:color w:val="000000"/>
          <w:sz w:val="20"/>
        </w:rPr>
      </w:pPr>
      <w:r>
        <w:rPr>
          <w:rFonts w:ascii="Times New Roman;sans-serif" w:hAnsi="Times New Roman;sans-serif"/>
          <w:b/>
          <w:color w:val="000000"/>
          <w:sz w:val="20"/>
        </w:rPr>
        <w:t>THE BOARD OF DIRECTORS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pStyle w:val="TextBody"/>
        <w:spacing w:before="0" w:after="0"/>
        <w:rPr/>
      </w:pPr>
      <w:r>
        <w:rPr/>
        <w:t>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center"/>
        <w:rPr/>
      </w:pPr>
      <w:r>
        <w:rPr/>
        <w:drawing>
          <wp:inline distT="0" distB="0" distL="0" distR="0">
            <wp:extent cx="10048875" cy="1300162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V11023-P89901 Nominees: 01) Parag Mallick 02) Matthew McIlwain 03) Farzad Nazem 2. Ratification of the appointment of PricewaterhouseCoopers, LLP as our independent registered public accounting firm for the year ended December 31, 2023. ! ! !1. Election of Class II Directors For All Withhold All For All Except ! !!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NAUTILUS BIOTECHNOLOGY, INC. To withhold authority to vote for any individual nominee(s), mark "For All Except" and write the number(s) of the nominee(s) on the line below.The Board of Directors recommends you vote FOR the following: The Board of Directors recommends you vote FOR the following proposal: NOTE: In their discretion, the proxyholders will vote on such other business as may properly come before the meeting or any adjournment or postponement thereof. For Against Abstain NAUTILUS BIOTECHNOLOGY, INC. 2701 EASTLAKE AVE EAST SEATTLE, WA 98102-4188 VOTE BY INTERNET Before The Meeting - Go to www.proxyvote.com or scan the QR Barcode above Use the Internet to transmit your voting instructions and for electronic delivery of information. Vote by 11:59 P.M. Eastern Time on June 13, 2023. Have your proxy card in hand when you access the web site and follow the instructions to obtain your records and to create an electronic voting instruction form. During The Meeting - Go to www.virtualshareholdermeeting.com/NAUT2023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June 13, 2023.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Important Notice Regarding the Availability of Proxy Materials for the Annual Meeting: The Notice and Proxy Statement and Annual Report on Form 10-K are available at www.proxyvote.com. V11024-P89901 NAUTILUS BIOTECHNOLOGY, INC. THIS PROXY IS SOLICITED BY THE BOARD OF DIRECTORS ANNUAL MEETING OF STOCKHOLDERS JUNE 14, 2023, 10:00 AM PDT The stockholder(s) hereby appoint(s) Sujal Patel and Anna Mowry, or either of them, as proxies, each with the power to appoint his or her substitute, and hereby authorize(s) them to represent and to vote, as designated on the reverse side of this ballot, all of the shares of Common Stock of NAUTILUS BIOTECHNOLOGY, INC. that the stockholder(s) is/are entitled to vote at the Annual Meeting of Stockholders to be held virtually at www.virtualshareholdermeeting.com/NAUT2023 at 10:00 a.m., Pacific time on Wednesday, June 14, 2023, and any adjournment or postponement thereof. THIS PROXY, WHEN PROPERLY EXECUTED, WILL BE VOTED AS DIRECTED BY THE STOCKHOLDERS. IF NO SUCH DIRECTIONS ARE MADE, THIS PROXY WILL BE VOTED IN ACCORDANCE WITH THE BOARD OF DIRECTORS' RECOMMENDATIONS. Continued and to be signed on reverse side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283"/>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42</Pages>
  <Words>25804</Words>
  <CharactersWithSpaces>163624</CharactersWithSpaces>
  <Paragraphs>1092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