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4"/>
          <w:szCs w:val="24"/>
          <w:color w:val="auto"/>
        </w:rPr>
      </w:pPr>
    </w:p>
    <w:p>
      <w:pPr>
        <w:spacing w:after="0" w:line="292" w:lineRule="exact"/>
        <w:rPr>
          <w:sz w:val="24"/>
          <w:szCs w:val="24"/>
          <w:color w:val="auto"/>
        </w:rPr>
      </w:pPr>
    </w:p>
    <w:p>
      <w:pPr>
        <w:jc w:val="right"/>
        <w:ind w:left="580" w:right="540"/>
        <w:spacing w:after="0" w:line="261" w:lineRule="auto"/>
        <w:rPr>
          <w:sz w:val="20"/>
          <w:szCs w:val="20"/>
          <w:color w:val="auto"/>
        </w:rPr>
      </w:pPr>
      <w:r>
        <w:rPr>
          <w:rFonts w:ascii="Arial" w:cs="Arial" w:eastAsia="Arial" w:hAnsi="Arial"/>
          <w:sz w:val="15"/>
          <w:szCs w:val="15"/>
          <w:b w:val="1"/>
          <w:bCs w:val="1"/>
          <w:color w:val="auto"/>
        </w:rPr>
        <w:t>As filed with the United States Securities and Exchange Commission on July 21, 2020 under the Securities Act of 1933, as amended.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617220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260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55880</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55880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57150</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ARYA Sciences Acquisition Corp III</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36830</wp:posOffset>
            </wp:positionV>
            <wp:extent cx="1097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24" w:lineRule="exact"/>
        <w:rPr>
          <w:sz w:val="24"/>
          <w:szCs w:val="24"/>
          <w:color w:val="auto"/>
        </w:rPr>
      </w:pPr>
    </w:p>
    <w:tbl>
      <w:tblPr>
        <w:tblLayout w:type="fixed"/>
        <w:tblInd w:w="640" w:type="dxa"/>
        <w:tblCellMar>
          <w:top w:w="0" w:type="dxa"/>
          <w:left w:w="0" w:type="dxa"/>
          <w:bottom w:w="0" w:type="dxa"/>
          <w:right w:w="0" w:type="dxa"/>
        </w:tblCellMar>
      </w:tblPr>
      <w:tr>
        <w:trPr>
          <w:trHeight w:val="198"/>
        </w:trPr>
        <w:tc>
          <w:tcPr>
            <w:tcW w:w="2080" w:type="dxa"/>
            <w:vAlign w:val="bottom"/>
          </w:tcPr>
          <w:p>
            <w:pPr>
              <w:ind w:left="380"/>
              <w:spacing w:after="0"/>
              <w:rPr>
                <w:sz w:val="20"/>
                <w:szCs w:val="20"/>
                <w:color w:val="auto"/>
              </w:rPr>
            </w:pPr>
            <w:r>
              <w:rPr>
                <w:rFonts w:ascii="Arial" w:cs="Arial" w:eastAsia="Arial" w:hAnsi="Arial"/>
                <w:sz w:val="15"/>
                <w:szCs w:val="15"/>
                <w:b w:val="1"/>
                <w:bCs w:val="1"/>
                <w:color w:val="auto"/>
              </w:rPr>
              <w:t>Cayman Islands</w:t>
            </w:r>
          </w:p>
        </w:tc>
        <w:tc>
          <w:tcPr>
            <w:tcW w:w="4400" w:type="dxa"/>
            <w:vAlign w:val="bottom"/>
          </w:tcPr>
          <w:p>
            <w:pPr>
              <w:jc w:val="center"/>
              <w:ind w:right="66"/>
              <w:spacing w:after="0"/>
              <w:rPr>
                <w:sz w:val="20"/>
                <w:szCs w:val="20"/>
                <w:color w:val="auto"/>
              </w:rPr>
            </w:pPr>
            <w:r>
              <w:rPr>
                <w:rFonts w:ascii="Arial" w:cs="Arial" w:eastAsia="Arial" w:hAnsi="Arial"/>
                <w:sz w:val="15"/>
                <w:szCs w:val="15"/>
                <w:b w:val="1"/>
                <w:bCs w:val="1"/>
                <w:color w:val="auto"/>
                <w:w w:val="89"/>
              </w:rPr>
              <w:t>6770</w:t>
            </w:r>
          </w:p>
        </w:tc>
        <w:tc>
          <w:tcPr>
            <w:tcW w:w="1740" w:type="dxa"/>
            <w:vAlign w:val="bottom"/>
          </w:tcPr>
          <w:p>
            <w:pPr>
              <w:jc w:val="center"/>
              <w:ind w:left="244"/>
              <w:spacing w:after="0"/>
              <w:rPr>
                <w:sz w:val="20"/>
                <w:szCs w:val="20"/>
                <w:color w:val="auto"/>
              </w:rPr>
            </w:pPr>
            <w:r>
              <w:rPr>
                <w:rFonts w:ascii="Arial" w:cs="Arial" w:eastAsia="Arial" w:hAnsi="Arial"/>
                <w:sz w:val="15"/>
                <w:szCs w:val="15"/>
                <w:b w:val="1"/>
                <w:bCs w:val="1"/>
                <w:color w:val="auto"/>
                <w:w w:val="92"/>
              </w:rPr>
              <w:t>98-1541723</w:t>
            </w:r>
          </w:p>
        </w:tc>
      </w:tr>
      <w:tr>
        <w:trPr>
          <w:trHeight w:val="184"/>
        </w:trPr>
        <w:tc>
          <w:tcPr>
            <w:tcW w:w="2080" w:type="dxa"/>
            <w:vAlign w:val="bottom"/>
          </w:tcPr>
          <w:p>
            <w:pPr>
              <w:spacing w:after="0"/>
              <w:rPr>
                <w:sz w:val="20"/>
                <w:szCs w:val="20"/>
                <w:color w:val="auto"/>
              </w:rPr>
            </w:pPr>
            <w:r>
              <w:rPr>
                <w:rFonts w:ascii="Arial" w:cs="Arial" w:eastAsia="Arial" w:hAnsi="Arial"/>
                <w:sz w:val="15"/>
                <w:szCs w:val="15"/>
                <w:color w:val="auto"/>
              </w:rPr>
              <w:t>(State or other jurisdiction of</w:t>
            </w:r>
          </w:p>
        </w:tc>
        <w:tc>
          <w:tcPr>
            <w:tcW w:w="4400" w:type="dxa"/>
            <w:vAlign w:val="bottom"/>
          </w:tcPr>
          <w:p>
            <w:pPr>
              <w:ind w:left="1240"/>
              <w:spacing w:after="0"/>
              <w:rPr>
                <w:sz w:val="20"/>
                <w:szCs w:val="20"/>
                <w:color w:val="auto"/>
              </w:rPr>
            </w:pPr>
            <w:r>
              <w:rPr>
                <w:rFonts w:ascii="Arial" w:cs="Arial" w:eastAsia="Arial" w:hAnsi="Arial"/>
                <w:sz w:val="15"/>
                <w:szCs w:val="15"/>
                <w:color w:val="auto"/>
              </w:rPr>
              <w:t>(Primary Standard Industrial</w:t>
            </w:r>
          </w:p>
        </w:tc>
        <w:tc>
          <w:tcPr>
            <w:tcW w:w="1740" w:type="dxa"/>
            <w:vAlign w:val="bottom"/>
          </w:tcPr>
          <w:p>
            <w:pPr>
              <w:jc w:val="center"/>
              <w:ind w:left="224"/>
              <w:spacing w:after="0"/>
              <w:rPr>
                <w:sz w:val="20"/>
                <w:szCs w:val="20"/>
                <w:color w:val="auto"/>
              </w:rPr>
            </w:pPr>
            <w:r>
              <w:rPr>
                <w:rFonts w:ascii="Arial" w:cs="Arial" w:eastAsia="Arial" w:hAnsi="Arial"/>
                <w:sz w:val="15"/>
                <w:szCs w:val="15"/>
                <w:color w:val="auto"/>
                <w:w w:val="94"/>
              </w:rPr>
              <w:t>(I.R.S. Employer</w:t>
            </w:r>
          </w:p>
        </w:tc>
      </w:tr>
      <w:tr>
        <w:trPr>
          <w:trHeight w:val="148"/>
        </w:trPr>
        <w:tc>
          <w:tcPr>
            <w:tcW w:w="2080" w:type="dxa"/>
            <w:vAlign w:val="bottom"/>
          </w:tcPr>
          <w:p>
            <w:pPr>
              <w:spacing w:after="0" w:line="149" w:lineRule="exact"/>
              <w:rPr>
                <w:sz w:val="20"/>
                <w:szCs w:val="20"/>
                <w:color w:val="auto"/>
              </w:rPr>
            </w:pPr>
            <w:r>
              <w:rPr>
                <w:rFonts w:ascii="Arial" w:cs="Arial" w:eastAsia="Arial" w:hAnsi="Arial"/>
                <w:sz w:val="15"/>
                <w:szCs w:val="15"/>
                <w:color w:val="auto"/>
              </w:rPr>
              <w:t>incorporation or organization)</w:t>
            </w:r>
          </w:p>
        </w:tc>
        <w:tc>
          <w:tcPr>
            <w:tcW w:w="4400" w:type="dxa"/>
            <w:vAlign w:val="bottom"/>
          </w:tcPr>
          <w:p>
            <w:pPr>
              <w:jc w:val="center"/>
              <w:ind w:right="66"/>
              <w:spacing w:after="0" w:line="149" w:lineRule="exact"/>
              <w:rPr>
                <w:sz w:val="20"/>
                <w:szCs w:val="20"/>
                <w:color w:val="auto"/>
              </w:rPr>
            </w:pPr>
            <w:r>
              <w:rPr>
                <w:rFonts w:ascii="Arial" w:cs="Arial" w:eastAsia="Arial" w:hAnsi="Arial"/>
                <w:sz w:val="15"/>
                <w:szCs w:val="15"/>
                <w:color w:val="auto"/>
                <w:w w:val="93"/>
              </w:rPr>
              <w:t>Classification Code Number)</w:t>
            </w:r>
          </w:p>
        </w:tc>
        <w:tc>
          <w:tcPr>
            <w:tcW w:w="1740" w:type="dxa"/>
            <w:vAlign w:val="bottom"/>
          </w:tcPr>
          <w:p>
            <w:pPr>
              <w:jc w:val="center"/>
              <w:ind w:left="264"/>
              <w:spacing w:after="0" w:line="149" w:lineRule="exact"/>
              <w:rPr>
                <w:sz w:val="20"/>
                <w:szCs w:val="20"/>
                <w:color w:val="auto"/>
              </w:rPr>
            </w:pPr>
            <w:r>
              <w:rPr>
                <w:rFonts w:ascii="Arial" w:cs="Arial" w:eastAsia="Arial" w:hAnsi="Arial"/>
                <w:sz w:val="15"/>
                <w:szCs w:val="15"/>
                <w:color w:val="auto"/>
                <w:w w:val="95"/>
              </w:rPr>
              <w:t>Identification Number)</w:t>
            </w:r>
          </w:p>
        </w:tc>
      </w:tr>
      <w:tr>
        <w:trPr>
          <w:trHeight w:val="145"/>
        </w:trPr>
        <w:tc>
          <w:tcPr>
            <w:tcW w:w="2080" w:type="dxa"/>
            <w:vAlign w:val="bottom"/>
          </w:tcPr>
          <w:p>
            <w:pPr>
              <w:spacing w:after="0"/>
              <w:rPr>
                <w:sz w:val="12"/>
                <w:szCs w:val="12"/>
                <w:color w:val="auto"/>
              </w:rPr>
            </w:pPr>
          </w:p>
        </w:tc>
        <w:tc>
          <w:tcPr>
            <w:tcW w:w="4400" w:type="dxa"/>
            <w:vAlign w:val="bottom"/>
          </w:tcPr>
          <w:p>
            <w:pPr>
              <w:jc w:val="center"/>
              <w:ind w:right="46"/>
              <w:spacing w:after="0" w:line="145" w:lineRule="exact"/>
              <w:rPr>
                <w:sz w:val="20"/>
                <w:szCs w:val="20"/>
                <w:color w:val="auto"/>
              </w:rPr>
            </w:pPr>
            <w:r>
              <w:rPr>
                <w:rFonts w:ascii="Arial" w:cs="Arial" w:eastAsia="Arial" w:hAnsi="Arial"/>
                <w:sz w:val="11"/>
                <w:szCs w:val="11"/>
                <w:b w:val="1"/>
                <w:bCs w:val="1"/>
                <w:color w:val="auto"/>
              </w:rPr>
              <w:t>51 Astor Place, 10</w:t>
            </w:r>
            <w:r>
              <w:rPr>
                <w:rFonts w:ascii="Arial" w:cs="Arial" w:eastAsia="Arial" w:hAnsi="Arial"/>
                <w:sz w:val="16"/>
                <w:szCs w:val="16"/>
                <w:b w:val="1"/>
                <w:bCs w:val="1"/>
                <w:color w:val="auto"/>
                <w:vertAlign w:val="superscript"/>
              </w:rPr>
              <w:t>th</w:t>
            </w:r>
            <w:r>
              <w:rPr>
                <w:rFonts w:ascii="Arial" w:cs="Arial" w:eastAsia="Arial" w:hAnsi="Arial"/>
                <w:sz w:val="11"/>
                <w:szCs w:val="11"/>
                <w:b w:val="1"/>
                <w:bCs w:val="1"/>
                <w:color w:val="auto"/>
              </w:rPr>
              <w:t xml:space="preserve"> Floor</w:t>
            </w:r>
          </w:p>
        </w:tc>
        <w:tc>
          <w:tcPr>
            <w:tcW w:w="1740" w:type="dxa"/>
            <w:vAlign w:val="bottom"/>
          </w:tcPr>
          <w:p>
            <w:pPr>
              <w:spacing w:after="0"/>
              <w:rPr>
                <w:sz w:val="12"/>
                <w:szCs w:val="12"/>
                <w:color w:val="auto"/>
              </w:rPr>
            </w:pPr>
          </w:p>
        </w:tc>
      </w:tr>
      <w:tr>
        <w:trPr>
          <w:trHeight w:val="162"/>
        </w:trPr>
        <w:tc>
          <w:tcPr>
            <w:tcW w:w="2080" w:type="dxa"/>
            <w:vAlign w:val="bottom"/>
          </w:tcPr>
          <w:p>
            <w:pPr>
              <w:spacing w:after="0"/>
              <w:rPr>
                <w:sz w:val="14"/>
                <w:szCs w:val="14"/>
                <w:color w:val="auto"/>
              </w:rPr>
            </w:pPr>
          </w:p>
        </w:tc>
        <w:tc>
          <w:tcPr>
            <w:tcW w:w="4400" w:type="dxa"/>
            <w:vAlign w:val="bottom"/>
          </w:tcPr>
          <w:p>
            <w:pPr>
              <w:jc w:val="center"/>
              <w:ind w:right="46"/>
              <w:spacing w:after="0" w:line="162" w:lineRule="exact"/>
              <w:rPr>
                <w:sz w:val="20"/>
                <w:szCs w:val="20"/>
                <w:color w:val="auto"/>
              </w:rPr>
            </w:pPr>
            <w:r>
              <w:rPr>
                <w:rFonts w:ascii="Arial" w:cs="Arial" w:eastAsia="Arial" w:hAnsi="Arial"/>
                <w:sz w:val="15"/>
                <w:szCs w:val="15"/>
                <w:b w:val="1"/>
                <w:bCs w:val="1"/>
                <w:color w:val="auto"/>
                <w:w w:val="94"/>
              </w:rPr>
              <w:t>New York, New York 10003</w:t>
            </w:r>
          </w:p>
        </w:tc>
        <w:tc>
          <w:tcPr>
            <w:tcW w:w="1740" w:type="dxa"/>
            <w:vAlign w:val="bottom"/>
          </w:tcPr>
          <w:p>
            <w:pPr>
              <w:spacing w:after="0"/>
              <w:rPr>
                <w:sz w:val="14"/>
                <w:szCs w:val="14"/>
                <w:color w:val="auto"/>
              </w:rPr>
            </w:pPr>
          </w:p>
        </w:tc>
      </w:tr>
      <w:tr>
        <w:trPr>
          <w:trHeight w:val="166"/>
        </w:trPr>
        <w:tc>
          <w:tcPr>
            <w:tcW w:w="2080" w:type="dxa"/>
            <w:vAlign w:val="bottom"/>
          </w:tcPr>
          <w:p>
            <w:pPr>
              <w:spacing w:after="0"/>
              <w:rPr>
                <w:sz w:val="14"/>
                <w:szCs w:val="14"/>
                <w:color w:val="auto"/>
              </w:rPr>
            </w:pPr>
          </w:p>
        </w:tc>
        <w:tc>
          <w:tcPr>
            <w:tcW w:w="4400" w:type="dxa"/>
            <w:vAlign w:val="bottom"/>
          </w:tcPr>
          <w:p>
            <w:pPr>
              <w:jc w:val="center"/>
              <w:ind w:right="46"/>
              <w:spacing w:after="0" w:line="166" w:lineRule="exact"/>
              <w:rPr>
                <w:sz w:val="20"/>
                <w:szCs w:val="20"/>
                <w:color w:val="auto"/>
              </w:rPr>
            </w:pPr>
            <w:r>
              <w:rPr>
                <w:rFonts w:ascii="Arial" w:cs="Arial" w:eastAsia="Arial" w:hAnsi="Arial"/>
                <w:sz w:val="15"/>
                <w:szCs w:val="15"/>
                <w:b w:val="1"/>
                <w:bCs w:val="1"/>
                <w:color w:val="auto"/>
                <w:w w:val="93"/>
              </w:rPr>
              <w:t>Tel.: (212) 284 2300</w:t>
            </w:r>
          </w:p>
        </w:tc>
        <w:tc>
          <w:tcPr>
            <w:tcW w:w="1740" w:type="dxa"/>
            <w:vAlign w:val="bottom"/>
          </w:tcPr>
          <w:p>
            <w:pPr>
              <w:spacing w:after="0"/>
              <w:rPr>
                <w:sz w:val="14"/>
                <w:szCs w:val="14"/>
                <w:color w:val="auto"/>
              </w:rPr>
            </w:pPr>
          </w:p>
        </w:tc>
      </w:tr>
      <w:tr>
        <w:trPr>
          <w:trHeight w:val="162"/>
        </w:trPr>
        <w:tc>
          <w:tcPr>
            <w:tcW w:w="2080" w:type="dxa"/>
            <w:vAlign w:val="bottom"/>
          </w:tcPr>
          <w:p>
            <w:pPr>
              <w:spacing w:after="0"/>
              <w:rPr>
                <w:sz w:val="14"/>
                <w:szCs w:val="14"/>
                <w:color w:val="auto"/>
              </w:rPr>
            </w:pPr>
          </w:p>
        </w:tc>
        <w:tc>
          <w:tcPr>
            <w:tcW w:w="4400" w:type="dxa"/>
            <w:vAlign w:val="bottom"/>
          </w:tcPr>
          <w:p>
            <w:pPr>
              <w:jc w:val="center"/>
              <w:ind w:right="26"/>
              <w:spacing w:after="0" w:line="162" w:lineRule="exact"/>
              <w:rPr>
                <w:sz w:val="20"/>
                <w:szCs w:val="20"/>
                <w:color w:val="auto"/>
              </w:rPr>
            </w:pPr>
            <w:r>
              <w:rPr>
                <w:rFonts w:ascii="Arial" w:cs="Arial" w:eastAsia="Arial" w:hAnsi="Arial"/>
                <w:sz w:val="15"/>
                <w:szCs w:val="15"/>
                <w:color w:val="auto"/>
                <w:w w:val="91"/>
              </w:rPr>
              <w:t>(Address, including zip code, and telephone number,</w:t>
            </w:r>
          </w:p>
        </w:tc>
        <w:tc>
          <w:tcPr>
            <w:tcW w:w="1740" w:type="dxa"/>
            <w:vAlign w:val="bottom"/>
          </w:tcPr>
          <w:p>
            <w:pPr>
              <w:spacing w:after="0"/>
              <w:rPr>
                <w:sz w:val="14"/>
                <w:szCs w:val="14"/>
                <w:color w:val="auto"/>
              </w:rPr>
            </w:pPr>
          </w:p>
        </w:tc>
      </w:tr>
      <w:tr>
        <w:trPr>
          <w:trHeight w:val="185"/>
        </w:trPr>
        <w:tc>
          <w:tcPr>
            <w:tcW w:w="2080" w:type="dxa"/>
            <w:vAlign w:val="bottom"/>
          </w:tcPr>
          <w:p>
            <w:pPr>
              <w:spacing w:after="0"/>
              <w:rPr>
                <w:sz w:val="16"/>
                <w:szCs w:val="16"/>
                <w:color w:val="auto"/>
              </w:rPr>
            </w:pPr>
          </w:p>
        </w:tc>
        <w:tc>
          <w:tcPr>
            <w:tcW w:w="4400" w:type="dxa"/>
            <w:vAlign w:val="bottom"/>
          </w:tcPr>
          <w:p>
            <w:pPr>
              <w:jc w:val="center"/>
              <w:ind w:right="26"/>
              <w:spacing w:after="0"/>
              <w:rPr>
                <w:sz w:val="20"/>
                <w:szCs w:val="20"/>
                <w:color w:val="auto"/>
              </w:rPr>
            </w:pPr>
            <w:r>
              <w:rPr>
                <w:rFonts w:ascii="Arial" w:cs="Arial" w:eastAsia="Arial" w:hAnsi="Arial"/>
                <w:sz w:val="15"/>
                <w:szCs w:val="15"/>
                <w:color w:val="auto"/>
                <w:w w:val="93"/>
              </w:rPr>
              <w:t>including area code, of registrant’s principal executive offices)</w:t>
            </w:r>
          </w:p>
        </w:tc>
        <w:tc>
          <w:tcPr>
            <w:tcW w:w="1740" w:type="dxa"/>
            <w:vAlign w:val="bottom"/>
          </w:tcPr>
          <w:p>
            <w:pPr>
              <w:spacing w:after="0"/>
              <w:rPr>
                <w:sz w:val="16"/>
                <w:szCs w:val="16"/>
                <w:color w:val="auto"/>
              </w:rPr>
            </w:pPr>
          </w:p>
        </w:tc>
      </w:tr>
      <w:tr>
        <w:trPr>
          <w:trHeight w:val="152"/>
        </w:trPr>
        <w:tc>
          <w:tcPr>
            <w:tcW w:w="2080" w:type="dxa"/>
            <w:vAlign w:val="bottom"/>
          </w:tcPr>
          <w:p>
            <w:pPr>
              <w:spacing w:after="0"/>
              <w:rPr>
                <w:sz w:val="13"/>
                <w:szCs w:val="13"/>
                <w:color w:val="auto"/>
              </w:rPr>
            </w:pPr>
          </w:p>
        </w:tc>
        <w:tc>
          <w:tcPr>
            <w:tcW w:w="4400" w:type="dxa"/>
            <w:vAlign w:val="bottom"/>
          </w:tcPr>
          <w:p>
            <w:pPr>
              <w:jc w:val="center"/>
              <w:ind w:right="46"/>
              <w:spacing w:after="0" w:line="152" w:lineRule="exact"/>
              <w:rPr>
                <w:sz w:val="20"/>
                <w:szCs w:val="20"/>
                <w:color w:val="auto"/>
              </w:rPr>
            </w:pPr>
            <w:r>
              <w:rPr>
                <w:rFonts w:ascii="Arial" w:cs="Arial" w:eastAsia="Arial" w:hAnsi="Arial"/>
                <w:sz w:val="15"/>
                <w:szCs w:val="15"/>
                <w:b w:val="1"/>
                <w:bCs w:val="1"/>
                <w:color w:val="auto"/>
                <w:w w:val="91"/>
              </w:rPr>
              <w:t>Adam Stone</w:t>
            </w:r>
          </w:p>
        </w:tc>
        <w:tc>
          <w:tcPr>
            <w:tcW w:w="1740" w:type="dxa"/>
            <w:vAlign w:val="bottom"/>
          </w:tcPr>
          <w:p>
            <w:pPr>
              <w:spacing w:after="0"/>
              <w:rPr>
                <w:sz w:val="13"/>
                <w:szCs w:val="13"/>
                <w:color w:val="auto"/>
              </w:rPr>
            </w:pPr>
          </w:p>
        </w:tc>
      </w:tr>
      <w:tr>
        <w:trPr>
          <w:trHeight w:val="172"/>
        </w:trPr>
        <w:tc>
          <w:tcPr>
            <w:tcW w:w="2080" w:type="dxa"/>
            <w:vAlign w:val="bottom"/>
          </w:tcPr>
          <w:p>
            <w:pPr>
              <w:spacing w:after="0"/>
              <w:rPr>
                <w:sz w:val="14"/>
                <w:szCs w:val="14"/>
                <w:color w:val="auto"/>
              </w:rPr>
            </w:pPr>
          </w:p>
        </w:tc>
        <w:tc>
          <w:tcPr>
            <w:tcW w:w="4400" w:type="dxa"/>
            <w:vAlign w:val="bottom"/>
          </w:tcPr>
          <w:p>
            <w:pPr>
              <w:jc w:val="center"/>
              <w:ind w:right="46"/>
              <w:spacing w:after="0" w:line="172" w:lineRule="exact"/>
              <w:rPr>
                <w:sz w:val="20"/>
                <w:szCs w:val="20"/>
                <w:color w:val="auto"/>
              </w:rPr>
            </w:pPr>
            <w:r>
              <w:rPr>
                <w:rFonts w:ascii="Arial" w:cs="Arial" w:eastAsia="Arial" w:hAnsi="Arial"/>
                <w:sz w:val="12"/>
                <w:szCs w:val="12"/>
                <w:b w:val="1"/>
                <w:bCs w:val="1"/>
                <w:color w:val="auto"/>
              </w:rPr>
              <w:t>51 Astor Place, 10</w:t>
            </w:r>
            <w:r>
              <w:rPr>
                <w:rFonts w:ascii="Arial" w:cs="Arial" w:eastAsia="Arial" w:hAnsi="Arial"/>
                <w:sz w:val="19"/>
                <w:szCs w:val="19"/>
                <w:b w:val="1"/>
                <w:bCs w:val="1"/>
                <w:color w:val="auto"/>
                <w:vertAlign w:val="superscript"/>
              </w:rPr>
              <w:t>th</w:t>
            </w:r>
            <w:r>
              <w:rPr>
                <w:rFonts w:ascii="Arial" w:cs="Arial" w:eastAsia="Arial" w:hAnsi="Arial"/>
                <w:sz w:val="12"/>
                <w:szCs w:val="12"/>
                <w:b w:val="1"/>
                <w:bCs w:val="1"/>
                <w:color w:val="auto"/>
              </w:rPr>
              <w:t xml:space="preserve"> Floor</w:t>
            </w:r>
          </w:p>
        </w:tc>
        <w:tc>
          <w:tcPr>
            <w:tcW w:w="1740" w:type="dxa"/>
            <w:vAlign w:val="bottom"/>
          </w:tcPr>
          <w:p>
            <w:pPr>
              <w:spacing w:after="0"/>
              <w:rPr>
                <w:sz w:val="14"/>
                <w:szCs w:val="14"/>
                <w:color w:val="auto"/>
              </w:rPr>
            </w:pPr>
          </w:p>
        </w:tc>
      </w:tr>
      <w:tr>
        <w:trPr>
          <w:trHeight w:val="162"/>
        </w:trPr>
        <w:tc>
          <w:tcPr>
            <w:tcW w:w="2080" w:type="dxa"/>
            <w:vAlign w:val="bottom"/>
          </w:tcPr>
          <w:p>
            <w:pPr>
              <w:spacing w:after="0"/>
              <w:rPr>
                <w:sz w:val="14"/>
                <w:szCs w:val="14"/>
                <w:color w:val="auto"/>
              </w:rPr>
            </w:pPr>
          </w:p>
        </w:tc>
        <w:tc>
          <w:tcPr>
            <w:tcW w:w="4400" w:type="dxa"/>
            <w:vAlign w:val="bottom"/>
          </w:tcPr>
          <w:p>
            <w:pPr>
              <w:jc w:val="center"/>
              <w:ind w:right="46"/>
              <w:spacing w:after="0" w:line="162" w:lineRule="exact"/>
              <w:rPr>
                <w:sz w:val="20"/>
                <w:szCs w:val="20"/>
                <w:color w:val="auto"/>
              </w:rPr>
            </w:pPr>
            <w:r>
              <w:rPr>
                <w:rFonts w:ascii="Arial" w:cs="Arial" w:eastAsia="Arial" w:hAnsi="Arial"/>
                <w:sz w:val="15"/>
                <w:szCs w:val="15"/>
                <w:b w:val="1"/>
                <w:bCs w:val="1"/>
                <w:color w:val="auto"/>
                <w:w w:val="94"/>
              </w:rPr>
              <w:t>New York, New York 10003</w:t>
            </w:r>
          </w:p>
        </w:tc>
        <w:tc>
          <w:tcPr>
            <w:tcW w:w="1740" w:type="dxa"/>
            <w:vAlign w:val="bottom"/>
          </w:tcPr>
          <w:p>
            <w:pPr>
              <w:spacing w:after="0"/>
              <w:rPr>
                <w:sz w:val="14"/>
                <w:szCs w:val="14"/>
                <w:color w:val="auto"/>
              </w:rPr>
            </w:pPr>
          </w:p>
        </w:tc>
      </w:tr>
      <w:tr>
        <w:trPr>
          <w:trHeight w:val="166"/>
        </w:trPr>
        <w:tc>
          <w:tcPr>
            <w:tcW w:w="2080" w:type="dxa"/>
            <w:vAlign w:val="bottom"/>
          </w:tcPr>
          <w:p>
            <w:pPr>
              <w:spacing w:after="0"/>
              <w:rPr>
                <w:sz w:val="14"/>
                <w:szCs w:val="14"/>
                <w:color w:val="auto"/>
              </w:rPr>
            </w:pPr>
          </w:p>
        </w:tc>
        <w:tc>
          <w:tcPr>
            <w:tcW w:w="4400" w:type="dxa"/>
            <w:vAlign w:val="bottom"/>
          </w:tcPr>
          <w:p>
            <w:pPr>
              <w:jc w:val="center"/>
              <w:ind w:right="46"/>
              <w:spacing w:after="0" w:line="166" w:lineRule="exact"/>
              <w:rPr>
                <w:sz w:val="20"/>
                <w:szCs w:val="20"/>
                <w:color w:val="auto"/>
              </w:rPr>
            </w:pPr>
            <w:r>
              <w:rPr>
                <w:rFonts w:ascii="Arial" w:cs="Arial" w:eastAsia="Arial" w:hAnsi="Arial"/>
                <w:sz w:val="15"/>
                <w:szCs w:val="15"/>
                <w:b w:val="1"/>
                <w:bCs w:val="1"/>
                <w:color w:val="auto"/>
                <w:w w:val="93"/>
              </w:rPr>
              <w:t>Tel.: (212) 284 2300</w:t>
            </w:r>
          </w:p>
        </w:tc>
        <w:tc>
          <w:tcPr>
            <w:tcW w:w="1740" w:type="dxa"/>
            <w:vAlign w:val="bottom"/>
          </w:tcPr>
          <w:p>
            <w:pPr>
              <w:spacing w:after="0"/>
              <w:rPr>
                <w:sz w:val="14"/>
                <w:szCs w:val="14"/>
                <w:color w:val="auto"/>
              </w:rPr>
            </w:pPr>
          </w:p>
        </w:tc>
      </w:tr>
      <w:tr>
        <w:trPr>
          <w:trHeight w:val="162"/>
        </w:trPr>
        <w:tc>
          <w:tcPr>
            <w:tcW w:w="2080" w:type="dxa"/>
            <w:vAlign w:val="bottom"/>
          </w:tcPr>
          <w:p>
            <w:pPr>
              <w:spacing w:after="0"/>
              <w:rPr>
                <w:sz w:val="14"/>
                <w:szCs w:val="14"/>
                <w:color w:val="auto"/>
              </w:rPr>
            </w:pPr>
          </w:p>
        </w:tc>
        <w:tc>
          <w:tcPr>
            <w:tcW w:w="4400" w:type="dxa"/>
            <w:vAlign w:val="bottom"/>
          </w:tcPr>
          <w:p>
            <w:pPr>
              <w:jc w:val="center"/>
              <w:ind w:right="26"/>
              <w:spacing w:after="0" w:line="162" w:lineRule="exact"/>
              <w:rPr>
                <w:sz w:val="20"/>
                <w:szCs w:val="20"/>
                <w:color w:val="auto"/>
              </w:rPr>
            </w:pPr>
            <w:r>
              <w:rPr>
                <w:rFonts w:ascii="Arial" w:cs="Arial" w:eastAsia="Arial" w:hAnsi="Arial"/>
                <w:sz w:val="15"/>
                <w:szCs w:val="15"/>
                <w:color w:val="auto"/>
                <w:w w:val="91"/>
              </w:rPr>
              <w:t>(Name, address, including zip code, and telephone number,</w:t>
            </w:r>
          </w:p>
        </w:tc>
        <w:tc>
          <w:tcPr>
            <w:tcW w:w="1740" w:type="dxa"/>
            <w:vAlign w:val="bottom"/>
          </w:tcPr>
          <w:p>
            <w:pPr>
              <w:spacing w:after="0"/>
              <w:rPr>
                <w:sz w:val="14"/>
                <w:szCs w:val="14"/>
                <w:color w:val="auto"/>
              </w:rPr>
            </w:pPr>
          </w:p>
        </w:tc>
      </w:tr>
      <w:tr>
        <w:trPr>
          <w:trHeight w:val="194"/>
        </w:trPr>
        <w:tc>
          <w:tcPr>
            <w:tcW w:w="2080" w:type="dxa"/>
            <w:vAlign w:val="bottom"/>
          </w:tcPr>
          <w:p>
            <w:pPr>
              <w:spacing w:after="0"/>
              <w:rPr>
                <w:sz w:val="16"/>
                <w:szCs w:val="16"/>
                <w:color w:val="auto"/>
              </w:rPr>
            </w:pPr>
          </w:p>
        </w:tc>
        <w:tc>
          <w:tcPr>
            <w:tcW w:w="4400" w:type="dxa"/>
            <w:vAlign w:val="bottom"/>
          </w:tcPr>
          <w:p>
            <w:pPr>
              <w:jc w:val="center"/>
              <w:ind w:right="46"/>
              <w:spacing w:after="0"/>
              <w:rPr>
                <w:sz w:val="20"/>
                <w:szCs w:val="20"/>
                <w:color w:val="auto"/>
              </w:rPr>
            </w:pPr>
            <w:r>
              <w:rPr>
                <w:rFonts w:ascii="Arial" w:cs="Arial" w:eastAsia="Arial" w:hAnsi="Arial"/>
                <w:sz w:val="15"/>
                <w:szCs w:val="15"/>
                <w:color w:val="auto"/>
                <w:w w:val="92"/>
              </w:rPr>
              <w:t>including area code, of agent for service)</w:t>
            </w:r>
          </w:p>
        </w:tc>
        <w:tc>
          <w:tcPr>
            <w:tcW w:w="1740" w:type="dxa"/>
            <w:vAlign w:val="bottom"/>
          </w:tcPr>
          <w:p>
            <w:pPr>
              <w:spacing w:after="0"/>
              <w:rPr>
                <w:sz w:val="16"/>
                <w:szCs w:val="16"/>
                <w:color w:val="auto"/>
              </w:rPr>
            </w:pPr>
          </w:p>
        </w:tc>
      </w:tr>
      <w:tr>
        <w:trPr>
          <w:trHeight w:val="203"/>
        </w:trPr>
        <w:tc>
          <w:tcPr>
            <w:tcW w:w="2080" w:type="dxa"/>
            <w:vAlign w:val="bottom"/>
          </w:tcPr>
          <w:p>
            <w:pPr>
              <w:spacing w:after="0"/>
              <w:rPr>
                <w:sz w:val="17"/>
                <w:szCs w:val="17"/>
                <w:color w:val="auto"/>
              </w:rPr>
            </w:pPr>
          </w:p>
        </w:tc>
        <w:tc>
          <w:tcPr>
            <w:tcW w:w="4400" w:type="dxa"/>
            <w:vAlign w:val="bottom"/>
          </w:tcPr>
          <w:p>
            <w:pPr>
              <w:jc w:val="center"/>
              <w:ind w:right="46"/>
              <w:spacing w:after="0"/>
              <w:rPr>
                <w:sz w:val="20"/>
                <w:szCs w:val="20"/>
                <w:color w:val="auto"/>
              </w:rPr>
            </w:pPr>
            <w:r>
              <w:rPr>
                <w:rFonts w:ascii="Arial" w:cs="Arial" w:eastAsia="Arial" w:hAnsi="Arial"/>
                <w:sz w:val="15"/>
                <w:szCs w:val="15"/>
                <w:b w:val="1"/>
                <w:bCs w:val="1"/>
                <w:i w:val="1"/>
                <w:iCs w:val="1"/>
                <w:color w:val="auto"/>
                <w:w w:val="87"/>
              </w:rPr>
              <w:t>Copies to:</w:t>
            </w:r>
          </w:p>
        </w:tc>
        <w:tc>
          <w:tcPr>
            <w:tcW w:w="1740" w:type="dxa"/>
            <w:vAlign w:val="bottom"/>
          </w:tcPr>
          <w:p>
            <w:pPr>
              <w:spacing w:after="0"/>
              <w:rPr>
                <w:sz w:val="17"/>
                <w:szCs w:val="17"/>
                <w:color w:val="auto"/>
              </w:rPr>
            </w:pPr>
          </w:p>
        </w:tc>
      </w:tr>
    </w:tbl>
    <w:p>
      <w:pPr>
        <w:spacing w:after="0" w:line="115" w:lineRule="exact"/>
        <w:rPr>
          <w:sz w:val="24"/>
          <w:szCs w:val="24"/>
          <w:color w:val="auto"/>
        </w:rPr>
      </w:pPr>
    </w:p>
    <w:tbl>
      <w:tblPr>
        <w:tblLayout w:type="fixed"/>
        <w:tblInd w:w="1460" w:type="dxa"/>
        <w:tblCellMar>
          <w:top w:w="0" w:type="dxa"/>
          <w:left w:w="0" w:type="dxa"/>
          <w:bottom w:w="0" w:type="dxa"/>
          <w:right w:w="0" w:type="dxa"/>
        </w:tblCellMar>
      </w:tblPr>
      <w:tr>
        <w:trPr>
          <w:trHeight w:val="172"/>
        </w:trPr>
        <w:tc>
          <w:tcPr>
            <w:tcW w:w="2540" w:type="dxa"/>
            <w:vAlign w:val="bottom"/>
          </w:tcPr>
          <w:p>
            <w:pPr>
              <w:jc w:val="center"/>
              <w:ind w:right="644"/>
              <w:spacing w:after="0"/>
              <w:rPr>
                <w:sz w:val="20"/>
                <w:szCs w:val="20"/>
                <w:color w:val="auto"/>
              </w:rPr>
            </w:pPr>
            <w:r>
              <w:rPr>
                <w:rFonts w:ascii="Arial" w:cs="Arial" w:eastAsia="Arial" w:hAnsi="Arial"/>
                <w:sz w:val="15"/>
                <w:szCs w:val="15"/>
                <w:b w:val="1"/>
                <w:bCs w:val="1"/>
                <w:color w:val="auto"/>
                <w:w w:val="95"/>
              </w:rPr>
              <w:t>Christian O. Nagler</w:t>
            </w:r>
          </w:p>
        </w:tc>
        <w:tc>
          <w:tcPr>
            <w:tcW w:w="1720" w:type="dxa"/>
            <w:vAlign w:val="bottom"/>
          </w:tcPr>
          <w:p>
            <w:pPr>
              <w:spacing w:after="0"/>
              <w:rPr>
                <w:sz w:val="15"/>
                <w:szCs w:val="15"/>
                <w:color w:val="auto"/>
              </w:rPr>
            </w:pPr>
          </w:p>
        </w:tc>
        <w:tc>
          <w:tcPr>
            <w:tcW w:w="3060" w:type="dxa"/>
            <w:vAlign w:val="bottom"/>
          </w:tcPr>
          <w:p>
            <w:pPr>
              <w:jc w:val="center"/>
              <w:ind w:left="84"/>
              <w:spacing w:after="0"/>
              <w:rPr>
                <w:sz w:val="20"/>
                <w:szCs w:val="20"/>
                <w:color w:val="auto"/>
              </w:rPr>
            </w:pPr>
            <w:r>
              <w:rPr>
                <w:rFonts w:ascii="Arial" w:cs="Arial" w:eastAsia="Arial" w:hAnsi="Arial"/>
                <w:sz w:val="15"/>
                <w:szCs w:val="15"/>
                <w:b w:val="1"/>
                <w:bCs w:val="1"/>
                <w:color w:val="auto"/>
                <w:w w:val="93"/>
              </w:rPr>
              <w:t>Gregg A. Noel</w:t>
            </w:r>
          </w:p>
        </w:tc>
      </w:tr>
      <w:tr>
        <w:trPr>
          <w:trHeight w:val="162"/>
        </w:trPr>
        <w:tc>
          <w:tcPr>
            <w:tcW w:w="2540" w:type="dxa"/>
            <w:vAlign w:val="bottom"/>
          </w:tcPr>
          <w:p>
            <w:pPr>
              <w:jc w:val="center"/>
              <w:ind w:right="664"/>
              <w:spacing w:after="0" w:line="162" w:lineRule="exact"/>
              <w:rPr>
                <w:sz w:val="20"/>
                <w:szCs w:val="20"/>
                <w:color w:val="auto"/>
              </w:rPr>
            </w:pPr>
            <w:r>
              <w:rPr>
                <w:rFonts w:ascii="Arial" w:cs="Arial" w:eastAsia="Arial" w:hAnsi="Arial"/>
                <w:sz w:val="15"/>
                <w:szCs w:val="15"/>
                <w:b w:val="1"/>
                <w:bCs w:val="1"/>
                <w:color w:val="auto"/>
                <w:w w:val="94"/>
              </w:rPr>
              <w:t>Ross M. Leff</w:t>
            </w:r>
          </w:p>
        </w:tc>
        <w:tc>
          <w:tcPr>
            <w:tcW w:w="1720" w:type="dxa"/>
            <w:vAlign w:val="bottom"/>
          </w:tcPr>
          <w:p>
            <w:pPr>
              <w:spacing w:after="0"/>
              <w:rPr>
                <w:sz w:val="14"/>
                <w:szCs w:val="14"/>
                <w:color w:val="auto"/>
              </w:rPr>
            </w:pPr>
          </w:p>
        </w:tc>
        <w:tc>
          <w:tcPr>
            <w:tcW w:w="3060" w:type="dxa"/>
            <w:vAlign w:val="bottom"/>
          </w:tcPr>
          <w:p>
            <w:pPr>
              <w:jc w:val="center"/>
              <w:ind w:left="84"/>
              <w:spacing w:after="0" w:line="162" w:lineRule="exact"/>
              <w:rPr>
                <w:sz w:val="20"/>
                <w:szCs w:val="20"/>
                <w:color w:val="auto"/>
              </w:rPr>
            </w:pPr>
            <w:r>
              <w:rPr>
                <w:rFonts w:ascii="Arial" w:cs="Arial" w:eastAsia="Arial" w:hAnsi="Arial"/>
                <w:sz w:val="15"/>
                <w:szCs w:val="15"/>
                <w:b w:val="1"/>
                <w:bCs w:val="1"/>
                <w:color w:val="auto"/>
                <w:w w:val="93"/>
              </w:rPr>
              <w:t>Michael J. Mies</w:t>
            </w:r>
          </w:p>
        </w:tc>
      </w:tr>
      <w:tr>
        <w:trPr>
          <w:trHeight w:val="162"/>
        </w:trPr>
        <w:tc>
          <w:tcPr>
            <w:tcW w:w="2540" w:type="dxa"/>
            <w:vAlign w:val="bottom"/>
          </w:tcPr>
          <w:p>
            <w:pPr>
              <w:jc w:val="center"/>
              <w:ind w:right="644"/>
              <w:spacing w:after="0" w:line="162" w:lineRule="exact"/>
              <w:rPr>
                <w:sz w:val="20"/>
                <w:szCs w:val="20"/>
                <w:color w:val="auto"/>
              </w:rPr>
            </w:pPr>
            <w:r>
              <w:rPr>
                <w:rFonts w:ascii="Arial" w:cs="Arial" w:eastAsia="Arial" w:hAnsi="Arial"/>
                <w:sz w:val="15"/>
                <w:szCs w:val="15"/>
                <w:b w:val="1"/>
                <w:bCs w:val="1"/>
                <w:color w:val="auto"/>
                <w:w w:val="99"/>
              </w:rPr>
              <w:t>Kirkland &amp; Ellis LLP</w:t>
            </w:r>
          </w:p>
        </w:tc>
        <w:tc>
          <w:tcPr>
            <w:tcW w:w="1720" w:type="dxa"/>
            <w:vAlign w:val="bottom"/>
          </w:tcPr>
          <w:p>
            <w:pPr>
              <w:spacing w:after="0"/>
              <w:rPr>
                <w:sz w:val="14"/>
                <w:szCs w:val="14"/>
                <w:color w:val="auto"/>
              </w:rPr>
            </w:pPr>
          </w:p>
        </w:tc>
        <w:tc>
          <w:tcPr>
            <w:tcW w:w="3060" w:type="dxa"/>
            <w:vAlign w:val="bottom"/>
          </w:tcPr>
          <w:p>
            <w:pPr>
              <w:jc w:val="center"/>
              <w:ind w:left="84"/>
              <w:spacing w:after="0" w:line="162" w:lineRule="exact"/>
              <w:rPr>
                <w:sz w:val="20"/>
                <w:szCs w:val="20"/>
                <w:color w:val="auto"/>
              </w:rPr>
            </w:pPr>
            <w:r>
              <w:rPr>
                <w:rFonts w:ascii="Arial" w:cs="Arial" w:eastAsia="Arial" w:hAnsi="Arial"/>
                <w:sz w:val="15"/>
                <w:szCs w:val="15"/>
                <w:b w:val="1"/>
                <w:bCs w:val="1"/>
                <w:color w:val="auto"/>
                <w:w w:val="94"/>
              </w:rPr>
              <w:t>Skadden, Arps, Slate, Meagher &amp; Flom LLP</w:t>
            </w:r>
          </w:p>
        </w:tc>
      </w:tr>
      <w:tr>
        <w:trPr>
          <w:trHeight w:val="162"/>
        </w:trPr>
        <w:tc>
          <w:tcPr>
            <w:tcW w:w="2540" w:type="dxa"/>
            <w:vAlign w:val="bottom"/>
          </w:tcPr>
          <w:p>
            <w:pPr>
              <w:jc w:val="center"/>
              <w:ind w:right="644"/>
              <w:spacing w:after="0" w:line="162" w:lineRule="exact"/>
              <w:rPr>
                <w:sz w:val="20"/>
                <w:szCs w:val="20"/>
                <w:color w:val="auto"/>
              </w:rPr>
            </w:pPr>
            <w:r>
              <w:rPr>
                <w:rFonts w:ascii="Arial" w:cs="Arial" w:eastAsia="Arial" w:hAnsi="Arial"/>
                <w:sz w:val="15"/>
                <w:szCs w:val="15"/>
                <w:b w:val="1"/>
                <w:bCs w:val="1"/>
                <w:color w:val="auto"/>
                <w:w w:val="91"/>
              </w:rPr>
              <w:t>601 Lexington Avenue</w:t>
            </w:r>
          </w:p>
        </w:tc>
        <w:tc>
          <w:tcPr>
            <w:tcW w:w="1720" w:type="dxa"/>
            <w:vAlign w:val="bottom"/>
          </w:tcPr>
          <w:p>
            <w:pPr>
              <w:spacing w:after="0"/>
              <w:rPr>
                <w:sz w:val="14"/>
                <w:szCs w:val="14"/>
                <w:color w:val="auto"/>
              </w:rPr>
            </w:pPr>
          </w:p>
        </w:tc>
        <w:tc>
          <w:tcPr>
            <w:tcW w:w="3060" w:type="dxa"/>
            <w:vAlign w:val="bottom"/>
          </w:tcPr>
          <w:p>
            <w:pPr>
              <w:jc w:val="center"/>
              <w:ind w:left="84"/>
              <w:spacing w:after="0" w:line="162" w:lineRule="exact"/>
              <w:rPr>
                <w:sz w:val="20"/>
                <w:szCs w:val="20"/>
                <w:color w:val="auto"/>
              </w:rPr>
            </w:pPr>
            <w:r>
              <w:rPr>
                <w:rFonts w:ascii="Arial" w:cs="Arial" w:eastAsia="Arial" w:hAnsi="Arial"/>
                <w:sz w:val="15"/>
                <w:szCs w:val="15"/>
                <w:b w:val="1"/>
                <w:bCs w:val="1"/>
                <w:color w:val="auto"/>
                <w:w w:val="91"/>
              </w:rPr>
              <w:t>525 University Avenue, Suite 1400</w:t>
            </w:r>
          </w:p>
        </w:tc>
      </w:tr>
      <w:tr>
        <w:trPr>
          <w:trHeight w:val="162"/>
        </w:trPr>
        <w:tc>
          <w:tcPr>
            <w:tcW w:w="2540" w:type="dxa"/>
            <w:vAlign w:val="bottom"/>
          </w:tcPr>
          <w:p>
            <w:pPr>
              <w:jc w:val="center"/>
              <w:ind w:right="664"/>
              <w:spacing w:after="0" w:line="162" w:lineRule="exact"/>
              <w:rPr>
                <w:sz w:val="20"/>
                <w:szCs w:val="20"/>
                <w:color w:val="auto"/>
              </w:rPr>
            </w:pPr>
            <w:r>
              <w:rPr>
                <w:rFonts w:ascii="Arial" w:cs="Arial" w:eastAsia="Arial" w:hAnsi="Arial"/>
                <w:sz w:val="15"/>
                <w:szCs w:val="15"/>
                <w:b w:val="1"/>
                <w:bCs w:val="1"/>
                <w:color w:val="auto"/>
                <w:w w:val="94"/>
              </w:rPr>
              <w:t>New York, New York 10022</w:t>
            </w:r>
          </w:p>
        </w:tc>
        <w:tc>
          <w:tcPr>
            <w:tcW w:w="1720" w:type="dxa"/>
            <w:vAlign w:val="bottom"/>
          </w:tcPr>
          <w:p>
            <w:pPr>
              <w:spacing w:after="0"/>
              <w:rPr>
                <w:sz w:val="14"/>
                <w:szCs w:val="14"/>
                <w:color w:val="auto"/>
              </w:rPr>
            </w:pPr>
          </w:p>
        </w:tc>
        <w:tc>
          <w:tcPr>
            <w:tcW w:w="3060" w:type="dxa"/>
            <w:vAlign w:val="bottom"/>
          </w:tcPr>
          <w:p>
            <w:pPr>
              <w:jc w:val="center"/>
              <w:ind w:left="84"/>
              <w:spacing w:after="0" w:line="162" w:lineRule="exact"/>
              <w:rPr>
                <w:sz w:val="20"/>
                <w:szCs w:val="20"/>
                <w:color w:val="auto"/>
              </w:rPr>
            </w:pPr>
            <w:r>
              <w:rPr>
                <w:rFonts w:ascii="Arial" w:cs="Arial" w:eastAsia="Arial" w:hAnsi="Arial"/>
                <w:sz w:val="15"/>
                <w:szCs w:val="15"/>
                <w:b w:val="1"/>
                <w:bCs w:val="1"/>
                <w:color w:val="auto"/>
                <w:w w:val="94"/>
              </w:rPr>
              <w:t>Palo Alto, California 94301</w:t>
            </w:r>
          </w:p>
        </w:tc>
      </w:tr>
      <w:tr>
        <w:trPr>
          <w:trHeight w:val="162"/>
        </w:trPr>
        <w:tc>
          <w:tcPr>
            <w:tcW w:w="2540" w:type="dxa"/>
            <w:vAlign w:val="bottom"/>
          </w:tcPr>
          <w:p>
            <w:pPr>
              <w:jc w:val="center"/>
              <w:ind w:right="644"/>
              <w:spacing w:after="0" w:line="162" w:lineRule="exact"/>
              <w:rPr>
                <w:sz w:val="20"/>
                <w:szCs w:val="20"/>
                <w:color w:val="auto"/>
              </w:rPr>
            </w:pPr>
            <w:r>
              <w:rPr>
                <w:rFonts w:ascii="Arial" w:cs="Arial" w:eastAsia="Arial" w:hAnsi="Arial"/>
                <w:sz w:val="15"/>
                <w:szCs w:val="15"/>
                <w:b w:val="1"/>
                <w:bCs w:val="1"/>
                <w:color w:val="auto"/>
                <w:w w:val="91"/>
              </w:rPr>
              <w:t>Tel: (212) 446 4800</w:t>
            </w:r>
          </w:p>
        </w:tc>
        <w:tc>
          <w:tcPr>
            <w:tcW w:w="1720" w:type="dxa"/>
            <w:vAlign w:val="bottom"/>
          </w:tcPr>
          <w:p>
            <w:pPr>
              <w:spacing w:after="0"/>
              <w:rPr>
                <w:sz w:val="14"/>
                <w:szCs w:val="14"/>
                <w:color w:val="auto"/>
              </w:rPr>
            </w:pPr>
          </w:p>
        </w:tc>
        <w:tc>
          <w:tcPr>
            <w:tcW w:w="3060" w:type="dxa"/>
            <w:vAlign w:val="bottom"/>
          </w:tcPr>
          <w:p>
            <w:pPr>
              <w:jc w:val="center"/>
              <w:ind w:left="84"/>
              <w:spacing w:after="0" w:line="162" w:lineRule="exact"/>
              <w:rPr>
                <w:sz w:val="20"/>
                <w:szCs w:val="20"/>
                <w:color w:val="auto"/>
              </w:rPr>
            </w:pPr>
            <w:r>
              <w:rPr>
                <w:rFonts w:ascii="Arial" w:cs="Arial" w:eastAsia="Arial" w:hAnsi="Arial"/>
                <w:sz w:val="15"/>
                <w:szCs w:val="15"/>
                <w:b w:val="1"/>
                <w:bCs w:val="1"/>
                <w:color w:val="auto"/>
                <w:w w:val="91"/>
              </w:rPr>
              <w:t>Tel: (650) 470 4500</w:t>
            </w:r>
          </w:p>
        </w:tc>
      </w:tr>
      <w:tr>
        <w:trPr>
          <w:trHeight w:val="198"/>
        </w:trPr>
        <w:tc>
          <w:tcPr>
            <w:tcW w:w="2540" w:type="dxa"/>
            <w:vAlign w:val="bottom"/>
          </w:tcPr>
          <w:p>
            <w:pPr>
              <w:jc w:val="center"/>
              <w:ind w:right="624"/>
              <w:spacing w:after="0"/>
              <w:rPr>
                <w:sz w:val="20"/>
                <w:szCs w:val="20"/>
                <w:color w:val="auto"/>
              </w:rPr>
            </w:pPr>
            <w:r>
              <w:rPr>
                <w:rFonts w:ascii="Arial" w:cs="Arial" w:eastAsia="Arial" w:hAnsi="Arial"/>
                <w:sz w:val="15"/>
                <w:szCs w:val="15"/>
                <w:b w:val="1"/>
                <w:bCs w:val="1"/>
                <w:color w:val="auto"/>
                <w:w w:val="93"/>
              </w:rPr>
              <w:t>Fax: (212) 446 4900</w:t>
            </w:r>
          </w:p>
        </w:tc>
        <w:tc>
          <w:tcPr>
            <w:tcW w:w="1720" w:type="dxa"/>
            <w:vAlign w:val="bottom"/>
          </w:tcPr>
          <w:p>
            <w:pPr>
              <w:spacing w:after="0"/>
              <w:rPr>
                <w:sz w:val="17"/>
                <w:szCs w:val="17"/>
                <w:color w:val="auto"/>
              </w:rPr>
            </w:pPr>
          </w:p>
        </w:tc>
        <w:tc>
          <w:tcPr>
            <w:tcW w:w="3060" w:type="dxa"/>
            <w:vAlign w:val="bottom"/>
          </w:tcPr>
          <w:p>
            <w:pPr>
              <w:jc w:val="center"/>
              <w:ind w:left="104"/>
              <w:spacing w:after="0"/>
              <w:rPr>
                <w:sz w:val="20"/>
                <w:szCs w:val="20"/>
                <w:color w:val="auto"/>
              </w:rPr>
            </w:pPr>
            <w:r>
              <w:rPr>
                <w:rFonts w:ascii="Arial" w:cs="Arial" w:eastAsia="Arial" w:hAnsi="Arial"/>
                <w:sz w:val="15"/>
                <w:szCs w:val="15"/>
                <w:b w:val="1"/>
                <w:bCs w:val="1"/>
                <w:color w:val="auto"/>
                <w:w w:val="93"/>
              </w:rPr>
              <w:t>Fax: (650) 470 4570</w:t>
            </w:r>
          </w:p>
        </w:tc>
      </w:tr>
      <w:tr>
        <w:trPr>
          <w:trHeight w:val="35"/>
        </w:trPr>
        <w:tc>
          <w:tcPr>
            <w:tcW w:w="2540" w:type="dxa"/>
            <w:vAlign w:val="bottom"/>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3060" w:type="dxa"/>
            <w:vAlign w:val="bottom"/>
          </w:tcPr>
          <w:p>
            <w:pPr>
              <w:spacing w:after="0"/>
              <w:rPr>
                <w:sz w:val="3"/>
                <w:szCs w:val="3"/>
                <w:color w:val="auto"/>
              </w:rPr>
            </w:pPr>
          </w:p>
        </w:tc>
      </w:tr>
    </w:tbl>
    <w:p>
      <w:pPr>
        <w:spacing w:after="0" w:line="19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the effective date of this registration statement.</w:t>
      </w:r>
    </w:p>
    <w:p>
      <w:pPr>
        <w:spacing w:after="0" w:line="181" w:lineRule="exact"/>
        <w:rPr>
          <w:sz w:val="24"/>
          <w:szCs w:val="24"/>
          <w:color w:val="auto"/>
        </w:rPr>
      </w:pPr>
    </w:p>
    <w:p>
      <w:pPr>
        <w:ind w:right="100"/>
        <w:spacing w:after="0" w:line="193" w:lineRule="exact"/>
        <w:rPr>
          <w:sz w:val="20"/>
          <w:szCs w:val="20"/>
          <w:color w:val="auto"/>
        </w:rPr>
      </w:pPr>
      <w:r>
        <w:rPr>
          <w:rFonts w:ascii="Arial" w:cs="Arial" w:eastAsia="Arial" w:hAnsi="Arial"/>
          <w:sz w:val="15"/>
          <w:szCs w:val="15"/>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5"/>
          <w:szCs w:val="15"/>
          <w:color w:val="auto"/>
        </w:rPr>
        <w:t>☐</w:t>
      </w:r>
    </w:p>
    <w:p>
      <w:pPr>
        <w:spacing w:after="0" w:line="141" w:lineRule="exact"/>
        <w:rPr>
          <w:sz w:val="24"/>
          <w:szCs w:val="24"/>
          <w:color w:val="auto"/>
        </w:rPr>
      </w:pPr>
    </w:p>
    <w:p>
      <w:pPr>
        <w:ind w:right="200"/>
        <w:spacing w:after="0" w:line="193" w:lineRule="exact"/>
        <w:rPr>
          <w:sz w:val="20"/>
          <w:szCs w:val="20"/>
          <w:color w:val="auto"/>
        </w:rPr>
      </w:pPr>
      <w:r>
        <w:rPr>
          <w:rFonts w:ascii="Arial" w:cs="Arial" w:eastAsia="Arial" w:hAnsi="Arial"/>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28" w:lineRule="exact"/>
        <w:rPr>
          <w:sz w:val="24"/>
          <w:szCs w:val="24"/>
          <w:color w:val="auto"/>
        </w:rPr>
      </w:pPr>
    </w:p>
    <w:p>
      <w:pPr>
        <w:ind w:right="620"/>
        <w:spacing w:after="0" w:line="193" w:lineRule="exact"/>
        <w:rPr>
          <w:sz w:val="20"/>
          <w:szCs w:val="20"/>
          <w:color w:val="auto"/>
        </w:rPr>
      </w:pPr>
      <w:r>
        <w:rPr>
          <w:rFonts w:ascii="Arial" w:cs="Arial" w:eastAsia="Arial" w:hAnsi="Arial"/>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41" w:lineRule="exact"/>
        <w:rPr>
          <w:sz w:val="24"/>
          <w:szCs w:val="24"/>
          <w:color w:val="auto"/>
        </w:rPr>
      </w:pPr>
    </w:p>
    <w:p>
      <w:pPr>
        <w:ind w:right="620"/>
        <w:spacing w:after="0" w:line="193" w:lineRule="exact"/>
        <w:rPr>
          <w:sz w:val="20"/>
          <w:szCs w:val="20"/>
          <w:color w:val="auto"/>
        </w:rPr>
      </w:pPr>
      <w:r>
        <w:rPr>
          <w:rFonts w:ascii="Arial" w:cs="Arial" w:eastAsia="Arial" w:hAnsi="Arial"/>
          <w:sz w:val="15"/>
          <w:szCs w:val="15"/>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28" w:lineRule="exact"/>
        <w:rPr>
          <w:sz w:val="24"/>
          <w:szCs w:val="24"/>
          <w:color w:val="auto"/>
        </w:rPr>
      </w:pPr>
    </w:p>
    <w:p>
      <w:pPr>
        <w:ind w:right="60"/>
        <w:spacing w:after="0"/>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4" w:lineRule="exact"/>
        <w:rPr>
          <w:sz w:val="24"/>
          <w:szCs w:val="24"/>
          <w:color w:val="auto"/>
        </w:rPr>
      </w:pPr>
    </w:p>
    <w:p>
      <w:pPr>
        <w:spacing w:after="0" w:line="173" w:lineRule="exact"/>
        <w:tabs>
          <w:tab w:leader="none" w:pos="2460" w:val="left"/>
          <w:tab w:leader="none" w:pos="4920" w:val="left"/>
          <w:tab w:leader="none" w:pos="7400" w:val="left"/>
        </w:tabs>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r>
        <w:rPr>
          <w:sz w:val="20"/>
          <w:szCs w:val="20"/>
          <w:color w:val="auto"/>
        </w:rPr>
        <w:tab/>
      </w: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71" w:lineRule="exact"/>
        <w:rPr>
          <w:sz w:val="24"/>
          <w:szCs w:val="24"/>
          <w:color w:val="auto"/>
        </w:rPr>
      </w:pPr>
    </w:p>
    <w:p>
      <w:pPr>
        <w:ind w:left="7420"/>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31" w:lineRule="exact"/>
        <w:rPr>
          <w:sz w:val="24"/>
          <w:szCs w:val="24"/>
          <w:color w:val="auto"/>
        </w:rPr>
      </w:pPr>
    </w:p>
    <w:p>
      <w:pPr>
        <w:ind w:right="140"/>
        <w:spacing w:after="0" w:line="187"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54610</wp:posOffset>
            </wp:positionV>
            <wp:extent cx="6172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9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Proposed</w:t>
            </w: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Proposed</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8"/>
              </w:rPr>
              <w:t>Amount</w:t>
            </w: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9"/>
              </w:rPr>
              <w:t>Maximum</w:t>
            </w: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Maximum</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Aggregate</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Amount of</w:t>
            </w:r>
          </w:p>
        </w:tc>
        <w:tc>
          <w:tcPr>
            <w:tcW w:w="0" w:type="dxa"/>
            <w:vAlign w:val="bottom"/>
          </w:tcPr>
          <w:p>
            <w:pPr>
              <w:spacing w:after="0"/>
              <w:rPr>
                <w:sz w:val="1"/>
                <w:szCs w:val="1"/>
                <w:color w:val="auto"/>
              </w:rPr>
            </w:pPr>
          </w:p>
        </w:tc>
      </w:tr>
      <w:tr>
        <w:trPr>
          <w:trHeight w:val="145"/>
        </w:trPr>
        <w:tc>
          <w:tcPr>
            <w:tcW w:w="4560" w:type="dxa"/>
            <w:vAlign w:val="bottom"/>
            <w:vMerge w:val="restart"/>
          </w:tcPr>
          <w:p>
            <w:pPr>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300" w:type="dxa"/>
            <w:vAlign w:val="bottom"/>
            <w:vMerge w:val="restart"/>
          </w:tcPr>
          <w:p>
            <w:pPr>
              <w:spacing w:after="0"/>
              <w:rPr>
                <w:sz w:val="12"/>
                <w:szCs w:val="12"/>
                <w:color w:val="auto"/>
              </w:rPr>
            </w:pPr>
          </w:p>
        </w:tc>
        <w:tc>
          <w:tcPr>
            <w:tcW w:w="140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2"/>
              </w:rPr>
              <w:t>Being</w:t>
            </w:r>
          </w:p>
        </w:tc>
        <w:tc>
          <w:tcPr>
            <w:tcW w:w="116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7"/>
              </w:rPr>
              <w:t>Per</w:t>
            </w:r>
          </w:p>
        </w:tc>
        <w:tc>
          <w:tcPr>
            <w:tcW w:w="130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5"/>
              </w:rPr>
              <w:t>Offering</w:t>
            </w: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56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CCEEFF"/>
            </w:tcBorders>
            <w:vMerge w:val="continue"/>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2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center"/>
              <w:spacing w:after="0" w:line="229" w:lineRule="exact"/>
              <w:rPr>
                <w:sz w:val="20"/>
                <w:szCs w:val="20"/>
                <w:color w:val="auto"/>
              </w:rPr>
            </w:pPr>
            <w:r>
              <w:rPr>
                <w:rFonts w:ascii="Arial" w:cs="Arial" w:eastAsia="Arial" w:hAnsi="Arial"/>
                <w:sz w:val="14"/>
                <w:szCs w:val="14"/>
                <w:b w:val="1"/>
                <w:bCs w:val="1"/>
                <w:color w:val="auto"/>
                <w:w w:val="89"/>
              </w:rPr>
              <w:t>Security</w:t>
            </w:r>
            <w:r>
              <w:rPr>
                <w:rFonts w:ascii="Arial" w:cs="Arial" w:eastAsia="Arial" w:hAnsi="Arial"/>
                <w:sz w:val="23"/>
                <w:szCs w:val="23"/>
                <w:b w:val="1"/>
                <w:bCs w:val="1"/>
                <w:color w:val="auto"/>
                <w:w w:val="89"/>
                <w:vertAlign w:val="superscript"/>
              </w:rPr>
              <w:t>(1)</w:t>
            </w:r>
          </w:p>
        </w:tc>
        <w:tc>
          <w:tcPr>
            <w:tcW w:w="26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center"/>
              <w:spacing w:after="0" w:line="229" w:lineRule="exact"/>
              <w:rPr>
                <w:sz w:val="20"/>
                <w:szCs w:val="20"/>
                <w:color w:val="auto"/>
              </w:rPr>
            </w:pPr>
            <w:r>
              <w:rPr>
                <w:rFonts w:ascii="Arial" w:cs="Arial" w:eastAsia="Arial" w:hAnsi="Arial"/>
                <w:sz w:val="14"/>
                <w:szCs w:val="14"/>
                <w:b w:val="1"/>
                <w:bCs w:val="1"/>
                <w:color w:val="auto"/>
                <w:w w:val="86"/>
              </w:rPr>
              <w:t>Price</w:t>
            </w:r>
            <w:r>
              <w:rPr>
                <w:rFonts w:ascii="Arial" w:cs="Arial" w:eastAsia="Arial" w:hAnsi="Arial"/>
                <w:sz w:val="23"/>
                <w:szCs w:val="23"/>
                <w:b w:val="1"/>
                <w:bCs w:val="1"/>
                <w:color w:val="auto"/>
                <w:w w:val="86"/>
                <w:vertAlign w:val="superscript"/>
              </w:rPr>
              <w:t>(1)</w:t>
            </w:r>
          </w:p>
        </w:tc>
        <w:tc>
          <w:tcPr>
            <w:tcW w:w="2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210"/>
        </w:trPr>
        <w:tc>
          <w:tcPr>
            <w:tcW w:w="4860" w:type="dxa"/>
            <w:vAlign w:val="bottom"/>
            <w:tcBorders>
              <w:bottom w:val="single" w:sz="8" w:color="auto"/>
            </w:tcBorders>
            <w:gridSpan w:val="2"/>
            <w:shd w:val="clear" w:color="auto" w:fill="CCEEFF"/>
          </w:tcPr>
          <w:p>
            <w:pPr>
              <w:spacing w:after="0" w:line="210" w:lineRule="exact"/>
              <w:rPr>
                <w:sz w:val="20"/>
                <w:szCs w:val="20"/>
                <w:color w:val="auto"/>
              </w:rPr>
            </w:pPr>
            <w:r>
              <w:rPr>
                <w:rFonts w:ascii="Arial" w:cs="Arial" w:eastAsia="Arial" w:hAnsi="Arial"/>
                <w:sz w:val="15"/>
                <w:szCs w:val="15"/>
                <w:color w:val="auto"/>
              </w:rPr>
              <w:t>Class A ordinary shares 0.0001 par value</w:t>
            </w:r>
            <w:r>
              <w:rPr>
                <w:rFonts w:ascii="Arial" w:cs="Arial" w:eastAsia="Arial" w:hAnsi="Arial"/>
                <w:sz w:val="24"/>
                <w:szCs w:val="24"/>
                <w:color w:val="auto"/>
                <w:vertAlign w:val="superscript"/>
              </w:rPr>
              <w:t>(2)(3)</w:t>
            </w:r>
          </w:p>
        </w:tc>
        <w:tc>
          <w:tcPr>
            <w:tcW w:w="1400" w:type="dxa"/>
            <w:vAlign w:val="bottom"/>
            <w:tcBorders>
              <w:bottom w:val="single" w:sz="8" w:color="auto"/>
            </w:tcBorders>
            <w:gridSpan w:val="2"/>
            <w:shd w:val="clear" w:color="auto" w:fill="CCEEFF"/>
          </w:tcPr>
          <w:p>
            <w:pPr>
              <w:jc w:val="center"/>
              <w:ind w:right="280"/>
              <w:spacing w:after="0"/>
              <w:rPr>
                <w:sz w:val="20"/>
                <w:szCs w:val="20"/>
                <w:color w:val="auto"/>
              </w:rPr>
            </w:pPr>
            <w:r>
              <w:rPr>
                <w:rFonts w:ascii="Arial" w:cs="Arial" w:eastAsia="Arial" w:hAnsi="Arial"/>
                <w:sz w:val="15"/>
                <w:szCs w:val="15"/>
                <w:color w:val="auto"/>
                <w:w w:val="90"/>
              </w:rPr>
              <w:t>14,375,000 shares</w:t>
            </w: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1"/>
              </w:rPr>
              <w:t>$10.00</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1"/>
              </w:rPr>
              <w:t>$143,750,000</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2"/>
              </w:rPr>
              <w:t>$18,659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5360035</wp:posOffset>
            </wp:positionH>
            <wp:positionV relativeFrom="paragraph">
              <wp:posOffset>-153670</wp:posOffset>
            </wp:positionV>
            <wp:extent cx="1714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4545965</wp:posOffset>
            </wp:positionH>
            <wp:positionV relativeFrom="paragraph">
              <wp:posOffset>-153670</wp:posOffset>
            </wp:positionV>
            <wp:extent cx="1714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3799840</wp:posOffset>
            </wp:positionH>
            <wp:positionV relativeFrom="paragraph">
              <wp:posOffset>-153670</wp:posOffset>
            </wp:positionV>
            <wp:extent cx="1797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2891155</wp:posOffset>
            </wp:positionH>
            <wp:positionV relativeFrom="paragraph">
              <wp:posOffset>-153670</wp:posOffset>
            </wp:positionV>
            <wp:extent cx="1885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8595" cy="8890"/>
                    </a:xfrm>
                    <a:prstGeom prst="rect">
                      <a:avLst/>
                    </a:prstGeom>
                    <a:noFill/>
                  </pic:spPr>
                </pic:pic>
              </a:graphicData>
            </a:graphic>
          </wp:anchor>
        </w:drawing>
      </w:r>
    </w:p>
    <w:p>
      <w:pPr>
        <w:spacing w:after="0" w:line="20" w:lineRule="exact"/>
        <w:rPr>
          <w:sz w:val="24"/>
          <w:szCs w:val="24"/>
          <w:color w:val="auto"/>
        </w:rPr>
      </w:pPr>
    </w:p>
    <w:p>
      <w:pPr>
        <w:ind w:left="360" w:hanging="356"/>
        <w:spacing w:after="0"/>
        <w:tabs>
          <w:tab w:leader="none" w:pos="36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w:t>
      </w:r>
    </w:p>
    <w:p>
      <w:pPr>
        <w:spacing w:after="0" w:line="39" w:lineRule="exact"/>
        <w:rPr>
          <w:rFonts w:ascii="Arial" w:cs="Arial" w:eastAsia="Arial" w:hAnsi="Arial"/>
          <w:sz w:val="13"/>
          <w:szCs w:val="13"/>
          <w:color w:val="auto"/>
        </w:rPr>
      </w:pPr>
    </w:p>
    <w:p>
      <w:pPr>
        <w:ind w:left="360" w:hanging="356"/>
        <w:spacing w:after="0"/>
        <w:tabs>
          <w:tab w:leader="none" w:pos="36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1,875,000 Class A ordinary shares, which may be issued upon exercise of a 45-day option granted to the underwriters to cover over allotments, if any.</w:t>
      </w:r>
    </w:p>
    <w:p>
      <w:pPr>
        <w:spacing w:after="0" w:line="39" w:lineRule="exact"/>
        <w:rPr>
          <w:rFonts w:ascii="Arial" w:cs="Arial" w:eastAsia="Arial" w:hAnsi="Arial"/>
          <w:sz w:val="13"/>
          <w:szCs w:val="13"/>
          <w:color w:val="auto"/>
        </w:rPr>
      </w:pPr>
    </w:p>
    <w:p>
      <w:pPr>
        <w:ind w:left="360" w:right="20" w:hanging="356"/>
        <w:spacing w:after="0" w:line="236" w:lineRule="auto"/>
        <w:tabs>
          <w:tab w:leader="none" w:pos="360" w:val="left"/>
        </w:tabs>
        <w:numPr>
          <w:ilvl w:val="0"/>
          <w:numId w:val="1"/>
        </w:numPr>
        <w:rPr>
          <w:rFonts w:ascii="Arial" w:cs="Arial" w:eastAsia="Arial" w:hAnsi="Arial"/>
          <w:sz w:val="13"/>
          <w:szCs w:val="13"/>
          <w:color w:val="auto"/>
        </w:rPr>
      </w:pPr>
      <w:r>
        <w:rPr>
          <w:rFonts w:ascii="Arial" w:cs="Arial" w:eastAsia="Arial" w:hAnsi="Arial"/>
          <w:sz w:val="13"/>
          <w:szCs w:val="13"/>
          <w:color w:val="auto"/>
        </w:rPr>
        <w:t>Pursuant to Rule 416, there are also being registered an indeterminable number of additional securities as may be issued to prevent dilution resulting from share splits, share dividends or similar transactions.</w:t>
      </w:r>
    </w:p>
    <w:p>
      <w:pPr>
        <w:spacing w:after="0" w:line="26" w:lineRule="exact"/>
        <w:rPr>
          <w:sz w:val="24"/>
          <w:szCs w:val="24"/>
          <w:color w:val="auto"/>
        </w:rPr>
      </w:pPr>
    </w:p>
    <w:p>
      <w:pPr>
        <w:ind w:right="180"/>
        <w:spacing w:after="0" w:line="333" w:lineRule="auto"/>
        <w:rPr>
          <w:sz w:val="20"/>
          <w:szCs w:val="20"/>
          <w:color w:val="auto"/>
        </w:rPr>
      </w:pPr>
      <w:r>
        <w:rPr>
          <w:rFonts w:ascii="Arial" w:cs="Arial" w:eastAsia="Arial" w:hAnsi="Arial"/>
          <w:sz w:val="10"/>
          <w:szCs w:val="10"/>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290830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153670</wp:posOffset>
            </wp:positionV>
            <wp:extent cx="617220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72200" cy="25400"/>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bookmarkStart w:id="1" w:name="page2"/>
    <w:bookmarkEnd w:id="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7"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D81E06"/>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C0014"/>
        </w:rPr>
        <w:t>SUBJECT TO COMPLETION, DATED JULY 21, 2020</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PRELIMINARY PROSPECTUS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$125,000,000</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ARYA Sciences Acquisition Corp III</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12,500,000 Class A Ordinary Shares</w:t>
      </w:r>
    </w:p>
    <w:p>
      <w:pPr>
        <w:spacing w:after="0" w:line="124" w:lineRule="exact"/>
        <w:rPr>
          <w:sz w:val="20"/>
          <w:szCs w:val="20"/>
          <w:color w:val="auto"/>
        </w:rPr>
      </w:pPr>
    </w:p>
    <w:p>
      <w:pPr>
        <w:ind w:right="120"/>
        <w:spacing w:after="0" w:line="232" w:lineRule="auto"/>
        <w:rPr>
          <w:sz w:val="20"/>
          <w:szCs w:val="20"/>
          <w:color w:val="auto"/>
        </w:rPr>
      </w:pPr>
      <w:r>
        <w:rPr>
          <w:rFonts w:ascii="Arial" w:cs="Arial" w:eastAsia="Arial" w:hAnsi="Arial"/>
          <w:sz w:val="16"/>
          <w:szCs w:val="16"/>
          <w:color w:val="auto"/>
        </w:rPr>
        <w:t>ARYA Sciences Acquisition Corp III is a newly organized blank check company incorporated as a Cayman Islands exempted company and formed for the purpose of effecting a merger, share exchange, asset acquisition, share purchase, reorganization or similar business combination with one or more businesses or entities, which we refer to as our initial business combination. We have not selected any business combination target and we have not, nor has anyone on our behalf, initiated any substantive discussions, directly or indirectly, with any business combination target.</w:t>
      </w:r>
    </w:p>
    <w:p>
      <w:pPr>
        <w:spacing w:after="0" w:line="110" w:lineRule="exact"/>
        <w:rPr>
          <w:sz w:val="20"/>
          <w:szCs w:val="20"/>
          <w:color w:val="auto"/>
        </w:rPr>
      </w:pPr>
    </w:p>
    <w:p>
      <w:pPr>
        <w:spacing w:after="0" w:line="232" w:lineRule="auto"/>
        <w:rPr>
          <w:sz w:val="20"/>
          <w:szCs w:val="20"/>
          <w:color w:val="auto"/>
        </w:rPr>
      </w:pPr>
      <w:r>
        <w:rPr>
          <w:rFonts w:ascii="Arial" w:cs="Arial" w:eastAsia="Arial" w:hAnsi="Arial"/>
          <w:sz w:val="16"/>
          <w:szCs w:val="16"/>
          <w:color w:val="auto"/>
        </w:rPr>
        <w:t>This is an initial public offering of our Class A ordinary shares, par value $0.0001 per share, which we refer to as our public shares, at an initial public offering price per share of $10.00. The underwriters have a 45-day option from the date of this prospectus to purchase up to 1,875,000 additional public shares to cover over-allotments, if any. Unlike other initial public offerings of special purpose acquisition companies (“SPAC IPOs”), investors in this offering will not receive warrants that would become exercisable following completion of our initial business combination.</w:t>
      </w:r>
    </w:p>
    <w:p>
      <w:pPr>
        <w:spacing w:after="0" w:line="96" w:lineRule="exact"/>
        <w:rPr>
          <w:sz w:val="20"/>
          <w:szCs w:val="20"/>
          <w:color w:val="auto"/>
        </w:rPr>
      </w:pPr>
    </w:p>
    <w:p>
      <w:pPr>
        <w:ind w:right="240"/>
        <w:spacing w:after="0" w:line="233" w:lineRule="auto"/>
        <w:rPr>
          <w:sz w:val="20"/>
          <w:szCs w:val="20"/>
          <w:color w:val="auto"/>
        </w:rPr>
      </w:pPr>
      <w:r>
        <w:rPr>
          <w:rFonts w:ascii="Arial" w:cs="Arial" w:eastAsia="Arial" w:hAnsi="Arial"/>
          <w:sz w:val="16"/>
          <w:szCs w:val="16"/>
          <w:color w:val="auto"/>
        </w:rPr>
        <w:t>We will provide our public shareholders with the opportunity to redeem all or a portion of their Class A ordinary shares upon the completion of our initial business combination, subject to the limitations as described herein. If we do not consummate an initial business combination within 24 months from the closing of this offering, we will redeem 100% of the public shares for cash, subject to applicable law and certain conditions as described herein.</w:t>
      </w:r>
    </w:p>
    <w:p>
      <w:pPr>
        <w:spacing w:after="0" w:line="109" w:lineRule="exact"/>
        <w:rPr>
          <w:sz w:val="20"/>
          <w:szCs w:val="20"/>
          <w:color w:val="auto"/>
        </w:rPr>
      </w:pPr>
    </w:p>
    <w:p>
      <w:pPr>
        <w:ind w:right="40"/>
        <w:spacing w:after="0" w:line="249" w:lineRule="auto"/>
        <w:rPr>
          <w:sz w:val="20"/>
          <w:szCs w:val="20"/>
          <w:color w:val="auto"/>
        </w:rPr>
      </w:pPr>
      <w:r>
        <w:rPr>
          <w:rFonts w:ascii="Arial" w:cs="Arial" w:eastAsia="Arial" w:hAnsi="Arial"/>
          <w:sz w:val="15"/>
          <w:szCs w:val="15"/>
          <w:color w:val="auto"/>
        </w:rPr>
        <w:t>Our sponsor, ARYA Sciences Holdings III, has agreed to purchase 450,000 Class A ordinary shares (or 487,500 Class A ordinary shares if the underwriters’ over-allotment option is exercised in full), at a price of $10.00 per share in a private placement to occur concurrently with the closing of this offering for an aggregate purchase price of $4,500,000 (or $4,875,000 if the over-allotment option is exercised in full) that will close simultaneously with the closing of this offering. The private placement shares are identical to the Class A ordinary shares sold in this offering, subject to certain limited exceptions as described in this prospectus.</w:t>
      </w:r>
    </w:p>
    <w:p>
      <w:pPr>
        <w:spacing w:after="0" w:line="104" w:lineRule="exact"/>
        <w:rPr>
          <w:sz w:val="20"/>
          <w:szCs w:val="20"/>
          <w:color w:val="auto"/>
        </w:rPr>
      </w:pPr>
    </w:p>
    <w:p>
      <w:pPr>
        <w:ind w:right="140"/>
        <w:spacing w:after="0" w:line="233" w:lineRule="auto"/>
        <w:rPr>
          <w:sz w:val="20"/>
          <w:szCs w:val="20"/>
          <w:color w:val="auto"/>
        </w:rPr>
      </w:pPr>
      <w:r>
        <w:rPr>
          <w:rFonts w:ascii="Arial" w:cs="Arial" w:eastAsia="Arial" w:hAnsi="Arial"/>
          <w:sz w:val="16"/>
          <w:szCs w:val="16"/>
          <w:color w:val="auto"/>
        </w:rPr>
        <w:t>Our initial shareholders currently own 3,593,750 Class B ordinary shares (up to 468,750 of which are subject to forfeiture) which will automatically convert into Class A ordinary shares at the time of our initial business combination as described herein. Prior to the completion of our initial business combination, only holders of our Class B ordinary shares will be entitled to vote on the election of directors.</w:t>
      </w:r>
    </w:p>
    <w:p>
      <w:pPr>
        <w:spacing w:after="0" w:line="96" w:lineRule="exact"/>
        <w:rPr>
          <w:sz w:val="20"/>
          <w:szCs w:val="20"/>
          <w:color w:val="auto"/>
        </w:rPr>
      </w:pPr>
    </w:p>
    <w:p>
      <w:pPr>
        <w:ind w:right="80"/>
        <w:spacing w:after="0" w:line="231" w:lineRule="auto"/>
        <w:rPr>
          <w:sz w:val="20"/>
          <w:szCs w:val="20"/>
          <w:color w:val="auto"/>
        </w:rPr>
      </w:pPr>
      <w:r>
        <w:rPr>
          <w:rFonts w:ascii="Arial" w:cs="Arial" w:eastAsia="Arial" w:hAnsi="Arial"/>
          <w:sz w:val="16"/>
          <w:szCs w:val="16"/>
          <w:color w:val="auto"/>
        </w:rPr>
        <w:t>Our sponsor has indicated an interest to purchase up to an aggregate of $25,000,000 of our ordinary shares in a private placement that would occur concurrently with the consummation of our initial business combination. The capital from such private placement would be used as part of the consideration to the sellers in our initial business combination, and any excess capital from such private placement would be used for working capital in the post-business combination company. However, because indications of interest are not binding agreements or commitments to purchase, our sponsor may determine not to purchase any such shares, or to purchase fewer shares than it has indicated an interest in purchasing. Furthermore, we are not under any obligation to sell any such shares. Such investment would be made on terms and conditions determined at the time of the business combination.</w:t>
      </w:r>
    </w:p>
    <w:p>
      <w:pPr>
        <w:spacing w:after="0" w:line="109" w:lineRule="exact"/>
        <w:rPr>
          <w:sz w:val="20"/>
          <w:szCs w:val="20"/>
          <w:color w:val="auto"/>
        </w:rPr>
      </w:pPr>
    </w:p>
    <w:p>
      <w:pPr>
        <w:ind w:right="300"/>
        <w:spacing w:after="0" w:line="237" w:lineRule="auto"/>
        <w:rPr>
          <w:sz w:val="20"/>
          <w:szCs w:val="20"/>
          <w:color w:val="auto"/>
        </w:rPr>
      </w:pPr>
      <w:r>
        <w:rPr>
          <w:rFonts w:ascii="Arial" w:cs="Arial" w:eastAsia="Arial" w:hAnsi="Arial"/>
          <w:sz w:val="16"/>
          <w:szCs w:val="16"/>
          <w:color w:val="auto"/>
        </w:rPr>
        <w:t>Currently, there is no public market for our Class A ordinary shares. We intend to apply to have our public shares listed on The Nasdaq Capital Market, or Nasdaq, under the symbol “ARYA.”</w:t>
      </w:r>
    </w:p>
    <w:p>
      <w:pPr>
        <w:spacing w:after="0" w:line="62" w:lineRule="exact"/>
        <w:rPr>
          <w:sz w:val="20"/>
          <w:szCs w:val="20"/>
          <w:color w:val="auto"/>
        </w:rPr>
      </w:pPr>
    </w:p>
    <w:p>
      <w:pPr>
        <w:jc w:val="both"/>
        <w:ind w:right="160"/>
        <w:spacing w:after="0" w:line="237" w:lineRule="auto"/>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We are an “emerging growth company” and “smaller reporting company” under applicable federal securities laws and will be subject to reduced public company reporting requirements. Investing in our securities involves a high degree of risk. See “Risk Factors” beginning on page </w:t>
      </w:r>
      <w:hyperlink w:anchor="page32">
        <w:r>
          <w:rPr>
            <w:rFonts w:ascii="Arial" w:cs="Arial" w:eastAsia="Arial" w:hAnsi="Arial"/>
            <w:sz w:val="16"/>
            <w:szCs w:val="16"/>
            <w:b w:val="1"/>
            <w:bCs w:val="1"/>
            <w:u w:val="single" w:color="auto"/>
            <w:color w:val="0000EE"/>
          </w:rPr>
          <w:t>29</w:t>
        </w:r>
        <w:r>
          <w:rPr>
            <w:rFonts w:ascii="Arial" w:cs="Arial" w:eastAsia="Arial" w:hAnsi="Arial"/>
            <w:sz w:val="16"/>
            <w:szCs w:val="16"/>
            <w:b w:val="1"/>
            <w:bCs w:val="1"/>
            <w:u w:val="single" w:color="auto"/>
            <w:color w:val="auto"/>
          </w:rPr>
          <w:t xml:space="preserve"> </w:t>
        </w:r>
      </w:hyperlink>
      <w:r>
        <w:rPr>
          <w:rFonts w:ascii="Arial" w:cs="Arial" w:eastAsia="Arial" w:hAnsi="Arial"/>
          <w:sz w:val="16"/>
          <w:szCs w:val="16"/>
          <w:b w:val="1"/>
          <w:bCs w:val="1"/>
          <w:color w:val="auto"/>
        </w:rPr>
        <w:t>for a discussion of information that should be considered in connection with an investment in our securities. Investors will not be entitled to protections normally afforded to investors in Rule 419 blank check offerings.</w:t>
      </w:r>
    </w:p>
    <w:p>
      <w:pPr>
        <w:spacing w:after="0" w:line="70" w:lineRule="exact"/>
        <w:rPr>
          <w:sz w:val="20"/>
          <w:szCs w:val="20"/>
          <w:color w:val="auto"/>
        </w:rPr>
      </w:pPr>
    </w:p>
    <w:p>
      <w:pPr>
        <w:ind w:right="360"/>
        <w:spacing w:after="0" w:line="234" w:lineRule="auto"/>
        <w:rPr>
          <w:sz w:val="20"/>
          <w:szCs w:val="20"/>
          <w:color w:val="auto"/>
        </w:rPr>
      </w:pPr>
      <w:r>
        <w:rPr>
          <w:rFonts w:ascii="Arial" w:cs="Arial" w:eastAsia="Arial" w:hAnsi="Arial"/>
          <w:sz w:val="16"/>
          <w:szCs w:val="16"/>
          <w:color w:val="auto"/>
        </w:rPr>
        <w:t>Neither the U.S. Securities and Exchange Commission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57607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ind w:right="104"/>
              <w:spacing w:after="0"/>
              <w:rPr>
                <w:sz w:val="20"/>
                <w:szCs w:val="20"/>
                <w:color w:val="auto"/>
              </w:rPr>
            </w:pPr>
            <w:r>
              <w:rPr>
                <w:rFonts w:ascii="Arial" w:cs="Arial" w:eastAsia="Arial" w:hAnsi="Arial"/>
                <w:sz w:val="14"/>
                <w:szCs w:val="14"/>
                <w:b w:val="1"/>
                <w:bCs w:val="1"/>
                <w:color w:val="auto"/>
              </w:rPr>
              <w:t>Per</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90"/>
        </w:trPr>
        <w:tc>
          <w:tcPr>
            <w:tcW w:w="7080" w:type="dxa"/>
            <w:vAlign w:val="bottom"/>
          </w:tcPr>
          <w:p>
            <w:pPr>
              <w:spacing w:after="0"/>
              <w:rPr>
                <w:sz w:val="16"/>
                <w:szCs w:val="16"/>
                <w:color w:val="auto"/>
              </w:rPr>
            </w:pPr>
          </w:p>
        </w:tc>
        <w:tc>
          <w:tcPr>
            <w:tcW w:w="580" w:type="dxa"/>
            <w:vAlign w:val="bottom"/>
            <w:gridSpan w:val="2"/>
          </w:tcPr>
          <w:p>
            <w:pPr>
              <w:jc w:val="right"/>
              <w:ind w:right="4"/>
              <w:spacing w:after="0"/>
              <w:rPr>
                <w:sz w:val="20"/>
                <w:szCs w:val="20"/>
                <w:color w:val="auto"/>
              </w:rPr>
            </w:pPr>
            <w:r>
              <w:rPr>
                <w:rFonts w:ascii="Arial" w:cs="Arial" w:eastAsia="Arial" w:hAnsi="Arial"/>
                <w:sz w:val="14"/>
                <w:szCs w:val="14"/>
                <w:b w:val="1"/>
                <w:bCs w:val="1"/>
                <w:color w:val="auto"/>
              </w:rPr>
              <w:t>Share</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285"/>
              <w:spacing w:after="0"/>
              <w:rPr>
                <w:sz w:val="20"/>
                <w:szCs w:val="20"/>
                <w:color w:val="auto"/>
              </w:rPr>
            </w:pPr>
            <w:r>
              <w:rPr>
                <w:rFonts w:ascii="Arial" w:cs="Arial" w:eastAsia="Arial" w:hAnsi="Arial"/>
                <w:sz w:val="14"/>
                <w:szCs w:val="14"/>
                <w:b w:val="1"/>
                <w:bCs w:val="1"/>
                <w:color w:val="auto"/>
              </w:rPr>
              <w:t>Total</w:t>
            </w:r>
          </w:p>
        </w:tc>
      </w:tr>
      <w:tr>
        <w:trPr>
          <w:trHeight w:val="39"/>
        </w:trPr>
        <w:tc>
          <w:tcPr>
            <w:tcW w:w="708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gridSpan w:val="2"/>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r>
      <w:tr>
        <w:trPr>
          <w:trHeight w:val="250"/>
        </w:trPr>
        <w:tc>
          <w:tcPr>
            <w:tcW w:w="7080" w:type="dxa"/>
            <w:vAlign w:val="bottom"/>
            <w:shd w:val="clear" w:color="auto" w:fill="CCEEFF"/>
          </w:tcPr>
          <w:p>
            <w:pPr>
              <w:spacing w:after="0"/>
              <w:rPr>
                <w:sz w:val="20"/>
                <w:szCs w:val="20"/>
                <w:color w:val="auto"/>
              </w:rPr>
            </w:pPr>
            <w:r>
              <w:rPr>
                <w:rFonts w:ascii="Arial" w:cs="Arial" w:eastAsia="Arial" w:hAnsi="Arial"/>
                <w:sz w:val="16"/>
                <w:szCs w:val="16"/>
                <w:color w:val="auto"/>
              </w:rPr>
              <w:t>Public offering price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42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$125,000,000</w:t>
            </w:r>
          </w:p>
        </w:tc>
      </w:tr>
      <w:tr>
        <w:trPr>
          <w:trHeight w:val="230"/>
        </w:trPr>
        <w:tc>
          <w:tcPr>
            <w:tcW w:w="7080" w:type="dxa"/>
            <w:vAlign w:val="bottom"/>
          </w:tcPr>
          <w:p>
            <w:pPr>
              <w:spacing w:after="0" w:line="230" w:lineRule="exact"/>
              <w:rPr>
                <w:sz w:val="20"/>
                <w:szCs w:val="20"/>
                <w:color w:val="auto"/>
              </w:rPr>
            </w:pPr>
            <w:r>
              <w:rPr>
                <w:rFonts w:ascii="Arial" w:cs="Arial" w:eastAsia="Arial" w:hAnsi="Arial"/>
                <w:sz w:val="16"/>
                <w:szCs w:val="16"/>
                <w:color w:val="auto"/>
              </w:rPr>
              <w:t>Underwriting discounts and commissions</w:t>
            </w:r>
            <w:r>
              <w:rPr>
                <w:rFonts w:ascii="Arial" w:cs="Arial" w:eastAsia="Arial" w:hAnsi="Arial"/>
                <w:sz w:val="26"/>
                <w:szCs w:val="26"/>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0.55</w:t>
            </w:r>
          </w:p>
        </w:tc>
        <w:tc>
          <w:tcPr>
            <w:tcW w:w="54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5"/>
              <w:spacing w:after="0"/>
              <w:rPr>
                <w:sz w:val="20"/>
                <w:szCs w:val="20"/>
                <w:color w:val="auto"/>
              </w:rPr>
            </w:pPr>
            <w:r>
              <w:rPr>
                <w:rFonts w:ascii="Arial" w:cs="Arial" w:eastAsia="Arial" w:hAnsi="Arial"/>
                <w:sz w:val="16"/>
                <w:szCs w:val="16"/>
                <w:color w:val="auto"/>
              </w:rPr>
              <w:t>6,875,000</w:t>
            </w:r>
          </w:p>
        </w:tc>
      </w:tr>
      <w:tr>
        <w:trPr>
          <w:trHeight w:val="203"/>
        </w:trPr>
        <w:tc>
          <w:tcPr>
            <w:tcW w:w="7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Proceeds, before expenses, to us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9.45</w:t>
            </w:r>
          </w:p>
        </w:tc>
        <w:tc>
          <w:tcPr>
            <w:tcW w:w="1420" w:type="dxa"/>
            <w:vAlign w:val="bottom"/>
            <w:tcBorders>
              <w:bottom w:val="single" w:sz="8" w:color="auto"/>
            </w:tcBorders>
            <w:gridSpan w:val="3"/>
            <w:shd w:val="clear" w:color="auto" w:fill="CCEEFF"/>
          </w:tcPr>
          <w:p>
            <w:pPr>
              <w:ind w:left="360"/>
              <w:spacing w:after="0"/>
              <w:rPr>
                <w:sz w:val="20"/>
                <w:szCs w:val="20"/>
                <w:color w:val="auto"/>
              </w:rPr>
            </w:pPr>
            <w:r>
              <w:rPr>
                <w:rFonts w:ascii="Arial" w:cs="Arial" w:eastAsia="Arial" w:hAnsi="Arial"/>
                <w:sz w:val="16"/>
                <w:szCs w:val="16"/>
                <w:color w:val="auto"/>
              </w:rPr>
              <w:t>$118,125,000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-454025</wp:posOffset>
            </wp:positionV>
            <wp:extent cx="2228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-454025</wp:posOffset>
            </wp:positionV>
            <wp:extent cx="1111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28" w:lineRule="exact"/>
        <w:rPr>
          <w:sz w:val="20"/>
          <w:szCs w:val="20"/>
          <w:color w:val="auto"/>
        </w:rPr>
      </w:pPr>
    </w:p>
    <w:p>
      <w:pPr>
        <w:ind w:left="360" w:right="360" w:hanging="352"/>
        <w:spacing w:after="0" w:line="223" w:lineRule="auto"/>
        <w:tabs>
          <w:tab w:leader="none" w:pos="36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Includes $0.35 per share, or $4,375,000 in the aggregate (or $5,031,250 in the aggregate if the underwriters’ over-allotment option is exercised in full), payable to the underwriters for deferred underwriting commissions to be placed in a trust account located in the United States as described herein and released to the underwriters only upon the consummation of an initial business combination. See also “Underwriting” beginning on page </w:t>
      </w:r>
      <w:hyperlink w:anchor="page133">
        <w:r>
          <w:rPr>
            <w:rFonts w:ascii="Arial" w:cs="Arial" w:eastAsia="Arial" w:hAnsi="Arial"/>
            <w:sz w:val="13"/>
            <w:szCs w:val="13"/>
            <w:u w:val="single" w:color="auto"/>
            <w:color w:val="0000EE"/>
          </w:rPr>
          <w:t>130</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for a description of compensation and other items of value payable to the underwriters.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Of the proceeds we receive from this offering and the sale of the private placement shares described in this prospectus,</w:t>
      </w:r>
    </w:p>
    <w:p>
      <w:pPr>
        <w:ind w:right="20"/>
        <w:spacing w:after="0" w:line="266" w:lineRule="auto"/>
        <w:rPr>
          <w:sz w:val="20"/>
          <w:szCs w:val="20"/>
          <w:color w:val="auto"/>
        </w:rPr>
      </w:pPr>
      <w:r>
        <w:rPr>
          <w:rFonts w:ascii="Arial" w:cs="Arial" w:eastAsia="Arial" w:hAnsi="Arial"/>
          <w:sz w:val="15"/>
          <w:szCs w:val="15"/>
          <w:color w:val="auto"/>
        </w:rPr>
        <w:t>$125.0 million, or $143.75 million if the underwriters’ over-allotment option is exercised in full ($10.00 per share in either case), will be deposited into a trust account located in the United States with Continental Stock Transfer &amp; Trust Company acting as trustee.</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color w:val="auto"/>
        </w:rPr>
        <w:t>The underwriters are offering the shares for sale on a firm commitment basis. The underwriters expect to deliver the shares to the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660" w:type="dxa"/>
            <w:vAlign w:val="bottom"/>
          </w:tcPr>
          <w:p>
            <w:pPr>
              <w:spacing w:after="0"/>
              <w:rPr>
                <w:sz w:val="20"/>
                <w:szCs w:val="20"/>
                <w:color w:val="auto"/>
              </w:rPr>
            </w:pPr>
            <w:r>
              <w:rPr>
                <w:rFonts w:ascii="Arial" w:cs="Arial" w:eastAsia="Arial" w:hAnsi="Arial"/>
                <w:sz w:val="16"/>
                <w:szCs w:val="16"/>
                <w:color w:val="auto"/>
                <w:w w:val="99"/>
              </w:rPr>
              <w:t>purchasers on or about</w:t>
            </w:r>
          </w:p>
        </w:tc>
        <w:tc>
          <w:tcPr>
            <w:tcW w:w="1420" w:type="dxa"/>
            <w:vAlign w:val="bottom"/>
          </w:tcPr>
          <w:p>
            <w:pPr>
              <w:jc w:val="right"/>
              <w:ind w:right="198"/>
              <w:spacing w:after="0"/>
              <w:rPr>
                <w:sz w:val="20"/>
                <w:szCs w:val="20"/>
                <w:color w:val="auto"/>
              </w:rPr>
            </w:pPr>
            <w:r>
              <w:rPr>
                <w:rFonts w:ascii="Arial" w:cs="Arial" w:eastAsia="Arial" w:hAnsi="Arial"/>
                <w:sz w:val="16"/>
                <w:szCs w:val="16"/>
                <w:color w:val="auto"/>
              </w:rPr>
              <w:t>, 2020.</w:t>
            </w:r>
          </w:p>
        </w:tc>
        <w:tc>
          <w:tcPr>
            <w:tcW w:w="6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060" w:type="dxa"/>
            <w:vAlign w:val="bottom"/>
          </w:tcPr>
          <w:p>
            <w:pPr>
              <w:spacing w:after="0"/>
              <w:rPr>
                <w:sz w:val="16"/>
                <w:szCs w:val="16"/>
                <w:color w:val="auto"/>
              </w:rPr>
            </w:pPr>
          </w:p>
        </w:tc>
      </w:tr>
      <w:tr>
        <w:trPr>
          <w:trHeight w:val="21"/>
        </w:trPr>
        <w:tc>
          <w:tcPr>
            <w:tcW w:w="16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313"/>
        </w:trPr>
        <w:tc>
          <w:tcPr>
            <w:tcW w:w="1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380" w:type="dxa"/>
            <w:vAlign w:val="bottom"/>
            <w:gridSpan w:val="3"/>
          </w:tcPr>
          <w:p>
            <w:pPr>
              <w:ind w:left="320"/>
              <w:spacing w:after="0"/>
              <w:rPr>
                <w:sz w:val="20"/>
                <w:szCs w:val="20"/>
                <w:color w:val="auto"/>
              </w:rPr>
            </w:pPr>
            <w:r>
              <w:rPr>
                <w:rFonts w:ascii="Arial" w:cs="Arial" w:eastAsia="Arial" w:hAnsi="Arial"/>
                <w:sz w:val="17"/>
                <w:szCs w:val="17"/>
                <w:i w:val="1"/>
                <w:iCs w:val="1"/>
                <w:color w:val="auto"/>
              </w:rPr>
              <w:t>Joint Book-Running Managers</w:t>
            </w:r>
          </w:p>
        </w:tc>
      </w:tr>
      <w:tr>
        <w:trPr>
          <w:trHeight w:val="499"/>
        </w:trPr>
        <w:tc>
          <w:tcPr>
            <w:tcW w:w="1660" w:type="dxa"/>
            <w:vAlign w:val="bottom"/>
          </w:tcPr>
          <w:p>
            <w:pPr>
              <w:spacing w:after="0"/>
              <w:rPr>
                <w:sz w:val="24"/>
                <w:szCs w:val="24"/>
                <w:color w:val="auto"/>
              </w:rPr>
            </w:pPr>
          </w:p>
        </w:tc>
        <w:tc>
          <w:tcPr>
            <w:tcW w:w="1420" w:type="dxa"/>
            <w:vAlign w:val="bottom"/>
          </w:tcPr>
          <w:p>
            <w:pPr>
              <w:jc w:val="right"/>
              <w:ind w:right="238"/>
              <w:spacing w:after="0"/>
              <w:rPr>
                <w:sz w:val="20"/>
                <w:szCs w:val="20"/>
                <w:color w:val="auto"/>
              </w:rPr>
            </w:pPr>
            <w:r>
              <w:rPr>
                <w:rFonts w:ascii="Arial" w:cs="Arial" w:eastAsia="Arial" w:hAnsi="Arial"/>
                <w:sz w:val="25"/>
                <w:szCs w:val="25"/>
                <w:b w:val="1"/>
                <w:bCs w:val="1"/>
                <w:color w:val="auto"/>
              </w:rPr>
              <w:t>Jefferies</w:t>
            </w:r>
          </w:p>
        </w:tc>
        <w:tc>
          <w:tcPr>
            <w:tcW w:w="600" w:type="dxa"/>
            <w:vAlign w:val="bottom"/>
          </w:tcPr>
          <w:p>
            <w:pPr>
              <w:spacing w:after="0"/>
              <w:rPr>
                <w:sz w:val="24"/>
                <w:szCs w:val="24"/>
                <w:color w:val="auto"/>
              </w:rPr>
            </w:pPr>
          </w:p>
        </w:tc>
        <w:tc>
          <w:tcPr>
            <w:tcW w:w="4780" w:type="dxa"/>
            <w:vAlign w:val="bottom"/>
            <w:gridSpan w:val="2"/>
          </w:tcPr>
          <w:p>
            <w:pPr>
              <w:ind w:left="1600"/>
              <w:spacing w:after="0"/>
              <w:rPr>
                <w:sz w:val="20"/>
                <w:szCs w:val="20"/>
                <w:color w:val="auto"/>
              </w:rPr>
            </w:pPr>
            <w:r>
              <w:rPr>
                <w:rFonts w:ascii="Arial" w:cs="Arial" w:eastAsia="Arial" w:hAnsi="Arial"/>
                <w:sz w:val="25"/>
                <w:szCs w:val="25"/>
                <w:b w:val="1"/>
                <w:bCs w:val="1"/>
                <w:color w:val="auto"/>
                <w:w w:val="99"/>
              </w:rPr>
              <w:t>Goldman Sachs &amp; Co. LLC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71755</wp:posOffset>
            </wp:positionV>
            <wp:extent cx="10972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ectPr>
          <w:pgSz w:w="11900" w:h="16838" w:orient="portrait"/>
          <w:cols w:equalWidth="0" w:num="1">
            <w:col w:w="9080"/>
          </w:cols>
          <w:pgMar w:left="1400" w:top="265" w:right="1419" w:bottom="912" w:gutter="0" w:footer="0" w:header="0"/>
        </w:sectPr>
      </w:pPr>
    </w:p>
    <w:p>
      <w:pPr>
        <w:spacing w:after="0" w:line="204" w:lineRule="exact"/>
        <w:rPr>
          <w:sz w:val="20"/>
          <w:szCs w:val="20"/>
          <w:color w:val="auto"/>
        </w:rPr>
      </w:pPr>
    </w:p>
    <w:p>
      <w:pPr>
        <w:ind w:left="4640"/>
        <w:spacing w:after="0"/>
        <w:rPr>
          <w:sz w:val="20"/>
          <w:szCs w:val="20"/>
          <w:color w:val="auto"/>
        </w:rPr>
      </w:pPr>
      <w:r>
        <w:rPr>
          <w:rFonts w:ascii="Arial" w:cs="Arial" w:eastAsia="Arial" w:hAnsi="Arial"/>
          <w:sz w:val="15"/>
          <w:szCs w:val="15"/>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106680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912" w:gutter="0" w:footer="0" w:header="0"/>
          <w:type w:val="continuous"/>
        </w:sectPr>
      </w:pPr>
    </w:p>
    <w:bookmarkStart w:id="2" w:name="page3"/>
    <w:bookmarkEnd w:id="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57607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2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gridSpan w:val="3"/>
          </w:tcPr>
          <w:p>
            <w:pPr>
              <w:jc w:val="center"/>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80"/>
        </w:trPr>
        <w:tc>
          <w:tcPr>
            <w:tcW w:w="1120" w:type="dxa"/>
            <w:vAlign w:val="bottom"/>
            <w:tcBorders>
              <w:bottom w:val="single" w:sz="8" w:color="CCEEFF"/>
            </w:tcBorders>
          </w:tcPr>
          <w:p>
            <w:pPr>
              <w:spacing w:after="0"/>
              <w:rPr>
                <w:sz w:val="6"/>
                <w:szCs w:val="6"/>
                <w:color w:val="auto"/>
              </w:rPr>
            </w:pPr>
          </w:p>
        </w:tc>
        <w:tc>
          <w:tcPr>
            <w:tcW w:w="6400" w:type="dxa"/>
            <w:vAlign w:val="bottom"/>
            <w:tcBorders>
              <w:bottom w:val="single" w:sz="8" w:color="CCEEFF"/>
            </w:tcBorders>
          </w:tcPr>
          <w:p>
            <w:pPr>
              <w:spacing w:after="0"/>
              <w:rPr>
                <w:sz w:val="6"/>
                <w:szCs w:val="6"/>
                <w:color w:val="auto"/>
              </w:rPr>
            </w:pPr>
          </w:p>
        </w:tc>
        <w:tc>
          <w:tcPr>
            <w:tcW w:w="12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720" w:type="dxa"/>
            <w:vAlign w:val="bottom"/>
            <w:gridSpan w:val="3"/>
            <w:shd w:val="clear" w:color="auto" w:fill="CCEEFF"/>
          </w:tcPr>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SUMMARY</w:t>
              </w:r>
            </w:hyperlink>
          </w:p>
        </w:tc>
        <w:tc>
          <w:tcPr>
            <w:tcW w:w="360" w:type="dxa"/>
            <w:vAlign w:val="bottom"/>
            <w:gridSpan w:val="3"/>
            <w:shd w:val="clear" w:color="auto" w:fill="CCEEFF"/>
          </w:tcPr>
          <w:p>
            <w:pPr>
              <w:jc w:val="right"/>
              <w:ind w:right="60"/>
              <w:spacing w:after="0"/>
              <w:rPr>
                <w:rFonts w:ascii="Arial" w:cs="Arial" w:eastAsia="Arial" w:hAnsi="Arial"/>
                <w:sz w:val="17"/>
                <w:szCs w:val="17"/>
                <w:color w:val="0000EE"/>
              </w:rPr>
            </w:pPr>
            <w:hyperlink w:anchor="page4">
              <w:r>
                <w:rPr>
                  <w:rFonts w:ascii="Arial" w:cs="Arial" w:eastAsia="Arial" w:hAnsi="Arial"/>
                  <w:sz w:val="17"/>
                  <w:szCs w:val="17"/>
                  <w:color w:val="0000EE"/>
                </w:rPr>
                <w:t>1</w:t>
              </w:r>
            </w:hyperlink>
          </w:p>
        </w:tc>
        <w:tc>
          <w:tcPr>
            <w:tcW w:w="0" w:type="dxa"/>
            <w:vAlign w:val="bottom"/>
          </w:tcPr>
          <w:p>
            <w:pPr>
              <w:spacing w:after="0"/>
              <w:rPr>
                <w:sz w:val="1"/>
                <w:szCs w:val="1"/>
                <w:color w:val="auto"/>
              </w:rPr>
            </w:pPr>
          </w:p>
        </w:tc>
      </w:tr>
      <w:tr>
        <w:trPr>
          <w:trHeight w:val="74"/>
        </w:trPr>
        <w:tc>
          <w:tcPr>
            <w:tcW w:w="1120" w:type="dxa"/>
            <w:vAlign w:val="bottom"/>
            <w:tcBorders>
              <w:top w:val="single" w:sz="8" w:color="CCEEFF"/>
            </w:tcBorders>
            <w:shd w:val="clear" w:color="auto" w:fill="CCEEFF"/>
          </w:tcPr>
          <w:p>
            <w:pPr>
              <w:spacing w:after="0"/>
              <w:rPr>
                <w:sz w:val="6"/>
                <w:szCs w:val="6"/>
                <w:color w:val="auto"/>
              </w:rPr>
            </w:pPr>
          </w:p>
        </w:tc>
        <w:tc>
          <w:tcPr>
            <w:tcW w:w="640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6"/>
        </w:trPr>
        <w:tc>
          <w:tcPr>
            <w:tcW w:w="8720" w:type="dxa"/>
            <w:vAlign w:val="bottom"/>
            <w:gridSpan w:val="3"/>
          </w:tcPr>
          <w:p>
            <w:pPr>
              <w:spacing w:after="0"/>
              <w:rPr>
                <w:rFonts w:ascii="Arial" w:cs="Arial" w:eastAsia="Arial" w:hAnsi="Arial"/>
                <w:sz w:val="17"/>
                <w:szCs w:val="17"/>
                <w:u w:val="single" w:color="auto"/>
                <w:color w:val="0000EE"/>
              </w:rPr>
            </w:pPr>
            <w:hyperlink w:anchor="page31">
              <w:r>
                <w:rPr>
                  <w:rFonts w:ascii="Arial" w:cs="Arial" w:eastAsia="Arial" w:hAnsi="Arial"/>
                  <w:sz w:val="17"/>
                  <w:szCs w:val="17"/>
                  <w:u w:val="single" w:color="auto"/>
                  <w:color w:val="0000EE"/>
                </w:rPr>
                <w:t>SUMMARY FINANCIAL DATA</w:t>
              </w:r>
            </w:hyperlink>
          </w:p>
        </w:tc>
        <w:tc>
          <w:tcPr>
            <w:tcW w:w="300" w:type="dxa"/>
            <w:vAlign w:val="bottom"/>
            <w:gridSpan w:val="2"/>
          </w:tcPr>
          <w:p>
            <w:pPr>
              <w:jc w:val="right"/>
              <w:spacing w:after="0"/>
              <w:rPr>
                <w:rFonts w:ascii="Arial" w:cs="Arial" w:eastAsia="Arial" w:hAnsi="Arial"/>
                <w:sz w:val="17"/>
                <w:szCs w:val="17"/>
                <w:u w:val="single" w:color="auto"/>
                <w:color w:val="0000EE"/>
              </w:rPr>
            </w:pPr>
            <w:hyperlink w:anchor="page31">
              <w:r>
                <w:rPr>
                  <w:rFonts w:ascii="Arial" w:cs="Arial" w:eastAsia="Arial" w:hAnsi="Arial"/>
                  <w:sz w:val="17"/>
                  <w:szCs w:val="17"/>
                  <w:u w:val="single" w:color="auto"/>
                  <w:color w:val="0000EE"/>
                </w:rPr>
                <w:t>28</w:t>
              </w:r>
            </w:hyperlink>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1120" w:type="dxa"/>
            <w:vAlign w:val="bottom"/>
          </w:tcPr>
          <w:p>
            <w:pPr>
              <w:spacing w:after="0"/>
              <w:rPr>
                <w:sz w:val="5"/>
                <w:szCs w:val="5"/>
                <w:color w:val="auto"/>
              </w:rPr>
            </w:pPr>
          </w:p>
        </w:tc>
        <w:tc>
          <w:tcPr>
            <w:tcW w:w="64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8720" w:type="dxa"/>
            <w:vAlign w:val="bottom"/>
            <w:tcBorders>
              <w:bottom w:val="single" w:sz="8" w:color="CCEEFF"/>
            </w:tcBorders>
            <w:gridSpan w:val="3"/>
            <w:shd w:val="clear" w:color="auto" w:fill="CCEEFF"/>
          </w:tcPr>
          <w:p>
            <w:pPr>
              <w:spacing w:after="0"/>
              <w:rPr>
                <w:rFonts w:ascii="Arial" w:cs="Arial" w:eastAsia="Arial" w:hAnsi="Arial"/>
                <w:sz w:val="17"/>
                <w:szCs w:val="17"/>
                <w:u w:val="single" w:color="auto"/>
                <w:color w:val="0000EE"/>
              </w:rPr>
            </w:pPr>
            <w:hyperlink w:anchor="page32">
              <w:r>
                <w:rPr>
                  <w:rFonts w:ascii="Arial" w:cs="Arial" w:eastAsia="Arial" w:hAnsi="Arial"/>
                  <w:sz w:val="17"/>
                  <w:szCs w:val="17"/>
                  <w:u w:val="single" w:color="auto"/>
                  <w:color w:val="0000EE"/>
                </w:rPr>
                <w:t>RISK FACTORS</w:t>
              </w:r>
            </w:hyperlink>
          </w:p>
        </w:tc>
        <w:tc>
          <w:tcPr>
            <w:tcW w:w="300" w:type="dxa"/>
            <w:vAlign w:val="bottom"/>
            <w:tcBorders>
              <w:bottom w:val="single" w:sz="8" w:color="CCEEFF"/>
            </w:tcBorders>
            <w:gridSpan w:val="2"/>
            <w:shd w:val="clear" w:color="auto" w:fill="CCEEFF"/>
          </w:tcPr>
          <w:p>
            <w:pPr>
              <w:jc w:val="right"/>
              <w:spacing w:after="0"/>
              <w:rPr>
                <w:rFonts w:ascii="Arial" w:cs="Arial" w:eastAsia="Arial" w:hAnsi="Arial"/>
                <w:sz w:val="17"/>
                <w:szCs w:val="17"/>
                <w:u w:val="single" w:color="auto"/>
                <w:color w:val="0000EE"/>
              </w:rPr>
            </w:pPr>
            <w:hyperlink w:anchor="page32">
              <w:r>
                <w:rPr>
                  <w:rFonts w:ascii="Arial" w:cs="Arial" w:eastAsia="Arial" w:hAnsi="Arial"/>
                  <w:sz w:val="17"/>
                  <w:szCs w:val="17"/>
                  <w:u w:val="single" w:color="auto"/>
                  <w:color w:val="0000EE"/>
                </w:rPr>
                <w:t>29</w:t>
              </w:r>
            </w:hyperlink>
          </w:p>
        </w:tc>
        <w:tc>
          <w:tcPr>
            <w:tcW w:w="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720" w:type="dxa"/>
            <w:vAlign w:val="bottom"/>
            <w:gridSpan w:val="3"/>
          </w:tcPr>
          <w:p>
            <w:pPr>
              <w:spacing w:after="0"/>
              <w:rPr>
                <w:rFonts w:ascii="Arial" w:cs="Arial" w:eastAsia="Arial" w:hAnsi="Arial"/>
                <w:sz w:val="17"/>
                <w:szCs w:val="17"/>
                <w:u w:val="single" w:color="auto"/>
                <w:color w:val="0000EE"/>
              </w:rPr>
            </w:pPr>
            <w:hyperlink w:anchor="page61">
              <w:r>
                <w:rPr>
                  <w:rFonts w:ascii="Arial" w:cs="Arial" w:eastAsia="Arial" w:hAnsi="Arial"/>
                  <w:sz w:val="17"/>
                  <w:szCs w:val="17"/>
                  <w:u w:val="single" w:color="auto"/>
                  <w:color w:val="0000EE"/>
                </w:rPr>
                <w:t>CAUTIONARY NOTE REGARDING FORWARD-LOOKING STATEMENTS</w:t>
              </w:r>
            </w:hyperlink>
          </w:p>
        </w:tc>
        <w:tc>
          <w:tcPr>
            <w:tcW w:w="300" w:type="dxa"/>
            <w:vAlign w:val="bottom"/>
            <w:gridSpan w:val="2"/>
          </w:tcPr>
          <w:p>
            <w:pPr>
              <w:jc w:val="right"/>
              <w:spacing w:after="0"/>
              <w:rPr>
                <w:rFonts w:ascii="Arial" w:cs="Arial" w:eastAsia="Arial" w:hAnsi="Arial"/>
                <w:sz w:val="17"/>
                <w:szCs w:val="17"/>
                <w:u w:val="single" w:color="auto"/>
                <w:color w:val="0000EE"/>
              </w:rPr>
            </w:pPr>
            <w:hyperlink w:anchor="page61">
              <w:r>
                <w:rPr>
                  <w:rFonts w:ascii="Arial" w:cs="Arial" w:eastAsia="Arial" w:hAnsi="Arial"/>
                  <w:sz w:val="17"/>
                  <w:szCs w:val="17"/>
                  <w:u w:val="single" w:color="auto"/>
                  <w:color w:val="0000EE"/>
                </w:rPr>
                <w:t>58</w:t>
              </w:r>
            </w:hyperlink>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1120" w:type="dxa"/>
            <w:vAlign w:val="bottom"/>
          </w:tcPr>
          <w:p>
            <w:pPr>
              <w:spacing w:after="0"/>
              <w:rPr>
                <w:sz w:val="5"/>
                <w:szCs w:val="5"/>
                <w:color w:val="auto"/>
              </w:rPr>
            </w:pPr>
          </w:p>
        </w:tc>
        <w:tc>
          <w:tcPr>
            <w:tcW w:w="64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8720" w:type="dxa"/>
            <w:vAlign w:val="bottom"/>
            <w:tcBorders>
              <w:bottom w:val="single" w:sz="8" w:color="CCEEFF"/>
            </w:tcBorders>
            <w:gridSpan w:val="3"/>
            <w:shd w:val="clear" w:color="auto" w:fill="CCEEFF"/>
          </w:tcPr>
          <w:p>
            <w:pPr>
              <w:spacing w:after="0"/>
              <w:rPr>
                <w:rFonts w:ascii="Arial" w:cs="Arial" w:eastAsia="Arial" w:hAnsi="Arial"/>
                <w:sz w:val="17"/>
                <w:szCs w:val="17"/>
                <w:u w:val="single" w:color="auto"/>
                <w:color w:val="0000EE"/>
              </w:rPr>
            </w:pPr>
            <w:hyperlink w:anchor="page62">
              <w:r>
                <w:rPr>
                  <w:rFonts w:ascii="Arial" w:cs="Arial" w:eastAsia="Arial" w:hAnsi="Arial"/>
                  <w:sz w:val="17"/>
                  <w:szCs w:val="17"/>
                  <w:u w:val="single" w:color="auto"/>
                  <w:color w:val="0000EE"/>
                </w:rPr>
                <w:t>USE OF PROCEEDS</w:t>
              </w:r>
            </w:hyperlink>
          </w:p>
        </w:tc>
        <w:tc>
          <w:tcPr>
            <w:tcW w:w="300" w:type="dxa"/>
            <w:vAlign w:val="bottom"/>
            <w:tcBorders>
              <w:bottom w:val="single" w:sz="8" w:color="CCEEFF"/>
            </w:tcBorders>
            <w:gridSpan w:val="2"/>
            <w:shd w:val="clear" w:color="auto" w:fill="CCEEFF"/>
          </w:tcPr>
          <w:p>
            <w:pPr>
              <w:jc w:val="right"/>
              <w:spacing w:after="0"/>
              <w:rPr>
                <w:rFonts w:ascii="Arial" w:cs="Arial" w:eastAsia="Arial" w:hAnsi="Arial"/>
                <w:sz w:val="17"/>
                <w:szCs w:val="17"/>
                <w:u w:val="single" w:color="auto"/>
                <w:color w:val="0000EE"/>
              </w:rPr>
            </w:pPr>
            <w:hyperlink w:anchor="page62">
              <w:r>
                <w:rPr>
                  <w:rFonts w:ascii="Arial" w:cs="Arial" w:eastAsia="Arial" w:hAnsi="Arial"/>
                  <w:sz w:val="17"/>
                  <w:szCs w:val="17"/>
                  <w:u w:val="single" w:color="auto"/>
                  <w:color w:val="0000EE"/>
                </w:rPr>
                <w:t>59</w:t>
              </w:r>
            </w:hyperlink>
          </w:p>
        </w:tc>
        <w:tc>
          <w:tcPr>
            <w:tcW w:w="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720" w:type="dxa"/>
            <w:vAlign w:val="bottom"/>
            <w:gridSpan w:val="3"/>
          </w:tcPr>
          <w:p>
            <w:pPr>
              <w:spacing w:after="0"/>
              <w:rPr>
                <w:rFonts w:ascii="Arial" w:cs="Arial" w:eastAsia="Arial" w:hAnsi="Arial"/>
                <w:sz w:val="17"/>
                <w:szCs w:val="17"/>
                <w:u w:val="single" w:color="auto"/>
                <w:color w:val="0000EE"/>
              </w:rPr>
            </w:pPr>
            <w:hyperlink w:anchor="page65">
              <w:r>
                <w:rPr>
                  <w:rFonts w:ascii="Arial" w:cs="Arial" w:eastAsia="Arial" w:hAnsi="Arial"/>
                  <w:sz w:val="17"/>
                  <w:szCs w:val="17"/>
                  <w:u w:val="single" w:color="auto"/>
                  <w:color w:val="0000EE"/>
                </w:rPr>
                <w:t>DIVIDEND POLICY</w:t>
              </w:r>
            </w:hyperlink>
          </w:p>
        </w:tc>
        <w:tc>
          <w:tcPr>
            <w:tcW w:w="300" w:type="dxa"/>
            <w:vAlign w:val="bottom"/>
            <w:gridSpan w:val="2"/>
          </w:tcPr>
          <w:p>
            <w:pPr>
              <w:jc w:val="right"/>
              <w:spacing w:after="0"/>
              <w:rPr>
                <w:rFonts w:ascii="Arial" w:cs="Arial" w:eastAsia="Arial" w:hAnsi="Arial"/>
                <w:sz w:val="17"/>
                <w:szCs w:val="17"/>
                <w:u w:val="single" w:color="auto"/>
                <w:color w:val="0000EE"/>
              </w:rPr>
            </w:pPr>
            <w:hyperlink w:anchor="page65">
              <w:r>
                <w:rPr>
                  <w:rFonts w:ascii="Arial" w:cs="Arial" w:eastAsia="Arial" w:hAnsi="Arial"/>
                  <w:sz w:val="17"/>
                  <w:szCs w:val="17"/>
                  <w:u w:val="single" w:color="auto"/>
                  <w:color w:val="0000EE"/>
                </w:rPr>
                <w:t>62</w:t>
              </w:r>
            </w:hyperlink>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1120" w:type="dxa"/>
            <w:vAlign w:val="bottom"/>
          </w:tcPr>
          <w:p>
            <w:pPr>
              <w:spacing w:after="0"/>
              <w:rPr>
                <w:sz w:val="5"/>
                <w:szCs w:val="5"/>
                <w:color w:val="auto"/>
              </w:rPr>
            </w:pPr>
          </w:p>
        </w:tc>
        <w:tc>
          <w:tcPr>
            <w:tcW w:w="64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8720" w:type="dxa"/>
            <w:vAlign w:val="bottom"/>
            <w:tcBorders>
              <w:bottom w:val="single" w:sz="8" w:color="CCEEFF"/>
            </w:tcBorders>
            <w:gridSpan w:val="3"/>
            <w:shd w:val="clear" w:color="auto" w:fill="CCEEFF"/>
          </w:tcPr>
          <w:p>
            <w:pPr>
              <w:spacing w:after="0"/>
              <w:rPr>
                <w:rFonts w:ascii="Arial" w:cs="Arial" w:eastAsia="Arial" w:hAnsi="Arial"/>
                <w:sz w:val="17"/>
                <w:szCs w:val="17"/>
                <w:u w:val="single" w:color="auto"/>
                <w:color w:val="0000EE"/>
              </w:rPr>
            </w:pPr>
            <w:hyperlink w:anchor="page66">
              <w:r>
                <w:rPr>
                  <w:rFonts w:ascii="Arial" w:cs="Arial" w:eastAsia="Arial" w:hAnsi="Arial"/>
                  <w:sz w:val="17"/>
                  <w:szCs w:val="17"/>
                  <w:u w:val="single" w:color="auto"/>
                  <w:color w:val="0000EE"/>
                </w:rPr>
                <w:t>DILUTION</w:t>
              </w:r>
            </w:hyperlink>
          </w:p>
        </w:tc>
        <w:tc>
          <w:tcPr>
            <w:tcW w:w="300" w:type="dxa"/>
            <w:vAlign w:val="bottom"/>
            <w:tcBorders>
              <w:bottom w:val="single" w:sz="8" w:color="CCEEFF"/>
            </w:tcBorders>
            <w:gridSpan w:val="2"/>
            <w:shd w:val="clear" w:color="auto" w:fill="CCEEFF"/>
          </w:tcPr>
          <w:p>
            <w:pPr>
              <w:jc w:val="right"/>
              <w:spacing w:after="0"/>
              <w:rPr>
                <w:rFonts w:ascii="Arial" w:cs="Arial" w:eastAsia="Arial" w:hAnsi="Arial"/>
                <w:sz w:val="17"/>
                <w:szCs w:val="17"/>
                <w:u w:val="single" w:color="auto"/>
                <w:color w:val="0000EE"/>
              </w:rPr>
            </w:pPr>
            <w:hyperlink w:anchor="page66">
              <w:r>
                <w:rPr>
                  <w:rFonts w:ascii="Arial" w:cs="Arial" w:eastAsia="Arial" w:hAnsi="Arial"/>
                  <w:sz w:val="17"/>
                  <w:szCs w:val="17"/>
                  <w:u w:val="single" w:color="auto"/>
                  <w:color w:val="0000EE"/>
                </w:rPr>
                <w:t>63</w:t>
              </w:r>
            </w:hyperlink>
          </w:p>
        </w:tc>
        <w:tc>
          <w:tcPr>
            <w:tcW w:w="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720" w:type="dxa"/>
            <w:vAlign w:val="bottom"/>
            <w:gridSpan w:val="3"/>
          </w:tcPr>
          <w:p>
            <w:pPr>
              <w:spacing w:after="0"/>
              <w:rPr>
                <w:rFonts w:ascii="Arial" w:cs="Arial" w:eastAsia="Arial" w:hAnsi="Arial"/>
                <w:sz w:val="17"/>
                <w:szCs w:val="17"/>
                <w:u w:val="single" w:color="auto"/>
                <w:color w:val="0000EE"/>
              </w:rPr>
            </w:pPr>
            <w:hyperlink w:anchor="page68">
              <w:r>
                <w:rPr>
                  <w:rFonts w:ascii="Arial" w:cs="Arial" w:eastAsia="Arial" w:hAnsi="Arial"/>
                  <w:sz w:val="17"/>
                  <w:szCs w:val="17"/>
                  <w:u w:val="single" w:color="auto"/>
                  <w:color w:val="0000EE"/>
                </w:rPr>
                <w:t>CAPITALIZATION</w:t>
              </w:r>
            </w:hyperlink>
          </w:p>
        </w:tc>
        <w:tc>
          <w:tcPr>
            <w:tcW w:w="300" w:type="dxa"/>
            <w:vAlign w:val="bottom"/>
            <w:gridSpan w:val="2"/>
          </w:tcPr>
          <w:p>
            <w:pPr>
              <w:jc w:val="right"/>
              <w:spacing w:after="0"/>
              <w:rPr>
                <w:rFonts w:ascii="Arial" w:cs="Arial" w:eastAsia="Arial" w:hAnsi="Arial"/>
                <w:sz w:val="17"/>
                <w:szCs w:val="17"/>
                <w:u w:val="single" w:color="auto"/>
                <w:color w:val="0000EE"/>
              </w:rPr>
            </w:pPr>
            <w:hyperlink w:anchor="page68">
              <w:r>
                <w:rPr>
                  <w:rFonts w:ascii="Arial" w:cs="Arial" w:eastAsia="Arial" w:hAnsi="Arial"/>
                  <w:sz w:val="17"/>
                  <w:szCs w:val="17"/>
                  <w:u w:val="single" w:color="auto"/>
                  <w:color w:val="0000EE"/>
                </w:rPr>
                <w:t>65</w:t>
              </w:r>
            </w:hyperlink>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1120" w:type="dxa"/>
            <w:vAlign w:val="bottom"/>
          </w:tcPr>
          <w:p>
            <w:pPr>
              <w:spacing w:after="0"/>
              <w:rPr>
                <w:sz w:val="5"/>
                <w:szCs w:val="5"/>
                <w:color w:val="auto"/>
              </w:rPr>
            </w:pPr>
          </w:p>
        </w:tc>
        <w:tc>
          <w:tcPr>
            <w:tcW w:w="64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720" w:type="dxa"/>
            <w:vAlign w:val="bottom"/>
            <w:gridSpan w:val="3"/>
            <w:shd w:val="clear" w:color="auto" w:fill="CCEEFF"/>
          </w:tcPr>
          <w:p>
            <w:pPr>
              <w:spacing w:after="0"/>
              <w:rPr>
                <w:rFonts w:ascii="Arial" w:cs="Arial" w:eastAsia="Arial" w:hAnsi="Arial"/>
                <w:sz w:val="17"/>
                <w:szCs w:val="17"/>
                <w:color w:val="0000EE"/>
              </w:rPr>
            </w:pPr>
            <w:hyperlink w:anchor="page69">
              <w:r>
                <w:rPr>
                  <w:rFonts w:ascii="Arial" w:cs="Arial" w:eastAsia="Arial" w:hAnsi="Arial"/>
                  <w:sz w:val="17"/>
                  <w:szCs w:val="17"/>
                  <w:color w:val="0000EE"/>
                </w:rPr>
                <w:t>MANAGEMENT’S DISCUSSION AND ANALYSIS OF FINANCIAL CONDITION AND RESULTS OF</w:t>
              </w:r>
            </w:hyperlink>
          </w:p>
        </w:tc>
        <w:tc>
          <w:tcPr>
            <w:tcW w:w="300" w:type="dxa"/>
            <w:vAlign w:val="bottom"/>
            <w:gridSpan w:val="2"/>
            <w:vMerge w:val="restart"/>
            <w:shd w:val="clear" w:color="auto" w:fill="CCEEFF"/>
          </w:tcPr>
          <w:p>
            <w:pPr>
              <w:jc w:val="right"/>
              <w:spacing w:after="0"/>
              <w:rPr>
                <w:rFonts w:ascii="Arial" w:cs="Arial" w:eastAsia="Arial" w:hAnsi="Arial"/>
                <w:sz w:val="17"/>
                <w:szCs w:val="17"/>
                <w:u w:val="single" w:color="auto"/>
                <w:color w:val="0000EE"/>
              </w:rPr>
            </w:pPr>
            <w:hyperlink w:anchor="page69">
              <w:r>
                <w:rPr>
                  <w:rFonts w:ascii="Arial" w:cs="Arial" w:eastAsia="Arial" w:hAnsi="Arial"/>
                  <w:sz w:val="17"/>
                  <w:szCs w:val="17"/>
                  <w:u w:val="single" w:color="auto"/>
                  <w:color w:val="0000EE"/>
                </w:rPr>
                <w:t>66</w:t>
              </w:r>
            </w:hyperlink>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7520" w:type="dxa"/>
            <w:vAlign w:val="bottom"/>
            <w:tcBorders>
              <w:top w:val="single" w:sz="8" w:color="0000EE"/>
            </w:tcBorders>
            <w:gridSpan w:val="2"/>
            <w:shd w:val="clear" w:color="auto" w:fill="CCEEFF"/>
          </w:tcPr>
          <w:p>
            <w:pPr>
              <w:spacing w:after="0" w:line="169" w:lineRule="exact"/>
              <w:rPr>
                <w:rFonts w:ascii="Arial" w:cs="Arial" w:eastAsia="Arial" w:hAnsi="Arial"/>
                <w:sz w:val="17"/>
                <w:szCs w:val="17"/>
                <w:color w:val="0000EE"/>
              </w:rPr>
            </w:pPr>
            <w:hyperlink w:anchor="page69">
              <w:r>
                <w:rPr>
                  <w:rFonts w:ascii="Arial" w:cs="Arial" w:eastAsia="Arial" w:hAnsi="Arial"/>
                  <w:sz w:val="17"/>
                  <w:szCs w:val="17"/>
                  <w:color w:val="0000EE"/>
                </w:rPr>
                <w:t>OPERATIONS</w:t>
              </w:r>
            </w:hyperlink>
          </w:p>
        </w:tc>
        <w:tc>
          <w:tcPr>
            <w:tcW w:w="12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gridSpan w:val="2"/>
            <w:vMerge w:val="continue"/>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1120" w:type="dxa"/>
            <w:vAlign w:val="bottom"/>
            <w:tcBorders>
              <w:top w:val="single" w:sz="8" w:color="0000EE"/>
            </w:tcBorders>
            <w:shd w:val="clear" w:color="auto" w:fill="CCEEFF"/>
          </w:tcPr>
          <w:p>
            <w:pPr>
              <w:spacing w:after="0"/>
              <w:rPr>
                <w:sz w:val="6"/>
                <w:szCs w:val="6"/>
                <w:color w:val="auto"/>
              </w:rPr>
            </w:pPr>
          </w:p>
        </w:tc>
        <w:tc>
          <w:tcPr>
            <w:tcW w:w="640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6"/>
        </w:trPr>
        <w:tc>
          <w:tcPr>
            <w:tcW w:w="8720" w:type="dxa"/>
            <w:vAlign w:val="bottom"/>
            <w:gridSpan w:val="3"/>
          </w:tcPr>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PROPOSED BUSINESS</w:t>
              </w:r>
            </w:hyperlink>
          </w:p>
        </w:tc>
        <w:tc>
          <w:tcPr>
            <w:tcW w:w="300" w:type="dxa"/>
            <w:vAlign w:val="bottom"/>
            <w:gridSpan w:val="2"/>
          </w:tcPr>
          <w:p>
            <w:pPr>
              <w:jc w:val="right"/>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71</w:t>
              </w:r>
            </w:hyperlink>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1120" w:type="dxa"/>
            <w:vAlign w:val="bottom"/>
          </w:tcPr>
          <w:p>
            <w:pPr>
              <w:spacing w:after="0"/>
              <w:rPr>
                <w:sz w:val="5"/>
                <w:szCs w:val="5"/>
                <w:color w:val="auto"/>
              </w:rPr>
            </w:pPr>
          </w:p>
        </w:tc>
        <w:tc>
          <w:tcPr>
            <w:tcW w:w="64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8720" w:type="dxa"/>
            <w:vAlign w:val="bottom"/>
            <w:tcBorders>
              <w:bottom w:val="single" w:sz="8" w:color="CCEEFF"/>
            </w:tcBorders>
            <w:gridSpan w:val="3"/>
            <w:shd w:val="clear" w:color="auto" w:fill="CCEEFF"/>
          </w:tcPr>
          <w:p>
            <w:pPr>
              <w:spacing w:after="0"/>
              <w:rPr>
                <w:rFonts w:ascii="Arial" w:cs="Arial" w:eastAsia="Arial" w:hAnsi="Arial"/>
                <w:sz w:val="17"/>
                <w:szCs w:val="17"/>
                <w:u w:val="single" w:color="auto"/>
                <w:color w:val="0000EE"/>
              </w:rPr>
            </w:pPr>
            <w:hyperlink w:anchor="page98">
              <w:r>
                <w:rPr>
                  <w:rFonts w:ascii="Arial" w:cs="Arial" w:eastAsia="Arial" w:hAnsi="Arial"/>
                  <w:sz w:val="17"/>
                  <w:szCs w:val="17"/>
                  <w:u w:val="single" w:color="auto"/>
                  <w:color w:val="0000EE"/>
                </w:rPr>
                <w:t>MANAGEMENT</w:t>
              </w:r>
            </w:hyperlink>
          </w:p>
        </w:tc>
        <w:tc>
          <w:tcPr>
            <w:tcW w:w="300" w:type="dxa"/>
            <w:vAlign w:val="bottom"/>
            <w:tcBorders>
              <w:bottom w:val="single" w:sz="8" w:color="CCEEFF"/>
            </w:tcBorders>
            <w:gridSpan w:val="2"/>
            <w:shd w:val="clear" w:color="auto" w:fill="CCEEFF"/>
          </w:tcPr>
          <w:p>
            <w:pPr>
              <w:jc w:val="right"/>
              <w:spacing w:after="0"/>
              <w:rPr>
                <w:rFonts w:ascii="Arial" w:cs="Arial" w:eastAsia="Arial" w:hAnsi="Arial"/>
                <w:sz w:val="17"/>
                <w:szCs w:val="17"/>
                <w:u w:val="single" w:color="auto"/>
                <w:color w:val="0000EE"/>
              </w:rPr>
            </w:pPr>
            <w:hyperlink w:anchor="page98">
              <w:r>
                <w:rPr>
                  <w:rFonts w:ascii="Arial" w:cs="Arial" w:eastAsia="Arial" w:hAnsi="Arial"/>
                  <w:sz w:val="17"/>
                  <w:szCs w:val="17"/>
                  <w:u w:val="single" w:color="auto"/>
                  <w:color w:val="0000EE"/>
                </w:rPr>
                <w:t>95</w:t>
              </w:r>
            </w:hyperlink>
          </w:p>
        </w:tc>
        <w:tc>
          <w:tcPr>
            <w:tcW w:w="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720" w:type="dxa"/>
            <w:vAlign w:val="bottom"/>
            <w:gridSpan w:val="3"/>
          </w:tcPr>
          <w:p>
            <w:pPr>
              <w:spacing w:after="0"/>
              <w:rPr>
                <w:rFonts w:ascii="Arial" w:cs="Arial" w:eastAsia="Arial" w:hAnsi="Arial"/>
                <w:sz w:val="17"/>
                <w:szCs w:val="17"/>
                <w:u w:val="single" w:color="auto"/>
                <w:color w:val="0000EE"/>
              </w:rPr>
            </w:pPr>
            <w:hyperlink w:anchor="page106">
              <w:r>
                <w:rPr>
                  <w:rFonts w:ascii="Arial" w:cs="Arial" w:eastAsia="Arial" w:hAnsi="Arial"/>
                  <w:sz w:val="17"/>
                  <w:szCs w:val="17"/>
                  <w:u w:val="single" w:color="auto"/>
                  <w:color w:val="0000EE"/>
                </w:rPr>
                <w:t>PRINCIPAL SHAREHOLDERS</w:t>
              </w:r>
            </w:hyperlink>
          </w:p>
        </w:tc>
        <w:tc>
          <w:tcPr>
            <w:tcW w:w="300" w:type="dxa"/>
            <w:vAlign w:val="bottom"/>
            <w:gridSpan w:val="2"/>
          </w:tcPr>
          <w:p>
            <w:pPr>
              <w:jc w:val="right"/>
              <w:spacing w:after="0"/>
              <w:rPr>
                <w:rFonts w:ascii="Arial" w:cs="Arial" w:eastAsia="Arial" w:hAnsi="Arial"/>
                <w:sz w:val="17"/>
                <w:szCs w:val="17"/>
                <w:u w:val="single" w:color="auto"/>
                <w:color w:val="0000EE"/>
                <w:w w:val="98"/>
              </w:rPr>
            </w:pPr>
            <w:hyperlink w:anchor="page106">
              <w:r>
                <w:rPr>
                  <w:rFonts w:ascii="Arial" w:cs="Arial" w:eastAsia="Arial" w:hAnsi="Arial"/>
                  <w:sz w:val="17"/>
                  <w:szCs w:val="17"/>
                  <w:u w:val="single" w:color="auto"/>
                  <w:color w:val="0000EE"/>
                  <w:w w:val="98"/>
                </w:rPr>
                <w:t>103</w:t>
              </w:r>
            </w:hyperlink>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1120" w:type="dxa"/>
            <w:vAlign w:val="bottom"/>
          </w:tcPr>
          <w:p>
            <w:pPr>
              <w:spacing w:after="0"/>
              <w:rPr>
                <w:sz w:val="5"/>
                <w:szCs w:val="5"/>
                <w:color w:val="auto"/>
              </w:rPr>
            </w:pPr>
          </w:p>
        </w:tc>
        <w:tc>
          <w:tcPr>
            <w:tcW w:w="64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8720" w:type="dxa"/>
            <w:vAlign w:val="bottom"/>
            <w:tcBorders>
              <w:bottom w:val="single" w:sz="8" w:color="CCEEFF"/>
            </w:tcBorders>
            <w:gridSpan w:val="3"/>
            <w:shd w:val="clear" w:color="auto" w:fill="CCEEFF"/>
          </w:tcPr>
          <w:p>
            <w:pPr>
              <w:spacing w:after="0"/>
              <w:rPr>
                <w:rFonts w:ascii="Arial" w:cs="Arial" w:eastAsia="Arial" w:hAnsi="Arial"/>
                <w:sz w:val="17"/>
                <w:szCs w:val="17"/>
                <w:u w:val="single" w:color="auto"/>
                <w:color w:val="0000EE"/>
              </w:rPr>
            </w:pPr>
            <w:hyperlink w:anchor="page108">
              <w:r>
                <w:rPr>
                  <w:rFonts w:ascii="Arial" w:cs="Arial" w:eastAsia="Arial" w:hAnsi="Arial"/>
                  <w:sz w:val="17"/>
                  <w:szCs w:val="17"/>
                  <w:u w:val="single" w:color="auto"/>
                  <w:color w:val="0000EE"/>
                </w:rPr>
                <w:t>CERTAIN RELATIONSHIPS AND RELATED PARTY TRANSACTIONS</w:t>
              </w:r>
            </w:hyperlink>
          </w:p>
        </w:tc>
        <w:tc>
          <w:tcPr>
            <w:tcW w:w="300" w:type="dxa"/>
            <w:vAlign w:val="bottom"/>
            <w:tcBorders>
              <w:bottom w:val="single" w:sz="8" w:color="CCEEFF"/>
            </w:tcBorders>
            <w:gridSpan w:val="2"/>
            <w:shd w:val="clear" w:color="auto" w:fill="CCEEFF"/>
          </w:tcPr>
          <w:p>
            <w:pPr>
              <w:jc w:val="right"/>
              <w:spacing w:after="0"/>
              <w:rPr>
                <w:rFonts w:ascii="Arial" w:cs="Arial" w:eastAsia="Arial" w:hAnsi="Arial"/>
                <w:sz w:val="17"/>
                <w:szCs w:val="17"/>
                <w:u w:val="single" w:color="auto"/>
                <w:color w:val="0000EE"/>
                <w:w w:val="98"/>
              </w:rPr>
            </w:pPr>
            <w:hyperlink w:anchor="page108">
              <w:r>
                <w:rPr>
                  <w:rFonts w:ascii="Arial" w:cs="Arial" w:eastAsia="Arial" w:hAnsi="Arial"/>
                  <w:sz w:val="17"/>
                  <w:szCs w:val="17"/>
                  <w:u w:val="single" w:color="auto"/>
                  <w:color w:val="0000EE"/>
                  <w:w w:val="98"/>
                </w:rPr>
                <w:t>105</w:t>
              </w:r>
            </w:hyperlink>
          </w:p>
        </w:tc>
        <w:tc>
          <w:tcPr>
            <w:tcW w:w="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720" w:type="dxa"/>
            <w:vAlign w:val="bottom"/>
            <w:gridSpan w:val="3"/>
          </w:tcPr>
          <w:p>
            <w:pPr>
              <w:spacing w:after="0"/>
              <w:rPr>
                <w:rFonts w:ascii="Arial" w:cs="Arial" w:eastAsia="Arial" w:hAnsi="Arial"/>
                <w:sz w:val="17"/>
                <w:szCs w:val="17"/>
                <w:u w:val="single" w:color="auto"/>
                <w:color w:val="0000EE"/>
              </w:rPr>
            </w:pPr>
            <w:hyperlink w:anchor="page110">
              <w:r>
                <w:rPr>
                  <w:rFonts w:ascii="Arial" w:cs="Arial" w:eastAsia="Arial" w:hAnsi="Arial"/>
                  <w:sz w:val="17"/>
                  <w:szCs w:val="17"/>
                  <w:u w:val="single" w:color="auto"/>
                  <w:color w:val="0000EE"/>
                </w:rPr>
                <w:t>DESCRIPTION OF SECURITIES</w:t>
              </w:r>
            </w:hyperlink>
          </w:p>
        </w:tc>
        <w:tc>
          <w:tcPr>
            <w:tcW w:w="300" w:type="dxa"/>
            <w:vAlign w:val="bottom"/>
            <w:gridSpan w:val="2"/>
          </w:tcPr>
          <w:p>
            <w:pPr>
              <w:jc w:val="right"/>
              <w:spacing w:after="0"/>
              <w:rPr>
                <w:rFonts w:ascii="Arial" w:cs="Arial" w:eastAsia="Arial" w:hAnsi="Arial"/>
                <w:sz w:val="17"/>
                <w:szCs w:val="17"/>
                <w:u w:val="single" w:color="auto"/>
                <w:color w:val="0000EE"/>
                <w:w w:val="98"/>
              </w:rPr>
            </w:pPr>
            <w:hyperlink w:anchor="page110">
              <w:r>
                <w:rPr>
                  <w:rFonts w:ascii="Arial" w:cs="Arial" w:eastAsia="Arial" w:hAnsi="Arial"/>
                  <w:sz w:val="17"/>
                  <w:szCs w:val="17"/>
                  <w:u w:val="single" w:color="auto"/>
                  <w:color w:val="0000EE"/>
                  <w:w w:val="98"/>
                </w:rPr>
                <w:t>107</w:t>
              </w:r>
            </w:hyperlink>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1120" w:type="dxa"/>
            <w:vAlign w:val="bottom"/>
          </w:tcPr>
          <w:p>
            <w:pPr>
              <w:spacing w:after="0"/>
              <w:rPr>
                <w:sz w:val="5"/>
                <w:szCs w:val="5"/>
                <w:color w:val="auto"/>
              </w:rPr>
            </w:pPr>
          </w:p>
        </w:tc>
        <w:tc>
          <w:tcPr>
            <w:tcW w:w="64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8720" w:type="dxa"/>
            <w:vAlign w:val="bottom"/>
            <w:tcBorders>
              <w:bottom w:val="single" w:sz="8" w:color="CCEEFF"/>
            </w:tcBorders>
            <w:gridSpan w:val="3"/>
            <w:shd w:val="clear" w:color="auto" w:fill="CCEEFF"/>
          </w:tcPr>
          <w:p>
            <w:pPr>
              <w:spacing w:after="0"/>
              <w:rPr>
                <w:rFonts w:ascii="Arial" w:cs="Arial" w:eastAsia="Arial" w:hAnsi="Arial"/>
                <w:sz w:val="17"/>
                <w:szCs w:val="17"/>
                <w:u w:val="single" w:color="auto"/>
                <w:color w:val="0000EE"/>
              </w:rPr>
            </w:pPr>
            <w:hyperlink w:anchor="page125">
              <w:r>
                <w:rPr>
                  <w:rFonts w:ascii="Arial" w:cs="Arial" w:eastAsia="Arial" w:hAnsi="Arial"/>
                  <w:sz w:val="17"/>
                  <w:szCs w:val="17"/>
                  <w:u w:val="single" w:color="auto"/>
                  <w:color w:val="0000EE"/>
                </w:rPr>
                <w:t>TAXATION</w:t>
              </w:r>
            </w:hyperlink>
          </w:p>
        </w:tc>
        <w:tc>
          <w:tcPr>
            <w:tcW w:w="300" w:type="dxa"/>
            <w:vAlign w:val="bottom"/>
            <w:tcBorders>
              <w:bottom w:val="single" w:sz="8" w:color="CCEEFF"/>
            </w:tcBorders>
            <w:gridSpan w:val="2"/>
            <w:shd w:val="clear" w:color="auto" w:fill="CCEEFF"/>
          </w:tcPr>
          <w:p>
            <w:pPr>
              <w:jc w:val="right"/>
              <w:spacing w:after="0"/>
              <w:rPr>
                <w:rFonts w:ascii="Arial" w:cs="Arial" w:eastAsia="Arial" w:hAnsi="Arial"/>
                <w:sz w:val="17"/>
                <w:szCs w:val="17"/>
                <w:u w:val="single" w:color="auto"/>
                <w:color w:val="0000EE"/>
                <w:w w:val="98"/>
              </w:rPr>
            </w:pPr>
            <w:hyperlink w:anchor="page125">
              <w:r>
                <w:rPr>
                  <w:rFonts w:ascii="Arial" w:cs="Arial" w:eastAsia="Arial" w:hAnsi="Arial"/>
                  <w:sz w:val="17"/>
                  <w:szCs w:val="17"/>
                  <w:u w:val="single" w:color="auto"/>
                  <w:color w:val="0000EE"/>
                  <w:w w:val="98"/>
                </w:rPr>
                <w:t>122</w:t>
              </w:r>
            </w:hyperlink>
          </w:p>
        </w:tc>
        <w:tc>
          <w:tcPr>
            <w:tcW w:w="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720" w:type="dxa"/>
            <w:vAlign w:val="bottom"/>
            <w:gridSpan w:val="3"/>
          </w:tcPr>
          <w:p>
            <w:pPr>
              <w:spacing w:after="0"/>
              <w:rPr>
                <w:rFonts w:ascii="Arial" w:cs="Arial" w:eastAsia="Arial" w:hAnsi="Arial"/>
                <w:sz w:val="17"/>
                <w:szCs w:val="17"/>
                <w:u w:val="single" w:color="auto"/>
                <w:color w:val="0000EE"/>
              </w:rPr>
            </w:pPr>
            <w:hyperlink w:anchor="page133">
              <w:r>
                <w:rPr>
                  <w:rFonts w:ascii="Arial" w:cs="Arial" w:eastAsia="Arial" w:hAnsi="Arial"/>
                  <w:sz w:val="17"/>
                  <w:szCs w:val="17"/>
                  <w:u w:val="single" w:color="auto"/>
                  <w:color w:val="0000EE"/>
                </w:rPr>
                <w:t>UNDERWRITING</w:t>
              </w:r>
            </w:hyperlink>
          </w:p>
        </w:tc>
        <w:tc>
          <w:tcPr>
            <w:tcW w:w="300" w:type="dxa"/>
            <w:vAlign w:val="bottom"/>
            <w:gridSpan w:val="2"/>
          </w:tcPr>
          <w:p>
            <w:pPr>
              <w:jc w:val="right"/>
              <w:spacing w:after="0"/>
              <w:rPr>
                <w:rFonts w:ascii="Arial" w:cs="Arial" w:eastAsia="Arial" w:hAnsi="Arial"/>
                <w:sz w:val="17"/>
                <w:szCs w:val="17"/>
                <w:u w:val="single" w:color="auto"/>
                <w:color w:val="0000EE"/>
                <w:w w:val="98"/>
              </w:rPr>
            </w:pPr>
            <w:hyperlink w:anchor="page133">
              <w:r>
                <w:rPr>
                  <w:rFonts w:ascii="Arial" w:cs="Arial" w:eastAsia="Arial" w:hAnsi="Arial"/>
                  <w:sz w:val="17"/>
                  <w:szCs w:val="17"/>
                  <w:u w:val="single" w:color="auto"/>
                  <w:color w:val="0000EE"/>
                  <w:w w:val="98"/>
                </w:rPr>
                <w:t>130</w:t>
              </w:r>
            </w:hyperlink>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1120" w:type="dxa"/>
            <w:vAlign w:val="bottom"/>
          </w:tcPr>
          <w:p>
            <w:pPr>
              <w:spacing w:after="0"/>
              <w:rPr>
                <w:sz w:val="5"/>
                <w:szCs w:val="5"/>
                <w:color w:val="auto"/>
              </w:rPr>
            </w:pPr>
          </w:p>
        </w:tc>
        <w:tc>
          <w:tcPr>
            <w:tcW w:w="64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8720" w:type="dxa"/>
            <w:vAlign w:val="bottom"/>
            <w:tcBorders>
              <w:bottom w:val="single" w:sz="8" w:color="CCEEFF"/>
            </w:tcBorders>
            <w:gridSpan w:val="3"/>
            <w:shd w:val="clear" w:color="auto" w:fill="CCEEFF"/>
          </w:tcPr>
          <w:p>
            <w:pPr>
              <w:spacing w:after="0"/>
              <w:rPr>
                <w:rFonts w:ascii="Arial" w:cs="Arial" w:eastAsia="Arial" w:hAnsi="Arial"/>
                <w:sz w:val="17"/>
                <w:szCs w:val="17"/>
                <w:u w:val="single" w:color="auto"/>
                <w:color w:val="0000EE"/>
              </w:rPr>
            </w:pPr>
            <w:hyperlink w:anchor="page140">
              <w:r>
                <w:rPr>
                  <w:rFonts w:ascii="Arial" w:cs="Arial" w:eastAsia="Arial" w:hAnsi="Arial"/>
                  <w:sz w:val="17"/>
                  <w:szCs w:val="17"/>
                  <w:u w:val="single" w:color="auto"/>
                  <w:color w:val="0000EE"/>
                </w:rPr>
                <w:t>LEGAL MATTERS</w:t>
              </w:r>
            </w:hyperlink>
          </w:p>
        </w:tc>
        <w:tc>
          <w:tcPr>
            <w:tcW w:w="300" w:type="dxa"/>
            <w:vAlign w:val="bottom"/>
            <w:tcBorders>
              <w:bottom w:val="single" w:sz="8" w:color="CCEEFF"/>
            </w:tcBorders>
            <w:gridSpan w:val="2"/>
            <w:shd w:val="clear" w:color="auto" w:fill="CCEEFF"/>
          </w:tcPr>
          <w:p>
            <w:pPr>
              <w:jc w:val="right"/>
              <w:spacing w:after="0"/>
              <w:rPr>
                <w:rFonts w:ascii="Arial" w:cs="Arial" w:eastAsia="Arial" w:hAnsi="Arial"/>
                <w:sz w:val="17"/>
                <w:szCs w:val="17"/>
                <w:u w:val="single" w:color="auto"/>
                <w:color w:val="0000EE"/>
                <w:w w:val="98"/>
              </w:rPr>
            </w:pPr>
            <w:hyperlink w:anchor="page140">
              <w:r>
                <w:rPr>
                  <w:rFonts w:ascii="Arial" w:cs="Arial" w:eastAsia="Arial" w:hAnsi="Arial"/>
                  <w:sz w:val="17"/>
                  <w:szCs w:val="17"/>
                  <w:u w:val="single" w:color="auto"/>
                  <w:color w:val="0000EE"/>
                  <w:w w:val="98"/>
                </w:rPr>
                <w:t>137</w:t>
              </w:r>
            </w:hyperlink>
          </w:p>
        </w:tc>
        <w:tc>
          <w:tcPr>
            <w:tcW w:w="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720" w:type="dxa"/>
            <w:vAlign w:val="bottom"/>
            <w:gridSpan w:val="3"/>
          </w:tcPr>
          <w:p>
            <w:pPr>
              <w:spacing w:after="0"/>
              <w:rPr>
                <w:rFonts w:ascii="Arial" w:cs="Arial" w:eastAsia="Arial" w:hAnsi="Arial"/>
                <w:sz w:val="17"/>
                <w:szCs w:val="17"/>
                <w:u w:val="single" w:color="auto"/>
                <w:color w:val="0000EE"/>
              </w:rPr>
            </w:pPr>
            <w:hyperlink w:anchor="page140">
              <w:r>
                <w:rPr>
                  <w:rFonts w:ascii="Arial" w:cs="Arial" w:eastAsia="Arial" w:hAnsi="Arial"/>
                  <w:sz w:val="17"/>
                  <w:szCs w:val="17"/>
                  <w:u w:val="single" w:color="auto"/>
                  <w:color w:val="0000EE"/>
                </w:rPr>
                <w:t>EXPERTS</w:t>
              </w:r>
            </w:hyperlink>
          </w:p>
        </w:tc>
        <w:tc>
          <w:tcPr>
            <w:tcW w:w="300" w:type="dxa"/>
            <w:vAlign w:val="bottom"/>
            <w:gridSpan w:val="2"/>
          </w:tcPr>
          <w:p>
            <w:pPr>
              <w:jc w:val="right"/>
              <w:spacing w:after="0"/>
              <w:rPr>
                <w:rFonts w:ascii="Arial" w:cs="Arial" w:eastAsia="Arial" w:hAnsi="Arial"/>
                <w:sz w:val="17"/>
                <w:szCs w:val="17"/>
                <w:u w:val="single" w:color="auto"/>
                <w:color w:val="0000EE"/>
                <w:w w:val="98"/>
              </w:rPr>
            </w:pPr>
            <w:hyperlink w:anchor="page140">
              <w:r>
                <w:rPr>
                  <w:rFonts w:ascii="Arial" w:cs="Arial" w:eastAsia="Arial" w:hAnsi="Arial"/>
                  <w:sz w:val="17"/>
                  <w:szCs w:val="17"/>
                  <w:u w:val="single" w:color="auto"/>
                  <w:color w:val="0000EE"/>
                  <w:w w:val="98"/>
                </w:rPr>
                <w:t>137</w:t>
              </w:r>
            </w:hyperlink>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1120" w:type="dxa"/>
            <w:vAlign w:val="bottom"/>
          </w:tcPr>
          <w:p>
            <w:pPr>
              <w:spacing w:after="0"/>
              <w:rPr>
                <w:sz w:val="5"/>
                <w:szCs w:val="5"/>
                <w:color w:val="auto"/>
              </w:rPr>
            </w:pPr>
          </w:p>
        </w:tc>
        <w:tc>
          <w:tcPr>
            <w:tcW w:w="64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8720" w:type="dxa"/>
            <w:vAlign w:val="bottom"/>
            <w:tcBorders>
              <w:bottom w:val="single" w:sz="8" w:color="CCEEFF"/>
            </w:tcBorders>
            <w:gridSpan w:val="3"/>
            <w:shd w:val="clear" w:color="auto" w:fill="CCEEFF"/>
          </w:tcPr>
          <w:p>
            <w:pPr>
              <w:spacing w:after="0"/>
              <w:rPr>
                <w:rFonts w:ascii="Arial" w:cs="Arial" w:eastAsia="Arial" w:hAnsi="Arial"/>
                <w:sz w:val="17"/>
                <w:szCs w:val="17"/>
                <w:u w:val="single" w:color="auto"/>
                <w:color w:val="0000EE"/>
              </w:rPr>
            </w:pPr>
            <w:hyperlink w:anchor="page140">
              <w:r>
                <w:rPr>
                  <w:rFonts w:ascii="Arial" w:cs="Arial" w:eastAsia="Arial" w:hAnsi="Arial"/>
                  <w:sz w:val="17"/>
                  <w:szCs w:val="17"/>
                  <w:u w:val="single" w:color="auto"/>
                  <w:color w:val="0000EE"/>
                </w:rPr>
                <w:t>WHERE YOU CAN FIND ADDITIONAL INFORMATION</w:t>
              </w:r>
            </w:hyperlink>
          </w:p>
        </w:tc>
        <w:tc>
          <w:tcPr>
            <w:tcW w:w="300" w:type="dxa"/>
            <w:vAlign w:val="bottom"/>
            <w:tcBorders>
              <w:bottom w:val="single" w:sz="8" w:color="CCEEFF"/>
            </w:tcBorders>
            <w:gridSpan w:val="2"/>
            <w:shd w:val="clear" w:color="auto" w:fill="CCEEFF"/>
          </w:tcPr>
          <w:p>
            <w:pPr>
              <w:jc w:val="right"/>
              <w:spacing w:after="0"/>
              <w:rPr>
                <w:rFonts w:ascii="Arial" w:cs="Arial" w:eastAsia="Arial" w:hAnsi="Arial"/>
                <w:sz w:val="17"/>
                <w:szCs w:val="17"/>
                <w:u w:val="single" w:color="auto"/>
                <w:color w:val="0000EE"/>
                <w:w w:val="98"/>
              </w:rPr>
            </w:pPr>
            <w:hyperlink w:anchor="page140">
              <w:r>
                <w:rPr>
                  <w:rFonts w:ascii="Arial" w:cs="Arial" w:eastAsia="Arial" w:hAnsi="Arial"/>
                  <w:sz w:val="17"/>
                  <w:szCs w:val="17"/>
                  <w:u w:val="single" w:color="auto"/>
                  <w:color w:val="0000EE"/>
                  <w:w w:val="98"/>
                </w:rPr>
                <w:t>137</w:t>
              </w:r>
            </w:hyperlink>
          </w:p>
        </w:tc>
        <w:tc>
          <w:tcPr>
            <w:tcW w:w="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720" w:type="dxa"/>
            <w:vAlign w:val="bottom"/>
            <w:tcBorders>
              <w:bottom w:val="single" w:sz="8" w:color="auto"/>
            </w:tcBorders>
            <w:gridSpan w:val="3"/>
          </w:tcPr>
          <w:p>
            <w:pPr>
              <w:spacing w:after="0"/>
              <w:rPr>
                <w:rFonts w:ascii="Arial" w:cs="Arial" w:eastAsia="Arial" w:hAnsi="Arial"/>
                <w:sz w:val="17"/>
                <w:szCs w:val="17"/>
                <w:u w:val="single" w:color="auto"/>
                <w:color w:val="0000EE"/>
              </w:rPr>
            </w:pPr>
            <w:hyperlink w:anchor="page141">
              <w:r>
                <w:rPr>
                  <w:rFonts w:ascii="Arial" w:cs="Arial" w:eastAsia="Arial" w:hAnsi="Arial"/>
                  <w:sz w:val="17"/>
                  <w:szCs w:val="17"/>
                  <w:u w:val="single" w:color="auto"/>
                  <w:color w:val="0000EE"/>
                </w:rPr>
                <w:t>INDEX TO FINANCIAL STATEMENTS</w:t>
              </w:r>
            </w:hyperlink>
          </w:p>
        </w:tc>
        <w:tc>
          <w:tcPr>
            <w:tcW w:w="360" w:type="dxa"/>
            <w:vAlign w:val="bottom"/>
            <w:tcBorders>
              <w:bottom w:val="single" w:sz="8" w:color="auto"/>
            </w:tcBorders>
            <w:gridSpan w:val="3"/>
          </w:tcPr>
          <w:p>
            <w:pPr>
              <w:jc w:val="center"/>
              <w:spacing w:after="0"/>
              <w:rPr>
                <w:rFonts w:ascii="Arial" w:cs="Arial" w:eastAsia="Arial" w:hAnsi="Arial"/>
                <w:sz w:val="17"/>
                <w:szCs w:val="17"/>
                <w:u w:val="single" w:color="auto"/>
                <w:color w:val="0000EE"/>
              </w:rPr>
            </w:pPr>
            <w:hyperlink w:anchor="page141">
              <w:r>
                <w:rPr>
                  <w:rFonts w:ascii="Arial" w:cs="Arial" w:eastAsia="Arial" w:hAnsi="Arial"/>
                  <w:sz w:val="17"/>
                  <w:szCs w:val="17"/>
                  <w:u w:val="single" w:color="auto"/>
                  <w:color w:val="0000EE"/>
                </w:rPr>
                <w:t>F-1</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-4225290</wp:posOffset>
            </wp:positionV>
            <wp:extent cx="1028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29"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b w:val="1"/>
          <w:bCs w:val="1"/>
          <w:color w:val="auto"/>
        </w:rPr>
        <w:t>We are responsible for the information contained in this prospectus. We have not authorized anyone to provide you with different information, and neither we nor the underwriters take any responsibility for any other information others may give to you. We are not, and the underwriters are not, making an offer to sell securities in any jurisdiction where the offer or sale is not permitted. You should not assume that the information contained in this prospectus is accurate as of any date other than the date on the front of this prospectus.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5790565" cy="635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90565" cy="635635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SUMMARY</w:t>
      </w:r>
    </w:p>
    <w:p>
      <w:pPr>
        <w:spacing w:after="0" w:line="156" w:lineRule="exact"/>
        <w:rPr>
          <w:sz w:val="20"/>
          <w:szCs w:val="20"/>
          <w:color w:val="auto"/>
        </w:rPr>
      </w:pPr>
    </w:p>
    <w:p>
      <w:pPr>
        <w:jc w:val="both"/>
        <w:ind w:left="240" w:right="399"/>
        <w:spacing w:after="0" w:line="248" w:lineRule="auto"/>
        <w:rPr>
          <w:sz w:val="20"/>
          <w:szCs w:val="20"/>
          <w:color w:val="auto"/>
        </w:rPr>
      </w:pPr>
      <w:r>
        <w:rPr>
          <w:rFonts w:ascii="Arial" w:cs="Arial" w:eastAsia="Arial" w:hAnsi="Arial"/>
          <w:sz w:val="17"/>
          <w:szCs w:val="17"/>
          <w:i w:val="1"/>
          <w:iCs w:val="1"/>
          <w:color w:val="auto"/>
        </w:rPr>
        <w:t>This summary only highlights the more detailed information appearing elsewhere in this prospectus. You should read this entire prospectus carefully, including the information under “Risk Factors” and our financial statements and the related notes included elsewhere in this prospectus, before investing.</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Unless otherwise stated in this prospectus or the context otherwise requires, references to:</w:t>
      </w:r>
    </w:p>
    <w:p>
      <w:pPr>
        <w:spacing w:after="0" w:line="102" w:lineRule="exact"/>
        <w:rPr>
          <w:sz w:val="20"/>
          <w:szCs w:val="20"/>
          <w:color w:val="auto"/>
        </w:rPr>
      </w:pPr>
    </w:p>
    <w:p>
      <w:pPr>
        <w:ind w:left="820" w:right="279"/>
        <w:spacing w:after="0" w:line="243" w:lineRule="auto"/>
        <w:rPr>
          <w:sz w:val="20"/>
          <w:szCs w:val="20"/>
          <w:color w:val="auto"/>
        </w:rPr>
      </w:pPr>
      <w:r>
        <w:rPr>
          <w:rFonts w:ascii="Arial" w:cs="Arial" w:eastAsia="Arial" w:hAnsi="Arial"/>
          <w:sz w:val="17"/>
          <w:szCs w:val="17"/>
          <w:color w:val="auto"/>
        </w:rPr>
        <w:t>“Companies Law” are to the Companies Law (2020 Revision) of the Cayman Islands as the same may be amended from time to time;</w:t>
      </w:r>
    </w:p>
    <w:p>
      <w:pPr>
        <w:spacing w:after="0" w:line="90" w:lineRule="exact"/>
        <w:rPr>
          <w:sz w:val="20"/>
          <w:szCs w:val="20"/>
          <w:color w:val="auto"/>
        </w:rPr>
      </w:pPr>
    </w:p>
    <w:p>
      <w:pPr>
        <w:ind w:left="820" w:right="699"/>
        <w:spacing w:after="0" w:line="243" w:lineRule="auto"/>
        <w:rPr>
          <w:sz w:val="20"/>
          <w:szCs w:val="20"/>
          <w:color w:val="auto"/>
        </w:rPr>
      </w:pPr>
      <w:r>
        <w:rPr>
          <w:rFonts w:ascii="Arial" w:cs="Arial" w:eastAsia="Arial" w:hAnsi="Arial"/>
          <w:sz w:val="17"/>
          <w:szCs w:val="17"/>
          <w:color w:val="auto"/>
        </w:rPr>
        <w:t>“company,” “we,” “us,” “our,” or “our company” are to ARYA Sciences Acquisition Corp III, a Cayman Islands exempted company;</w:t>
      </w:r>
    </w:p>
    <w:p>
      <w:pPr>
        <w:spacing w:after="0" w:line="90" w:lineRule="exact"/>
        <w:rPr>
          <w:sz w:val="20"/>
          <w:szCs w:val="20"/>
          <w:color w:val="auto"/>
        </w:rPr>
      </w:pPr>
    </w:p>
    <w:p>
      <w:pPr>
        <w:ind w:left="820" w:right="859"/>
        <w:spacing w:after="0" w:line="243" w:lineRule="auto"/>
        <w:rPr>
          <w:sz w:val="20"/>
          <w:szCs w:val="20"/>
          <w:color w:val="auto"/>
        </w:rPr>
      </w:pPr>
      <w:r>
        <w:rPr>
          <w:rFonts w:ascii="Arial" w:cs="Arial" w:eastAsia="Arial" w:hAnsi="Arial"/>
          <w:sz w:val="17"/>
          <w:szCs w:val="17"/>
          <w:color w:val="auto"/>
        </w:rPr>
        <w:t>“founders” are to Joseph Edelman, Adam Stone, Michael Altman and Konstantin Poukalov, senior executives of Perceptive Advisors;</w:t>
      </w:r>
    </w:p>
    <w:p>
      <w:pPr>
        <w:spacing w:after="0" w:line="90" w:lineRule="exact"/>
        <w:rPr>
          <w:sz w:val="20"/>
          <w:szCs w:val="20"/>
          <w:color w:val="auto"/>
        </w:rPr>
      </w:pPr>
    </w:p>
    <w:p>
      <w:pPr>
        <w:ind w:left="820" w:right="339"/>
        <w:spacing w:after="0" w:line="236" w:lineRule="auto"/>
        <w:rPr>
          <w:sz w:val="20"/>
          <w:szCs w:val="20"/>
          <w:color w:val="auto"/>
        </w:rPr>
      </w:pPr>
      <w:r>
        <w:rPr>
          <w:rFonts w:ascii="Arial" w:cs="Arial" w:eastAsia="Arial" w:hAnsi="Arial"/>
          <w:sz w:val="17"/>
          <w:szCs w:val="17"/>
          <w:color w:val="auto"/>
        </w:rPr>
        <w:t>“founder shares” are to our Class B ordinary shares initially issued to our sponsor in a private placement prior to this offering and the Class A ordinary shares that will be issued upon the automatic conversion of the Class B ordinary shares at the time of our initial business combination (for the avoidance of doubt, such Class A ordinary shares will not be “public shares”);</w:t>
      </w:r>
    </w:p>
    <w:p>
      <w:pPr>
        <w:spacing w:after="0" w:line="95" w:lineRule="exact"/>
        <w:rPr>
          <w:sz w:val="20"/>
          <w:szCs w:val="20"/>
          <w:color w:val="auto"/>
        </w:rPr>
      </w:pPr>
    </w:p>
    <w:p>
      <w:pPr>
        <w:ind w:left="820" w:right="299"/>
        <w:spacing w:after="0" w:line="243" w:lineRule="auto"/>
        <w:rPr>
          <w:sz w:val="20"/>
          <w:szCs w:val="20"/>
          <w:color w:val="auto"/>
        </w:rPr>
      </w:pPr>
      <w:r>
        <w:rPr>
          <w:rFonts w:ascii="Arial" w:cs="Arial" w:eastAsia="Arial" w:hAnsi="Arial"/>
          <w:sz w:val="17"/>
          <w:szCs w:val="17"/>
          <w:color w:val="auto"/>
        </w:rPr>
        <w:t>“initial shareholders” are to our sponsor and each other holder of founder shares upon the consummation of this offering;</w:t>
      </w:r>
    </w:p>
    <w:p>
      <w:pPr>
        <w:spacing w:after="0" w:line="90" w:lineRule="exact"/>
        <w:rPr>
          <w:sz w:val="20"/>
          <w:szCs w:val="20"/>
          <w:color w:val="auto"/>
        </w:rPr>
      </w:pPr>
    </w:p>
    <w:p>
      <w:pPr>
        <w:ind w:left="820" w:right="179"/>
        <w:spacing w:after="0" w:line="243" w:lineRule="auto"/>
        <w:rPr>
          <w:sz w:val="20"/>
          <w:szCs w:val="20"/>
          <w:color w:val="auto"/>
        </w:rPr>
      </w:pPr>
      <w:r>
        <w:rPr>
          <w:rFonts w:ascii="Arial" w:cs="Arial" w:eastAsia="Arial" w:hAnsi="Arial"/>
          <w:sz w:val="17"/>
          <w:szCs w:val="17"/>
          <w:color w:val="auto"/>
        </w:rPr>
        <w:t>“management” or “our management team” are to our executive officers and directors (including our director nominees who will become directors at the consummation of this offering);</w:t>
      </w:r>
    </w:p>
    <w:p>
      <w:pPr>
        <w:spacing w:after="0" w:line="90" w:lineRule="exact"/>
        <w:rPr>
          <w:sz w:val="20"/>
          <w:szCs w:val="20"/>
          <w:color w:val="auto"/>
        </w:rPr>
      </w:pPr>
    </w:p>
    <w:p>
      <w:pPr>
        <w:ind w:left="820" w:right="1779"/>
        <w:spacing w:after="0" w:line="364" w:lineRule="auto"/>
        <w:rPr>
          <w:sz w:val="20"/>
          <w:szCs w:val="20"/>
          <w:color w:val="auto"/>
        </w:rPr>
      </w:pPr>
      <w:r>
        <w:rPr>
          <w:rFonts w:ascii="Arial" w:cs="Arial" w:eastAsia="Arial" w:hAnsi="Arial"/>
          <w:sz w:val="17"/>
          <w:szCs w:val="17"/>
          <w:color w:val="auto"/>
        </w:rPr>
        <w:t>“ordinary shares” are to our Class A ordinary shares and our Class B ordinary shares; “Perceptive Advisors” are to Perceptive Advisors, LLC, an affiliate of our sponsor;</w:t>
      </w:r>
    </w:p>
    <w:p>
      <w:pPr>
        <w:spacing w:after="0" w:line="1" w:lineRule="exact"/>
        <w:rPr>
          <w:sz w:val="20"/>
          <w:szCs w:val="20"/>
          <w:color w:val="auto"/>
        </w:rPr>
      </w:pPr>
    </w:p>
    <w:p>
      <w:pPr>
        <w:ind w:left="820" w:right="279"/>
        <w:spacing w:after="0" w:line="236" w:lineRule="auto"/>
        <w:rPr>
          <w:sz w:val="20"/>
          <w:szCs w:val="20"/>
          <w:color w:val="auto"/>
        </w:rPr>
      </w:pPr>
      <w:r>
        <w:rPr>
          <w:rFonts w:ascii="Arial" w:cs="Arial" w:eastAsia="Arial" w:hAnsi="Arial"/>
          <w:sz w:val="17"/>
          <w:szCs w:val="17"/>
          <w:color w:val="auto"/>
        </w:rPr>
        <w:t>“private placement shares” are to the Class A ordinary shares to be issued to our sponsor in a private placement simultaneously with the closing of this offering (which private placement shares are identical to the shares sold in this offering, subject to certain limited exceptions as described in this prospectus) and upon conversion of working capital loans;</w:t>
      </w:r>
    </w:p>
    <w:p>
      <w:pPr>
        <w:spacing w:after="0" w:line="95" w:lineRule="exact"/>
        <w:rPr>
          <w:sz w:val="20"/>
          <w:szCs w:val="20"/>
          <w:color w:val="auto"/>
        </w:rPr>
      </w:pPr>
    </w:p>
    <w:p>
      <w:pPr>
        <w:jc w:val="both"/>
        <w:ind w:left="820" w:right="199"/>
        <w:spacing w:after="0" w:line="236" w:lineRule="auto"/>
        <w:rPr>
          <w:sz w:val="20"/>
          <w:szCs w:val="20"/>
          <w:color w:val="auto"/>
        </w:rPr>
      </w:pPr>
      <w:r>
        <w:rPr>
          <w:rFonts w:ascii="Arial" w:cs="Arial" w:eastAsia="Arial" w:hAnsi="Arial"/>
          <w:sz w:val="17"/>
          <w:szCs w:val="17"/>
          <w:color w:val="auto"/>
        </w:rPr>
        <w:t xml:space="preserve">“public shareholders” are to the holders of our public shares, including our sponsor and management team to the extent our sponsor and/or members of our management team purchase public shares,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our sponsor’s and each member of our management team’s status as a “public shareholder” will only exist with respect to such public shares;</w:t>
      </w:r>
    </w:p>
    <w:p>
      <w:pPr>
        <w:spacing w:after="0" w:line="95" w:lineRule="exact"/>
        <w:rPr>
          <w:sz w:val="20"/>
          <w:szCs w:val="20"/>
          <w:color w:val="auto"/>
        </w:rPr>
      </w:pPr>
    </w:p>
    <w:p>
      <w:pPr>
        <w:jc w:val="both"/>
        <w:ind w:left="820" w:right="179"/>
        <w:spacing w:after="0" w:line="243" w:lineRule="auto"/>
        <w:rPr>
          <w:sz w:val="20"/>
          <w:szCs w:val="20"/>
          <w:color w:val="auto"/>
        </w:rPr>
      </w:pPr>
      <w:r>
        <w:rPr>
          <w:rFonts w:ascii="Arial" w:cs="Arial" w:eastAsia="Arial" w:hAnsi="Arial"/>
          <w:sz w:val="17"/>
          <w:szCs w:val="17"/>
          <w:color w:val="auto"/>
        </w:rPr>
        <w:t>“public shares” are to our Class A ordinary shares to be sold in this offering (whether they are purchased in this offering or thereafter in the open market); and</w:t>
      </w:r>
    </w:p>
    <w:p>
      <w:pPr>
        <w:spacing w:after="0" w:line="90" w:lineRule="exact"/>
        <w:rPr>
          <w:sz w:val="20"/>
          <w:szCs w:val="20"/>
          <w:color w:val="auto"/>
        </w:rPr>
      </w:pPr>
    </w:p>
    <w:p>
      <w:pPr>
        <w:ind w:left="820"/>
        <w:spacing w:after="0"/>
        <w:rPr>
          <w:sz w:val="20"/>
          <w:szCs w:val="20"/>
          <w:color w:val="auto"/>
        </w:rPr>
      </w:pPr>
      <w:r>
        <w:rPr>
          <w:rFonts w:ascii="Arial" w:cs="Arial" w:eastAsia="Arial" w:hAnsi="Arial"/>
          <w:sz w:val="17"/>
          <w:szCs w:val="17"/>
          <w:color w:val="auto"/>
        </w:rPr>
        <w:t>“sponsor” are to ARYA Sciences Holdings III, a Cayman Islands exempted limited company.</w:t>
      </w:r>
    </w:p>
    <w:p>
      <w:pPr>
        <w:spacing w:after="0" w:line="169" w:lineRule="exact"/>
        <w:rPr>
          <w:sz w:val="20"/>
          <w:szCs w:val="20"/>
          <w:color w:val="auto"/>
        </w:rPr>
      </w:pPr>
    </w:p>
    <w:p>
      <w:pPr>
        <w:ind w:left="240" w:right="379"/>
        <w:spacing w:after="0" w:line="235" w:lineRule="auto"/>
        <w:rPr>
          <w:sz w:val="20"/>
          <w:szCs w:val="20"/>
          <w:color w:val="auto"/>
        </w:rPr>
      </w:pPr>
      <w:r>
        <w:rPr>
          <w:rFonts w:ascii="Arial" w:cs="Arial" w:eastAsia="Arial" w:hAnsi="Arial"/>
          <w:sz w:val="17"/>
          <w:szCs w:val="17"/>
          <w:color w:val="auto"/>
        </w:rPr>
        <w:t>Any forfeiture or transfer of shares described in this prospectus will take effect as a surrender of shares for no consideration of such shares as a matter of Cayman Islands law. Any conversion of the Class B ordinary shares described in this prospectus will take effect as a compulsory redemption of Class B ordinary shares and an issuance of Class A ordinary shares as a matter of Cayman Islands law. Any share dividends described in this prospectus will take effect as share capitalizations as a matter of Cayman Islands law.</w:t>
      </w:r>
    </w:p>
    <w:p>
      <w:pPr>
        <w:spacing w:after="0" w:line="163" w:lineRule="exact"/>
        <w:rPr>
          <w:sz w:val="20"/>
          <w:szCs w:val="20"/>
          <w:color w:val="auto"/>
        </w:rPr>
      </w:pPr>
    </w:p>
    <w:p>
      <w:pPr>
        <w:ind w:left="240" w:right="479"/>
        <w:spacing w:after="0" w:line="243" w:lineRule="auto"/>
        <w:rPr>
          <w:sz w:val="20"/>
          <w:szCs w:val="20"/>
          <w:color w:val="auto"/>
        </w:rPr>
      </w:pPr>
      <w:r>
        <w:rPr>
          <w:rFonts w:ascii="Arial" w:cs="Arial" w:eastAsia="Arial" w:hAnsi="Arial"/>
          <w:sz w:val="17"/>
          <w:szCs w:val="17"/>
          <w:color w:val="auto"/>
        </w:rPr>
        <w:t>Unless we tell you otherwise, the information in this prospectus assumes that the underwriters will not exercise their over-allotment option.</w:t>
      </w: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5790565" cy="68021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90565" cy="680212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General</w:t>
      </w:r>
    </w:p>
    <w:p>
      <w:pPr>
        <w:spacing w:after="0" w:line="174" w:lineRule="exact"/>
        <w:rPr>
          <w:sz w:val="20"/>
          <w:szCs w:val="20"/>
          <w:color w:val="auto"/>
        </w:rPr>
      </w:pPr>
    </w:p>
    <w:p>
      <w:pPr>
        <w:ind w:left="240" w:right="199"/>
        <w:spacing w:after="0" w:line="234" w:lineRule="auto"/>
        <w:rPr>
          <w:sz w:val="20"/>
          <w:szCs w:val="20"/>
          <w:color w:val="auto"/>
        </w:rPr>
      </w:pPr>
      <w:r>
        <w:rPr>
          <w:rFonts w:ascii="Arial" w:cs="Arial" w:eastAsia="Arial" w:hAnsi="Arial"/>
          <w:sz w:val="17"/>
          <w:szCs w:val="17"/>
          <w:color w:val="auto"/>
        </w:rPr>
        <w:t>We are a newly organized blank check company incorporated in March 27, 2020 as a Cayman Islands exempted company formed for the purpose of effecting a merger, share exchange, asset acquisition, share purchase, reorganization or similar business combination with one or more businesses, which we refer to throughout this prospectus as our initial business combination. To date, our efforts have been limited to organizational activities as well as activities related to this offering. We have not selected any specific business combination target and we have not, nor has anyone on our behalf, initiated any substantive discussions, directly or indirectly, with any business combination target. We have generated no operating revenues to date and we do not expect that we will generate operating revenues until we consummate our initial business combination.</w:t>
      </w:r>
    </w:p>
    <w:p>
      <w:pPr>
        <w:spacing w:after="0" w:line="163" w:lineRule="exact"/>
        <w:rPr>
          <w:sz w:val="20"/>
          <w:szCs w:val="20"/>
          <w:color w:val="auto"/>
        </w:rPr>
      </w:pPr>
    </w:p>
    <w:p>
      <w:pPr>
        <w:ind w:left="240" w:right="199"/>
        <w:spacing w:after="0" w:line="234" w:lineRule="auto"/>
        <w:rPr>
          <w:sz w:val="20"/>
          <w:szCs w:val="20"/>
          <w:color w:val="auto"/>
        </w:rPr>
      </w:pPr>
      <w:r>
        <w:rPr>
          <w:rFonts w:ascii="Arial" w:cs="Arial" w:eastAsia="Arial" w:hAnsi="Arial"/>
          <w:sz w:val="17"/>
          <w:szCs w:val="17"/>
          <w:color w:val="auto"/>
        </w:rPr>
        <w:t>While we may pursue an acquisition opportunity in any business, industry, sector or geographical location, we intend to focus on industries that complement our management team’s background, and to capitalize on the ability of our management team to identify and acquire a business, focusing on the healthcare or healthcare related industries. In particular, we will target North American or European companies in the life sciences and medical technology sectors where our management has extensive investment experience. We may pursue a transaction in which our shareholders immediately prior to the completion of our initial business combination would collectively own a minority interest in the post-business combination company.</w:t>
      </w:r>
    </w:p>
    <w:p>
      <w:pPr>
        <w:spacing w:after="0" w:line="22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Our Founders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Our sponsor is an affiliate of Perceptive Advisors, a leading life sciences focused investment firm with over</w:t>
      </w:r>
    </w:p>
    <w:p>
      <w:pPr>
        <w:ind w:left="240" w:right="179"/>
        <w:spacing w:after="0" w:line="233" w:lineRule="auto"/>
        <w:rPr>
          <w:sz w:val="20"/>
          <w:szCs w:val="20"/>
          <w:color w:val="auto"/>
        </w:rPr>
      </w:pPr>
      <w:r>
        <w:rPr>
          <w:rFonts w:ascii="Arial" w:cs="Arial" w:eastAsia="Arial" w:hAnsi="Arial"/>
          <w:sz w:val="17"/>
          <w:szCs w:val="17"/>
          <w:color w:val="auto"/>
        </w:rPr>
        <w:t>$7 billion of regulatory assets under management as of December 31, 2019. Since its launch in 1999, Perceptive Advisors has focused exclusively on the healthcare industry. Our founders are the founder and management of Perceptive Advisors. Joseph Edelman, our Chairman, founded Perceptive Advisors in 1999. Adam Stone, our Chief Executive Officer, is the Chief Investment Officer of Perceptive Advisors, Michael Altman, our Chief Financial Officer, is a Managing Director at Perceptive Advisors and Konstantin Poukalov, our Chief Business Officer, is a Managing Director at Perceptive Advisors. Perceptive Advisors’ investment activity is focused on identifying both private and public companies in the life sciences and medical technology sectors and currently has investments in over 150 companies. The team at Perceptive Advisors consists of trained scientists, physicians and financial analysts who are passionately committed to identifying innovation that can drive critical change to current treatment paradigms. Perceptive Advisors invests across the capital structure and throughout a company’s growth cycle which provides access to a broad universe of management teams and companies seeking flexible capital solutions. Perceptive Advisors is also an active investor in pre-IPO financing rounds known as “crossovers.” Perceptive Advisors has invested in over 75 private companies since 2013 and in 2019 met with over 200 private companies in evaluation of private growth financing rounds, crossovers, and pre-IPO analysis. We have not selected any business combination target and we have not, nor has anyone on our behalf, initiated any substantive discussions, directly or indirectly, with any business combination target.</w:t>
      </w:r>
    </w:p>
    <w:p>
      <w:pPr>
        <w:spacing w:after="0" w:line="2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Our Board of Directors and Management</w:t>
      </w:r>
    </w:p>
    <w:p>
      <w:pPr>
        <w:spacing w:after="0" w:line="188" w:lineRule="exact"/>
        <w:rPr>
          <w:sz w:val="20"/>
          <w:szCs w:val="20"/>
          <w:color w:val="auto"/>
        </w:rPr>
      </w:pPr>
    </w:p>
    <w:p>
      <w:pPr>
        <w:ind w:left="240" w:right="219"/>
        <w:spacing w:after="0" w:line="234" w:lineRule="auto"/>
        <w:rPr>
          <w:sz w:val="20"/>
          <w:szCs w:val="20"/>
          <w:color w:val="auto"/>
        </w:rPr>
      </w:pPr>
      <w:r>
        <w:rPr>
          <w:rFonts w:ascii="Arial" w:cs="Arial" w:eastAsia="Arial" w:hAnsi="Arial"/>
          <w:sz w:val="17"/>
          <w:szCs w:val="17"/>
          <w:color w:val="auto"/>
        </w:rPr>
        <w:t>Joseph Edelman serves as the Chairman of our board of directors. Mr. Edelman is Founder, Chief Executive Officer and Portfolio Manager of Perceptive Advisors. He has also served as Chairman of the board of directors of ARYA Sciences Acquisition Corp II (Nasdaq: ARYB) since June 2020. Prior to founding Perceptive Advisors, Mr. Edelman was a Senior Analyst at Aries Fund, a Paramount Capital Asset Management biotechnology hedge fund, from 1994 through 1998. Prior to that position, Mr. Edelman was a Senior Biotechnology Analyst at Prudential Securities from 1990 to 1994. Mr. Edelman started his career in the healthcare sector of the securities industry as a Biotechnology Analyst at Labe, Simpson from 1987 to 1990. Mr. Edelman earned an MBA from New York University and a BA, magna cum laude, in psychology from the University of California SanDiego.</w:t>
      </w:r>
    </w:p>
    <w:p>
      <w:pPr>
        <w:spacing w:after="0" w:line="163" w:lineRule="exact"/>
        <w:rPr>
          <w:sz w:val="20"/>
          <w:szCs w:val="20"/>
          <w:color w:val="auto"/>
        </w:rPr>
      </w:pPr>
    </w:p>
    <w:p>
      <w:pPr>
        <w:ind w:left="240" w:right="359"/>
        <w:spacing w:after="0" w:line="238" w:lineRule="auto"/>
        <w:rPr>
          <w:sz w:val="20"/>
          <w:szCs w:val="20"/>
          <w:color w:val="auto"/>
        </w:rPr>
      </w:pPr>
      <w:r>
        <w:rPr>
          <w:rFonts w:ascii="Arial" w:cs="Arial" w:eastAsia="Arial" w:hAnsi="Arial"/>
          <w:sz w:val="17"/>
          <w:szCs w:val="17"/>
          <w:color w:val="auto"/>
        </w:rPr>
        <w:t>Adam Stone, our Chief Executive Officer, joined Perceptive Advisors in 2006 and has acted as Chief Investment Officer since 2012 and is a member of the internal investment committees of Perceptive Advisors’ credit opportunities and venture funds. Mr. Stone currently also serves on the boards of directors of ARYA Sciences</w:t>
      </w:r>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5790565" cy="6613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90565" cy="661352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240" w:right="199"/>
        <w:spacing w:after="0" w:line="235" w:lineRule="auto"/>
        <w:rPr>
          <w:sz w:val="20"/>
          <w:szCs w:val="20"/>
          <w:color w:val="auto"/>
        </w:rPr>
      </w:pPr>
      <w:r>
        <w:rPr>
          <w:rFonts w:ascii="Arial" w:cs="Arial" w:eastAsia="Arial" w:hAnsi="Arial"/>
          <w:sz w:val="17"/>
          <w:szCs w:val="17"/>
          <w:color w:val="auto"/>
        </w:rPr>
        <w:t>Acquisition Corp II (Nasdaq: ARYB) as well as Solid Biosciences (Nasdaq: SLDB), Renovia, and Xontogeny, which are portfolio companies of Perceptive Advisors. Following the consummation of the business combination of ARYA Sciences Acquisition Corp. with Immatics Biotechnologies GmbH in July 2020, Mr. Stone also serves on the supervisory board of Immatics N.V. (Nasdaq: IMTX). Prior to joining Perceptive Advisors, Mr. Stone was a Senior Analyst at Ursus Capital from 2001 to 2006 where he focused on biotechnology and specialty pharmaceuticals. Mr. Stone graduated, with honors, from Princeton University with a BA in molecular biology.</w:t>
      </w:r>
    </w:p>
    <w:p>
      <w:pPr>
        <w:spacing w:after="0" w:line="161" w:lineRule="exact"/>
        <w:rPr>
          <w:sz w:val="20"/>
          <w:szCs w:val="20"/>
          <w:color w:val="auto"/>
        </w:rPr>
      </w:pPr>
    </w:p>
    <w:p>
      <w:pPr>
        <w:ind w:left="240" w:right="239"/>
        <w:spacing w:after="0" w:line="234" w:lineRule="auto"/>
        <w:rPr>
          <w:sz w:val="20"/>
          <w:szCs w:val="20"/>
          <w:color w:val="auto"/>
        </w:rPr>
      </w:pPr>
      <w:r>
        <w:rPr>
          <w:rFonts w:ascii="Arial" w:cs="Arial" w:eastAsia="Arial" w:hAnsi="Arial"/>
          <w:sz w:val="17"/>
          <w:szCs w:val="17"/>
          <w:color w:val="auto"/>
        </w:rPr>
        <w:t>Michael Altman, CFA, our Chief Financial Officer, joined Perceptive Advisors in 2007, is a Managing Director on the investment team and is a member of the internal investment committee of Perceptive Advisors’ credit opportunities fund. Mr. Altman’s focus is on medical devices, diagnostics, digital health and specialty pharmaceuticals. Mr. Altman also serves on the boards of directors of Vitruvius Therapeutics and Lyra Therapeutics (Nasdaq: LYRA), which are portfolio companies of Perceptive Advisors. Mr. Altman also serves on the board of directors of ARYA Sciences Acquisition Corp II (Nasdaq: ARYB). Prior to joining Perceptive Advisors, Mr. Altman was a trader and analyst at First New York Securities from 2005 to 2007. Mr. Altman graduated from the University of Vermont with a BS in Business Administration.</w:t>
      </w:r>
    </w:p>
    <w:p>
      <w:pPr>
        <w:spacing w:after="0" w:line="149" w:lineRule="exact"/>
        <w:rPr>
          <w:sz w:val="20"/>
          <w:szCs w:val="20"/>
          <w:color w:val="auto"/>
        </w:rPr>
      </w:pPr>
    </w:p>
    <w:p>
      <w:pPr>
        <w:ind w:left="240" w:right="179"/>
        <w:spacing w:after="0" w:line="233" w:lineRule="auto"/>
        <w:rPr>
          <w:sz w:val="20"/>
          <w:szCs w:val="20"/>
          <w:color w:val="auto"/>
        </w:rPr>
      </w:pPr>
      <w:r>
        <w:rPr>
          <w:rFonts w:ascii="Arial" w:cs="Arial" w:eastAsia="Arial" w:hAnsi="Arial"/>
          <w:sz w:val="17"/>
          <w:szCs w:val="17"/>
          <w:color w:val="auto"/>
        </w:rPr>
        <w:t>Konstantin Poukalov, our Chief Business Officer, joined Perceptive Advisors in 2019 and is a Managing Director at Perceptive Advisors focused on various strategies across the Perceptive platforms. Mr. Poukalov also serves as the Chief Business Officer of ARYA Sciences Acquisition Corp II (Nasdaq: ARYB) and on the boards of directors of Lyra Therapeutics (Nasdaq: LYRA), Landos Biopharma, Inc. and LianBio, which are portfolio companies of Perceptive Advisors. Prior to joining Perceptive, Mr. Poukalov served as Executive Vice President and Chief Financial Officer of Kadmon Holdings (NYSE: KDMN) from 2014 to 2018. From 2012 to 2014, Mr. Poukalov served as Kadmon's Vice President, Strategic Operations. Prior to joining Kadmon, Mr. Poukalov was a member of the healthcare investment banking group at Jefferies LLC from 2009 to 2012, focusing on companies across the life sciences and biotechnology sectors. Prior to Jefferies, Mr. Poukalov was a member of UBS Investment Bank, focusing on the healthcare industry, from 2006 to 2009. Mr. Poukalov graduated from Stony Brook University with a Bachelor of Engineering in Electrical Engineering.</w:t>
      </w:r>
    </w:p>
    <w:p>
      <w:pPr>
        <w:spacing w:after="0" w:line="167" w:lineRule="exact"/>
        <w:rPr>
          <w:sz w:val="20"/>
          <w:szCs w:val="20"/>
          <w:color w:val="auto"/>
        </w:rPr>
      </w:pPr>
    </w:p>
    <w:p>
      <w:pPr>
        <w:ind w:left="240" w:right="199"/>
        <w:spacing w:after="0" w:line="233" w:lineRule="auto"/>
        <w:rPr>
          <w:sz w:val="20"/>
          <w:szCs w:val="20"/>
          <w:color w:val="auto"/>
        </w:rPr>
      </w:pPr>
      <w:r>
        <w:rPr>
          <w:rFonts w:ascii="Arial" w:cs="Arial" w:eastAsia="Arial" w:hAnsi="Arial"/>
          <w:sz w:val="17"/>
          <w:szCs w:val="17"/>
          <w:color w:val="auto"/>
        </w:rPr>
        <w:t>Dr. Todd Wider has agreed to serve on our board of directors. Dr. Wider is an active, honorary member of the medical staff of Mount Sinai Hospital in New York, where he worked for over 20 years, and is a plastic and reconstructive surgeon who focused on cancer surgery. Dr. Wider has served on the board of directors of Abeona Therapeutics Inc. (Nasdaq: ABEO) since May 2015 and ARYA Sciences Acquisition CorpII (Nasdaq: ARYB) since June 2020. Dr. Wider also is the Executive Chairman of Emendo Biotherapeutics, which focuses on highly specific and differentiated gene editing. Dr. Wider previously consulted with a number of entities in the biotechnology space. Dr. Wider received an MD from Columbia College of Physicians and Surgeons, where he was Rudin Fellow, and an AB, with high honors and Phi Beta Kappa, from Princeton University. He did his residency in general surgery and plastic and reconstructive surgery at Columbia Presbyterian Medical Center, and postdoctoral fellowships in complex reconstructive surgery at Memorial Sloan Kettering Cancer Center, where he was Chief Microsurgery Fellow, and in craniofacial surgery at the University of Miami. Dr. Wider is also a principal in Wider Film Projects, a documentary film company focusing on producing films with sociopolitical resonance.</w:t>
      </w:r>
    </w:p>
    <w:p>
      <w:pPr>
        <w:spacing w:after="0" w:line="166" w:lineRule="exact"/>
        <w:rPr>
          <w:sz w:val="20"/>
          <w:szCs w:val="20"/>
          <w:color w:val="auto"/>
        </w:rPr>
      </w:pPr>
    </w:p>
    <w:p>
      <w:pPr>
        <w:ind w:left="240" w:right="339"/>
        <w:spacing w:after="0" w:line="238" w:lineRule="auto"/>
        <w:rPr>
          <w:sz w:val="20"/>
          <w:szCs w:val="20"/>
          <w:color w:val="auto"/>
        </w:rPr>
      </w:pPr>
      <w:r>
        <w:rPr>
          <w:rFonts w:ascii="Arial" w:cs="Arial" w:eastAsia="Arial" w:hAnsi="Arial"/>
          <w:sz w:val="17"/>
          <w:szCs w:val="17"/>
          <w:color w:val="auto"/>
        </w:rPr>
        <w:t>We believe our management team is well positioned to take advantage of the growing set of investment opportunities focused on the healthcare industry and that our contacts and relationships will allow us to generate an attractive transaction for our shareholders.</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Experience with Special Purpose Acquisition Vehicles</w:t>
      </w:r>
    </w:p>
    <w:p>
      <w:pPr>
        <w:spacing w:after="0" w:line="188" w:lineRule="exact"/>
        <w:rPr>
          <w:sz w:val="20"/>
          <w:szCs w:val="20"/>
          <w:color w:val="auto"/>
        </w:rPr>
      </w:pPr>
    </w:p>
    <w:p>
      <w:pPr>
        <w:ind w:left="240" w:right="379"/>
        <w:spacing w:after="0" w:line="235" w:lineRule="auto"/>
        <w:rPr>
          <w:sz w:val="20"/>
          <w:szCs w:val="20"/>
          <w:color w:val="auto"/>
        </w:rPr>
      </w:pPr>
      <w:r>
        <w:rPr>
          <w:rFonts w:ascii="Arial" w:cs="Arial" w:eastAsia="Arial" w:hAnsi="Arial"/>
          <w:sz w:val="17"/>
          <w:szCs w:val="17"/>
          <w:color w:val="auto"/>
        </w:rPr>
        <w:t>Our management team has previous experience in the execution of public acquisition vehicles. In July 2020, ARYA Sciences Acquisition Corp. consummated its initial business combination with Immatics Biotechnologies GmbH (“Immatics”). The ordinary shares of the combined company, Immatics N.V., are traded on Nasdaq under the symbol “IMTX.” Mr. Stone continues to serve on the supervisory board of Immatics N.V. following the consummation of the business combination.</w:t>
      </w:r>
    </w:p>
    <w:p>
      <w:pPr>
        <w:spacing w:after="0" w:line="200" w:lineRule="exact"/>
        <w:rPr>
          <w:sz w:val="20"/>
          <w:szCs w:val="20"/>
          <w:color w:val="auto"/>
        </w:rPr>
      </w:pPr>
    </w:p>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5790565" cy="64160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90565" cy="641604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240" w:right="259"/>
        <w:spacing w:after="0" w:line="235" w:lineRule="auto"/>
        <w:rPr>
          <w:sz w:val="20"/>
          <w:szCs w:val="20"/>
          <w:color w:val="auto"/>
        </w:rPr>
      </w:pPr>
      <w:r>
        <w:rPr>
          <w:rFonts w:ascii="Arial" w:cs="Arial" w:eastAsia="Arial" w:hAnsi="Arial"/>
          <w:sz w:val="17"/>
          <w:szCs w:val="17"/>
          <w:color w:val="auto"/>
        </w:rPr>
        <w:t>Further, Mr. Edelman is the Chairman of the board of directors of ARYA Sciences Acquisition Corp II, Mr. Stone is the Chief Executive Officer of ARYA Sciences Acquisition Corp II, Mr. Altman is the Chief Financial Officer of ARYA Sciences Acquisition Corp II and Mr. Poukalov is the Chief Business Officer of ARYA Sciences Acquisition Corp II. ARYA Sciences Acquisition Corp II is a special purpose acquisition company formed for substantially similar purposes as our company.</w:t>
      </w:r>
    </w:p>
    <w:p>
      <w:pPr>
        <w:spacing w:after="0" w:line="163" w:lineRule="exact"/>
        <w:rPr>
          <w:sz w:val="20"/>
          <w:szCs w:val="20"/>
          <w:color w:val="auto"/>
        </w:rPr>
      </w:pPr>
    </w:p>
    <w:p>
      <w:pPr>
        <w:ind w:left="240" w:right="279"/>
        <w:spacing w:after="0" w:line="235" w:lineRule="auto"/>
        <w:rPr>
          <w:sz w:val="20"/>
          <w:szCs w:val="20"/>
          <w:color w:val="auto"/>
        </w:rPr>
      </w:pPr>
      <w:r>
        <w:rPr>
          <w:rFonts w:ascii="Arial" w:cs="Arial" w:eastAsia="Arial" w:hAnsi="Arial"/>
          <w:sz w:val="17"/>
          <w:szCs w:val="17"/>
          <w:color w:val="auto"/>
        </w:rPr>
        <w:t>Our founders and our directors and officers, Perceptive Advisors, or its affiliates expect in the future to become affiliated with other public special public acquisition companies that may have acquisition objectives that are similar to ours. See “Risk Factors—Our officers and directors presently have, and any of them in the future may have additional, fiduciary or contractual obligations to other entities, including another blank check company, and, accordingly, may have conflicts of interest in determining to which entity a particular business opportunity should be presented.”</w:t>
      </w:r>
    </w:p>
    <w:p>
      <w:pPr>
        <w:spacing w:after="0" w:line="148" w:lineRule="exact"/>
        <w:rPr>
          <w:sz w:val="20"/>
          <w:szCs w:val="20"/>
          <w:color w:val="auto"/>
        </w:rPr>
      </w:pPr>
    </w:p>
    <w:p>
      <w:pPr>
        <w:ind w:left="240" w:right="279"/>
        <w:spacing w:after="0" w:line="235" w:lineRule="auto"/>
        <w:rPr>
          <w:sz w:val="20"/>
          <w:szCs w:val="20"/>
          <w:color w:val="auto"/>
        </w:rPr>
      </w:pPr>
      <w:r>
        <w:rPr>
          <w:rFonts w:ascii="Arial" w:cs="Arial" w:eastAsia="Arial" w:hAnsi="Arial"/>
          <w:sz w:val="17"/>
          <w:szCs w:val="17"/>
          <w:color w:val="auto"/>
        </w:rPr>
        <w:t>The past performance of the members of our management team or their affiliates, including ARYA Sciences Acquisition Corp. and Perceptive Advisors, is not a guarantee that we will be able to identify a suitable candidate for our initial business combination or of success with respect to any business combination we may consummate. You should not rely on the historical record or the performance of our management team, Perceptive Advisors or any of their affiliates’ or managed fund’s performance as indicative of our future performance.</w:t>
      </w:r>
    </w:p>
    <w:p>
      <w:pPr>
        <w:spacing w:after="0" w:line="241"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Industry Opportunity</w:t>
      </w:r>
    </w:p>
    <w:p>
      <w:pPr>
        <w:spacing w:after="0" w:line="174" w:lineRule="exact"/>
        <w:rPr>
          <w:sz w:val="20"/>
          <w:szCs w:val="20"/>
          <w:color w:val="auto"/>
        </w:rPr>
      </w:pPr>
    </w:p>
    <w:p>
      <w:pPr>
        <w:ind w:left="240" w:right="199"/>
        <w:spacing w:after="0" w:line="234" w:lineRule="auto"/>
        <w:rPr>
          <w:sz w:val="20"/>
          <w:szCs w:val="20"/>
          <w:color w:val="auto"/>
        </w:rPr>
      </w:pPr>
      <w:r>
        <w:rPr>
          <w:rFonts w:ascii="Arial" w:cs="Arial" w:eastAsia="Arial" w:hAnsi="Arial"/>
          <w:sz w:val="17"/>
          <w:szCs w:val="17"/>
          <w:color w:val="auto"/>
        </w:rPr>
        <w:t>While we may acquire a business in any industry, our focus will be on the healthcare industry in the United States and other developed countries. We believe the healthcare industry, particularly the life sciences and medical technology sectors, represents an enormous and growing target market with a large number of potential target acquisition opportunities. In 2018, total U.S. national health expenditures exceeded $3.6 trillion, and the Center for Medicare and Medicaid Services estimated that total healthcare spending accounted for approximately 18% of total U.S. Gross Domestic Product. According to IBISWorld, in February 2020, the global biotechnology market is expected to grow almost 2.9% to over $294 million in revenue in 2020.</w:t>
      </w:r>
    </w:p>
    <w:p>
      <w:pPr>
        <w:spacing w:after="0" w:line="242"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The Current Life Sciences IPO Market</w:t>
      </w:r>
    </w:p>
    <w:p>
      <w:pPr>
        <w:spacing w:after="0" w:line="174" w:lineRule="exact"/>
        <w:rPr>
          <w:sz w:val="20"/>
          <w:szCs w:val="20"/>
          <w:color w:val="auto"/>
        </w:rPr>
      </w:pPr>
    </w:p>
    <w:p>
      <w:pPr>
        <w:ind w:left="240" w:right="219"/>
        <w:spacing w:after="0" w:line="235" w:lineRule="auto"/>
        <w:rPr>
          <w:sz w:val="20"/>
          <w:szCs w:val="20"/>
          <w:color w:val="auto"/>
        </w:rPr>
      </w:pPr>
      <w:r>
        <w:rPr>
          <w:rFonts w:ascii="Arial" w:cs="Arial" w:eastAsia="Arial" w:hAnsi="Arial"/>
          <w:sz w:val="17"/>
          <w:szCs w:val="17"/>
          <w:color w:val="auto"/>
        </w:rPr>
        <w:t>We believe that current dynamics in the life sciences and medical technology IPO market may enhance our ability to locate an attractive target. Over 200 life sciences and medical technology companies have gone public since 2016 in the United States. Despite the current level of IPO activity, according to IBISWorld, in February 2020 there were estimated to be approximately 9,500 biotechnology companies globally, only a fraction of which are publicly traded.</w:t>
      </w:r>
    </w:p>
    <w:p>
      <w:pPr>
        <w:spacing w:after="0" w:line="163" w:lineRule="exact"/>
        <w:rPr>
          <w:sz w:val="20"/>
          <w:szCs w:val="20"/>
          <w:color w:val="auto"/>
        </w:rPr>
      </w:pPr>
    </w:p>
    <w:p>
      <w:pPr>
        <w:ind w:left="240" w:right="179"/>
        <w:spacing w:after="0" w:line="235" w:lineRule="auto"/>
        <w:rPr>
          <w:sz w:val="20"/>
          <w:szCs w:val="20"/>
          <w:color w:val="auto"/>
        </w:rPr>
      </w:pPr>
      <w:r>
        <w:rPr>
          <w:rFonts w:ascii="Arial" w:cs="Arial" w:eastAsia="Arial" w:hAnsi="Arial"/>
          <w:sz w:val="17"/>
          <w:szCs w:val="17"/>
          <w:color w:val="auto"/>
        </w:rPr>
        <w:t>We also believe that the process for life sciences and medical technology IPO demand generation often produces offerings that are significantly oversubscribed but where a majority of the offering is allocated to the top ten investors, some of whom may be existing investors in these companies or are industry specialists. As a result, we believe that there may be numerous investors who have not been able to receive meaningful, or any, allocations in recent life sciences and medical technology IPOs who may be interested in a potential target opportunity that we identify.</w:t>
      </w:r>
    </w:p>
    <w:p>
      <w:pPr>
        <w:spacing w:after="0" w:line="161" w:lineRule="exact"/>
        <w:rPr>
          <w:sz w:val="20"/>
          <w:szCs w:val="20"/>
          <w:color w:val="auto"/>
        </w:rPr>
      </w:pPr>
    </w:p>
    <w:p>
      <w:pPr>
        <w:ind w:left="240" w:right="299"/>
        <w:spacing w:after="0" w:line="235" w:lineRule="auto"/>
        <w:rPr>
          <w:sz w:val="20"/>
          <w:szCs w:val="20"/>
          <w:color w:val="auto"/>
        </w:rPr>
      </w:pPr>
      <w:r>
        <w:rPr>
          <w:rFonts w:ascii="Arial" w:cs="Arial" w:eastAsia="Arial" w:hAnsi="Arial"/>
          <w:sz w:val="17"/>
          <w:szCs w:val="17"/>
          <w:color w:val="auto"/>
        </w:rPr>
        <w:t>We believe that life sciences and medical technology companies, at a certain stage in their development, will see material benefits from being publicly-traded, including greater access to capital, more liquid securities and increased customer awareness. An acquisition by a special purpose acquisition company with a management team that is well-known to, and respected by, life sciences founders, their current third-party investors and their management teams, we believe, can provide a more transparent and efficient mechanism to bring a private healthcare company to the public markets.</w:t>
      </w:r>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5790565" cy="66903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90565" cy="669036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Acquisition Strategy</w:t>
      </w:r>
    </w:p>
    <w:p>
      <w:pPr>
        <w:spacing w:after="0" w:line="174" w:lineRule="exact"/>
        <w:rPr>
          <w:sz w:val="20"/>
          <w:szCs w:val="20"/>
          <w:color w:val="auto"/>
        </w:rPr>
      </w:pPr>
    </w:p>
    <w:p>
      <w:pPr>
        <w:ind w:left="240" w:right="179"/>
        <w:spacing w:after="0" w:line="234" w:lineRule="auto"/>
        <w:rPr>
          <w:sz w:val="20"/>
          <w:szCs w:val="20"/>
          <w:color w:val="auto"/>
        </w:rPr>
      </w:pPr>
      <w:r>
        <w:rPr>
          <w:rFonts w:ascii="Arial" w:cs="Arial" w:eastAsia="Arial" w:hAnsi="Arial"/>
          <w:sz w:val="17"/>
          <w:szCs w:val="17"/>
          <w:color w:val="auto"/>
        </w:rPr>
        <w:t>We believe our management team is well positioned to identify unique opportunities in our target sectors. Our selection process will leverage our relationships with leading venture capitalists and growth equity funds, executives of private and public companies, as well as leading investment banking firms, which we believe should provide us with a key competitive advantage in sourcing potential business combination targets. Given our profile and dedicated industry approach, we anticipate that target business candidates may be brought to our attention from various unaffiliated sources, and in particular investors in other private and public companies in our networks. We also believe that Perceptive Advisors’ reputation, experience and track record of making investments in the healthcare space will make us a preferred partner for these potential targets.</w:t>
      </w:r>
    </w:p>
    <w:p>
      <w:pPr>
        <w:spacing w:after="0" w:line="163" w:lineRule="exact"/>
        <w:rPr>
          <w:sz w:val="20"/>
          <w:szCs w:val="20"/>
          <w:color w:val="auto"/>
        </w:rPr>
      </w:pPr>
    </w:p>
    <w:p>
      <w:pPr>
        <w:jc w:val="both"/>
        <w:ind w:left="240" w:right="379"/>
        <w:spacing w:after="0" w:line="238" w:lineRule="auto"/>
        <w:rPr>
          <w:sz w:val="20"/>
          <w:szCs w:val="20"/>
          <w:color w:val="auto"/>
        </w:rPr>
      </w:pPr>
      <w:r>
        <w:rPr>
          <w:rFonts w:ascii="Arial" w:cs="Arial" w:eastAsia="Arial" w:hAnsi="Arial"/>
          <w:sz w:val="17"/>
          <w:szCs w:val="17"/>
          <w:color w:val="auto"/>
        </w:rPr>
        <w:t>Consistent with our strategy, we have identified the following criteria to evaluate prospective target businesses. We may however, decide to enter into our initial business combination with a target business that does not meet these criteria. We intend to seek to acquire companies that we believe:</w:t>
      </w:r>
    </w:p>
    <w:p>
      <w:pPr>
        <w:spacing w:after="0" w:line="93" w:lineRule="exact"/>
        <w:rPr>
          <w:sz w:val="20"/>
          <w:szCs w:val="20"/>
          <w:color w:val="auto"/>
        </w:rPr>
      </w:pPr>
    </w:p>
    <w:p>
      <w:pPr>
        <w:ind w:left="820" w:right="699"/>
        <w:spacing w:after="0" w:line="243" w:lineRule="auto"/>
        <w:rPr>
          <w:sz w:val="20"/>
          <w:szCs w:val="20"/>
          <w:color w:val="auto"/>
        </w:rPr>
      </w:pPr>
      <w:r>
        <w:rPr>
          <w:rFonts w:ascii="Arial" w:cs="Arial" w:eastAsia="Arial" w:hAnsi="Arial"/>
          <w:sz w:val="17"/>
          <w:szCs w:val="17"/>
          <w:color w:val="auto"/>
        </w:rPr>
        <w:t>have a scientific or other competitive advantage in the markets in which they operate and which can benefit from access to additional capital as well as our industry relationships and expertise;</w:t>
      </w:r>
    </w:p>
    <w:p>
      <w:pPr>
        <w:spacing w:after="0" w:line="90" w:lineRule="exact"/>
        <w:rPr>
          <w:sz w:val="20"/>
          <w:szCs w:val="20"/>
          <w:color w:val="auto"/>
        </w:rPr>
      </w:pPr>
    </w:p>
    <w:p>
      <w:pPr>
        <w:ind w:left="820"/>
        <w:spacing w:after="0"/>
        <w:rPr>
          <w:sz w:val="20"/>
          <w:szCs w:val="20"/>
          <w:color w:val="auto"/>
        </w:rPr>
      </w:pPr>
      <w:r>
        <w:rPr>
          <w:rFonts w:ascii="Arial" w:cs="Arial" w:eastAsia="Arial" w:hAnsi="Arial"/>
          <w:sz w:val="17"/>
          <w:szCs w:val="17"/>
          <w:color w:val="auto"/>
        </w:rPr>
        <w:t>are ready to be public, with strong management, corporate governance and reporting policies in place;</w:t>
      </w:r>
    </w:p>
    <w:p>
      <w:pPr>
        <w:spacing w:after="0" w:line="102" w:lineRule="exact"/>
        <w:rPr>
          <w:sz w:val="20"/>
          <w:szCs w:val="20"/>
          <w:color w:val="auto"/>
        </w:rPr>
      </w:pPr>
    </w:p>
    <w:p>
      <w:pPr>
        <w:ind w:left="820" w:right="359"/>
        <w:spacing w:after="0" w:line="243" w:lineRule="auto"/>
        <w:rPr>
          <w:sz w:val="20"/>
          <w:szCs w:val="20"/>
          <w:color w:val="auto"/>
        </w:rPr>
      </w:pPr>
      <w:r>
        <w:rPr>
          <w:rFonts w:ascii="Arial" w:cs="Arial" w:eastAsia="Arial" w:hAnsi="Arial"/>
          <w:sz w:val="17"/>
          <w:szCs w:val="17"/>
          <w:color w:val="auto"/>
        </w:rPr>
        <w:t>will likely be well received by public investors and are expected to have good access to the public capital markets;</w:t>
      </w:r>
    </w:p>
    <w:p>
      <w:pPr>
        <w:spacing w:after="0" w:line="90" w:lineRule="exact"/>
        <w:rPr>
          <w:sz w:val="20"/>
          <w:szCs w:val="20"/>
          <w:color w:val="auto"/>
        </w:rPr>
      </w:pPr>
    </w:p>
    <w:p>
      <w:pPr>
        <w:ind w:left="820"/>
        <w:spacing w:after="0"/>
        <w:rPr>
          <w:sz w:val="20"/>
          <w:szCs w:val="20"/>
          <w:color w:val="auto"/>
        </w:rPr>
      </w:pPr>
      <w:r>
        <w:rPr>
          <w:rFonts w:ascii="Arial" w:cs="Arial" w:eastAsia="Arial" w:hAnsi="Arial"/>
          <w:sz w:val="17"/>
          <w:szCs w:val="17"/>
          <w:color w:val="auto"/>
        </w:rPr>
        <w:t>have significant embedded and/or underexploited growth opportunities;</w:t>
      </w:r>
    </w:p>
    <w:p>
      <w:pPr>
        <w:spacing w:after="0" w:line="102" w:lineRule="exact"/>
        <w:rPr>
          <w:sz w:val="20"/>
          <w:szCs w:val="20"/>
          <w:color w:val="auto"/>
        </w:rPr>
      </w:pPr>
    </w:p>
    <w:p>
      <w:pPr>
        <w:ind w:left="820" w:right="259"/>
        <w:spacing w:after="0" w:line="243" w:lineRule="auto"/>
        <w:rPr>
          <w:sz w:val="20"/>
          <w:szCs w:val="20"/>
          <w:color w:val="auto"/>
        </w:rPr>
      </w:pPr>
      <w:r>
        <w:rPr>
          <w:rFonts w:ascii="Arial" w:cs="Arial" w:eastAsia="Arial" w:hAnsi="Arial"/>
          <w:sz w:val="17"/>
          <w:szCs w:val="17"/>
          <w:color w:val="auto"/>
        </w:rPr>
        <w:t>exhibit unrecognized value or other characteristics that we believe have been misevaluated by the market based on our rigorous analysis and scientific and business due diligence review; and</w:t>
      </w:r>
    </w:p>
    <w:p>
      <w:pPr>
        <w:spacing w:after="0" w:line="90" w:lineRule="exact"/>
        <w:rPr>
          <w:sz w:val="20"/>
          <w:szCs w:val="20"/>
          <w:color w:val="auto"/>
        </w:rPr>
      </w:pPr>
    </w:p>
    <w:p>
      <w:pPr>
        <w:ind w:left="820"/>
        <w:spacing w:after="0"/>
        <w:rPr>
          <w:sz w:val="20"/>
          <w:szCs w:val="20"/>
          <w:color w:val="auto"/>
        </w:rPr>
      </w:pPr>
      <w:r>
        <w:rPr>
          <w:rFonts w:ascii="Arial" w:cs="Arial" w:eastAsia="Arial" w:hAnsi="Arial"/>
          <w:sz w:val="17"/>
          <w:szCs w:val="17"/>
          <w:color w:val="auto"/>
        </w:rPr>
        <w:t>will offer attractive risk-adjusted equity returns for our shareholders.</w:t>
      </w:r>
    </w:p>
    <w:p>
      <w:pPr>
        <w:spacing w:after="0" w:line="169" w:lineRule="exact"/>
        <w:rPr>
          <w:sz w:val="20"/>
          <w:szCs w:val="20"/>
          <w:color w:val="auto"/>
        </w:rPr>
      </w:pPr>
    </w:p>
    <w:p>
      <w:pPr>
        <w:ind w:left="240" w:right="239"/>
        <w:spacing w:after="0" w:line="236" w:lineRule="auto"/>
        <w:rPr>
          <w:sz w:val="20"/>
          <w:szCs w:val="20"/>
          <w:color w:val="auto"/>
        </w:rPr>
      </w:pPr>
      <w:r>
        <w:rPr>
          <w:rFonts w:ascii="Arial" w:cs="Arial" w:eastAsia="Arial" w:hAnsi="Arial"/>
          <w:sz w:val="17"/>
          <w:szCs w:val="17"/>
          <w:color w:val="auto"/>
        </w:rPr>
        <w:t>We intend to focus on target businesses with valuations of $300 to $500 million or more and that have the potential to be $1 billion or more market capitalization companies. We may use other criteria as well. Any evaluation relating to the merits of a particular initial business combination may be based on these general criteria as well as other considerations, factors and criteria that our management may deem relevant.</w:t>
      </w:r>
    </w:p>
    <w:p>
      <w:pPr>
        <w:spacing w:after="0" w:line="2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Initial Business Combination</w:t>
      </w:r>
    </w:p>
    <w:p>
      <w:pPr>
        <w:spacing w:after="0" w:line="188" w:lineRule="exact"/>
        <w:rPr>
          <w:sz w:val="20"/>
          <w:szCs w:val="20"/>
          <w:color w:val="auto"/>
        </w:rPr>
      </w:pPr>
    </w:p>
    <w:p>
      <w:pPr>
        <w:ind w:left="240" w:right="219"/>
        <w:spacing w:after="0" w:line="233" w:lineRule="auto"/>
        <w:rPr>
          <w:sz w:val="20"/>
          <w:szCs w:val="20"/>
          <w:color w:val="auto"/>
        </w:rPr>
      </w:pPr>
      <w:r>
        <w:rPr>
          <w:rFonts w:ascii="Arial" w:cs="Arial" w:eastAsia="Arial" w:hAnsi="Arial"/>
          <w:sz w:val="17"/>
          <w:szCs w:val="17"/>
          <w:color w:val="auto"/>
        </w:rPr>
        <w:t>Our initial business combination must occur with one or more target businesses that together have an aggregate fair market value of at least 80% of the net assets held in the trust account (excluding the amount of deferred underwriting discounts held in trust and taxes payable on the interest earned on the trust account) at the time of signing the agreement to enter into the initial business combination. If our board of directors is not able to independently determine the fair market value of the target business or businesses or we are considering an initial business combination with an affiliated entity, we will obtain an opinion from an independent investment banking firm which is a member of the Financial Industry Regulatory Authority, Inc., or FINRA, or an independent valuation or accounting firm with respect to the satisfaction of such criteria. Our shareholders may not be provided with a copy of such opinion nor will they be able to rely on such opinion. While we consider it unlikely that our board will not be able to make an independent determination of the fair market value of a target business or businesses, it may be unable to do so if the board is less familiar or experienced with the target company’s business, there is a significant amount of uncertainty as to the value of the company’s assets or prospects, including if such company is at an early stage of development, operations or growth, or if the anticipated transaction involves a complex financial analysis or other specialized skills and the board determines that outside expertise would be helpful or necessary in conducting such analysis. Since any opinion, if obtained, would merely state that the fair market value of the target business meets the 80% of net assets threshold, unless such opinion includes material information regarding the valuation of a target business or the consideration to be provided, it is not anticipated that copies of</w:t>
      </w:r>
    </w:p>
    <w:p>
      <w:pPr>
        <w:spacing w:after="0" w:line="200" w:lineRule="exact"/>
        <w:rPr>
          <w:sz w:val="20"/>
          <w:szCs w:val="20"/>
          <w:color w:val="auto"/>
        </w:rPr>
      </w:pPr>
    </w:p>
    <w:p>
      <w:pPr>
        <w:spacing w:after="0" w:line="24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5790565" cy="69818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90565" cy="698182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240" w:right="579"/>
        <w:spacing w:after="0" w:line="238" w:lineRule="auto"/>
        <w:rPr>
          <w:sz w:val="20"/>
          <w:szCs w:val="20"/>
          <w:color w:val="auto"/>
        </w:rPr>
      </w:pPr>
      <w:r>
        <w:rPr>
          <w:rFonts w:ascii="Arial" w:cs="Arial" w:eastAsia="Arial" w:hAnsi="Arial"/>
          <w:sz w:val="17"/>
          <w:szCs w:val="17"/>
          <w:color w:val="auto"/>
        </w:rPr>
        <w:t>such opinion would be distributed to our shareholders. However, if required under applicable law, any proxy statement that we deliver to shareholders and file with the SEC in connection with a proposed transaction will include such opinion.</w:t>
      </w:r>
    </w:p>
    <w:p>
      <w:pPr>
        <w:spacing w:after="0" w:line="161" w:lineRule="exact"/>
        <w:rPr>
          <w:sz w:val="20"/>
          <w:szCs w:val="20"/>
          <w:color w:val="auto"/>
        </w:rPr>
      </w:pPr>
    </w:p>
    <w:p>
      <w:pPr>
        <w:ind w:left="240" w:right="199"/>
        <w:spacing w:after="0"/>
        <w:rPr>
          <w:sz w:val="20"/>
          <w:szCs w:val="20"/>
          <w:color w:val="auto"/>
        </w:rPr>
      </w:pPr>
      <w:r>
        <w:rPr>
          <w:rFonts w:ascii="Arial" w:cs="Arial" w:eastAsia="Arial" w:hAnsi="Arial"/>
          <w:sz w:val="17"/>
          <w:szCs w:val="17"/>
          <w:color w:val="auto"/>
        </w:rPr>
        <w:t>We anticipate structuring our initial business combination so that the post-business combination company in which our public shareholders own shares will own or acquire 100% of the equity interests or assets of the target business or businesses. We may, however, structure our initial business combination such that the post-business combination company owns or acquires less than 100% of such interests or assets of the target business in order to meet certain objectives of the target management team or shareholders or for other reasons, but we will only complete such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post-business combination company owns or acquires 50% or more of the voting securities of the target, our shareholders prior to the business combination may collectively own a minority interest in the post-business combination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shareholders immediately prior to the completion of our initial business combination could own less than a majority of our issued and outstanding shares subsequent to our initial business combination. If less than 100% of the equity interests or assets of a target business or businesses are owned or acquired by the post-business combination company, the portion of such business or businesses that is owned or acquired is what will be valued for purposes of the 80% of net assets test. If the business combination involves more than one target business, the 80% of net assets test will be based on the aggregate value of all of the target businesses and we will treat the target businesses together as the initial business combination for purposes of a tender offer or for seeking shareholder approval, as applicable. In addition, we have agreed not to enter into a definitive agreement regarding an initial business combination without the prior consent of our sponsor.</w:t>
      </w:r>
    </w:p>
    <w:p>
      <w:pPr>
        <w:spacing w:after="0" w:line="202" w:lineRule="exact"/>
        <w:rPr>
          <w:sz w:val="20"/>
          <w:szCs w:val="20"/>
          <w:color w:val="auto"/>
        </w:rPr>
      </w:pPr>
    </w:p>
    <w:p>
      <w:pPr>
        <w:ind w:left="240" w:right="199"/>
        <w:spacing w:after="0" w:line="233" w:lineRule="auto"/>
        <w:rPr>
          <w:sz w:val="20"/>
          <w:szCs w:val="20"/>
          <w:color w:val="auto"/>
        </w:rPr>
      </w:pPr>
      <w:r>
        <w:rPr>
          <w:rFonts w:ascii="Arial" w:cs="Arial" w:eastAsia="Arial" w:hAnsi="Arial"/>
          <w:sz w:val="17"/>
          <w:szCs w:val="17"/>
          <w:color w:val="auto"/>
        </w:rPr>
        <w:t>In addition, our sponsor has indicated an interest to purchase up to an aggregate of $25,000,000 of our ordinary shares in a private placement that would occur concurrently with the consummation of our initial business combination. However, because indications of interest are not binding agreements or commitments to purchase, our sponsor may determine not to purchase any such shares, or to purchase fewer shares than it has indicated an interest in purchasing. Furthermore, we are not under any obligation to sell any such shares. If we sell shares to our sponsor (or any other investor) in connection with our initial business combination, the equity interest of investors in this offering in the combined company may be diluted and the market prices for our securities may be adversely affected. In addition, if the per share trading price of our ordinary shares is greater than the price per share paid in the private placement, the private placement will result in value dilution to you, in addition to the immediate dilution that you will experience in connection with the consummation of this offering. See “Dilution.”</w:t>
      </w:r>
    </w:p>
    <w:p>
      <w:pPr>
        <w:spacing w:after="0" w:line="246"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Other Considerations</w:t>
      </w:r>
    </w:p>
    <w:p>
      <w:pPr>
        <w:spacing w:after="0" w:line="174" w:lineRule="exact"/>
        <w:rPr>
          <w:sz w:val="20"/>
          <w:szCs w:val="20"/>
          <w:color w:val="auto"/>
        </w:rPr>
      </w:pPr>
    </w:p>
    <w:p>
      <w:pPr>
        <w:ind w:left="240" w:right="179"/>
        <w:spacing w:after="0" w:line="234" w:lineRule="auto"/>
        <w:rPr>
          <w:sz w:val="20"/>
          <w:szCs w:val="20"/>
          <w:color w:val="auto"/>
        </w:rPr>
      </w:pPr>
      <w:r>
        <w:rPr>
          <w:rFonts w:ascii="Arial" w:cs="Arial" w:eastAsia="Arial" w:hAnsi="Arial"/>
          <w:sz w:val="17"/>
          <w:szCs w:val="17"/>
          <w:color w:val="auto"/>
        </w:rPr>
        <w:t>We are not prohibited from pursuing an initial business combination or subsequent transaction with a company that is affiliated with Perceptive Advisors or our sponsor, founders, officers or directors. In the event we seek to complete our initial business combination with a company that is affiliated with Perceptive Advisors, our sponsor or any of our founders, officers or directors, we, or a committee of independent directors, will obtain an opinion from an independent investment banking firm which is a member of FINRA or an independent valuation or accounting firm that such initial business combination or transaction is fair to our company from a financial point of view. We are not required to obtain such an opinion in any other context.</w:t>
      </w:r>
    </w:p>
    <w:p>
      <w:pPr>
        <w:spacing w:after="0" w:line="164" w:lineRule="exact"/>
        <w:rPr>
          <w:sz w:val="20"/>
          <w:szCs w:val="20"/>
          <w:color w:val="auto"/>
        </w:rPr>
      </w:pPr>
    </w:p>
    <w:p>
      <w:pPr>
        <w:ind w:left="240" w:right="499"/>
        <w:spacing w:after="0" w:line="235" w:lineRule="auto"/>
        <w:rPr>
          <w:sz w:val="20"/>
          <w:szCs w:val="20"/>
          <w:color w:val="auto"/>
        </w:rPr>
      </w:pPr>
      <w:r>
        <w:rPr>
          <w:rFonts w:ascii="Arial" w:cs="Arial" w:eastAsia="Arial" w:hAnsi="Arial"/>
          <w:sz w:val="17"/>
          <w:szCs w:val="17"/>
          <w:color w:val="auto"/>
        </w:rPr>
        <w:t>Affiliates of Perceptive Advisors and members of our board of directors will directly or indirectly own founder shares and private placement shares following this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w:t>
      </w: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5790565" cy="66992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90565" cy="669925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240" w:right="259"/>
        <w:spacing w:after="0" w:line="243" w:lineRule="auto"/>
        <w:rPr>
          <w:sz w:val="20"/>
          <w:szCs w:val="20"/>
          <w:color w:val="auto"/>
        </w:rPr>
      </w:pPr>
      <w:r>
        <w:rPr>
          <w:rFonts w:ascii="Arial" w:cs="Arial" w:eastAsia="Arial" w:hAnsi="Arial"/>
          <w:sz w:val="17"/>
          <w:szCs w:val="17"/>
          <w:color w:val="auto"/>
        </w:rPr>
        <w:t>particular business combination if the retention or resignation of any such officers or directors were to be included by a target business as a condition to any agreement with respect to our initial business combination.</w:t>
      </w:r>
    </w:p>
    <w:p>
      <w:pPr>
        <w:spacing w:after="0" w:line="158" w:lineRule="exact"/>
        <w:rPr>
          <w:sz w:val="20"/>
          <w:szCs w:val="20"/>
          <w:color w:val="auto"/>
        </w:rPr>
      </w:pPr>
    </w:p>
    <w:p>
      <w:pPr>
        <w:ind w:left="240" w:right="179"/>
        <w:spacing w:after="0" w:line="233" w:lineRule="auto"/>
        <w:rPr>
          <w:sz w:val="20"/>
          <w:szCs w:val="20"/>
          <w:color w:val="auto"/>
        </w:rPr>
      </w:pPr>
      <w:r>
        <w:rPr>
          <w:rFonts w:ascii="Arial" w:cs="Arial" w:eastAsia="Arial" w:hAnsi="Arial"/>
          <w:sz w:val="17"/>
          <w:szCs w:val="17"/>
          <w:color w:val="auto"/>
        </w:rPr>
        <w:t>We have not selected any business combination target and we have not, nor has anyone on our behalf, initiated any substantive discussions, directly or indirectly, with any business combination target. Perceptive Advisors is continuously made aware of potential business opportunities, one or more of which we may desire to pursue for a business combination, but we have not (nor has anyone on our behalf) contacted any prospective target business or had any substantive discussions, formal or otherwise, with respect to a business combination transaction with our company. We will not consider a business combination with any company that has already been identified to Perceptive Advisors as a suitable acquisition candidate for it, unless Perceptive Advisors, in its sole discretion, declines such potential business combination or makes available to our company a co-investment opportunity in accordance with Perceptive Advisors’ applicable existing and future policies and procedures. Additionally, we have not, nor has anyone on our behalf, taken any substantive measure, directly or indirectly, to identify or locate any suitable acquisition candidate for us, nor have we engaged or retained any agent or other representative to identify or locate any such acquisition candidate.</w:t>
      </w:r>
    </w:p>
    <w:p>
      <w:pPr>
        <w:spacing w:after="0" w:line="153" w:lineRule="exact"/>
        <w:rPr>
          <w:sz w:val="20"/>
          <w:szCs w:val="20"/>
          <w:color w:val="auto"/>
        </w:rPr>
      </w:pPr>
    </w:p>
    <w:p>
      <w:pPr>
        <w:ind w:left="240" w:right="279"/>
        <w:spacing w:after="0" w:line="236" w:lineRule="auto"/>
        <w:rPr>
          <w:sz w:val="20"/>
          <w:szCs w:val="20"/>
          <w:color w:val="auto"/>
        </w:rPr>
      </w:pPr>
      <w:r>
        <w:rPr>
          <w:rFonts w:ascii="Arial" w:cs="Arial" w:eastAsia="Arial" w:hAnsi="Arial"/>
          <w:sz w:val="17"/>
          <w:szCs w:val="17"/>
          <w:color w:val="auto"/>
        </w:rPr>
        <w:t>Perceptive Advisors may manage multiple investment vehicles and raise additional funds and/or successor funds in the future, which may be during the period in which we are seeking our initial business combination. These Perceptive Advisors investment entities may be seeking acquisition opportunities and related financing at any time. We may compete with any one or more of them on any given acquisition opportunity.</w:t>
      </w:r>
    </w:p>
    <w:p>
      <w:pPr>
        <w:spacing w:after="0" w:line="163" w:lineRule="exact"/>
        <w:rPr>
          <w:sz w:val="20"/>
          <w:szCs w:val="20"/>
          <w:color w:val="auto"/>
        </w:rPr>
      </w:pPr>
    </w:p>
    <w:p>
      <w:pPr>
        <w:ind w:left="240" w:right="259"/>
        <w:spacing w:after="0" w:line="235" w:lineRule="auto"/>
        <w:rPr>
          <w:sz w:val="20"/>
          <w:szCs w:val="20"/>
          <w:color w:val="auto"/>
        </w:rPr>
      </w:pPr>
      <w:r>
        <w:rPr>
          <w:rFonts w:ascii="Arial" w:cs="Arial" w:eastAsia="Arial" w:hAnsi="Arial"/>
          <w:sz w:val="17"/>
          <w:szCs w:val="17"/>
          <w:color w:val="auto"/>
        </w:rPr>
        <w:t>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163" w:lineRule="exact"/>
        <w:rPr>
          <w:sz w:val="20"/>
          <w:szCs w:val="20"/>
          <w:color w:val="auto"/>
        </w:rPr>
      </w:pPr>
    </w:p>
    <w:p>
      <w:pPr>
        <w:ind w:left="240" w:right="179"/>
        <w:spacing w:after="0" w:line="233" w:lineRule="auto"/>
        <w:rPr>
          <w:sz w:val="20"/>
          <w:szCs w:val="20"/>
          <w:color w:val="auto"/>
        </w:rPr>
      </w:pPr>
      <w:r>
        <w:rPr>
          <w:rFonts w:ascii="Arial" w:cs="Arial" w:eastAsia="Arial" w:hAnsi="Arial"/>
          <w:sz w:val="17"/>
          <w:szCs w:val="17"/>
          <w:color w:val="auto"/>
        </w:rPr>
        <w:t>In addition, certain of our founders, officers and directors presently have, and any of them in the future may have additional, fiduciary and contractual duties to other entities, including without limitation, ARYA Sciences Acquisition Corp II and any future special purpose acquisition companies we expect they may be involved in and investment funds, accounts, co-investment vehicles and other entities managed by affiliates of Perceptive Advisors and certain companies in which Perceptive Advisors or such entities have invested. As a result, if any of our founders, officers or directors becomes aware of a business combination opportunity which is suitable for an entity to which he, she or it has then-current fiduciary or contractual obligations (including, without limitation, ARYA Sciences Acquisition Corp II and any future special purpose acquisition companies we expect they may be involved in and any Perceptive Advisors funds or other investment vehicles), then, subject to their fiduciary duties under Cayman Islands law, he or she will need to honor such fiduciary or contractual obligations to present such business combination opportunity to such entity, before we can pursue such opportunity. If these funds or investment entities decide to pursue any such opportunity, we may be precluded from pursuing the same. In addition, investment ideas generated within or presented to Perceptive Advisors or our founders may be suitable for both us and a current or future Perceptive Advisors fund, portfolio company or other investment entity and, subject to applicable fiduciary duties, will first be directed to such fund, portfolio company or other entity before being directed, if at all, to us. None of Perceptive Advisors, our founders or any members of our board of directors who are also employed by Perceptive Advisors or its affiliates have any obligation to present us with any opportunity for a potential business combination of which they become aware solely in their capacities as officers or executives of Perceptive Advisors.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However, we do not expect these duties to materially affect our ability to complete our initial business combination.</w:t>
      </w:r>
    </w:p>
    <w:p>
      <w:pPr>
        <w:spacing w:after="0" w:line="156" w:lineRule="exact"/>
        <w:rPr>
          <w:sz w:val="20"/>
          <w:szCs w:val="20"/>
          <w:color w:val="auto"/>
        </w:rPr>
      </w:pPr>
    </w:p>
    <w:p>
      <w:pPr>
        <w:ind w:left="240" w:right="499"/>
        <w:spacing w:after="0" w:line="236" w:lineRule="auto"/>
        <w:rPr>
          <w:sz w:val="20"/>
          <w:szCs w:val="20"/>
          <w:color w:val="auto"/>
        </w:rPr>
      </w:pPr>
      <w:r>
        <w:rPr>
          <w:rFonts w:ascii="Arial" w:cs="Arial" w:eastAsia="Arial" w:hAnsi="Arial"/>
          <w:sz w:val="17"/>
          <w:szCs w:val="17"/>
          <w:color w:val="auto"/>
        </w:rPr>
        <w:t>In addition, our founders, officers and directors, are not required to commit any specified amount of time to our affairs and, accordingly, will have conflicts of interest in allocating management time among various business activities, including identifying potential business combinations and monitoring the related due diligence. In particular, certain of our officers and directors serve as an officer and/or director of ARYA Sciences Acquisition</w:t>
      </w: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5790565" cy="68446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90565" cy="684466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240" w:right="219"/>
        <w:spacing w:after="0" w:line="233" w:lineRule="auto"/>
        <w:rPr>
          <w:sz w:val="20"/>
          <w:szCs w:val="20"/>
          <w:color w:val="auto"/>
        </w:rPr>
      </w:pPr>
      <w:r>
        <w:rPr>
          <w:rFonts w:ascii="Arial" w:cs="Arial" w:eastAsia="Arial" w:hAnsi="Arial"/>
          <w:sz w:val="17"/>
          <w:szCs w:val="17"/>
          <w:color w:val="auto"/>
        </w:rPr>
        <w:t>Corp II, which is a blank check company sponsored by an affiliate of Perceptive Advisors, and in the future we expect they may be officers and/or directors of other future special purpose acquisition companies. Moreover, our founders, officers and directors have, and will have in the future, time and attention requirements for current and future investment funds, accounts, co-investment vehicles and other entities managed by Perceptive Advisors. To the extent any conflict of interest arises between, on the one hand, us and, on the other hand, investments funds, accounts, co-investment vehicles and other entities managed by Perceptive Advisors (including, without limitation, arising as a result of certain of our founders, officers and directors being required to offer acquisition opportunities to such investment funds, accounts, co-investment vehicles and other entities), Perceptive Advisors and its affiliates will resolve such conflicts of interest in their sole discretion in accordance with their then existing fiduciary, contractual and other duties and there can be no assurance that such conflict of interest will be resolved in our favor.</w:t>
      </w:r>
    </w:p>
    <w:p>
      <w:pPr>
        <w:spacing w:after="0" w:line="167" w:lineRule="exact"/>
        <w:rPr>
          <w:sz w:val="20"/>
          <w:szCs w:val="20"/>
          <w:color w:val="auto"/>
        </w:rPr>
      </w:pPr>
    </w:p>
    <w:p>
      <w:pPr>
        <w:ind w:left="240" w:right="819"/>
        <w:spacing w:after="0" w:line="243" w:lineRule="auto"/>
        <w:rPr>
          <w:sz w:val="20"/>
          <w:szCs w:val="20"/>
          <w:color w:val="auto"/>
        </w:rPr>
      </w:pPr>
      <w:r>
        <w:rPr>
          <w:rFonts w:ascii="Arial" w:cs="Arial" w:eastAsia="Arial" w:hAnsi="Arial"/>
          <w:sz w:val="17"/>
          <w:szCs w:val="17"/>
          <w:color w:val="auto"/>
        </w:rPr>
        <w:t>Unlike other SPAC IPOs, investors in this offering will not receive warrants that would become exercisable following completion of our initial business combination.</w:t>
      </w:r>
    </w:p>
    <w:p>
      <w:pPr>
        <w:spacing w:after="0" w:line="22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Corporate Information</w:t>
      </w:r>
    </w:p>
    <w:p>
      <w:pPr>
        <w:spacing w:after="0" w:line="5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Our executive offices are located at 51 Astor Place, 10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New York 10003. We maintain a</w:t>
      </w:r>
    </w:p>
    <w:p>
      <w:pPr>
        <w:ind w:left="240" w:right="359"/>
        <w:spacing w:after="0" w:line="238" w:lineRule="auto"/>
        <w:rPr>
          <w:sz w:val="20"/>
          <w:szCs w:val="20"/>
          <w:color w:val="auto"/>
        </w:rPr>
      </w:pPr>
      <w:r>
        <w:rPr>
          <w:rFonts w:ascii="Arial" w:cs="Arial" w:eastAsia="Arial" w:hAnsi="Arial"/>
          <w:sz w:val="17"/>
          <w:szCs w:val="17"/>
          <w:color w:val="auto"/>
        </w:rPr>
        <w:t>corporate website at . The information contained on or accessible through our corporate website or any other website that we may maintain is not part of this prospectus or the registration statement of which this prospectus is a part.</w:t>
      </w:r>
    </w:p>
    <w:p>
      <w:pPr>
        <w:spacing w:after="0" w:line="147" w:lineRule="exact"/>
        <w:rPr>
          <w:sz w:val="20"/>
          <w:szCs w:val="20"/>
          <w:color w:val="auto"/>
        </w:rPr>
      </w:pPr>
    </w:p>
    <w:p>
      <w:pPr>
        <w:ind w:left="240" w:right="199"/>
        <w:spacing w:after="0" w:line="233" w:lineRule="auto"/>
        <w:rPr>
          <w:sz w:val="20"/>
          <w:szCs w:val="20"/>
          <w:color w:val="auto"/>
        </w:rPr>
      </w:pPr>
      <w:r>
        <w:rPr>
          <w:rFonts w:ascii="Arial" w:cs="Arial" w:eastAsia="Arial" w:hAnsi="Arial"/>
          <w:sz w:val="17"/>
          <w:szCs w:val="17"/>
          <w:color w:val="auto"/>
        </w:rPr>
        <w:t>We are a Cayman Islands exempted company. Exempted companies are Cayman Islands companies conducting business mainly outside the Cayman Islands and, as such, are exempted from complying with certain provisions of the Companies Law. As an exempted company, we have applied for and expect to receive, after the effectiveness of the registration statement of which this prospectus forms a part, a tax exemption undertaking from the Cayman Islands government that, in accordance with Section 6 of the Tax Concessions Law (2018 Revision) of the Cayman Islands, for a period of 20 years from the date of the undertaking, no law which is enacted in the Cayman Islands imposing any tax to be levied on profits, income, gains or appreciations will apply to us or our operations and, in addition, that no tax to be levied on profits, income, gains or appreciations or which is in the nature of estate duty or inheritance tax will be payable (i) on or in respect of our shares, debentures or other obligations or (ii) by way of the withholding in whole or in part of a payment of dividend or other distribution of income or capital by us to our shareholders or a payment of principal or interest or other sums due under a debenture or other obligation of us.</w:t>
      </w:r>
    </w:p>
    <w:p>
      <w:pPr>
        <w:spacing w:after="0" w:line="166" w:lineRule="exact"/>
        <w:rPr>
          <w:sz w:val="20"/>
          <w:szCs w:val="20"/>
          <w:color w:val="auto"/>
        </w:rPr>
      </w:pPr>
    </w:p>
    <w:p>
      <w:pPr>
        <w:ind w:left="240" w:right="199"/>
        <w:spacing w:after="0" w:line="233" w:lineRule="auto"/>
        <w:rPr>
          <w:sz w:val="20"/>
          <w:szCs w:val="20"/>
          <w:color w:val="auto"/>
        </w:rPr>
      </w:pPr>
      <w:r>
        <w:rPr>
          <w:rFonts w:ascii="Arial" w:cs="Arial" w:eastAsia="Arial" w:hAnsi="Arial"/>
          <w:sz w:val="17"/>
          <w:szCs w:val="17"/>
          <w:color w:val="auto"/>
        </w:rPr>
        <w:t>We are an “emerging growth company,” as defined in Section 2(a) of the Securities Act of 1933, as amended, or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68" w:lineRule="exact"/>
        <w:rPr>
          <w:sz w:val="20"/>
          <w:szCs w:val="20"/>
          <w:color w:val="auto"/>
        </w:rPr>
      </w:pPr>
    </w:p>
    <w:p>
      <w:pPr>
        <w:ind w:left="240" w:right="239"/>
        <w:spacing w:after="0" w:line="235"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50" w:lineRule="exact"/>
        <w:rPr>
          <w:sz w:val="20"/>
          <w:szCs w:val="20"/>
          <w:color w:val="auto"/>
        </w:rPr>
      </w:pPr>
    </w:p>
    <w:p>
      <w:pPr>
        <w:ind w:left="240" w:right="339"/>
        <w:spacing w:after="0" w:line="243" w:lineRule="auto"/>
        <w:rPr>
          <w:sz w:val="20"/>
          <w:szCs w:val="20"/>
          <w:color w:val="auto"/>
        </w:rPr>
      </w:pPr>
      <w:r>
        <w:rPr>
          <w:rFonts w:ascii="Arial" w:cs="Arial" w:eastAsia="Arial" w:hAnsi="Arial"/>
          <w:sz w:val="17"/>
          <w:szCs w:val="17"/>
          <w:color w:val="auto"/>
        </w:rPr>
        <w:t>We will remain an emerging growth company until the earlier of (1) the last day of the fiscal year (a) following the fifth anniversary of the completion of this offering, (b) in which we have total annual gross revenue of at least</w:t>
      </w: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5790565" cy="16846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90565" cy="16846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240" w:right="399"/>
        <w:spacing w:after="0" w:line="236" w:lineRule="auto"/>
        <w:rPr>
          <w:sz w:val="20"/>
          <w:szCs w:val="20"/>
          <w:color w:val="auto"/>
        </w:rPr>
      </w:pPr>
      <w:r>
        <w:rPr>
          <w:rFonts w:ascii="Arial" w:cs="Arial" w:eastAsia="Arial" w:hAnsi="Arial"/>
          <w:sz w:val="17"/>
          <w:szCs w:val="17"/>
          <w:color w:val="auto"/>
        </w:rPr>
        <w:t>$1.07 billion, or (c) in which we are deemed to be a large accelerated filer, which means the market value of our Class A ordinary shares that are held by non-affiliates exceeds $700 million as of the prior June 30, and (2) the date on which we have issued more than $1.0 billion in non-convertible debt during the prior three-year period. References herein to “emerging growth company” have the meaning associated with it in the JOBS Act.</w:t>
      </w:r>
    </w:p>
    <w:p>
      <w:pPr>
        <w:spacing w:after="0" w:line="163" w:lineRule="exact"/>
        <w:rPr>
          <w:sz w:val="20"/>
          <w:szCs w:val="20"/>
          <w:color w:val="auto"/>
        </w:rPr>
      </w:pPr>
    </w:p>
    <w:p>
      <w:pPr>
        <w:ind w:left="240" w:right="199"/>
        <w:spacing w:after="0" w:line="235"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$250 million as of the prior June 30, or (2) our annual revenues exceeded $100 million during such completed fiscal year and the market value of our ordinary shares held by non-affiliates exceeds $700 million as of the prior June 30.</w:t>
      </w: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5790565" cy="70592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90565" cy="705929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THE OFFERING</w:t>
      </w:r>
    </w:p>
    <w:p>
      <w:pPr>
        <w:spacing w:after="0" w:line="174" w:lineRule="exact"/>
        <w:rPr>
          <w:sz w:val="20"/>
          <w:szCs w:val="20"/>
          <w:color w:val="auto"/>
        </w:rPr>
      </w:pPr>
    </w:p>
    <w:p>
      <w:pPr>
        <w:ind w:left="240" w:right="199"/>
        <w:spacing w:after="0" w:line="235" w:lineRule="auto"/>
        <w:rPr>
          <w:sz w:val="20"/>
          <w:szCs w:val="20"/>
          <w:color w:val="auto"/>
        </w:rPr>
      </w:pPr>
      <w:r>
        <w:rPr>
          <w:rFonts w:ascii="Arial" w:cs="Arial" w:eastAsia="Arial" w:hAnsi="Arial"/>
          <w:sz w:val="17"/>
          <w:szCs w:val="17"/>
          <w:color w:val="auto"/>
        </w:rPr>
        <w:t>In deciding whether to invest in our securities,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below entitled “Risk Factors” of this prospectus.</w:t>
      </w:r>
    </w:p>
    <w:p>
      <w:pPr>
        <w:spacing w:after="0" w:line="117"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2820" w:type="dxa"/>
            <w:vAlign w:val="bottom"/>
          </w:tcPr>
          <w:p>
            <w:pPr>
              <w:spacing w:after="0"/>
              <w:rPr>
                <w:sz w:val="20"/>
                <w:szCs w:val="20"/>
                <w:color w:val="auto"/>
              </w:rPr>
            </w:pPr>
            <w:r>
              <w:rPr>
                <w:rFonts w:ascii="Arial" w:cs="Arial" w:eastAsia="Arial" w:hAnsi="Arial"/>
                <w:sz w:val="17"/>
                <w:szCs w:val="17"/>
                <w:b w:val="1"/>
                <w:bCs w:val="1"/>
                <w:color w:val="auto"/>
              </w:rPr>
              <w:t>Security offered</w:t>
            </w:r>
          </w:p>
        </w:tc>
        <w:tc>
          <w:tcPr>
            <w:tcW w:w="5780" w:type="dxa"/>
            <w:vAlign w:val="bottom"/>
          </w:tcPr>
          <w:p>
            <w:pPr>
              <w:ind w:left="1500"/>
              <w:spacing w:after="0"/>
              <w:rPr>
                <w:sz w:val="20"/>
                <w:szCs w:val="20"/>
                <w:color w:val="auto"/>
              </w:rPr>
            </w:pPr>
            <w:r>
              <w:rPr>
                <w:rFonts w:ascii="Arial" w:cs="Arial" w:eastAsia="Arial" w:hAnsi="Arial"/>
                <w:sz w:val="17"/>
                <w:szCs w:val="17"/>
                <w:color w:val="auto"/>
              </w:rPr>
              <w:t>12,500,000 Class A ordinary shares (or 14,375,000</w:t>
            </w:r>
          </w:p>
        </w:tc>
      </w:tr>
      <w:tr>
        <w:trPr>
          <w:trHeight w:val="189"/>
        </w:trPr>
        <w:tc>
          <w:tcPr>
            <w:tcW w:w="2820" w:type="dxa"/>
            <w:vAlign w:val="bottom"/>
          </w:tcPr>
          <w:p>
            <w:pPr>
              <w:spacing w:after="0"/>
              <w:rPr>
                <w:sz w:val="16"/>
                <w:szCs w:val="16"/>
                <w:color w:val="auto"/>
              </w:rPr>
            </w:pPr>
          </w:p>
        </w:tc>
        <w:tc>
          <w:tcPr>
            <w:tcW w:w="5780" w:type="dxa"/>
            <w:vAlign w:val="bottom"/>
          </w:tcPr>
          <w:p>
            <w:pPr>
              <w:ind w:left="1500"/>
              <w:spacing w:after="0" w:line="189" w:lineRule="exact"/>
              <w:rPr>
                <w:sz w:val="20"/>
                <w:szCs w:val="20"/>
                <w:color w:val="auto"/>
              </w:rPr>
            </w:pPr>
            <w:r>
              <w:rPr>
                <w:rFonts w:ascii="Arial" w:cs="Arial" w:eastAsia="Arial" w:hAnsi="Arial"/>
                <w:sz w:val="17"/>
                <w:szCs w:val="17"/>
                <w:color w:val="auto"/>
              </w:rPr>
              <w:t>Class A ordinary shares if the underwriters’ over-</w:t>
            </w:r>
          </w:p>
        </w:tc>
      </w:tr>
      <w:tr>
        <w:trPr>
          <w:trHeight w:val="205"/>
        </w:trPr>
        <w:tc>
          <w:tcPr>
            <w:tcW w:w="2820" w:type="dxa"/>
            <w:vAlign w:val="bottom"/>
          </w:tcPr>
          <w:p>
            <w:pPr>
              <w:spacing w:after="0"/>
              <w:rPr>
                <w:sz w:val="17"/>
                <w:szCs w:val="17"/>
                <w:color w:val="auto"/>
              </w:rPr>
            </w:pPr>
          </w:p>
        </w:tc>
        <w:tc>
          <w:tcPr>
            <w:tcW w:w="5780" w:type="dxa"/>
            <w:vAlign w:val="bottom"/>
          </w:tcPr>
          <w:p>
            <w:pPr>
              <w:ind w:left="1500"/>
              <w:spacing w:after="0"/>
              <w:rPr>
                <w:sz w:val="20"/>
                <w:szCs w:val="20"/>
                <w:color w:val="auto"/>
              </w:rPr>
            </w:pPr>
            <w:r>
              <w:rPr>
                <w:rFonts w:ascii="Arial" w:cs="Arial" w:eastAsia="Arial" w:hAnsi="Arial"/>
                <w:sz w:val="17"/>
                <w:szCs w:val="17"/>
                <w:color w:val="auto"/>
                <w:w w:val="99"/>
              </w:rPr>
              <w:t>allotment option is exercised in full), at $10.00 per share.</w:t>
            </w:r>
          </w:p>
        </w:tc>
      </w:tr>
    </w:tbl>
    <w:p>
      <w:pPr>
        <w:spacing w:after="0" w:line="113" w:lineRule="exact"/>
        <w:rPr>
          <w:sz w:val="20"/>
          <w:szCs w:val="20"/>
          <w:color w:val="auto"/>
        </w:rPr>
      </w:pPr>
    </w:p>
    <w:p>
      <w:pPr>
        <w:sectPr>
          <w:pgSz w:w="11900" w:h="16838" w:orient="portrait"/>
          <w:cols w:equalWidth="0" w:num="1">
            <w:col w:w="9059"/>
          </w:cols>
          <w:pgMar w:left="1400" w:top="265" w:right="1440" w:bottom="1440" w:gutter="0" w:footer="0" w:header="0"/>
        </w:sectPr>
      </w:pPr>
    </w:p>
    <w:p>
      <w:pPr>
        <w:ind w:left="240"/>
        <w:spacing w:after="0"/>
        <w:rPr>
          <w:sz w:val="20"/>
          <w:szCs w:val="20"/>
          <w:color w:val="auto"/>
        </w:rPr>
      </w:pPr>
      <w:r>
        <w:rPr>
          <w:rFonts w:ascii="Arial" w:cs="Arial" w:eastAsia="Arial" w:hAnsi="Arial"/>
          <w:sz w:val="17"/>
          <w:szCs w:val="17"/>
          <w:b w:val="1"/>
          <w:bCs w:val="1"/>
          <w:color w:val="auto"/>
        </w:rPr>
        <w:t>Proposed Nasdaq symbol</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Ordinary shares:</w:t>
      </w:r>
    </w:p>
    <w:p>
      <w:pPr>
        <w:spacing w:after="0" w:line="142" w:lineRule="exact"/>
        <w:rPr>
          <w:sz w:val="20"/>
          <w:szCs w:val="20"/>
          <w:color w:val="auto"/>
        </w:rPr>
      </w:pPr>
    </w:p>
    <w:p>
      <w:pPr>
        <w:ind w:left="420" w:right="140"/>
        <w:spacing w:after="0" w:line="439" w:lineRule="auto"/>
        <w:rPr>
          <w:sz w:val="20"/>
          <w:szCs w:val="20"/>
          <w:color w:val="auto"/>
        </w:rPr>
      </w:pPr>
      <w:r>
        <w:rPr>
          <w:rFonts w:ascii="Arial" w:cs="Arial" w:eastAsia="Arial" w:hAnsi="Arial"/>
          <w:sz w:val="17"/>
          <w:szCs w:val="17"/>
          <w:b w:val="1"/>
          <w:bCs w:val="1"/>
          <w:color w:val="auto"/>
        </w:rPr>
        <w:t>Number outstanding before this offering Number outstanding after this offering</w:t>
      </w:r>
    </w:p>
    <w:p>
      <w:pPr>
        <w:ind w:left="240"/>
        <w:spacing w:after="0"/>
        <w:rPr>
          <w:sz w:val="20"/>
          <w:szCs w:val="20"/>
          <w:color w:val="auto"/>
        </w:rPr>
      </w:pPr>
      <w:r>
        <w:rPr>
          <w:rFonts w:ascii="Arial" w:cs="Arial" w:eastAsia="Arial" w:hAnsi="Arial"/>
          <w:sz w:val="17"/>
          <w:szCs w:val="17"/>
          <w:b w:val="1"/>
          <w:bCs w:val="1"/>
          <w:color w:val="auto"/>
        </w:rPr>
        <w:t>Founder shares</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Class A ordinary shares: “ARYA”</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3,593,750</w:t>
      </w:r>
      <w:r>
        <w:rPr>
          <w:rFonts w:ascii="Arial" w:cs="Arial" w:eastAsia="Arial" w:hAnsi="Arial"/>
          <w:sz w:val="28"/>
          <w:szCs w:val="28"/>
          <w:color w:val="auto"/>
          <w:vertAlign w:val="superscript"/>
        </w:rPr>
        <w:t>(1)(2)</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16,075,000</w:t>
      </w:r>
      <w:r>
        <w:rPr>
          <w:rFonts w:ascii="Arial" w:cs="Arial" w:eastAsia="Arial" w:hAnsi="Arial"/>
          <w:sz w:val="14"/>
          <w:szCs w:val="14"/>
          <w:color w:val="auto"/>
        </w:rPr>
        <w:t>(1)(3)(4)(5)</w:t>
      </w:r>
    </w:p>
    <w:p>
      <w:pPr>
        <w:spacing w:after="0" w:line="116" w:lineRule="exact"/>
        <w:rPr>
          <w:sz w:val="20"/>
          <w:szCs w:val="20"/>
          <w:color w:val="auto"/>
        </w:rPr>
      </w:pPr>
    </w:p>
    <w:p>
      <w:pPr>
        <w:ind w:right="539"/>
        <w:spacing w:after="0" w:line="232" w:lineRule="auto"/>
        <w:rPr>
          <w:sz w:val="20"/>
          <w:szCs w:val="20"/>
          <w:color w:val="auto"/>
        </w:rPr>
      </w:pPr>
      <w:r>
        <w:rPr>
          <w:rFonts w:ascii="Arial" w:cs="Arial" w:eastAsia="Arial" w:hAnsi="Arial"/>
          <w:sz w:val="17"/>
          <w:szCs w:val="17"/>
          <w:color w:val="auto"/>
        </w:rPr>
        <w:t>On April 2, 2020, we issued to our sponsor 3,593,750 founder shares in exchange for a capital contribution of $25,000, or approximately $0.007 per share. In July 2020, our sponsor transferred 30,000</w:t>
      </w:r>
    </w:p>
    <w:p>
      <w:pPr>
        <w:ind w:right="239"/>
        <w:spacing w:after="0"/>
        <w:rPr>
          <w:sz w:val="20"/>
          <w:szCs w:val="20"/>
          <w:color w:val="auto"/>
        </w:rPr>
      </w:pPr>
      <w:r>
        <w:rPr>
          <w:rFonts w:ascii="Arial" w:cs="Arial" w:eastAsia="Arial" w:hAnsi="Arial"/>
          <w:sz w:val="17"/>
          <w:szCs w:val="17"/>
          <w:color w:val="auto"/>
        </w:rPr>
        <w:t>founder shares to each of , and Todd Wider. Such shares will not be subject to forfeiture in the event the underwriters’ over-allotment option is not exercised.</w:t>
      </w:r>
    </w:p>
    <w:p>
      <w:pPr>
        <w:spacing w:after="0" w:line="278" w:lineRule="exact"/>
        <w:rPr>
          <w:sz w:val="20"/>
          <w:szCs w:val="20"/>
          <w:color w:val="auto"/>
        </w:rPr>
      </w:pPr>
    </w:p>
    <w:p>
      <w:pPr>
        <w:ind w:right="199"/>
        <w:spacing w:after="0" w:line="233" w:lineRule="auto"/>
        <w:rPr>
          <w:sz w:val="20"/>
          <w:szCs w:val="20"/>
          <w:color w:val="auto"/>
        </w:rPr>
      </w:pPr>
      <w:r>
        <w:rPr>
          <w:rFonts w:ascii="Arial" w:cs="Arial" w:eastAsia="Arial" w:hAnsi="Arial"/>
          <w:sz w:val="17"/>
          <w:szCs w:val="17"/>
          <w:color w:val="auto"/>
        </w:rPr>
        <w:t>Prior to the initial investment in the company of $25,000 by the sponsor, the company had no assets, tangible or intangible. The per share price of the founder shares was determined by dividing the amount contributed to the company by the number of founder shares issued. If we increase or decrease the size of this offering, we will effect a share capitalization or a share surrender or redemption or other appropriate mechanism, as applicable, with respect to our Class B ordinary shares immediately prior to the consummation of this offering in such amount as to maintain the ownership of our initial shareholders (and their permitted transferees), on an as-converted basis, at 20% of our issued and outstanding ordinary shares (excluding the private placement shares) upon the consummation of this offering. Up to 468,750 founder shares held by our sponsor are subject to forfeiture, depending on the extent to which the underwriter’s over-allotment option is exercised.</w:t>
      </w:r>
    </w:p>
    <w:p>
      <w:pPr>
        <w:spacing w:after="0" w:line="175" w:lineRule="exact"/>
        <w:rPr>
          <w:sz w:val="20"/>
          <w:szCs w:val="20"/>
          <w:color w:val="auto"/>
        </w:rPr>
      </w:pPr>
    </w:p>
    <w:p>
      <w:pPr>
        <w:sectPr>
          <w:pgSz w:w="11900" w:h="16838" w:orient="portrait"/>
          <w:cols w:equalWidth="0" w:num="2">
            <w:col w:w="3840" w:space="720"/>
            <w:col w:w="4499"/>
          </w:cols>
          <w:pgMar w:left="1400" w:top="265" w:right="1440" w:bottom="1440" w:gutter="0" w:footer="0" w:header="0"/>
          <w:type w:val="continuous"/>
        </w:sectPr>
      </w:pPr>
    </w:p>
    <w:p>
      <w:pPr>
        <w:ind w:left="420" w:right="319" w:hanging="178"/>
        <w:spacing w:after="0" w:line="191" w:lineRule="auto"/>
        <w:tabs>
          <w:tab w:leader="none" w:pos="420" w:val="left"/>
        </w:tabs>
        <w:numPr>
          <w:ilvl w:val="0"/>
          <w:numId w:val="3"/>
        </w:numPr>
        <w:rPr>
          <w:rFonts w:ascii="Arial" w:cs="Arial" w:eastAsia="Arial" w:hAnsi="Arial"/>
          <w:sz w:val="20"/>
          <w:szCs w:val="20"/>
          <w:color w:val="auto"/>
          <w:vertAlign w:val="superscript"/>
        </w:rPr>
      </w:pPr>
      <w:r>
        <w:rPr>
          <w:rFonts w:ascii="Arial" w:cs="Arial" w:eastAsia="Arial" w:hAnsi="Arial"/>
          <w:sz w:val="13"/>
          <w:szCs w:val="13"/>
          <w:color w:val="auto"/>
        </w:rPr>
        <w:t>Founder shares are currently classified as Class B ordinary shares, which shares will automatically convert into Class A ordinary shares at the time of our initial business combination as described below adjacent to the caption “Founder shares conversion and anti-dilution rights” and in our amended and restated memorandum and articles of association.</w:t>
      </w:r>
    </w:p>
    <w:p>
      <w:pPr>
        <w:spacing w:after="0" w:line="14" w:lineRule="exact"/>
        <w:rPr>
          <w:rFonts w:ascii="Arial" w:cs="Arial" w:eastAsia="Arial" w:hAnsi="Arial"/>
          <w:sz w:val="20"/>
          <w:szCs w:val="20"/>
          <w:color w:val="auto"/>
          <w:vertAlign w:val="superscript"/>
        </w:rPr>
      </w:pPr>
    </w:p>
    <w:p>
      <w:pPr>
        <w:ind w:left="420" w:hanging="178"/>
        <w:spacing w:after="0"/>
        <w:tabs>
          <w:tab w:leader="none" w:pos="420" w:val="left"/>
        </w:tabs>
        <w:numPr>
          <w:ilvl w:val="0"/>
          <w:numId w:val="3"/>
        </w:numPr>
        <w:rPr>
          <w:rFonts w:ascii="Arial" w:cs="Arial" w:eastAsia="Arial" w:hAnsi="Arial"/>
          <w:sz w:val="20"/>
          <w:szCs w:val="20"/>
          <w:color w:val="auto"/>
          <w:vertAlign w:val="superscript"/>
        </w:rPr>
      </w:pPr>
      <w:r>
        <w:rPr>
          <w:rFonts w:ascii="Arial" w:cs="Arial" w:eastAsia="Arial" w:hAnsi="Arial"/>
          <w:sz w:val="13"/>
          <w:szCs w:val="13"/>
          <w:color w:val="auto"/>
        </w:rPr>
        <w:t>Includes up to 468,750 founder shares that are subject to forfeiture.</w:t>
      </w:r>
    </w:p>
    <w:p>
      <w:pPr>
        <w:spacing w:after="0" w:line="56" w:lineRule="exact"/>
        <w:rPr>
          <w:rFonts w:ascii="Arial" w:cs="Arial" w:eastAsia="Arial" w:hAnsi="Arial"/>
          <w:sz w:val="20"/>
          <w:szCs w:val="20"/>
          <w:color w:val="auto"/>
          <w:vertAlign w:val="superscript"/>
        </w:rPr>
      </w:pPr>
    </w:p>
    <w:p>
      <w:pPr>
        <w:ind w:left="420" w:hanging="178"/>
        <w:spacing w:after="0" w:line="194" w:lineRule="auto"/>
        <w:tabs>
          <w:tab w:leader="none" w:pos="420" w:val="left"/>
        </w:tabs>
        <w:numPr>
          <w:ilvl w:val="0"/>
          <w:numId w:val="3"/>
        </w:numPr>
        <w:rPr>
          <w:rFonts w:ascii="Arial" w:cs="Arial" w:eastAsia="Arial" w:hAnsi="Arial"/>
          <w:sz w:val="20"/>
          <w:szCs w:val="20"/>
          <w:color w:val="auto"/>
          <w:vertAlign w:val="superscript"/>
        </w:rPr>
      </w:pPr>
      <w:r>
        <w:rPr>
          <w:rFonts w:ascii="Arial" w:cs="Arial" w:eastAsia="Arial" w:hAnsi="Arial"/>
          <w:sz w:val="13"/>
          <w:szCs w:val="13"/>
          <w:color w:val="auto"/>
        </w:rPr>
        <w:t>Assumes no exercise of the underwriters’ over allotment option.</w:t>
      </w:r>
    </w:p>
    <w:p>
      <w:pPr>
        <w:spacing w:after="0" w:line="91" w:lineRule="exact"/>
        <w:rPr>
          <w:rFonts w:ascii="Arial" w:cs="Arial" w:eastAsia="Arial" w:hAnsi="Arial"/>
          <w:sz w:val="20"/>
          <w:szCs w:val="20"/>
          <w:color w:val="auto"/>
          <w:vertAlign w:val="superscript"/>
        </w:rPr>
      </w:pPr>
    </w:p>
    <w:p>
      <w:pPr>
        <w:ind w:left="420" w:right="459" w:hanging="178"/>
        <w:spacing w:after="0" w:line="181" w:lineRule="auto"/>
        <w:tabs>
          <w:tab w:leader="none" w:pos="420" w:val="left"/>
        </w:tabs>
        <w:numPr>
          <w:ilvl w:val="0"/>
          <w:numId w:val="3"/>
        </w:numPr>
        <w:rPr>
          <w:rFonts w:ascii="Arial" w:cs="Arial" w:eastAsia="Arial" w:hAnsi="Arial"/>
          <w:sz w:val="20"/>
          <w:szCs w:val="20"/>
          <w:color w:val="auto"/>
          <w:vertAlign w:val="superscript"/>
        </w:rPr>
      </w:pPr>
      <w:r>
        <w:rPr>
          <w:rFonts w:ascii="Arial" w:cs="Arial" w:eastAsia="Arial" w:hAnsi="Arial"/>
          <w:sz w:val="13"/>
          <w:szCs w:val="13"/>
          <w:color w:val="auto"/>
        </w:rPr>
        <w:t>Includes 12,500,000 public shares, 450,000 private placement shares and 3,125,000 founder shares, assuming 468,750 founder shares have been forfeited.</w:t>
      </w:r>
    </w:p>
    <w:p>
      <w:pPr>
        <w:spacing w:after="0" w:line="91" w:lineRule="exact"/>
        <w:rPr>
          <w:rFonts w:ascii="Arial" w:cs="Arial" w:eastAsia="Arial" w:hAnsi="Arial"/>
          <w:sz w:val="20"/>
          <w:szCs w:val="20"/>
          <w:color w:val="auto"/>
          <w:vertAlign w:val="superscript"/>
        </w:rPr>
      </w:pPr>
    </w:p>
    <w:p>
      <w:pPr>
        <w:ind w:left="420" w:right="379" w:hanging="178"/>
        <w:spacing w:after="0" w:line="181" w:lineRule="auto"/>
        <w:tabs>
          <w:tab w:leader="none" w:pos="420" w:val="left"/>
        </w:tabs>
        <w:numPr>
          <w:ilvl w:val="0"/>
          <w:numId w:val="3"/>
        </w:numPr>
        <w:rPr>
          <w:rFonts w:ascii="Arial" w:cs="Arial" w:eastAsia="Arial" w:hAnsi="Arial"/>
          <w:sz w:val="20"/>
          <w:szCs w:val="20"/>
          <w:color w:val="auto"/>
          <w:vertAlign w:val="superscript"/>
        </w:rPr>
      </w:pPr>
      <w:r>
        <w:rPr>
          <w:rFonts w:ascii="Arial" w:cs="Arial" w:eastAsia="Arial" w:hAnsi="Arial"/>
          <w:sz w:val="13"/>
          <w:szCs w:val="13"/>
          <w:color w:val="auto"/>
        </w:rPr>
        <w:t>Unlike other SPAC IPOs, investors in this offering will not receive warrants that would become exercisable following completion of our initial business combination.</w:t>
      </w:r>
    </w:p>
    <w:p>
      <w:pPr>
        <w:spacing w:after="0" w:line="200" w:lineRule="exact"/>
        <w:rPr>
          <w:sz w:val="20"/>
          <w:szCs w:val="20"/>
          <w:color w:val="auto"/>
        </w:rPr>
      </w:pP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type w:val="continuous"/>
        </w:sectPr>
      </w:pPr>
    </w:p>
    <w:bookmarkStart w:id="13" w:name="page14"/>
    <w:bookmarkEnd w:id="1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5790565" cy="6579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90565" cy="657923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The founder shares are identical to the Class A ordinary</w:t>
      </w:r>
    </w:p>
    <w:p>
      <w:pPr>
        <w:ind w:left="4560"/>
        <w:spacing w:after="0"/>
        <w:rPr>
          <w:sz w:val="20"/>
          <w:szCs w:val="20"/>
          <w:color w:val="auto"/>
        </w:rPr>
      </w:pPr>
      <w:r>
        <w:rPr>
          <w:rFonts w:ascii="Arial" w:cs="Arial" w:eastAsia="Arial" w:hAnsi="Arial"/>
          <w:sz w:val="17"/>
          <w:szCs w:val="17"/>
          <w:color w:val="auto"/>
        </w:rPr>
        <w:t>shares being sold in this offering, except that:</w:t>
      </w:r>
    </w:p>
    <w:p>
      <w:pPr>
        <w:spacing w:after="0" w:line="95" w:lineRule="exact"/>
        <w:rPr>
          <w:sz w:val="20"/>
          <w:szCs w:val="20"/>
          <w:color w:val="auto"/>
        </w:rPr>
      </w:pPr>
    </w:p>
    <w:p>
      <w:pPr>
        <w:ind w:left="4560"/>
        <w:spacing w:after="0"/>
        <w:tabs>
          <w:tab w:leader="none" w:pos="49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only holders of the founder shares have the right to</w:t>
      </w:r>
    </w:p>
    <w:p>
      <w:pPr>
        <w:ind w:left="4920"/>
        <w:spacing w:after="0" w:line="232" w:lineRule="auto"/>
        <w:rPr>
          <w:sz w:val="20"/>
          <w:szCs w:val="20"/>
          <w:color w:val="auto"/>
        </w:rPr>
      </w:pPr>
      <w:r>
        <w:rPr>
          <w:rFonts w:ascii="Arial" w:cs="Arial" w:eastAsia="Arial" w:hAnsi="Arial"/>
          <w:sz w:val="17"/>
          <w:szCs w:val="17"/>
          <w:color w:val="auto"/>
        </w:rPr>
        <w:t>vote on the election of directors prior to the</w:t>
      </w:r>
    </w:p>
    <w:p>
      <w:pPr>
        <w:ind w:left="4920"/>
        <w:spacing w:after="0" w:line="232" w:lineRule="auto"/>
        <w:rPr>
          <w:sz w:val="20"/>
          <w:szCs w:val="20"/>
          <w:color w:val="auto"/>
        </w:rPr>
      </w:pPr>
      <w:r>
        <w:rPr>
          <w:rFonts w:ascii="Arial" w:cs="Arial" w:eastAsia="Arial" w:hAnsi="Arial"/>
          <w:sz w:val="17"/>
          <w:szCs w:val="17"/>
          <w:color w:val="auto"/>
        </w:rPr>
        <w:t>completion of our initial business combination and</w:t>
      </w:r>
    </w:p>
    <w:p>
      <w:pPr>
        <w:ind w:left="4920"/>
        <w:spacing w:after="0" w:line="232" w:lineRule="auto"/>
        <w:rPr>
          <w:sz w:val="20"/>
          <w:szCs w:val="20"/>
          <w:color w:val="auto"/>
        </w:rPr>
      </w:pPr>
      <w:r>
        <w:rPr>
          <w:rFonts w:ascii="Arial" w:cs="Arial" w:eastAsia="Arial" w:hAnsi="Arial"/>
          <w:sz w:val="17"/>
          <w:szCs w:val="17"/>
          <w:color w:val="auto"/>
        </w:rPr>
        <w:t>holders of a majority of our founder shares may</w:t>
      </w:r>
    </w:p>
    <w:p>
      <w:pPr>
        <w:ind w:left="4920"/>
        <w:spacing w:after="0" w:line="232" w:lineRule="auto"/>
        <w:rPr>
          <w:sz w:val="20"/>
          <w:szCs w:val="20"/>
          <w:color w:val="auto"/>
        </w:rPr>
      </w:pPr>
      <w:r>
        <w:rPr>
          <w:rFonts w:ascii="Arial" w:cs="Arial" w:eastAsia="Arial" w:hAnsi="Arial"/>
          <w:sz w:val="17"/>
          <w:szCs w:val="17"/>
          <w:color w:val="auto"/>
        </w:rPr>
        <w:t>remove a member of the board of directors for any</w:t>
      </w:r>
    </w:p>
    <w:p>
      <w:pPr>
        <w:ind w:left="4920"/>
        <w:spacing w:after="0"/>
        <w:rPr>
          <w:sz w:val="20"/>
          <w:szCs w:val="20"/>
          <w:color w:val="auto"/>
        </w:rPr>
      </w:pPr>
      <w:r>
        <w:rPr>
          <w:rFonts w:ascii="Arial" w:cs="Arial" w:eastAsia="Arial" w:hAnsi="Arial"/>
          <w:sz w:val="17"/>
          <w:szCs w:val="17"/>
          <w:color w:val="auto"/>
        </w:rPr>
        <w:t>reason;</w:t>
      </w:r>
    </w:p>
    <w:p>
      <w:pPr>
        <w:spacing w:after="0" w:line="95" w:lineRule="exact"/>
        <w:rPr>
          <w:sz w:val="20"/>
          <w:szCs w:val="20"/>
          <w:color w:val="auto"/>
        </w:rPr>
      </w:pPr>
    </w:p>
    <w:p>
      <w:pPr>
        <w:ind w:left="4560"/>
        <w:spacing w:after="0"/>
        <w:tabs>
          <w:tab w:leader="none" w:pos="49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the founder shares are subject to certain transfer</w:t>
      </w:r>
    </w:p>
    <w:p>
      <w:pPr>
        <w:ind w:left="4920"/>
        <w:spacing w:after="0"/>
        <w:rPr>
          <w:sz w:val="20"/>
          <w:szCs w:val="20"/>
          <w:color w:val="auto"/>
        </w:rPr>
      </w:pPr>
      <w:r>
        <w:rPr>
          <w:rFonts w:ascii="Arial" w:cs="Arial" w:eastAsia="Arial" w:hAnsi="Arial"/>
          <w:sz w:val="17"/>
          <w:szCs w:val="17"/>
          <w:color w:val="auto"/>
        </w:rPr>
        <w:t>restrictions, as described in more detail below;</w:t>
      </w:r>
    </w:p>
    <w:p>
      <w:pPr>
        <w:spacing w:after="0" w:line="95" w:lineRule="exact"/>
        <w:rPr>
          <w:sz w:val="20"/>
          <w:szCs w:val="20"/>
          <w:color w:val="auto"/>
        </w:rPr>
      </w:pPr>
    </w:p>
    <w:p>
      <w:pPr>
        <w:ind w:left="4560"/>
        <w:spacing w:after="0"/>
        <w:tabs>
          <w:tab w:leader="none" w:pos="49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our sponsor and our management team have</w:t>
      </w:r>
    </w:p>
    <w:p>
      <w:pPr>
        <w:ind w:left="4920"/>
        <w:spacing w:after="0" w:line="232" w:lineRule="auto"/>
        <w:rPr>
          <w:sz w:val="20"/>
          <w:szCs w:val="20"/>
          <w:color w:val="auto"/>
        </w:rPr>
      </w:pPr>
      <w:r>
        <w:rPr>
          <w:rFonts w:ascii="Arial" w:cs="Arial" w:eastAsia="Arial" w:hAnsi="Arial"/>
          <w:sz w:val="17"/>
          <w:szCs w:val="17"/>
          <w:color w:val="auto"/>
        </w:rPr>
        <w:t>entered into an agreement with us, pursuant to</w:t>
      </w:r>
    </w:p>
    <w:p>
      <w:pPr>
        <w:ind w:left="4920"/>
        <w:spacing w:after="0" w:line="232" w:lineRule="auto"/>
        <w:rPr>
          <w:sz w:val="20"/>
          <w:szCs w:val="20"/>
          <w:color w:val="auto"/>
        </w:rPr>
      </w:pPr>
      <w:r>
        <w:rPr>
          <w:rFonts w:ascii="Arial" w:cs="Arial" w:eastAsia="Arial" w:hAnsi="Arial"/>
          <w:sz w:val="17"/>
          <w:szCs w:val="17"/>
          <w:color w:val="auto"/>
        </w:rPr>
        <w:t>which they have agreed to (i) waive their redemption</w:t>
      </w:r>
    </w:p>
    <w:p>
      <w:pPr>
        <w:ind w:left="4920"/>
        <w:spacing w:after="0" w:line="232" w:lineRule="auto"/>
        <w:rPr>
          <w:sz w:val="20"/>
          <w:szCs w:val="20"/>
          <w:color w:val="auto"/>
        </w:rPr>
      </w:pPr>
      <w:r>
        <w:rPr>
          <w:rFonts w:ascii="Arial" w:cs="Arial" w:eastAsia="Arial" w:hAnsi="Arial"/>
          <w:sz w:val="17"/>
          <w:szCs w:val="17"/>
          <w:color w:val="auto"/>
        </w:rPr>
        <w:t>rights with respect to any founder shares, private</w:t>
      </w:r>
    </w:p>
    <w:p>
      <w:pPr>
        <w:ind w:left="4920"/>
        <w:spacing w:after="0" w:line="232" w:lineRule="auto"/>
        <w:rPr>
          <w:sz w:val="20"/>
          <w:szCs w:val="20"/>
          <w:color w:val="auto"/>
        </w:rPr>
      </w:pPr>
      <w:r>
        <w:rPr>
          <w:rFonts w:ascii="Arial" w:cs="Arial" w:eastAsia="Arial" w:hAnsi="Arial"/>
          <w:sz w:val="17"/>
          <w:szCs w:val="17"/>
          <w:color w:val="auto"/>
        </w:rPr>
        <w:t>placement shares and public shares they hold, (ii) to</w:t>
      </w:r>
    </w:p>
    <w:p>
      <w:pPr>
        <w:ind w:left="4920"/>
        <w:spacing w:after="0" w:line="232" w:lineRule="auto"/>
        <w:rPr>
          <w:sz w:val="20"/>
          <w:szCs w:val="20"/>
          <w:color w:val="auto"/>
        </w:rPr>
      </w:pPr>
      <w:r>
        <w:rPr>
          <w:rFonts w:ascii="Arial" w:cs="Arial" w:eastAsia="Arial" w:hAnsi="Arial"/>
          <w:sz w:val="17"/>
          <w:szCs w:val="17"/>
          <w:color w:val="auto"/>
        </w:rPr>
        <w:t>waive their redemption rights with respect to any</w:t>
      </w:r>
    </w:p>
    <w:p>
      <w:pPr>
        <w:ind w:left="4920"/>
        <w:spacing w:after="0" w:line="232" w:lineRule="auto"/>
        <w:rPr>
          <w:sz w:val="20"/>
          <w:szCs w:val="20"/>
          <w:color w:val="auto"/>
        </w:rPr>
      </w:pPr>
      <w:r>
        <w:rPr>
          <w:rFonts w:ascii="Arial" w:cs="Arial" w:eastAsia="Arial" w:hAnsi="Arial"/>
          <w:sz w:val="17"/>
          <w:szCs w:val="17"/>
          <w:color w:val="auto"/>
        </w:rPr>
        <w:t>founder shares, private placement shares and any</w:t>
      </w:r>
    </w:p>
    <w:p>
      <w:pPr>
        <w:ind w:left="4920"/>
        <w:spacing w:after="0" w:line="232" w:lineRule="auto"/>
        <w:rPr>
          <w:sz w:val="20"/>
          <w:szCs w:val="20"/>
          <w:color w:val="auto"/>
        </w:rPr>
      </w:pPr>
      <w:r>
        <w:rPr>
          <w:rFonts w:ascii="Arial" w:cs="Arial" w:eastAsia="Arial" w:hAnsi="Arial"/>
          <w:sz w:val="17"/>
          <w:szCs w:val="17"/>
          <w:color w:val="auto"/>
        </w:rPr>
        <w:t>public shares purchased during or after this offering</w:t>
      </w:r>
    </w:p>
    <w:p>
      <w:pPr>
        <w:ind w:left="4920"/>
        <w:spacing w:after="0" w:line="232" w:lineRule="auto"/>
        <w:rPr>
          <w:sz w:val="20"/>
          <w:szCs w:val="20"/>
          <w:color w:val="auto"/>
        </w:rPr>
      </w:pPr>
      <w:r>
        <w:rPr>
          <w:rFonts w:ascii="Arial" w:cs="Arial" w:eastAsia="Arial" w:hAnsi="Arial"/>
          <w:sz w:val="17"/>
          <w:szCs w:val="17"/>
          <w:color w:val="auto"/>
        </w:rPr>
        <w:t>in connection with a shareholder vote to approve an</w:t>
      </w:r>
    </w:p>
    <w:p>
      <w:pPr>
        <w:ind w:left="4920"/>
        <w:spacing w:after="0" w:line="232" w:lineRule="auto"/>
        <w:rPr>
          <w:sz w:val="20"/>
          <w:szCs w:val="20"/>
          <w:color w:val="auto"/>
        </w:rPr>
      </w:pPr>
      <w:r>
        <w:rPr>
          <w:rFonts w:ascii="Arial" w:cs="Arial" w:eastAsia="Arial" w:hAnsi="Arial"/>
          <w:sz w:val="17"/>
          <w:szCs w:val="17"/>
          <w:color w:val="auto"/>
        </w:rPr>
        <w:t>amendment to our amended and restated</w:t>
      </w:r>
    </w:p>
    <w:p>
      <w:pPr>
        <w:ind w:left="4920"/>
        <w:spacing w:after="0" w:line="232" w:lineRule="auto"/>
        <w:rPr>
          <w:sz w:val="20"/>
          <w:szCs w:val="20"/>
          <w:color w:val="auto"/>
        </w:rPr>
      </w:pPr>
      <w:r>
        <w:rPr>
          <w:rFonts w:ascii="Arial" w:cs="Arial" w:eastAsia="Arial" w:hAnsi="Arial"/>
          <w:sz w:val="17"/>
          <w:szCs w:val="17"/>
          <w:color w:val="auto"/>
        </w:rPr>
        <w:t>memorandum and articles of association (A) that</w:t>
      </w:r>
    </w:p>
    <w:p>
      <w:pPr>
        <w:ind w:left="4920"/>
        <w:spacing w:after="0" w:line="232" w:lineRule="auto"/>
        <w:rPr>
          <w:sz w:val="20"/>
          <w:szCs w:val="20"/>
          <w:color w:val="auto"/>
        </w:rPr>
      </w:pPr>
      <w:r>
        <w:rPr>
          <w:rFonts w:ascii="Arial" w:cs="Arial" w:eastAsia="Arial" w:hAnsi="Arial"/>
          <w:sz w:val="17"/>
          <w:szCs w:val="17"/>
          <w:color w:val="auto"/>
        </w:rPr>
        <w:t>would modify the substance or timing of our</w:t>
      </w:r>
    </w:p>
    <w:p>
      <w:pPr>
        <w:ind w:left="4920"/>
        <w:spacing w:after="0" w:line="232" w:lineRule="auto"/>
        <w:rPr>
          <w:sz w:val="20"/>
          <w:szCs w:val="20"/>
          <w:color w:val="auto"/>
        </w:rPr>
      </w:pPr>
      <w:r>
        <w:rPr>
          <w:rFonts w:ascii="Arial" w:cs="Arial" w:eastAsia="Arial" w:hAnsi="Arial"/>
          <w:sz w:val="17"/>
          <w:szCs w:val="17"/>
          <w:color w:val="auto"/>
        </w:rPr>
        <w:t>obligation to provide holders of our Class A ordinary</w:t>
      </w:r>
    </w:p>
    <w:p>
      <w:pPr>
        <w:ind w:left="4920"/>
        <w:spacing w:after="0" w:line="232" w:lineRule="auto"/>
        <w:rPr>
          <w:sz w:val="20"/>
          <w:szCs w:val="20"/>
          <w:color w:val="auto"/>
        </w:rPr>
      </w:pPr>
      <w:r>
        <w:rPr>
          <w:rFonts w:ascii="Arial" w:cs="Arial" w:eastAsia="Arial" w:hAnsi="Arial"/>
          <w:sz w:val="17"/>
          <w:szCs w:val="17"/>
          <w:color w:val="auto"/>
        </w:rPr>
        <w:t>shares the right to have their shares redeemed in</w:t>
      </w:r>
    </w:p>
    <w:p>
      <w:pPr>
        <w:ind w:left="4920"/>
        <w:spacing w:after="0" w:line="232" w:lineRule="auto"/>
        <w:rPr>
          <w:sz w:val="20"/>
          <w:szCs w:val="20"/>
          <w:color w:val="auto"/>
        </w:rPr>
      </w:pPr>
      <w:r>
        <w:rPr>
          <w:rFonts w:ascii="Arial" w:cs="Arial" w:eastAsia="Arial" w:hAnsi="Arial"/>
          <w:sz w:val="17"/>
          <w:szCs w:val="17"/>
          <w:color w:val="auto"/>
        </w:rPr>
        <w:t>connection with our initial business combination or</w:t>
      </w:r>
    </w:p>
    <w:p>
      <w:pPr>
        <w:ind w:left="4920"/>
        <w:spacing w:after="0" w:line="232" w:lineRule="auto"/>
        <w:rPr>
          <w:sz w:val="20"/>
          <w:szCs w:val="20"/>
          <w:color w:val="auto"/>
        </w:rPr>
      </w:pPr>
      <w:r>
        <w:rPr>
          <w:rFonts w:ascii="Arial" w:cs="Arial" w:eastAsia="Arial" w:hAnsi="Arial"/>
          <w:sz w:val="17"/>
          <w:szCs w:val="17"/>
          <w:color w:val="auto"/>
        </w:rPr>
        <w:t>to redeem 100% of our public shares if we do not</w:t>
      </w:r>
    </w:p>
    <w:p>
      <w:pPr>
        <w:ind w:left="4920"/>
        <w:spacing w:after="0" w:line="232" w:lineRule="auto"/>
        <w:rPr>
          <w:sz w:val="20"/>
          <w:szCs w:val="20"/>
          <w:color w:val="auto"/>
        </w:rPr>
      </w:pPr>
      <w:r>
        <w:rPr>
          <w:rFonts w:ascii="Arial" w:cs="Arial" w:eastAsia="Arial" w:hAnsi="Arial"/>
          <w:sz w:val="17"/>
          <w:szCs w:val="17"/>
          <w:color w:val="auto"/>
        </w:rPr>
        <w:t>complete our initial business combination within 24</w:t>
      </w:r>
    </w:p>
    <w:p>
      <w:pPr>
        <w:ind w:left="4920"/>
        <w:spacing w:after="0" w:line="232" w:lineRule="auto"/>
        <w:rPr>
          <w:sz w:val="20"/>
          <w:szCs w:val="20"/>
          <w:color w:val="auto"/>
        </w:rPr>
      </w:pPr>
      <w:r>
        <w:rPr>
          <w:rFonts w:ascii="Arial" w:cs="Arial" w:eastAsia="Arial" w:hAnsi="Arial"/>
          <w:sz w:val="17"/>
          <w:szCs w:val="17"/>
          <w:color w:val="auto"/>
        </w:rPr>
        <w:t>months from the closing of this offering or (B) with</w:t>
      </w:r>
    </w:p>
    <w:p>
      <w:pPr>
        <w:ind w:left="4920"/>
        <w:spacing w:after="0" w:line="232" w:lineRule="auto"/>
        <w:rPr>
          <w:sz w:val="20"/>
          <w:szCs w:val="20"/>
          <w:color w:val="auto"/>
        </w:rPr>
      </w:pPr>
      <w:r>
        <w:rPr>
          <w:rFonts w:ascii="Arial" w:cs="Arial" w:eastAsia="Arial" w:hAnsi="Arial"/>
          <w:sz w:val="17"/>
          <w:szCs w:val="17"/>
          <w:color w:val="auto"/>
        </w:rPr>
        <w:t>respect to any other provision relating to the rights</w:t>
      </w:r>
    </w:p>
    <w:p>
      <w:pPr>
        <w:ind w:left="4920"/>
        <w:spacing w:after="0" w:line="232" w:lineRule="auto"/>
        <w:rPr>
          <w:sz w:val="20"/>
          <w:szCs w:val="20"/>
          <w:color w:val="auto"/>
        </w:rPr>
      </w:pPr>
      <w:r>
        <w:rPr>
          <w:rFonts w:ascii="Arial" w:cs="Arial" w:eastAsia="Arial" w:hAnsi="Arial"/>
          <w:sz w:val="17"/>
          <w:szCs w:val="17"/>
          <w:color w:val="auto"/>
        </w:rPr>
        <w:t>of holders of our Class A ordinary shares and</w:t>
      </w:r>
    </w:p>
    <w:p>
      <w:pPr>
        <w:ind w:left="4920"/>
        <w:spacing w:after="0" w:line="233" w:lineRule="auto"/>
        <w:rPr>
          <w:sz w:val="20"/>
          <w:szCs w:val="20"/>
          <w:color w:val="auto"/>
        </w:rPr>
      </w:pPr>
      <w:r>
        <w:rPr>
          <w:rFonts w:ascii="Arial" w:cs="Arial" w:eastAsia="Arial" w:hAnsi="Arial"/>
          <w:sz w:val="17"/>
          <w:szCs w:val="17"/>
          <w:color w:val="auto"/>
        </w:rPr>
        <w:t>(iii) waive their rights to liquidating distributions from</w:t>
      </w:r>
    </w:p>
    <w:p>
      <w:pPr>
        <w:ind w:left="4920"/>
        <w:spacing w:after="0" w:line="232" w:lineRule="auto"/>
        <w:rPr>
          <w:sz w:val="20"/>
          <w:szCs w:val="20"/>
          <w:color w:val="auto"/>
        </w:rPr>
      </w:pPr>
      <w:r>
        <w:rPr>
          <w:rFonts w:ascii="Arial" w:cs="Arial" w:eastAsia="Arial" w:hAnsi="Arial"/>
          <w:sz w:val="17"/>
          <w:szCs w:val="17"/>
          <w:color w:val="auto"/>
        </w:rPr>
        <w:t>the trust account with respect to any founder shares</w:t>
      </w:r>
    </w:p>
    <w:p>
      <w:pPr>
        <w:ind w:left="4920"/>
        <w:spacing w:after="0" w:line="232" w:lineRule="auto"/>
        <w:rPr>
          <w:sz w:val="20"/>
          <w:szCs w:val="20"/>
          <w:color w:val="auto"/>
        </w:rPr>
      </w:pPr>
      <w:r>
        <w:rPr>
          <w:rFonts w:ascii="Arial" w:cs="Arial" w:eastAsia="Arial" w:hAnsi="Arial"/>
          <w:sz w:val="17"/>
          <w:szCs w:val="17"/>
          <w:color w:val="auto"/>
        </w:rPr>
        <w:t>or private placement shares they hold if we fail to</w:t>
      </w:r>
    </w:p>
    <w:p>
      <w:pPr>
        <w:ind w:left="4920"/>
        <w:spacing w:after="0" w:line="232" w:lineRule="auto"/>
        <w:rPr>
          <w:sz w:val="20"/>
          <w:szCs w:val="20"/>
          <w:color w:val="auto"/>
        </w:rPr>
      </w:pPr>
      <w:r>
        <w:rPr>
          <w:rFonts w:ascii="Arial" w:cs="Arial" w:eastAsia="Arial" w:hAnsi="Arial"/>
          <w:sz w:val="17"/>
          <w:szCs w:val="17"/>
          <w:color w:val="auto"/>
        </w:rPr>
        <w:t>consummate an initial business combination within</w:t>
      </w:r>
    </w:p>
    <w:p>
      <w:pPr>
        <w:ind w:left="4920"/>
        <w:spacing w:after="0" w:line="232" w:lineRule="auto"/>
        <w:rPr>
          <w:sz w:val="20"/>
          <w:szCs w:val="20"/>
          <w:color w:val="auto"/>
        </w:rPr>
      </w:pPr>
      <w:r>
        <w:rPr>
          <w:rFonts w:ascii="Arial" w:cs="Arial" w:eastAsia="Arial" w:hAnsi="Arial"/>
          <w:sz w:val="17"/>
          <w:szCs w:val="17"/>
          <w:color w:val="auto"/>
        </w:rPr>
        <w:t>24 months from the closing of this offering (although</w:t>
      </w:r>
    </w:p>
    <w:p>
      <w:pPr>
        <w:ind w:left="4920"/>
        <w:spacing w:after="0" w:line="232" w:lineRule="auto"/>
        <w:rPr>
          <w:sz w:val="20"/>
          <w:szCs w:val="20"/>
          <w:color w:val="auto"/>
        </w:rPr>
      </w:pPr>
      <w:r>
        <w:rPr>
          <w:rFonts w:ascii="Arial" w:cs="Arial" w:eastAsia="Arial" w:hAnsi="Arial"/>
          <w:sz w:val="17"/>
          <w:szCs w:val="17"/>
          <w:color w:val="auto"/>
        </w:rPr>
        <w:t>they will be entitled to liquidating distributions from</w:t>
      </w:r>
    </w:p>
    <w:p>
      <w:pPr>
        <w:ind w:left="4920"/>
        <w:spacing w:after="0" w:line="232" w:lineRule="auto"/>
        <w:rPr>
          <w:sz w:val="20"/>
          <w:szCs w:val="20"/>
          <w:color w:val="auto"/>
        </w:rPr>
      </w:pPr>
      <w:r>
        <w:rPr>
          <w:rFonts w:ascii="Arial" w:cs="Arial" w:eastAsia="Arial" w:hAnsi="Arial"/>
          <w:sz w:val="17"/>
          <w:szCs w:val="17"/>
          <w:color w:val="auto"/>
        </w:rPr>
        <w:t>the trust account with respect to any public shares</w:t>
      </w:r>
    </w:p>
    <w:p>
      <w:pPr>
        <w:ind w:left="4920"/>
        <w:spacing w:after="0" w:line="232" w:lineRule="auto"/>
        <w:rPr>
          <w:sz w:val="20"/>
          <w:szCs w:val="20"/>
          <w:color w:val="auto"/>
        </w:rPr>
      </w:pPr>
      <w:r>
        <w:rPr>
          <w:rFonts w:ascii="Arial" w:cs="Arial" w:eastAsia="Arial" w:hAnsi="Arial"/>
          <w:sz w:val="17"/>
          <w:szCs w:val="17"/>
          <w:color w:val="auto"/>
        </w:rPr>
        <w:t>they hold if we fail to complete our initial business</w:t>
      </w:r>
    </w:p>
    <w:p>
      <w:pPr>
        <w:ind w:left="4920"/>
        <w:spacing w:after="0" w:line="232" w:lineRule="auto"/>
        <w:rPr>
          <w:sz w:val="20"/>
          <w:szCs w:val="20"/>
          <w:color w:val="auto"/>
        </w:rPr>
      </w:pPr>
      <w:r>
        <w:rPr>
          <w:rFonts w:ascii="Arial" w:cs="Arial" w:eastAsia="Arial" w:hAnsi="Arial"/>
          <w:sz w:val="17"/>
          <w:szCs w:val="17"/>
          <w:color w:val="auto"/>
        </w:rPr>
        <w:t>combination within 24 months from the closing of</w:t>
      </w:r>
    </w:p>
    <w:p>
      <w:pPr>
        <w:ind w:left="4920"/>
        <w:spacing w:after="0" w:line="232" w:lineRule="auto"/>
        <w:rPr>
          <w:sz w:val="20"/>
          <w:szCs w:val="20"/>
          <w:color w:val="auto"/>
        </w:rPr>
      </w:pPr>
      <w:r>
        <w:rPr>
          <w:rFonts w:ascii="Arial" w:cs="Arial" w:eastAsia="Arial" w:hAnsi="Arial"/>
          <w:sz w:val="17"/>
          <w:szCs w:val="17"/>
          <w:color w:val="auto"/>
        </w:rPr>
        <w:t>this offering). If we seek shareholder approval, we</w:t>
      </w:r>
    </w:p>
    <w:p>
      <w:pPr>
        <w:ind w:left="4920"/>
        <w:spacing w:after="0" w:line="232" w:lineRule="auto"/>
        <w:rPr>
          <w:sz w:val="20"/>
          <w:szCs w:val="20"/>
          <w:color w:val="auto"/>
        </w:rPr>
      </w:pPr>
      <w:r>
        <w:rPr>
          <w:rFonts w:ascii="Arial" w:cs="Arial" w:eastAsia="Arial" w:hAnsi="Arial"/>
          <w:sz w:val="17"/>
          <w:szCs w:val="17"/>
          <w:color w:val="auto"/>
        </w:rPr>
        <w:t>will complete our initial business combination only if</w:t>
      </w:r>
    </w:p>
    <w:p>
      <w:pPr>
        <w:ind w:left="4920"/>
        <w:spacing w:after="0" w:line="232" w:lineRule="auto"/>
        <w:rPr>
          <w:sz w:val="20"/>
          <w:szCs w:val="20"/>
          <w:color w:val="auto"/>
        </w:rPr>
      </w:pPr>
      <w:r>
        <w:rPr>
          <w:rFonts w:ascii="Arial" w:cs="Arial" w:eastAsia="Arial" w:hAnsi="Arial"/>
          <w:sz w:val="17"/>
          <w:szCs w:val="17"/>
          <w:color w:val="auto"/>
        </w:rPr>
        <w:t>a majority of the ordinary shares, represented in</w:t>
      </w:r>
    </w:p>
    <w:p>
      <w:pPr>
        <w:ind w:left="4920"/>
        <w:spacing w:after="0" w:line="232" w:lineRule="auto"/>
        <w:rPr>
          <w:sz w:val="20"/>
          <w:szCs w:val="20"/>
          <w:color w:val="auto"/>
        </w:rPr>
      </w:pPr>
      <w:r>
        <w:rPr>
          <w:rFonts w:ascii="Arial" w:cs="Arial" w:eastAsia="Arial" w:hAnsi="Arial"/>
          <w:sz w:val="17"/>
          <w:szCs w:val="17"/>
          <w:color w:val="auto"/>
        </w:rPr>
        <w:t>person or by proxy and entitled to vote thereon,</w:t>
      </w:r>
    </w:p>
    <w:p>
      <w:pPr>
        <w:ind w:left="4920"/>
        <w:spacing w:after="0" w:line="232" w:lineRule="auto"/>
        <w:rPr>
          <w:sz w:val="20"/>
          <w:szCs w:val="20"/>
          <w:color w:val="auto"/>
        </w:rPr>
      </w:pPr>
      <w:r>
        <w:rPr>
          <w:rFonts w:ascii="Arial" w:cs="Arial" w:eastAsia="Arial" w:hAnsi="Arial"/>
          <w:sz w:val="17"/>
          <w:szCs w:val="17"/>
          <w:color w:val="auto"/>
        </w:rPr>
        <w:t>voted at a shareholder meeting are voted in favor of</w:t>
      </w:r>
    </w:p>
    <w:p>
      <w:pPr>
        <w:ind w:left="4920"/>
        <w:spacing w:after="0" w:line="232" w:lineRule="auto"/>
        <w:rPr>
          <w:sz w:val="20"/>
          <w:szCs w:val="20"/>
          <w:color w:val="auto"/>
        </w:rPr>
      </w:pPr>
      <w:r>
        <w:rPr>
          <w:rFonts w:ascii="Arial" w:cs="Arial" w:eastAsia="Arial" w:hAnsi="Arial"/>
          <w:sz w:val="17"/>
          <w:szCs w:val="17"/>
          <w:color w:val="auto"/>
        </w:rPr>
        <w:t>the business combination. In such case, our</w:t>
      </w:r>
    </w:p>
    <w:p>
      <w:pPr>
        <w:ind w:left="4920"/>
        <w:spacing w:after="0" w:line="232" w:lineRule="auto"/>
        <w:rPr>
          <w:sz w:val="20"/>
          <w:szCs w:val="20"/>
          <w:color w:val="auto"/>
        </w:rPr>
      </w:pPr>
      <w:r>
        <w:rPr>
          <w:rFonts w:ascii="Arial" w:cs="Arial" w:eastAsia="Arial" w:hAnsi="Arial"/>
          <w:sz w:val="17"/>
          <w:szCs w:val="17"/>
          <w:color w:val="auto"/>
        </w:rPr>
        <w:t>sponsor and each member of our management</w:t>
      </w:r>
    </w:p>
    <w:p>
      <w:pPr>
        <w:ind w:left="4920"/>
        <w:spacing w:after="0" w:line="232" w:lineRule="auto"/>
        <w:rPr>
          <w:sz w:val="20"/>
          <w:szCs w:val="20"/>
          <w:color w:val="auto"/>
        </w:rPr>
      </w:pPr>
      <w:r>
        <w:rPr>
          <w:rFonts w:ascii="Arial" w:cs="Arial" w:eastAsia="Arial" w:hAnsi="Arial"/>
          <w:sz w:val="17"/>
          <w:szCs w:val="17"/>
          <w:color w:val="auto"/>
        </w:rPr>
        <w:t>team have agreed to vote their founder shares,</w:t>
      </w:r>
    </w:p>
    <w:p>
      <w:pPr>
        <w:ind w:left="4920"/>
        <w:spacing w:after="0" w:line="232" w:lineRule="auto"/>
        <w:rPr>
          <w:sz w:val="20"/>
          <w:szCs w:val="20"/>
          <w:color w:val="auto"/>
        </w:rPr>
      </w:pPr>
      <w:r>
        <w:rPr>
          <w:rFonts w:ascii="Arial" w:cs="Arial" w:eastAsia="Arial" w:hAnsi="Arial"/>
          <w:sz w:val="17"/>
          <w:szCs w:val="17"/>
          <w:color w:val="auto"/>
        </w:rPr>
        <w:t>private placement shares and any public shares</w:t>
      </w:r>
    </w:p>
    <w:p>
      <w:pPr>
        <w:ind w:left="4920"/>
        <w:spacing w:after="0" w:line="232" w:lineRule="auto"/>
        <w:rPr>
          <w:sz w:val="20"/>
          <w:szCs w:val="20"/>
          <w:color w:val="auto"/>
        </w:rPr>
      </w:pPr>
      <w:r>
        <w:rPr>
          <w:rFonts w:ascii="Arial" w:cs="Arial" w:eastAsia="Arial" w:hAnsi="Arial"/>
          <w:sz w:val="17"/>
          <w:szCs w:val="17"/>
          <w:color w:val="auto"/>
        </w:rPr>
        <w:t>purchased during or after this offering in favor of our</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initial business combination. As a result,</w:t>
      </w:r>
    </w:p>
    <w:p>
      <w:pPr>
        <w:spacing w:after="0" w:line="200" w:lineRule="exact"/>
        <w:rPr>
          <w:sz w:val="20"/>
          <w:szCs w:val="20"/>
          <w:color w:val="auto"/>
        </w:rPr>
      </w:pPr>
    </w:p>
    <w:p>
      <w:pPr>
        <w:spacing w:after="0" w:line="24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5790565" cy="6767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90565" cy="6767830"/>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0" w:right="80" w:hanging="179"/>
        <w:spacing w:after="0" w:line="267" w:lineRule="auto"/>
        <w:rPr>
          <w:sz w:val="20"/>
          <w:szCs w:val="20"/>
          <w:color w:val="auto"/>
        </w:rPr>
      </w:pPr>
      <w:r>
        <w:rPr>
          <w:rFonts w:ascii="Arial" w:cs="Arial" w:eastAsia="Arial" w:hAnsi="Arial"/>
          <w:sz w:val="17"/>
          <w:szCs w:val="17"/>
          <w:b w:val="1"/>
          <w:bCs w:val="1"/>
          <w:color w:val="auto"/>
        </w:rPr>
        <w:t>Transfer restrictions on founder shares and private placement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40"/>
        <w:spacing w:after="0" w:line="267" w:lineRule="auto"/>
        <w:rPr>
          <w:sz w:val="20"/>
          <w:szCs w:val="20"/>
          <w:color w:val="auto"/>
        </w:rPr>
      </w:pPr>
      <w:r>
        <w:rPr>
          <w:rFonts w:ascii="Arial" w:cs="Arial" w:eastAsia="Arial" w:hAnsi="Arial"/>
          <w:sz w:val="17"/>
          <w:szCs w:val="17"/>
          <w:b w:val="1"/>
          <w:bCs w:val="1"/>
          <w:color w:val="auto"/>
        </w:rPr>
        <w:t>Founder shares conversion and anti-dilution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ind w:left="360" w:right="279"/>
        <w:spacing w:after="0" w:line="233" w:lineRule="auto"/>
        <w:rPr>
          <w:sz w:val="20"/>
          <w:szCs w:val="20"/>
          <w:color w:val="auto"/>
        </w:rPr>
      </w:pPr>
      <w:r>
        <w:rPr>
          <w:rFonts w:ascii="Arial" w:cs="Arial" w:eastAsia="Arial" w:hAnsi="Arial"/>
          <w:sz w:val="17"/>
          <w:szCs w:val="17"/>
          <w:color w:val="auto"/>
        </w:rPr>
        <w:t>in addition to our initial shareholders’ founder shares and private placement shares, we would need 4,462,501, or 35.70%, of the 12,500,000 public shares sold in this offering to be voted in favor of an initial business combination in order to have our initial business combination approved (assuming all issued and outstanding shares are voted, the private placement shares to be issued to our sponsor are voted in favor of the transaction and the over-allotment option is not exercised);</w:t>
      </w:r>
    </w:p>
    <w:p>
      <w:pPr>
        <w:spacing w:after="0" w:line="100" w:lineRule="exact"/>
        <w:rPr>
          <w:sz w:val="20"/>
          <w:szCs w:val="20"/>
          <w:color w:val="auto"/>
        </w:rPr>
      </w:pPr>
    </w:p>
    <w:p>
      <w:pPr>
        <w:ind w:left="360" w:right="239" w:hanging="358"/>
        <w:spacing w:after="0" w:line="235" w:lineRule="auto"/>
        <w:tabs>
          <w:tab w:leader="none" w:pos="3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founder shares will automatically convert into our Class A ordinary shares at the time of our initial business combination as described below adjacent to the caption “Founder shares conversion and anti-dilution rights” and in our amended and restated memorandum and articles of association; and</w:t>
      </w:r>
    </w:p>
    <w:p>
      <w:pPr>
        <w:spacing w:after="0" w:line="93" w:lineRule="exact"/>
        <w:rPr>
          <w:rFonts w:ascii="Arial" w:cs="Arial" w:eastAsia="Arial" w:hAnsi="Arial"/>
          <w:sz w:val="17"/>
          <w:szCs w:val="17"/>
          <w:color w:val="auto"/>
        </w:rPr>
      </w:pPr>
    </w:p>
    <w:p>
      <w:pPr>
        <w:ind w:left="360" w:hanging="358"/>
        <w:spacing w:after="0"/>
        <w:tabs>
          <w:tab w:leader="none" w:pos="3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founder shares are entitled to registration rights.</w:t>
      </w:r>
    </w:p>
    <w:p>
      <w:pPr>
        <w:spacing w:after="0" w:line="264" w:lineRule="exact"/>
        <w:rPr>
          <w:sz w:val="20"/>
          <w:szCs w:val="20"/>
          <w:color w:val="auto"/>
        </w:rPr>
      </w:pPr>
    </w:p>
    <w:p>
      <w:pPr>
        <w:ind w:right="199"/>
        <w:spacing w:after="0" w:line="232" w:lineRule="auto"/>
        <w:rPr>
          <w:sz w:val="20"/>
          <w:szCs w:val="20"/>
          <w:color w:val="auto"/>
        </w:rPr>
      </w:pPr>
      <w:r>
        <w:rPr>
          <w:rFonts w:ascii="Arial" w:cs="Arial" w:eastAsia="Arial" w:hAnsi="Arial"/>
          <w:sz w:val="17"/>
          <w:szCs w:val="17"/>
          <w:color w:val="auto"/>
        </w:rPr>
        <w:t>Except as described herein, our sponsor and our management team have agreed not to transfer, assign or sell (i) any of their founder shares until the earliest of</w:t>
      </w:r>
    </w:p>
    <w:p>
      <w:pPr>
        <w:ind w:right="219" w:firstLine="2"/>
        <w:spacing w:after="0" w:line="233" w:lineRule="auto"/>
        <w:tabs>
          <w:tab w:leader="none" w:pos="275" w:val="left"/>
        </w:tabs>
        <w:numPr>
          <w:ilvl w:val="0"/>
          <w:numId w:val="5"/>
        </w:numPr>
        <w:rPr>
          <w:rFonts w:ascii="Arial" w:cs="Arial" w:eastAsia="Arial" w:hAnsi="Arial"/>
          <w:sz w:val="17"/>
          <w:szCs w:val="17"/>
          <w:color w:val="auto"/>
        </w:rPr>
      </w:pPr>
      <w:r>
        <w:rPr>
          <w:rFonts w:ascii="Arial" w:cs="Arial" w:eastAsia="Arial" w:hAnsi="Arial"/>
          <w:sz w:val="17"/>
          <w:szCs w:val="17"/>
          <w:color w:val="auto"/>
        </w:rPr>
        <w:t>one year after the completion of our initial business combination and (B) subsequent to our initial business combination, (x) if the closing price of our Class A ordinary shares equals or exceeds $12.00 per share (as adjusted for share splits, share capitalizations, reorganizations, recapitalizations and the like) for any 20 trading days within any 30-trading day period commencing at least 150 days after our initial business combination, or (y) the date on which we complete a liquidation, merger, share exchange, reorganization or other similar transaction that results in all of our public shareholders having the right to exchange their ordinary shares for cash, securities or other property, and (ii) any of their private placement shares until 30 days after the completion of our initial business combination. Any permitted transferees would be subject to the same restrictions and other agreements of our sponsor and management team with respect to any founder shares and private placement shares.</w:t>
      </w:r>
    </w:p>
    <w:p>
      <w:pPr>
        <w:spacing w:after="0" w:line="296" w:lineRule="exact"/>
        <w:rPr>
          <w:sz w:val="20"/>
          <w:szCs w:val="20"/>
          <w:color w:val="auto"/>
        </w:rPr>
      </w:pPr>
    </w:p>
    <w:p>
      <w:pPr>
        <w:ind w:right="239"/>
        <w:spacing w:after="0" w:line="233" w:lineRule="auto"/>
        <w:rPr>
          <w:sz w:val="20"/>
          <w:szCs w:val="20"/>
          <w:color w:val="auto"/>
        </w:rPr>
      </w:pPr>
      <w:r>
        <w:rPr>
          <w:rFonts w:ascii="Arial" w:cs="Arial" w:eastAsia="Arial" w:hAnsi="Arial"/>
          <w:sz w:val="17"/>
          <w:szCs w:val="17"/>
          <w:color w:val="auto"/>
        </w:rPr>
        <w:t>The founder shares are designated as Class B ordinary shares and will automatically convert into Class A ordinary shares on the first business day following the consummation of our initial business combination at a ratio such that the number of Class A ordinary shares issuable upon conversion of all founder shares will equal, in the aggregate, on an as-converted basis, 20% of the sum of (i) the total number of ordinary shares issued and outstanding (excluding the private placement shares)</w:t>
      </w:r>
    </w:p>
    <w:p>
      <w:pPr>
        <w:spacing w:after="0" w:line="200" w:lineRule="exact"/>
        <w:rPr>
          <w:sz w:val="20"/>
          <w:szCs w:val="20"/>
          <w:color w:val="auto"/>
        </w:rPr>
      </w:pPr>
    </w:p>
    <w:p>
      <w:pPr>
        <w:sectPr>
          <w:pgSz w:w="11900" w:h="16838" w:orient="portrait"/>
          <w:cols w:equalWidth="0" w:num="2">
            <w:col w:w="3860" w:space="700"/>
            <w:col w:w="4499"/>
          </w:cols>
          <w:pgMar w:left="1400" w:top="265" w:right="1440" w:bottom="1440" w:gutter="0" w:footer="0" w:header="0"/>
          <w:type w:val="continuous"/>
        </w:sectPr>
      </w:pPr>
    </w:p>
    <w:p>
      <w:pPr>
        <w:spacing w:after="0" w:line="25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type w:val="continuous"/>
        </w:sectPr>
      </w:pPr>
    </w:p>
    <w:bookmarkStart w:id="15" w:name="page16"/>
    <w:bookmarkEnd w:id="15"/>
    <w:p>
      <w:pPr>
        <w:ind w:left="96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537"/>
        </w:trPr>
        <w:tc>
          <w:tcPr>
            <w:tcW w:w="980" w:type="dxa"/>
            <w:vAlign w:val="bottom"/>
            <w:tcBorders>
              <w:right w:val="single" w:sz="8" w:color="auto"/>
            </w:tcBorders>
          </w:tcPr>
          <w:p>
            <w:pPr>
              <w:spacing w:after="0"/>
              <w:rPr>
                <w:sz w:val="24"/>
                <w:szCs w:val="24"/>
                <w:color w:val="auto"/>
              </w:rPr>
            </w:pPr>
          </w:p>
        </w:tc>
        <w:tc>
          <w:tcPr>
            <w:tcW w:w="3720" w:type="dxa"/>
            <w:vAlign w:val="bottom"/>
            <w:tcBorders>
              <w:top w:val="single" w:sz="8" w:color="auto"/>
            </w:tcBorders>
          </w:tcPr>
          <w:p>
            <w:pPr>
              <w:spacing w:after="0"/>
              <w:rPr>
                <w:sz w:val="24"/>
                <w:szCs w:val="24"/>
                <w:color w:val="auto"/>
              </w:rPr>
            </w:pPr>
          </w:p>
        </w:tc>
        <w:tc>
          <w:tcPr>
            <w:tcW w:w="5380" w:type="dxa"/>
            <w:vAlign w:val="bottom"/>
            <w:tcBorders>
              <w:top w:val="single" w:sz="8" w:color="auto"/>
              <w:right w:val="single" w:sz="8" w:color="auto"/>
            </w:tcBorders>
          </w:tcPr>
          <w:p>
            <w:pPr>
              <w:ind w:left="820"/>
              <w:spacing w:after="0"/>
              <w:rPr>
                <w:sz w:val="20"/>
                <w:szCs w:val="20"/>
                <w:color w:val="auto"/>
              </w:rPr>
            </w:pPr>
            <w:r>
              <w:rPr>
                <w:rFonts w:ascii="Arial" w:cs="Arial" w:eastAsia="Arial" w:hAnsi="Arial"/>
                <w:sz w:val="17"/>
                <w:szCs w:val="17"/>
                <w:color w:val="auto"/>
              </w:rPr>
              <w:t>upon the consummation of this offering, plus (ii) the sum</w:t>
            </w:r>
          </w:p>
        </w:tc>
        <w:tc>
          <w:tcPr>
            <w:tcW w:w="940" w:type="dxa"/>
            <w:vAlign w:val="bottom"/>
          </w:tcPr>
          <w:p>
            <w:pPr>
              <w:spacing w:after="0"/>
              <w:rPr>
                <w:sz w:val="24"/>
                <w:szCs w:val="24"/>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5380" w:type="dxa"/>
            <w:vAlign w:val="bottom"/>
            <w:tcBorders>
              <w:right w:val="single" w:sz="8" w:color="auto"/>
            </w:tcBorders>
          </w:tcPr>
          <w:p>
            <w:pPr>
              <w:ind w:left="820"/>
              <w:spacing w:after="0" w:line="189" w:lineRule="exact"/>
              <w:rPr>
                <w:sz w:val="20"/>
                <w:szCs w:val="20"/>
                <w:color w:val="auto"/>
              </w:rPr>
            </w:pPr>
            <w:r>
              <w:rPr>
                <w:rFonts w:ascii="Arial" w:cs="Arial" w:eastAsia="Arial" w:hAnsi="Arial"/>
                <w:sz w:val="17"/>
                <w:szCs w:val="17"/>
                <w:color w:val="auto"/>
              </w:rPr>
              <w:t>of the total number of Class A ordinary shares issued or</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5380" w:type="dxa"/>
            <w:vAlign w:val="bottom"/>
            <w:tcBorders>
              <w:right w:val="single" w:sz="8" w:color="auto"/>
            </w:tcBorders>
          </w:tcPr>
          <w:p>
            <w:pPr>
              <w:ind w:left="820"/>
              <w:spacing w:after="0" w:line="189" w:lineRule="exact"/>
              <w:rPr>
                <w:sz w:val="20"/>
                <w:szCs w:val="20"/>
                <w:color w:val="auto"/>
              </w:rPr>
            </w:pPr>
            <w:r>
              <w:rPr>
                <w:rFonts w:ascii="Arial" w:cs="Arial" w:eastAsia="Arial" w:hAnsi="Arial"/>
                <w:sz w:val="17"/>
                <w:szCs w:val="17"/>
                <w:color w:val="auto"/>
              </w:rPr>
              <w:t>deemed issued or issuable upon conversion or exercise</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5380" w:type="dxa"/>
            <w:vAlign w:val="bottom"/>
            <w:tcBorders>
              <w:right w:val="single" w:sz="8" w:color="auto"/>
            </w:tcBorders>
          </w:tcPr>
          <w:p>
            <w:pPr>
              <w:ind w:left="820"/>
              <w:spacing w:after="0" w:line="189" w:lineRule="exact"/>
              <w:rPr>
                <w:sz w:val="20"/>
                <w:szCs w:val="20"/>
                <w:color w:val="auto"/>
              </w:rPr>
            </w:pPr>
            <w:r>
              <w:rPr>
                <w:rFonts w:ascii="Arial" w:cs="Arial" w:eastAsia="Arial" w:hAnsi="Arial"/>
                <w:sz w:val="17"/>
                <w:szCs w:val="17"/>
                <w:color w:val="auto"/>
              </w:rPr>
              <w:t>of any equity-linked securities (as defined herein) or</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5380" w:type="dxa"/>
            <w:vAlign w:val="bottom"/>
            <w:tcBorders>
              <w:right w:val="single" w:sz="8" w:color="auto"/>
            </w:tcBorders>
          </w:tcPr>
          <w:p>
            <w:pPr>
              <w:ind w:left="820"/>
              <w:spacing w:after="0" w:line="189" w:lineRule="exact"/>
              <w:rPr>
                <w:sz w:val="20"/>
                <w:szCs w:val="20"/>
                <w:color w:val="auto"/>
              </w:rPr>
            </w:pPr>
            <w:r>
              <w:rPr>
                <w:rFonts w:ascii="Arial" w:cs="Arial" w:eastAsia="Arial" w:hAnsi="Arial"/>
                <w:sz w:val="17"/>
                <w:szCs w:val="17"/>
                <w:color w:val="auto"/>
              </w:rPr>
              <w:t>rights issued or deemed issued, by the Company in</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5380" w:type="dxa"/>
            <w:vAlign w:val="bottom"/>
            <w:tcBorders>
              <w:right w:val="single" w:sz="8" w:color="auto"/>
            </w:tcBorders>
          </w:tcPr>
          <w:p>
            <w:pPr>
              <w:ind w:left="820"/>
              <w:spacing w:after="0" w:line="189" w:lineRule="exact"/>
              <w:rPr>
                <w:sz w:val="20"/>
                <w:szCs w:val="20"/>
                <w:color w:val="auto"/>
              </w:rPr>
            </w:pPr>
            <w:r>
              <w:rPr>
                <w:rFonts w:ascii="Arial" w:cs="Arial" w:eastAsia="Arial" w:hAnsi="Arial"/>
                <w:sz w:val="17"/>
                <w:szCs w:val="17"/>
                <w:color w:val="auto"/>
              </w:rPr>
              <w:t>connection with or in relation to the consummation of the</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5380" w:type="dxa"/>
            <w:vAlign w:val="bottom"/>
            <w:tcBorders>
              <w:right w:val="single" w:sz="8" w:color="auto"/>
            </w:tcBorders>
          </w:tcPr>
          <w:p>
            <w:pPr>
              <w:ind w:left="820"/>
              <w:spacing w:after="0" w:line="189" w:lineRule="exact"/>
              <w:rPr>
                <w:sz w:val="20"/>
                <w:szCs w:val="20"/>
                <w:color w:val="auto"/>
              </w:rPr>
            </w:pPr>
            <w:r>
              <w:rPr>
                <w:rFonts w:ascii="Arial" w:cs="Arial" w:eastAsia="Arial" w:hAnsi="Arial"/>
                <w:sz w:val="17"/>
                <w:szCs w:val="17"/>
                <w:color w:val="auto"/>
              </w:rPr>
              <w:t>initial business combination, excluding any Class A</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5380" w:type="dxa"/>
            <w:vAlign w:val="bottom"/>
            <w:tcBorders>
              <w:right w:val="single" w:sz="8" w:color="auto"/>
            </w:tcBorders>
          </w:tcPr>
          <w:p>
            <w:pPr>
              <w:ind w:left="820"/>
              <w:spacing w:after="0" w:line="189" w:lineRule="exact"/>
              <w:rPr>
                <w:sz w:val="20"/>
                <w:szCs w:val="20"/>
                <w:color w:val="auto"/>
              </w:rPr>
            </w:pPr>
            <w:r>
              <w:rPr>
                <w:rFonts w:ascii="Arial" w:cs="Arial" w:eastAsia="Arial" w:hAnsi="Arial"/>
                <w:sz w:val="17"/>
                <w:szCs w:val="17"/>
                <w:color w:val="auto"/>
              </w:rPr>
              <w:t>ordinary shares or equity-linked securities exercisable for</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5380" w:type="dxa"/>
            <w:vAlign w:val="bottom"/>
            <w:tcBorders>
              <w:right w:val="single" w:sz="8" w:color="auto"/>
            </w:tcBorders>
          </w:tcPr>
          <w:p>
            <w:pPr>
              <w:ind w:left="820"/>
              <w:spacing w:after="0" w:line="189" w:lineRule="exact"/>
              <w:rPr>
                <w:sz w:val="20"/>
                <w:szCs w:val="20"/>
                <w:color w:val="auto"/>
              </w:rPr>
            </w:pPr>
            <w:r>
              <w:rPr>
                <w:rFonts w:ascii="Arial" w:cs="Arial" w:eastAsia="Arial" w:hAnsi="Arial"/>
                <w:sz w:val="17"/>
                <w:szCs w:val="17"/>
                <w:color w:val="auto"/>
              </w:rPr>
              <w:t>or convertible into Class A ordinary shares issued,</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5380" w:type="dxa"/>
            <w:vAlign w:val="bottom"/>
            <w:tcBorders>
              <w:right w:val="single" w:sz="8" w:color="auto"/>
            </w:tcBorders>
          </w:tcPr>
          <w:p>
            <w:pPr>
              <w:ind w:left="820"/>
              <w:spacing w:after="0" w:line="189" w:lineRule="exact"/>
              <w:rPr>
                <w:sz w:val="20"/>
                <w:szCs w:val="20"/>
                <w:color w:val="auto"/>
              </w:rPr>
            </w:pPr>
            <w:r>
              <w:rPr>
                <w:rFonts w:ascii="Arial" w:cs="Arial" w:eastAsia="Arial" w:hAnsi="Arial"/>
                <w:sz w:val="17"/>
                <w:szCs w:val="17"/>
                <w:color w:val="auto"/>
              </w:rPr>
              <w:t>deemed issued, or to be issued, to any seller in the initial</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5380" w:type="dxa"/>
            <w:vAlign w:val="bottom"/>
            <w:tcBorders>
              <w:right w:val="single" w:sz="8" w:color="auto"/>
            </w:tcBorders>
          </w:tcPr>
          <w:p>
            <w:pPr>
              <w:ind w:left="820"/>
              <w:spacing w:after="0" w:line="189" w:lineRule="exact"/>
              <w:rPr>
                <w:sz w:val="20"/>
                <w:szCs w:val="20"/>
                <w:color w:val="auto"/>
              </w:rPr>
            </w:pPr>
            <w:r>
              <w:rPr>
                <w:rFonts w:ascii="Arial" w:cs="Arial" w:eastAsia="Arial" w:hAnsi="Arial"/>
                <w:sz w:val="17"/>
                <w:szCs w:val="17"/>
                <w:color w:val="auto"/>
              </w:rPr>
              <w:t>business combination and any private placement shares</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5380" w:type="dxa"/>
            <w:vAlign w:val="bottom"/>
            <w:tcBorders>
              <w:right w:val="single" w:sz="8" w:color="auto"/>
            </w:tcBorders>
          </w:tcPr>
          <w:p>
            <w:pPr>
              <w:ind w:left="820"/>
              <w:spacing w:after="0" w:line="189" w:lineRule="exact"/>
              <w:rPr>
                <w:sz w:val="20"/>
                <w:szCs w:val="20"/>
                <w:color w:val="auto"/>
              </w:rPr>
            </w:pPr>
            <w:r>
              <w:rPr>
                <w:rFonts w:ascii="Arial" w:cs="Arial" w:eastAsia="Arial" w:hAnsi="Arial"/>
                <w:sz w:val="17"/>
                <w:szCs w:val="17"/>
                <w:color w:val="auto"/>
              </w:rPr>
              <w:t>issued to our sponsor, members of our management</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5380" w:type="dxa"/>
            <w:vAlign w:val="bottom"/>
            <w:tcBorders>
              <w:right w:val="single" w:sz="8" w:color="auto"/>
            </w:tcBorders>
          </w:tcPr>
          <w:p>
            <w:pPr>
              <w:ind w:left="820"/>
              <w:spacing w:after="0" w:line="189" w:lineRule="exact"/>
              <w:rPr>
                <w:sz w:val="20"/>
                <w:szCs w:val="20"/>
                <w:color w:val="auto"/>
              </w:rPr>
            </w:pPr>
            <w:r>
              <w:rPr>
                <w:rFonts w:ascii="Arial" w:cs="Arial" w:eastAsia="Arial" w:hAnsi="Arial"/>
                <w:sz w:val="17"/>
                <w:szCs w:val="17"/>
                <w:color w:val="auto"/>
              </w:rPr>
              <w:t>team or any of their affiliates upon conversion of working</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5380" w:type="dxa"/>
            <w:vAlign w:val="bottom"/>
            <w:tcBorders>
              <w:right w:val="single" w:sz="8" w:color="auto"/>
            </w:tcBorders>
          </w:tcPr>
          <w:p>
            <w:pPr>
              <w:ind w:left="820"/>
              <w:spacing w:after="0" w:line="189" w:lineRule="exact"/>
              <w:rPr>
                <w:sz w:val="20"/>
                <w:szCs w:val="20"/>
                <w:color w:val="auto"/>
              </w:rPr>
            </w:pPr>
            <w:r>
              <w:rPr>
                <w:rFonts w:ascii="Arial" w:cs="Arial" w:eastAsia="Arial" w:hAnsi="Arial"/>
                <w:sz w:val="17"/>
                <w:szCs w:val="17"/>
                <w:color w:val="auto"/>
              </w:rPr>
              <w:t>capital loans. Any conversion of Class B ordinary shares</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5380" w:type="dxa"/>
            <w:vAlign w:val="bottom"/>
            <w:tcBorders>
              <w:right w:val="single" w:sz="8" w:color="auto"/>
            </w:tcBorders>
          </w:tcPr>
          <w:p>
            <w:pPr>
              <w:ind w:left="820"/>
              <w:spacing w:after="0" w:line="189" w:lineRule="exact"/>
              <w:rPr>
                <w:sz w:val="20"/>
                <w:szCs w:val="20"/>
                <w:color w:val="auto"/>
              </w:rPr>
            </w:pPr>
            <w:r>
              <w:rPr>
                <w:rFonts w:ascii="Arial" w:cs="Arial" w:eastAsia="Arial" w:hAnsi="Arial"/>
                <w:sz w:val="17"/>
                <w:szCs w:val="17"/>
                <w:color w:val="auto"/>
              </w:rPr>
              <w:t>described herein will take effect as a compulsory</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5380" w:type="dxa"/>
            <w:vAlign w:val="bottom"/>
            <w:tcBorders>
              <w:right w:val="single" w:sz="8" w:color="auto"/>
            </w:tcBorders>
          </w:tcPr>
          <w:p>
            <w:pPr>
              <w:ind w:left="820"/>
              <w:spacing w:after="0" w:line="189" w:lineRule="exact"/>
              <w:rPr>
                <w:sz w:val="20"/>
                <w:szCs w:val="20"/>
                <w:color w:val="auto"/>
              </w:rPr>
            </w:pPr>
            <w:r>
              <w:rPr>
                <w:rFonts w:ascii="Arial" w:cs="Arial" w:eastAsia="Arial" w:hAnsi="Arial"/>
                <w:sz w:val="17"/>
                <w:szCs w:val="17"/>
                <w:color w:val="auto"/>
              </w:rPr>
              <w:t>redemption of Class B ordinary shares and an issuance</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5380" w:type="dxa"/>
            <w:vAlign w:val="bottom"/>
            <w:tcBorders>
              <w:right w:val="single" w:sz="8" w:color="auto"/>
            </w:tcBorders>
          </w:tcPr>
          <w:p>
            <w:pPr>
              <w:ind w:left="820"/>
              <w:spacing w:after="0" w:line="189" w:lineRule="exact"/>
              <w:rPr>
                <w:sz w:val="20"/>
                <w:szCs w:val="20"/>
                <w:color w:val="auto"/>
              </w:rPr>
            </w:pPr>
            <w:r>
              <w:rPr>
                <w:rFonts w:ascii="Arial" w:cs="Arial" w:eastAsia="Arial" w:hAnsi="Arial"/>
                <w:sz w:val="17"/>
                <w:szCs w:val="17"/>
                <w:color w:val="auto"/>
              </w:rPr>
              <w:t>of Class A ordinary shares as a matter of Cayman</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5380" w:type="dxa"/>
            <w:vAlign w:val="bottom"/>
            <w:tcBorders>
              <w:right w:val="single" w:sz="8" w:color="auto"/>
            </w:tcBorders>
          </w:tcPr>
          <w:p>
            <w:pPr>
              <w:ind w:left="820"/>
              <w:spacing w:after="0" w:line="189" w:lineRule="exact"/>
              <w:rPr>
                <w:sz w:val="20"/>
                <w:szCs w:val="20"/>
                <w:color w:val="auto"/>
              </w:rPr>
            </w:pPr>
            <w:r>
              <w:rPr>
                <w:rFonts w:ascii="Arial" w:cs="Arial" w:eastAsia="Arial" w:hAnsi="Arial"/>
                <w:sz w:val="17"/>
                <w:szCs w:val="17"/>
                <w:color w:val="auto"/>
              </w:rPr>
              <w:t>Islands law. In no event will the Class B ordinary shares</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5380" w:type="dxa"/>
            <w:vAlign w:val="bottom"/>
            <w:tcBorders>
              <w:right w:val="single" w:sz="8" w:color="auto"/>
            </w:tcBorders>
          </w:tcPr>
          <w:p>
            <w:pPr>
              <w:ind w:left="820"/>
              <w:spacing w:after="0" w:line="189" w:lineRule="exact"/>
              <w:rPr>
                <w:sz w:val="20"/>
                <w:szCs w:val="20"/>
                <w:color w:val="auto"/>
              </w:rPr>
            </w:pPr>
            <w:r>
              <w:rPr>
                <w:rFonts w:ascii="Arial" w:cs="Arial" w:eastAsia="Arial" w:hAnsi="Arial"/>
                <w:sz w:val="17"/>
                <w:szCs w:val="17"/>
                <w:color w:val="auto"/>
              </w:rPr>
              <w:t>convert into Class A ordinary shares at a rate of less</w:t>
            </w:r>
          </w:p>
        </w:tc>
        <w:tc>
          <w:tcPr>
            <w:tcW w:w="940" w:type="dxa"/>
            <w:vAlign w:val="bottom"/>
          </w:tcPr>
          <w:p>
            <w:pPr>
              <w:spacing w:after="0"/>
              <w:rPr>
                <w:sz w:val="16"/>
                <w:szCs w:val="16"/>
                <w:color w:val="auto"/>
              </w:rPr>
            </w:pPr>
          </w:p>
        </w:tc>
      </w:tr>
      <w:tr>
        <w:trPr>
          <w:trHeight w:val="205"/>
        </w:trPr>
        <w:tc>
          <w:tcPr>
            <w:tcW w:w="980" w:type="dxa"/>
            <w:vAlign w:val="bottom"/>
            <w:tcBorders>
              <w:right w:val="single" w:sz="8" w:color="auto"/>
            </w:tcBorders>
          </w:tcPr>
          <w:p>
            <w:pPr>
              <w:spacing w:after="0"/>
              <w:rPr>
                <w:sz w:val="17"/>
                <w:szCs w:val="17"/>
                <w:color w:val="auto"/>
              </w:rPr>
            </w:pPr>
          </w:p>
        </w:tc>
        <w:tc>
          <w:tcPr>
            <w:tcW w:w="3720" w:type="dxa"/>
            <w:vAlign w:val="bottom"/>
          </w:tcPr>
          <w:p>
            <w:pPr>
              <w:spacing w:after="0"/>
              <w:rPr>
                <w:sz w:val="17"/>
                <w:szCs w:val="17"/>
                <w:color w:val="auto"/>
              </w:rPr>
            </w:pPr>
          </w:p>
        </w:tc>
        <w:tc>
          <w:tcPr>
            <w:tcW w:w="5380" w:type="dxa"/>
            <w:vAlign w:val="bottom"/>
            <w:tcBorders>
              <w:right w:val="single" w:sz="8" w:color="auto"/>
            </w:tcBorders>
          </w:tcPr>
          <w:p>
            <w:pPr>
              <w:ind w:left="820"/>
              <w:spacing w:after="0"/>
              <w:rPr>
                <w:sz w:val="20"/>
                <w:szCs w:val="20"/>
                <w:color w:val="auto"/>
              </w:rPr>
            </w:pPr>
            <w:r>
              <w:rPr>
                <w:rFonts w:ascii="Arial" w:cs="Arial" w:eastAsia="Arial" w:hAnsi="Arial"/>
                <w:sz w:val="17"/>
                <w:szCs w:val="17"/>
                <w:color w:val="auto"/>
              </w:rPr>
              <w:t>than one-to-one.</w:t>
            </w:r>
          </w:p>
        </w:tc>
        <w:tc>
          <w:tcPr>
            <w:tcW w:w="940" w:type="dxa"/>
            <w:vAlign w:val="bottom"/>
          </w:tcPr>
          <w:p>
            <w:pPr>
              <w:spacing w:after="0"/>
              <w:rPr>
                <w:sz w:val="17"/>
                <w:szCs w:val="17"/>
                <w:color w:val="auto"/>
              </w:rPr>
            </w:pPr>
          </w:p>
        </w:tc>
      </w:tr>
      <w:tr>
        <w:trPr>
          <w:trHeight w:val="281"/>
        </w:trPr>
        <w:tc>
          <w:tcPr>
            <w:tcW w:w="980" w:type="dxa"/>
            <w:vAlign w:val="bottom"/>
            <w:tcBorders>
              <w:right w:val="single" w:sz="8" w:color="auto"/>
            </w:tcBorders>
          </w:tcPr>
          <w:p>
            <w:pPr>
              <w:spacing w:after="0"/>
              <w:rPr>
                <w:sz w:val="24"/>
                <w:szCs w:val="24"/>
                <w:color w:val="auto"/>
              </w:rPr>
            </w:pPr>
          </w:p>
        </w:tc>
        <w:tc>
          <w:tcPr>
            <w:tcW w:w="3720" w:type="dxa"/>
            <w:vAlign w:val="bottom"/>
          </w:tcPr>
          <w:p>
            <w:pPr>
              <w:spacing w:after="0"/>
              <w:rPr>
                <w:sz w:val="24"/>
                <w:szCs w:val="24"/>
                <w:color w:val="auto"/>
              </w:rPr>
            </w:pPr>
          </w:p>
        </w:tc>
        <w:tc>
          <w:tcPr>
            <w:tcW w:w="5380" w:type="dxa"/>
            <w:vAlign w:val="bottom"/>
            <w:tcBorders>
              <w:right w:val="single" w:sz="8" w:color="auto"/>
            </w:tcBorders>
          </w:tcPr>
          <w:p>
            <w:pPr>
              <w:ind w:left="820"/>
              <w:spacing w:after="0"/>
              <w:rPr>
                <w:sz w:val="20"/>
                <w:szCs w:val="20"/>
                <w:color w:val="auto"/>
              </w:rPr>
            </w:pPr>
            <w:r>
              <w:rPr>
                <w:rFonts w:ascii="Arial" w:cs="Arial" w:eastAsia="Arial" w:hAnsi="Arial"/>
                <w:sz w:val="17"/>
                <w:szCs w:val="17"/>
                <w:color w:val="auto"/>
              </w:rPr>
              <w:t>The term “equity-linked securities” refers to any debt or</w:t>
            </w:r>
          </w:p>
        </w:tc>
        <w:tc>
          <w:tcPr>
            <w:tcW w:w="940" w:type="dxa"/>
            <w:vAlign w:val="bottom"/>
          </w:tcPr>
          <w:p>
            <w:pPr>
              <w:spacing w:after="0"/>
              <w:rPr>
                <w:sz w:val="24"/>
                <w:szCs w:val="24"/>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5380" w:type="dxa"/>
            <w:vAlign w:val="bottom"/>
            <w:tcBorders>
              <w:right w:val="single" w:sz="8" w:color="auto"/>
            </w:tcBorders>
          </w:tcPr>
          <w:p>
            <w:pPr>
              <w:ind w:left="820"/>
              <w:spacing w:after="0" w:line="189" w:lineRule="exact"/>
              <w:rPr>
                <w:sz w:val="20"/>
                <w:szCs w:val="20"/>
                <w:color w:val="auto"/>
              </w:rPr>
            </w:pPr>
            <w:r>
              <w:rPr>
                <w:rFonts w:ascii="Arial" w:cs="Arial" w:eastAsia="Arial" w:hAnsi="Arial"/>
                <w:sz w:val="17"/>
                <w:szCs w:val="17"/>
                <w:color w:val="auto"/>
              </w:rPr>
              <w:t>equity securities that are convertible, exercisable or</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5380" w:type="dxa"/>
            <w:vAlign w:val="bottom"/>
            <w:tcBorders>
              <w:right w:val="single" w:sz="8" w:color="auto"/>
            </w:tcBorders>
          </w:tcPr>
          <w:p>
            <w:pPr>
              <w:ind w:left="820"/>
              <w:spacing w:after="0" w:line="189" w:lineRule="exact"/>
              <w:rPr>
                <w:sz w:val="20"/>
                <w:szCs w:val="20"/>
                <w:color w:val="auto"/>
              </w:rPr>
            </w:pPr>
            <w:r>
              <w:rPr>
                <w:rFonts w:ascii="Arial" w:cs="Arial" w:eastAsia="Arial" w:hAnsi="Arial"/>
                <w:sz w:val="17"/>
                <w:szCs w:val="17"/>
                <w:color w:val="auto"/>
              </w:rPr>
              <w:t>exchangeable for our Class A ordinary shares issued in</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5380" w:type="dxa"/>
            <w:vAlign w:val="bottom"/>
            <w:tcBorders>
              <w:right w:val="single" w:sz="8" w:color="auto"/>
            </w:tcBorders>
          </w:tcPr>
          <w:p>
            <w:pPr>
              <w:ind w:left="820"/>
              <w:spacing w:after="0" w:line="189" w:lineRule="exact"/>
              <w:rPr>
                <w:sz w:val="20"/>
                <w:szCs w:val="20"/>
                <w:color w:val="auto"/>
              </w:rPr>
            </w:pPr>
            <w:r>
              <w:rPr>
                <w:rFonts w:ascii="Arial" w:cs="Arial" w:eastAsia="Arial" w:hAnsi="Arial"/>
                <w:sz w:val="17"/>
                <w:szCs w:val="17"/>
                <w:color w:val="auto"/>
              </w:rPr>
              <w:t>a financing transaction in connection with our initial</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5380" w:type="dxa"/>
            <w:vAlign w:val="bottom"/>
            <w:tcBorders>
              <w:right w:val="single" w:sz="8" w:color="auto"/>
            </w:tcBorders>
          </w:tcPr>
          <w:p>
            <w:pPr>
              <w:ind w:left="820"/>
              <w:spacing w:after="0" w:line="189" w:lineRule="exact"/>
              <w:rPr>
                <w:sz w:val="20"/>
                <w:szCs w:val="20"/>
                <w:color w:val="auto"/>
              </w:rPr>
            </w:pPr>
            <w:r>
              <w:rPr>
                <w:rFonts w:ascii="Arial" w:cs="Arial" w:eastAsia="Arial" w:hAnsi="Arial"/>
                <w:sz w:val="17"/>
                <w:szCs w:val="17"/>
                <w:color w:val="auto"/>
              </w:rPr>
              <w:t>business combination, including, but not limited to, a</w:t>
            </w:r>
          </w:p>
        </w:tc>
        <w:tc>
          <w:tcPr>
            <w:tcW w:w="940" w:type="dxa"/>
            <w:vAlign w:val="bottom"/>
          </w:tcPr>
          <w:p>
            <w:pPr>
              <w:spacing w:after="0"/>
              <w:rPr>
                <w:sz w:val="16"/>
                <w:szCs w:val="16"/>
                <w:color w:val="auto"/>
              </w:rPr>
            </w:pPr>
          </w:p>
        </w:tc>
      </w:tr>
      <w:tr>
        <w:trPr>
          <w:trHeight w:val="205"/>
        </w:trPr>
        <w:tc>
          <w:tcPr>
            <w:tcW w:w="980" w:type="dxa"/>
            <w:vAlign w:val="bottom"/>
            <w:tcBorders>
              <w:right w:val="single" w:sz="8" w:color="auto"/>
            </w:tcBorders>
          </w:tcPr>
          <w:p>
            <w:pPr>
              <w:spacing w:after="0"/>
              <w:rPr>
                <w:sz w:val="17"/>
                <w:szCs w:val="17"/>
                <w:color w:val="auto"/>
              </w:rPr>
            </w:pPr>
          </w:p>
        </w:tc>
        <w:tc>
          <w:tcPr>
            <w:tcW w:w="3720" w:type="dxa"/>
            <w:vAlign w:val="bottom"/>
          </w:tcPr>
          <w:p>
            <w:pPr>
              <w:spacing w:after="0"/>
              <w:rPr>
                <w:sz w:val="17"/>
                <w:szCs w:val="17"/>
                <w:color w:val="auto"/>
              </w:rPr>
            </w:pPr>
          </w:p>
        </w:tc>
        <w:tc>
          <w:tcPr>
            <w:tcW w:w="5380" w:type="dxa"/>
            <w:vAlign w:val="bottom"/>
            <w:tcBorders>
              <w:right w:val="single" w:sz="8" w:color="auto"/>
            </w:tcBorders>
          </w:tcPr>
          <w:p>
            <w:pPr>
              <w:ind w:left="820"/>
              <w:spacing w:after="0"/>
              <w:rPr>
                <w:sz w:val="20"/>
                <w:szCs w:val="20"/>
                <w:color w:val="auto"/>
              </w:rPr>
            </w:pPr>
            <w:r>
              <w:rPr>
                <w:rFonts w:ascii="Arial" w:cs="Arial" w:eastAsia="Arial" w:hAnsi="Arial"/>
                <w:sz w:val="17"/>
                <w:szCs w:val="17"/>
                <w:color w:val="auto"/>
              </w:rPr>
              <w:t>private placement of equity or debt.</w:t>
            </w:r>
          </w:p>
        </w:tc>
        <w:tc>
          <w:tcPr>
            <w:tcW w:w="940" w:type="dxa"/>
            <w:vAlign w:val="bottom"/>
          </w:tcPr>
          <w:p>
            <w:pPr>
              <w:spacing w:after="0"/>
              <w:rPr>
                <w:sz w:val="17"/>
                <w:szCs w:val="17"/>
                <w:color w:val="auto"/>
              </w:rPr>
            </w:pPr>
          </w:p>
        </w:tc>
      </w:tr>
      <w:tr>
        <w:trPr>
          <w:trHeight w:val="295"/>
        </w:trPr>
        <w:tc>
          <w:tcPr>
            <w:tcW w:w="980" w:type="dxa"/>
            <w:vAlign w:val="bottom"/>
            <w:tcBorders>
              <w:right w:val="single" w:sz="8" w:color="auto"/>
            </w:tcBorders>
          </w:tcPr>
          <w:p>
            <w:pPr>
              <w:spacing w:after="0"/>
              <w:rPr>
                <w:sz w:val="24"/>
                <w:szCs w:val="24"/>
                <w:color w:val="auto"/>
              </w:rPr>
            </w:pPr>
          </w:p>
        </w:tc>
        <w:tc>
          <w:tcPr>
            <w:tcW w:w="3720" w:type="dxa"/>
            <w:vAlign w:val="bottom"/>
          </w:tcPr>
          <w:p>
            <w:pPr>
              <w:ind w:left="220"/>
              <w:spacing w:after="0"/>
              <w:rPr>
                <w:sz w:val="20"/>
                <w:szCs w:val="20"/>
                <w:color w:val="auto"/>
              </w:rPr>
            </w:pPr>
            <w:r>
              <w:rPr>
                <w:rFonts w:ascii="Arial" w:cs="Arial" w:eastAsia="Arial" w:hAnsi="Arial"/>
                <w:sz w:val="17"/>
                <w:szCs w:val="17"/>
                <w:b w:val="1"/>
                <w:bCs w:val="1"/>
                <w:color w:val="auto"/>
              </w:rPr>
              <w:t>Election of directors; Voting rights</w:t>
            </w:r>
          </w:p>
        </w:tc>
        <w:tc>
          <w:tcPr>
            <w:tcW w:w="5380" w:type="dxa"/>
            <w:vAlign w:val="bottom"/>
            <w:tcBorders>
              <w:right w:val="single" w:sz="8" w:color="auto"/>
            </w:tcBorders>
          </w:tcPr>
          <w:p>
            <w:pPr>
              <w:ind w:left="820"/>
              <w:spacing w:after="0"/>
              <w:rPr>
                <w:sz w:val="20"/>
                <w:szCs w:val="20"/>
                <w:color w:val="auto"/>
              </w:rPr>
            </w:pPr>
            <w:r>
              <w:rPr>
                <w:rFonts w:ascii="Arial" w:cs="Arial" w:eastAsia="Arial" w:hAnsi="Arial"/>
                <w:sz w:val="17"/>
                <w:szCs w:val="17"/>
                <w:color w:val="auto"/>
              </w:rPr>
              <w:t>Prior to the completion of our initial business</w:t>
            </w:r>
          </w:p>
        </w:tc>
        <w:tc>
          <w:tcPr>
            <w:tcW w:w="940" w:type="dxa"/>
            <w:vAlign w:val="bottom"/>
          </w:tcPr>
          <w:p>
            <w:pPr>
              <w:spacing w:after="0"/>
              <w:rPr>
                <w:sz w:val="24"/>
                <w:szCs w:val="24"/>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5380" w:type="dxa"/>
            <w:vAlign w:val="bottom"/>
            <w:tcBorders>
              <w:right w:val="single" w:sz="8" w:color="auto"/>
            </w:tcBorders>
          </w:tcPr>
          <w:p>
            <w:pPr>
              <w:ind w:left="820"/>
              <w:spacing w:after="0" w:line="189" w:lineRule="exact"/>
              <w:rPr>
                <w:sz w:val="20"/>
                <w:szCs w:val="20"/>
                <w:color w:val="auto"/>
              </w:rPr>
            </w:pPr>
            <w:r>
              <w:rPr>
                <w:rFonts w:ascii="Arial" w:cs="Arial" w:eastAsia="Arial" w:hAnsi="Arial"/>
                <w:sz w:val="17"/>
                <w:szCs w:val="17"/>
                <w:color w:val="auto"/>
              </w:rPr>
              <w:t>combination, only holders of our founder shares will have</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5380" w:type="dxa"/>
            <w:vAlign w:val="bottom"/>
            <w:tcBorders>
              <w:right w:val="single" w:sz="8" w:color="auto"/>
            </w:tcBorders>
          </w:tcPr>
          <w:p>
            <w:pPr>
              <w:ind w:left="820"/>
              <w:spacing w:after="0" w:line="189" w:lineRule="exact"/>
              <w:rPr>
                <w:sz w:val="20"/>
                <w:szCs w:val="20"/>
                <w:color w:val="auto"/>
              </w:rPr>
            </w:pPr>
            <w:r>
              <w:rPr>
                <w:rFonts w:ascii="Arial" w:cs="Arial" w:eastAsia="Arial" w:hAnsi="Arial"/>
                <w:sz w:val="17"/>
                <w:szCs w:val="17"/>
                <w:color w:val="auto"/>
              </w:rPr>
              <w:t>the right to vote on the election of directors. Holders of</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5380" w:type="dxa"/>
            <w:vAlign w:val="bottom"/>
            <w:tcBorders>
              <w:right w:val="single" w:sz="8" w:color="auto"/>
            </w:tcBorders>
          </w:tcPr>
          <w:p>
            <w:pPr>
              <w:ind w:left="820"/>
              <w:spacing w:after="0" w:line="189" w:lineRule="exact"/>
              <w:rPr>
                <w:sz w:val="20"/>
                <w:szCs w:val="20"/>
                <w:color w:val="auto"/>
              </w:rPr>
            </w:pPr>
            <w:r>
              <w:rPr>
                <w:rFonts w:ascii="Arial" w:cs="Arial" w:eastAsia="Arial" w:hAnsi="Arial"/>
                <w:sz w:val="17"/>
                <w:szCs w:val="17"/>
                <w:color w:val="auto"/>
              </w:rPr>
              <w:t>our public shares will not be entitled to vote on the</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5380" w:type="dxa"/>
            <w:vAlign w:val="bottom"/>
            <w:tcBorders>
              <w:right w:val="single" w:sz="8" w:color="auto"/>
            </w:tcBorders>
          </w:tcPr>
          <w:p>
            <w:pPr>
              <w:ind w:left="820"/>
              <w:spacing w:after="0" w:line="189" w:lineRule="exact"/>
              <w:rPr>
                <w:sz w:val="20"/>
                <w:szCs w:val="20"/>
                <w:color w:val="auto"/>
              </w:rPr>
            </w:pPr>
            <w:r>
              <w:rPr>
                <w:rFonts w:ascii="Arial" w:cs="Arial" w:eastAsia="Arial" w:hAnsi="Arial"/>
                <w:sz w:val="17"/>
                <w:szCs w:val="17"/>
                <w:color w:val="auto"/>
              </w:rPr>
              <w:t>election of directors during such time. In addition, prior to</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5380" w:type="dxa"/>
            <w:vAlign w:val="bottom"/>
            <w:tcBorders>
              <w:right w:val="single" w:sz="8" w:color="auto"/>
            </w:tcBorders>
          </w:tcPr>
          <w:p>
            <w:pPr>
              <w:ind w:left="820"/>
              <w:spacing w:after="0" w:line="189" w:lineRule="exact"/>
              <w:rPr>
                <w:sz w:val="20"/>
                <w:szCs w:val="20"/>
                <w:color w:val="auto"/>
              </w:rPr>
            </w:pPr>
            <w:r>
              <w:rPr>
                <w:rFonts w:ascii="Arial" w:cs="Arial" w:eastAsia="Arial" w:hAnsi="Arial"/>
                <w:sz w:val="17"/>
                <w:szCs w:val="17"/>
                <w:color w:val="auto"/>
              </w:rPr>
              <w:t>the completion of an initial business combination,</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5380" w:type="dxa"/>
            <w:vAlign w:val="bottom"/>
            <w:tcBorders>
              <w:right w:val="single" w:sz="8" w:color="auto"/>
            </w:tcBorders>
          </w:tcPr>
          <w:p>
            <w:pPr>
              <w:ind w:left="820"/>
              <w:spacing w:after="0" w:line="189" w:lineRule="exact"/>
              <w:rPr>
                <w:sz w:val="20"/>
                <w:szCs w:val="20"/>
                <w:color w:val="auto"/>
              </w:rPr>
            </w:pPr>
            <w:r>
              <w:rPr>
                <w:rFonts w:ascii="Arial" w:cs="Arial" w:eastAsia="Arial" w:hAnsi="Arial"/>
                <w:sz w:val="17"/>
                <w:szCs w:val="17"/>
                <w:color w:val="auto"/>
              </w:rPr>
              <w:t>holders of a majority of our founder shares may remove</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5380" w:type="dxa"/>
            <w:vAlign w:val="bottom"/>
            <w:tcBorders>
              <w:right w:val="single" w:sz="8" w:color="auto"/>
            </w:tcBorders>
          </w:tcPr>
          <w:p>
            <w:pPr>
              <w:ind w:left="820"/>
              <w:spacing w:after="0" w:line="189" w:lineRule="exact"/>
              <w:rPr>
                <w:sz w:val="20"/>
                <w:szCs w:val="20"/>
                <w:color w:val="auto"/>
              </w:rPr>
            </w:pPr>
            <w:r>
              <w:rPr>
                <w:rFonts w:ascii="Arial" w:cs="Arial" w:eastAsia="Arial" w:hAnsi="Arial"/>
                <w:sz w:val="17"/>
                <w:szCs w:val="17"/>
                <w:color w:val="auto"/>
              </w:rPr>
              <w:t>a member of the board of directors for any reason.</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5380" w:type="dxa"/>
            <w:vAlign w:val="bottom"/>
            <w:tcBorders>
              <w:right w:val="single" w:sz="8" w:color="auto"/>
            </w:tcBorders>
          </w:tcPr>
          <w:p>
            <w:pPr>
              <w:ind w:left="820"/>
              <w:spacing w:after="0" w:line="189" w:lineRule="exact"/>
              <w:rPr>
                <w:sz w:val="20"/>
                <w:szCs w:val="20"/>
                <w:color w:val="auto"/>
              </w:rPr>
            </w:pPr>
            <w:r>
              <w:rPr>
                <w:rFonts w:ascii="Arial" w:cs="Arial" w:eastAsia="Arial" w:hAnsi="Arial"/>
                <w:sz w:val="17"/>
                <w:szCs w:val="17"/>
                <w:color w:val="auto"/>
              </w:rPr>
              <w:t>These provisions of our amended and restated</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5380" w:type="dxa"/>
            <w:vAlign w:val="bottom"/>
            <w:tcBorders>
              <w:right w:val="single" w:sz="8" w:color="auto"/>
            </w:tcBorders>
          </w:tcPr>
          <w:p>
            <w:pPr>
              <w:ind w:left="820"/>
              <w:spacing w:after="0" w:line="189" w:lineRule="exact"/>
              <w:rPr>
                <w:sz w:val="20"/>
                <w:szCs w:val="20"/>
                <w:color w:val="auto"/>
              </w:rPr>
            </w:pPr>
            <w:r>
              <w:rPr>
                <w:rFonts w:ascii="Arial" w:cs="Arial" w:eastAsia="Arial" w:hAnsi="Arial"/>
                <w:sz w:val="17"/>
                <w:szCs w:val="17"/>
                <w:color w:val="auto"/>
              </w:rPr>
              <w:t>memorandum and articles of association may only be</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5380" w:type="dxa"/>
            <w:vAlign w:val="bottom"/>
            <w:tcBorders>
              <w:right w:val="single" w:sz="8" w:color="auto"/>
            </w:tcBorders>
          </w:tcPr>
          <w:p>
            <w:pPr>
              <w:ind w:left="820"/>
              <w:spacing w:after="0" w:line="189" w:lineRule="exact"/>
              <w:rPr>
                <w:sz w:val="20"/>
                <w:szCs w:val="20"/>
                <w:color w:val="auto"/>
              </w:rPr>
            </w:pPr>
            <w:r>
              <w:rPr>
                <w:rFonts w:ascii="Arial" w:cs="Arial" w:eastAsia="Arial" w:hAnsi="Arial"/>
                <w:sz w:val="17"/>
                <w:szCs w:val="17"/>
                <w:color w:val="auto"/>
              </w:rPr>
              <w:t>amended by a special resolution passed by holders</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5380" w:type="dxa"/>
            <w:vAlign w:val="bottom"/>
            <w:tcBorders>
              <w:right w:val="single" w:sz="8" w:color="auto"/>
            </w:tcBorders>
          </w:tcPr>
          <w:p>
            <w:pPr>
              <w:ind w:left="820"/>
              <w:spacing w:after="0" w:line="189" w:lineRule="exact"/>
              <w:rPr>
                <w:sz w:val="20"/>
                <w:szCs w:val="20"/>
                <w:color w:val="auto"/>
              </w:rPr>
            </w:pPr>
            <w:r>
              <w:rPr>
                <w:rFonts w:ascii="Arial" w:cs="Arial" w:eastAsia="Arial" w:hAnsi="Arial"/>
                <w:sz w:val="17"/>
                <w:szCs w:val="17"/>
                <w:color w:val="auto"/>
              </w:rPr>
              <w:t>representing at least two-thirds of our outstanding</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5380" w:type="dxa"/>
            <w:vAlign w:val="bottom"/>
            <w:tcBorders>
              <w:right w:val="single" w:sz="8" w:color="auto"/>
            </w:tcBorders>
          </w:tcPr>
          <w:p>
            <w:pPr>
              <w:ind w:left="820"/>
              <w:spacing w:after="0" w:line="189" w:lineRule="exact"/>
              <w:rPr>
                <w:sz w:val="20"/>
                <w:szCs w:val="20"/>
                <w:color w:val="auto"/>
              </w:rPr>
            </w:pPr>
            <w:r>
              <w:rPr>
                <w:rFonts w:ascii="Arial" w:cs="Arial" w:eastAsia="Arial" w:hAnsi="Arial"/>
                <w:sz w:val="17"/>
                <w:szCs w:val="17"/>
                <w:color w:val="auto"/>
              </w:rPr>
              <w:t>Class B ordinary shares. With respect to any other</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5380" w:type="dxa"/>
            <w:vAlign w:val="bottom"/>
            <w:tcBorders>
              <w:right w:val="single" w:sz="8" w:color="auto"/>
            </w:tcBorders>
          </w:tcPr>
          <w:p>
            <w:pPr>
              <w:ind w:left="820"/>
              <w:spacing w:after="0" w:line="189" w:lineRule="exact"/>
              <w:rPr>
                <w:sz w:val="20"/>
                <w:szCs w:val="20"/>
                <w:color w:val="auto"/>
              </w:rPr>
            </w:pPr>
            <w:r>
              <w:rPr>
                <w:rFonts w:ascii="Arial" w:cs="Arial" w:eastAsia="Arial" w:hAnsi="Arial"/>
                <w:sz w:val="17"/>
                <w:szCs w:val="17"/>
                <w:color w:val="auto"/>
              </w:rPr>
              <w:t>matter submitted to a vote of our shareholders, including</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5380" w:type="dxa"/>
            <w:vAlign w:val="bottom"/>
            <w:tcBorders>
              <w:right w:val="single" w:sz="8" w:color="auto"/>
            </w:tcBorders>
          </w:tcPr>
          <w:p>
            <w:pPr>
              <w:ind w:left="820"/>
              <w:spacing w:after="0" w:line="189" w:lineRule="exact"/>
              <w:rPr>
                <w:sz w:val="20"/>
                <w:szCs w:val="20"/>
                <w:color w:val="auto"/>
              </w:rPr>
            </w:pPr>
            <w:r>
              <w:rPr>
                <w:rFonts w:ascii="Arial" w:cs="Arial" w:eastAsia="Arial" w:hAnsi="Arial"/>
                <w:sz w:val="17"/>
                <w:szCs w:val="17"/>
                <w:color w:val="auto"/>
              </w:rPr>
              <w:t>any vote in connection with our initial business</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5380" w:type="dxa"/>
            <w:vAlign w:val="bottom"/>
            <w:tcBorders>
              <w:right w:val="single" w:sz="8" w:color="auto"/>
            </w:tcBorders>
          </w:tcPr>
          <w:p>
            <w:pPr>
              <w:ind w:left="820"/>
              <w:spacing w:after="0" w:line="189" w:lineRule="exact"/>
              <w:rPr>
                <w:sz w:val="20"/>
                <w:szCs w:val="20"/>
                <w:color w:val="auto"/>
              </w:rPr>
            </w:pPr>
            <w:r>
              <w:rPr>
                <w:rFonts w:ascii="Arial" w:cs="Arial" w:eastAsia="Arial" w:hAnsi="Arial"/>
                <w:sz w:val="17"/>
                <w:szCs w:val="17"/>
                <w:color w:val="auto"/>
              </w:rPr>
              <w:t>combination, except as required by law or the applicable</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5380" w:type="dxa"/>
            <w:vAlign w:val="bottom"/>
            <w:tcBorders>
              <w:right w:val="single" w:sz="8" w:color="auto"/>
            </w:tcBorders>
          </w:tcPr>
          <w:p>
            <w:pPr>
              <w:ind w:left="820"/>
              <w:spacing w:after="0" w:line="189" w:lineRule="exact"/>
              <w:rPr>
                <w:sz w:val="20"/>
                <w:szCs w:val="20"/>
                <w:color w:val="auto"/>
              </w:rPr>
            </w:pPr>
            <w:r>
              <w:rPr>
                <w:rFonts w:ascii="Arial" w:cs="Arial" w:eastAsia="Arial" w:hAnsi="Arial"/>
                <w:sz w:val="17"/>
                <w:szCs w:val="17"/>
                <w:color w:val="auto"/>
              </w:rPr>
              <w:t>rules of Nasdaq then in effect, holders of our founder</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5380" w:type="dxa"/>
            <w:vAlign w:val="bottom"/>
            <w:tcBorders>
              <w:right w:val="single" w:sz="8" w:color="auto"/>
            </w:tcBorders>
          </w:tcPr>
          <w:p>
            <w:pPr>
              <w:ind w:left="820"/>
              <w:spacing w:after="0" w:line="189" w:lineRule="exact"/>
              <w:rPr>
                <w:sz w:val="20"/>
                <w:szCs w:val="20"/>
                <w:color w:val="auto"/>
              </w:rPr>
            </w:pPr>
            <w:r>
              <w:rPr>
                <w:rFonts w:ascii="Arial" w:cs="Arial" w:eastAsia="Arial" w:hAnsi="Arial"/>
                <w:sz w:val="17"/>
                <w:szCs w:val="17"/>
                <w:color w:val="auto"/>
              </w:rPr>
              <w:t>shares and holders of our public shares will vote</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5380" w:type="dxa"/>
            <w:vAlign w:val="bottom"/>
            <w:tcBorders>
              <w:right w:val="single" w:sz="8" w:color="auto"/>
            </w:tcBorders>
          </w:tcPr>
          <w:p>
            <w:pPr>
              <w:ind w:left="820"/>
              <w:spacing w:after="0" w:line="189" w:lineRule="exact"/>
              <w:rPr>
                <w:sz w:val="20"/>
                <w:szCs w:val="20"/>
                <w:color w:val="auto"/>
              </w:rPr>
            </w:pPr>
            <w:r>
              <w:rPr>
                <w:rFonts w:ascii="Arial" w:cs="Arial" w:eastAsia="Arial" w:hAnsi="Arial"/>
                <w:sz w:val="17"/>
                <w:szCs w:val="17"/>
                <w:color w:val="auto"/>
              </w:rPr>
              <w:t>together as a single class, with each share entitling the</w:t>
            </w:r>
          </w:p>
        </w:tc>
        <w:tc>
          <w:tcPr>
            <w:tcW w:w="940" w:type="dxa"/>
            <w:vAlign w:val="bottom"/>
          </w:tcPr>
          <w:p>
            <w:pPr>
              <w:spacing w:after="0"/>
              <w:rPr>
                <w:sz w:val="16"/>
                <w:szCs w:val="16"/>
                <w:color w:val="auto"/>
              </w:rPr>
            </w:pPr>
          </w:p>
        </w:tc>
      </w:tr>
      <w:tr>
        <w:trPr>
          <w:trHeight w:val="205"/>
        </w:trPr>
        <w:tc>
          <w:tcPr>
            <w:tcW w:w="980" w:type="dxa"/>
            <w:vAlign w:val="bottom"/>
            <w:tcBorders>
              <w:right w:val="single" w:sz="8" w:color="auto"/>
            </w:tcBorders>
          </w:tcPr>
          <w:p>
            <w:pPr>
              <w:spacing w:after="0"/>
              <w:rPr>
                <w:sz w:val="17"/>
                <w:szCs w:val="17"/>
                <w:color w:val="auto"/>
              </w:rPr>
            </w:pPr>
          </w:p>
        </w:tc>
        <w:tc>
          <w:tcPr>
            <w:tcW w:w="3720" w:type="dxa"/>
            <w:vAlign w:val="bottom"/>
          </w:tcPr>
          <w:p>
            <w:pPr>
              <w:spacing w:after="0"/>
              <w:rPr>
                <w:sz w:val="17"/>
                <w:szCs w:val="17"/>
                <w:color w:val="auto"/>
              </w:rPr>
            </w:pPr>
          </w:p>
        </w:tc>
        <w:tc>
          <w:tcPr>
            <w:tcW w:w="5380" w:type="dxa"/>
            <w:vAlign w:val="bottom"/>
            <w:tcBorders>
              <w:right w:val="single" w:sz="8" w:color="auto"/>
            </w:tcBorders>
          </w:tcPr>
          <w:p>
            <w:pPr>
              <w:ind w:left="820"/>
              <w:spacing w:after="0"/>
              <w:rPr>
                <w:sz w:val="20"/>
                <w:szCs w:val="20"/>
                <w:color w:val="auto"/>
              </w:rPr>
            </w:pPr>
            <w:r>
              <w:rPr>
                <w:rFonts w:ascii="Arial" w:cs="Arial" w:eastAsia="Arial" w:hAnsi="Arial"/>
                <w:sz w:val="17"/>
                <w:szCs w:val="17"/>
                <w:color w:val="auto"/>
              </w:rPr>
              <w:t>holder to one vote.</w:t>
            </w:r>
          </w:p>
        </w:tc>
        <w:tc>
          <w:tcPr>
            <w:tcW w:w="940" w:type="dxa"/>
            <w:vAlign w:val="bottom"/>
          </w:tcPr>
          <w:p>
            <w:pPr>
              <w:spacing w:after="0"/>
              <w:rPr>
                <w:sz w:val="17"/>
                <w:szCs w:val="17"/>
                <w:color w:val="auto"/>
              </w:rPr>
            </w:pPr>
          </w:p>
        </w:tc>
      </w:tr>
      <w:tr>
        <w:trPr>
          <w:trHeight w:val="281"/>
        </w:trPr>
        <w:tc>
          <w:tcPr>
            <w:tcW w:w="980" w:type="dxa"/>
            <w:vAlign w:val="bottom"/>
            <w:tcBorders>
              <w:right w:val="single" w:sz="8" w:color="auto"/>
            </w:tcBorders>
          </w:tcPr>
          <w:p>
            <w:pPr>
              <w:spacing w:after="0"/>
              <w:rPr>
                <w:sz w:val="24"/>
                <w:szCs w:val="24"/>
                <w:color w:val="auto"/>
              </w:rPr>
            </w:pPr>
          </w:p>
        </w:tc>
        <w:tc>
          <w:tcPr>
            <w:tcW w:w="3720" w:type="dxa"/>
            <w:vAlign w:val="bottom"/>
          </w:tcPr>
          <w:p>
            <w:pPr>
              <w:spacing w:after="0"/>
              <w:rPr>
                <w:sz w:val="24"/>
                <w:szCs w:val="24"/>
                <w:color w:val="auto"/>
              </w:rPr>
            </w:pPr>
          </w:p>
        </w:tc>
        <w:tc>
          <w:tcPr>
            <w:tcW w:w="5380" w:type="dxa"/>
            <w:vAlign w:val="bottom"/>
            <w:tcBorders>
              <w:right w:val="single" w:sz="8" w:color="auto"/>
            </w:tcBorders>
          </w:tcPr>
          <w:p>
            <w:pPr>
              <w:ind w:left="820"/>
              <w:spacing w:after="0"/>
              <w:rPr>
                <w:sz w:val="20"/>
                <w:szCs w:val="20"/>
                <w:color w:val="auto"/>
              </w:rPr>
            </w:pPr>
            <w:r>
              <w:rPr>
                <w:rFonts w:ascii="Arial" w:cs="Arial" w:eastAsia="Arial" w:hAnsi="Arial"/>
                <w:sz w:val="17"/>
                <w:szCs w:val="17"/>
                <w:color w:val="auto"/>
              </w:rPr>
              <w:t>Our amended and restated memorandum and articles of</w:t>
            </w:r>
          </w:p>
        </w:tc>
        <w:tc>
          <w:tcPr>
            <w:tcW w:w="940" w:type="dxa"/>
            <w:vAlign w:val="bottom"/>
          </w:tcPr>
          <w:p>
            <w:pPr>
              <w:spacing w:after="0"/>
              <w:rPr>
                <w:sz w:val="24"/>
                <w:szCs w:val="24"/>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5380" w:type="dxa"/>
            <w:vAlign w:val="bottom"/>
            <w:tcBorders>
              <w:right w:val="single" w:sz="8" w:color="auto"/>
            </w:tcBorders>
          </w:tcPr>
          <w:p>
            <w:pPr>
              <w:ind w:left="820"/>
              <w:spacing w:after="0" w:line="189" w:lineRule="exact"/>
              <w:rPr>
                <w:sz w:val="20"/>
                <w:szCs w:val="20"/>
                <w:color w:val="auto"/>
              </w:rPr>
            </w:pPr>
            <w:r>
              <w:rPr>
                <w:rFonts w:ascii="Arial" w:cs="Arial" w:eastAsia="Arial" w:hAnsi="Arial"/>
                <w:sz w:val="17"/>
                <w:szCs w:val="17"/>
                <w:color w:val="auto"/>
              </w:rPr>
              <w:t>association will provide that our board of directors will be</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5380" w:type="dxa"/>
            <w:vAlign w:val="bottom"/>
            <w:tcBorders>
              <w:right w:val="single" w:sz="8" w:color="auto"/>
            </w:tcBorders>
          </w:tcPr>
          <w:p>
            <w:pPr>
              <w:ind w:left="820"/>
              <w:spacing w:after="0" w:line="189" w:lineRule="exact"/>
              <w:rPr>
                <w:sz w:val="20"/>
                <w:szCs w:val="20"/>
                <w:color w:val="auto"/>
              </w:rPr>
            </w:pPr>
            <w:r>
              <w:rPr>
                <w:rFonts w:ascii="Arial" w:cs="Arial" w:eastAsia="Arial" w:hAnsi="Arial"/>
                <w:sz w:val="17"/>
                <w:szCs w:val="17"/>
                <w:color w:val="auto"/>
              </w:rPr>
              <w:t>divided into three classes with only one class of directors</w:t>
            </w:r>
          </w:p>
        </w:tc>
        <w:tc>
          <w:tcPr>
            <w:tcW w:w="940" w:type="dxa"/>
            <w:vAlign w:val="bottom"/>
          </w:tcPr>
          <w:p>
            <w:pPr>
              <w:spacing w:after="0"/>
              <w:rPr>
                <w:sz w:val="16"/>
                <w:szCs w:val="16"/>
                <w:color w:val="auto"/>
              </w:rPr>
            </w:pPr>
          </w:p>
        </w:tc>
      </w:tr>
      <w:tr>
        <w:trPr>
          <w:trHeight w:val="205"/>
        </w:trPr>
        <w:tc>
          <w:tcPr>
            <w:tcW w:w="980" w:type="dxa"/>
            <w:vAlign w:val="bottom"/>
            <w:tcBorders>
              <w:right w:val="single" w:sz="8" w:color="auto"/>
            </w:tcBorders>
          </w:tcPr>
          <w:p>
            <w:pPr>
              <w:spacing w:after="0"/>
              <w:rPr>
                <w:sz w:val="17"/>
                <w:szCs w:val="17"/>
                <w:color w:val="auto"/>
              </w:rPr>
            </w:pPr>
          </w:p>
        </w:tc>
        <w:tc>
          <w:tcPr>
            <w:tcW w:w="3720" w:type="dxa"/>
            <w:vAlign w:val="bottom"/>
          </w:tcPr>
          <w:p>
            <w:pPr>
              <w:spacing w:after="0"/>
              <w:rPr>
                <w:sz w:val="17"/>
                <w:szCs w:val="17"/>
                <w:color w:val="auto"/>
              </w:rPr>
            </w:pPr>
          </w:p>
        </w:tc>
        <w:tc>
          <w:tcPr>
            <w:tcW w:w="5380" w:type="dxa"/>
            <w:vAlign w:val="bottom"/>
            <w:tcBorders>
              <w:right w:val="single" w:sz="8" w:color="auto"/>
            </w:tcBorders>
          </w:tcPr>
          <w:p>
            <w:pPr>
              <w:ind w:left="820"/>
              <w:spacing w:after="0"/>
              <w:rPr>
                <w:sz w:val="20"/>
                <w:szCs w:val="20"/>
                <w:color w:val="auto"/>
              </w:rPr>
            </w:pPr>
            <w:r>
              <w:rPr>
                <w:rFonts w:ascii="Arial" w:cs="Arial" w:eastAsia="Arial" w:hAnsi="Arial"/>
                <w:sz w:val="17"/>
                <w:szCs w:val="17"/>
                <w:color w:val="auto"/>
              </w:rPr>
              <w:t>being elected in each year and each class (except for</w:t>
            </w:r>
          </w:p>
        </w:tc>
        <w:tc>
          <w:tcPr>
            <w:tcW w:w="940" w:type="dxa"/>
            <w:vAlign w:val="bottom"/>
          </w:tcPr>
          <w:p>
            <w:pPr>
              <w:spacing w:after="0"/>
              <w:rPr>
                <w:sz w:val="17"/>
                <w:szCs w:val="17"/>
                <w:color w:val="auto"/>
              </w:rPr>
            </w:pPr>
          </w:p>
        </w:tc>
      </w:tr>
      <w:tr>
        <w:trPr>
          <w:trHeight w:val="217"/>
        </w:trPr>
        <w:tc>
          <w:tcPr>
            <w:tcW w:w="980" w:type="dxa"/>
            <w:vAlign w:val="bottom"/>
            <w:tcBorders>
              <w:right w:val="single" w:sz="8" w:color="auto"/>
            </w:tcBorders>
          </w:tcPr>
          <w:p>
            <w:pPr>
              <w:spacing w:after="0"/>
              <w:rPr>
                <w:sz w:val="18"/>
                <w:szCs w:val="18"/>
                <w:color w:val="auto"/>
              </w:rPr>
            </w:pPr>
          </w:p>
        </w:tc>
        <w:tc>
          <w:tcPr>
            <w:tcW w:w="3720" w:type="dxa"/>
            <w:vAlign w:val="bottom"/>
            <w:tcBorders>
              <w:bottom w:val="single" w:sz="8" w:color="auto"/>
            </w:tcBorders>
          </w:tcPr>
          <w:p>
            <w:pPr>
              <w:spacing w:after="0"/>
              <w:rPr>
                <w:sz w:val="18"/>
                <w:szCs w:val="18"/>
                <w:color w:val="auto"/>
              </w:rPr>
            </w:pPr>
          </w:p>
        </w:tc>
        <w:tc>
          <w:tcPr>
            <w:tcW w:w="5380" w:type="dxa"/>
            <w:vAlign w:val="bottom"/>
            <w:tcBorders>
              <w:bottom w:val="single" w:sz="8" w:color="auto"/>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r>
      <w:tr>
        <w:trPr>
          <w:trHeight w:val="409"/>
        </w:trPr>
        <w:tc>
          <w:tcPr>
            <w:tcW w:w="9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380" w:type="dxa"/>
            <w:vAlign w:val="bottom"/>
          </w:tcPr>
          <w:p>
            <w:pPr>
              <w:ind w:left="720"/>
              <w:spacing w:after="0"/>
              <w:rPr>
                <w:sz w:val="20"/>
                <w:szCs w:val="20"/>
                <w:color w:val="auto"/>
              </w:rPr>
            </w:pPr>
            <w:r>
              <w:rPr>
                <w:rFonts w:ascii="Arial" w:cs="Arial" w:eastAsia="Arial" w:hAnsi="Arial"/>
                <w:sz w:val="16"/>
                <w:szCs w:val="16"/>
                <w:color w:val="auto"/>
              </w:rPr>
              <w:t>13</w:t>
            </w:r>
          </w:p>
        </w:tc>
        <w:tc>
          <w:tcPr>
            <w:tcW w:w="940" w:type="dxa"/>
            <w:vAlign w:val="bottom"/>
          </w:tcPr>
          <w:p>
            <w:pPr>
              <w:spacing w:after="0"/>
              <w:rPr>
                <w:sz w:val="24"/>
                <w:szCs w:val="24"/>
                <w:color w:val="auto"/>
              </w:rPr>
            </w:pPr>
          </w:p>
        </w:tc>
      </w:tr>
      <w:tr>
        <w:trPr>
          <w:trHeight w:val="175"/>
        </w:trPr>
        <w:tc>
          <w:tcPr>
            <w:tcW w:w="98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tcPr>
          <w:p>
            <w:pPr>
              <w:spacing w:after="0"/>
              <w:rPr>
                <w:sz w:val="15"/>
                <w:szCs w:val="15"/>
                <w:color w:val="auto"/>
              </w:rPr>
            </w:pPr>
          </w:p>
        </w:tc>
        <w:tc>
          <w:tcPr>
            <w:tcW w:w="53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5790565" cy="509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90565" cy="509587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Private placement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Proceeds to be held in trust account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ind w:right="599"/>
        <w:spacing w:after="0" w:line="243" w:lineRule="auto"/>
        <w:rPr>
          <w:sz w:val="20"/>
          <w:szCs w:val="20"/>
          <w:color w:val="auto"/>
        </w:rPr>
      </w:pPr>
      <w:r>
        <w:rPr>
          <w:rFonts w:ascii="Arial" w:cs="Arial" w:eastAsia="Arial" w:hAnsi="Arial"/>
          <w:sz w:val="17"/>
          <w:szCs w:val="17"/>
          <w:color w:val="auto"/>
        </w:rPr>
        <w:t>those directors appointed prior to our first annual meeting of shareholders) serving a three-year term.</w:t>
      </w:r>
    </w:p>
    <w:p>
      <w:pPr>
        <w:spacing w:after="0" w:line="104" w:lineRule="exact"/>
        <w:rPr>
          <w:sz w:val="20"/>
          <w:szCs w:val="20"/>
          <w:color w:val="auto"/>
        </w:rPr>
      </w:pPr>
    </w:p>
    <w:p>
      <w:pPr>
        <w:ind w:right="179"/>
        <w:spacing w:after="0" w:line="233" w:lineRule="auto"/>
        <w:rPr>
          <w:sz w:val="20"/>
          <w:szCs w:val="20"/>
          <w:color w:val="auto"/>
        </w:rPr>
      </w:pPr>
      <w:r>
        <w:rPr>
          <w:rFonts w:ascii="Arial" w:cs="Arial" w:eastAsia="Arial" w:hAnsi="Arial"/>
          <w:sz w:val="17"/>
          <w:szCs w:val="17"/>
          <w:color w:val="auto"/>
        </w:rPr>
        <w:t>Our sponsor has committed, pursuant to a written agreement, to purchase 450,000 private placement shares (or 487,500 private placement shares if the underwriters’ over-allotment option is exercised in full), at a price of $10.00 per share ($4,500,000 in the aggregate or $4,875,000 if the underwriters’ over-allotment option is exercised in full), in a private placement that will close simultaneously with the closing of this offering. The private placement shares are identical to the Class A ordinary shares sold in this offering, subject to certain limited exceptions as described in this prospectus. If we do not consummate an initial business combination within 24 months from the closing of this offering, the proceeds from the sale of the private placement shares held in the trust account will be used to fund the redemption of our public shares (subject to the requirements of applicable law) and the private placement shares will be worthless.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Nasdaq rules provide that at least 90% of the gross</w:t>
      </w:r>
    </w:p>
    <w:p>
      <w:pPr>
        <w:spacing w:after="0" w:line="232" w:lineRule="auto"/>
        <w:rPr>
          <w:sz w:val="20"/>
          <w:szCs w:val="20"/>
          <w:color w:val="auto"/>
        </w:rPr>
      </w:pPr>
      <w:r>
        <w:rPr>
          <w:rFonts w:ascii="Arial" w:cs="Arial" w:eastAsia="Arial" w:hAnsi="Arial"/>
          <w:sz w:val="17"/>
          <w:szCs w:val="17"/>
          <w:color w:val="auto"/>
        </w:rPr>
        <w:t>proceeds from this offering and the sale of the private</w:t>
      </w:r>
    </w:p>
    <w:p>
      <w:pPr>
        <w:spacing w:after="0" w:line="232" w:lineRule="auto"/>
        <w:rPr>
          <w:sz w:val="20"/>
          <w:szCs w:val="20"/>
          <w:color w:val="auto"/>
        </w:rPr>
      </w:pPr>
      <w:r>
        <w:rPr>
          <w:rFonts w:ascii="Arial" w:cs="Arial" w:eastAsia="Arial" w:hAnsi="Arial"/>
          <w:sz w:val="17"/>
          <w:szCs w:val="17"/>
          <w:color w:val="auto"/>
        </w:rPr>
        <w:t>placement shares be deposited in a trust account. Of the</w:t>
      </w:r>
    </w:p>
    <w:p>
      <w:pPr>
        <w:spacing w:after="0" w:line="232" w:lineRule="auto"/>
        <w:rPr>
          <w:sz w:val="20"/>
          <w:szCs w:val="20"/>
          <w:color w:val="auto"/>
        </w:rPr>
      </w:pPr>
      <w:r>
        <w:rPr>
          <w:rFonts w:ascii="Arial" w:cs="Arial" w:eastAsia="Arial" w:hAnsi="Arial"/>
          <w:sz w:val="17"/>
          <w:szCs w:val="17"/>
          <w:color w:val="auto"/>
        </w:rPr>
        <w:t>proceeds we will receive from this offering and the sale</w:t>
      </w:r>
    </w:p>
    <w:p>
      <w:pPr>
        <w:spacing w:after="0" w:line="232" w:lineRule="auto"/>
        <w:rPr>
          <w:sz w:val="20"/>
          <w:szCs w:val="20"/>
          <w:color w:val="auto"/>
        </w:rPr>
      </w:pPr>
      <w:r>
        <w:rPr>
          <w:rFonts w:ascii="Arial" w:cs="Arial" w:eastAsia="Arial" w:hAnsi="Arial"/>
          <w:sz w:val="17"/>
          <w:szCs w:val="17"/>
          <w:color w:val="auto"/>
        </w:rPr>
        <w:t>of the private placement shares described in this</w:t>
      </w:r>
    </w:p>
    <w:p>
      <w:pPr>
        <w:spacing w:after="0" w:line="232" w:lineRule="auto"/>
        <w:rPr>
          <w:sz w:val="20"/>
          <w:szCs w:val="20"/>
          <w:color w:val="auto"/>
        </w:rPr>
      </w:pPr>
      <w:r>
        <w:rPr>
          <w:rFonts w:ascii="Arial" w:cs="Arial" w:eastAsia="Arial" w:hAnsi="Arial"/>
          <w:sz w:val="17"/>
          <w:szCs w:val="17"/>
          <w:color w:val="auto"/>
        </w:rPr>
        <w:t>prospectus, $125.0 million, or $143.75 million if the</w:t>
      </w:r>
    </w:p>
    <w:p>
      <w:pPr>
        <w:spacing w:after="0" w:line="232" w:lineRule="auto"/>
        <w:rPr>
          <w:sz w:val="20"/>
          <w:szCs w:val="20"/>
          <w:color w:val="auto"/>
        </w:rPr>
      </w:pPr>
      <w:r>
        <w:rPr>
          <w:rFonts w:ascii="Arial" w:cs="Arial" w:eastAsia="Arial" w:hAnsi="Arial"/>
          <w:sz w:val="17"/>
          <w:szCs w:val="17"/>
          <w:color w:val="auto"/>
        </w:rPr>
        <w:t>underwriters’ over-allotment option is exercised in full</w:t>
      </w:r>
    </w:p>
    <w:p>
      <w:pPr>
        <w:spacing w:after="0" w:line="232" w:lineRule="auto"/>
        <w:rPr>
          <w:sz w:val="20"/>
          <w:szCs w:val="20"/>
          <w:color w:val="auto"/>
        </w:rPr>
      </w:pPr>
      <w:r>
        <w:rPr>
          <w:rFonts w:ascii="Arial" w:cs="Arial" w:eastAsia="Arial" w:hAnsi="Arial"/>
          <w:sz w:val="17"/>
          <w:szCs w:val="17"/>
          <w:color w:val="auto"/>
        </w:rPr>
        <w:t>($10.00 per share in either case), will be deposited into a</w:t>
      </w:r>
    </w:p>
    <w:p>
      <w:pPr>
        <w:spacing w:after="0" w:line="232" w:lineRule="auto"/>
        <w:rPr>
          <w:sz w:val="20"/>
          <w:szCs w:val="20"/>
          <w:color w:val="auto"/>
        </w:rPr>
      </w:pPr>
      <w:r>
        <w:rPr>
          <w:rFonts w:ascii="Arial" w:cs="Arial" w:eastAsia="Arial" w:hAnsi="Arial"/>
          <w:sz w:val="17"/>
          <w:szCs w:val="17"/>
          <w:color w:val="auto"/>
        </w:rPr>
        <w:t>segregated trust account located in the United States at</w:t>
      </w:r>
    </w:p>
    <w:p>
      <w:pPr>
        <w:spacing w:after="0" w:line="232" w:lineRule="auto"/>
        <w:rPr>
          <w:sz w:val="20"/>
          <w:szCs w:val="20"/>
          <w:color w:val="auto"/>
        </w:rPr>
      </w:pPr>
      <w:r>
        <w:rPr>
          <w:rFonts w:ascii="Arial" w:cs="Arial" w:eastAsia="Arial" w:hAnsi="Arial"/>
          <w:sz w:val="17"/>
          <w:szCs w:val="17"/>
          <w:color w:val="auto"/>
        </w:rPr>
        <w:t>J.P. Morgan Chase Bank, N.A. with Continental Stock</w:t>
      </w:r>
    </w:p>
    <w:p>
      <w:pPr>
        <w:spacing w:after="0" w:line="232" w:lineRule="auto"/>
        <w:rPr>
          <w:sz w:val="20"/>
          <w:szCs w:val="20"/>
          <w:color w:val="auto"/>
        </w:rPr>
      </w:pPr>
      <w:r>
        <w:rPr>
          <w:rFonts w:ascii="Arial" w:cs="Arial" w:eastAsia="Arial" w:hAnsi="Arial"/>
          <w:sz w:val="17"/>
          <w:szCs w:val="17"/>
          <w:color w:val="auto"/>
        </w:rPr>
        <w:t>Transfer &amp; Trust Company acting as trustee and</w:t>
      </w:r>
    </w:p>
    <w:p>
      <w:pPr>
        <w:spacing w:after="0" w:line="232" w:lineRule="auto"/>
        <w:rPr>
          <w:sz w:val="20"/>
          <w:szCs w:val="20"/>
          <w:color w:val="auto"/>
        </w:rPr>
      </w:pPr>
      <w:r>
        <w:rPr>
          <w:rFonts w:ascii="Arial" w:cs="Arial" w:eastAsia="Arial" w:hAnsi="Arial"/>
          <w:sz w:val="17"/>
          <w:szCs w:val="17"/>
          <w:color w:val="auto"/>
        </w:rPr>
        <w:t>approximately $1,000,000 will be used to pay expenses</w:t>
      </w:r>
    </w:p>
    <w:p>
      <w:pPr>
        <w:spacing w:after="0" w:line="232" w:lineRule="auto"/>
        <w:rPr>
          <w:sz w:val="20"/>
          <w:szCs w:val="20"/>
          <w:color w:val="auto"/>
        </w:rPr>
      </w:pPr>
      <w:r>
        <w:rPr>
          <w:rFonts w:ascii="Arial" w:cs="Arial" w:eastAsia="Arial" w:hAnsi="Arial"/>
          <w:sz w:val="17"/>
          <w:szCs w:val="17"/>
          <w:color w:val="auto"/>
        </w:rPr>
        <w:t>in connection with the closing of this offering and</w:t>
      </w:r>
    </w:p>
    <w:p>
      <w:pPr>
        <w:spacing w:after="0" w:line="232" w:lineRule="auto"/>
        <w:rPr>
          <w:sz w:val="20"/>
          <w:szCs w:val="20"/>
          <w:color w:val="auto"/>
        </w:rPr>
      </w:pPr>
      <w:r>
        <w:rPr>
          <w:rFonts w:ascii="Arial" w:cs="Arial" w:eastAsia="Arial" w:hAnsi="Arial"/>
          <w:sz w:val="17"/>
          <w:szCs w:val="17"/>
          <w:color w:val="auto"/>
        </w:rPr>
        <w:t>approximately $1,000,000 will be used for working</w:t>
      </w:r>
    </w:p>
    <w:p>
      <w:pPr>
        <w:spacing w:after="0" w:line="232" w:lineRule="auto"/>
        <w:rPr>
          <w:sz w:val="20"/>
          <w:szCs w:val="20"/>
          <w:color w:val="auto"/>
        </w:rPr>
      </w:pPr>
      <w:r>
        <w:rPr>
          <w:rFonts w:ascii="Arial" w:cs="Arial" w:eastAsia="Arial" w:hAnsi="Arial"/>
          <w:sz w:val="17"/>
          <w:szCs w:val="17"/>
          <w:color w:val="auto"/>
        </w:rPr>
        <w:t>capital following this offering. The proceeds to be placed</w:t>
      </w:r>
    </w:p>
    <w:p>
      <w:pPr>
        <w:spacing w:after="0" w:line="232" w:lineRule="auto"/>
        <w:rPr>
          <w:sz w:val="20"/>
          <w:szCs w:val="20"/>
          <w:color w:val="auto"/>
        </w:rPr>
      </w:pPr>
      <w:r>
        <w:rPr>
          <w:rFonts w:ascii="Arial" w:cs="Arial" w:eastAsia="Arial" w:hAnsi="Arial"/>
          <w:sz w:val="17"/>
          <w:szCs w:val="17"/>
          <w:color w:val="auto"/>
        </w:rPr>
        <w:t>in the trust account include $4,375,000 (or $5,031,250 if</w:t>
      </w:r>
    </w:p>
    <w:p>
      <w:pPr>
        <w:spacing w:after="0" w:line="232" w:lineRule="auto"/>
        <w:rPr>
          <w:sz w:val="20"/>
          <w:szCs w:val="20"/>
          <w:color w:val="auto"/>
        </w:rPr>
      </w:pPr>
      <w:r>
        <w:rPr>
          <w:rFonts w:ascii="Arial" w:cs="Arial" w:eastAsia="Arial" w:hAnsi="Arial"/>
          <w:sz w:val="17"/>
          <w:szCs w:val="17"/>
          <w:color w:val="auto"/>
        </w:rPr>
        <w:t>the underwriters’ over-allotment option is exercised in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full) in deferred underwriting commissions.</w:t>
      </w:r>
    </w:p>
    <w:p>
      <w:pPr>
        <w:spacing w:after="0" w:line="200" w:lineRule="exact"/>
        <w:rPr>
          <w:sz w:val="20"/>
          <w:szCs w:val="20"/>
          <w:color w:val="auto"/>
        </w:rPr>
      </w:pPr>
    </w:p>
    <w:p>
      <w:pPr>
        <w:sectPr>
          <w:pgSz w:w="11900" w:h="16838" w:orient="portrait"/>
          <w:cols w:equalWidth="0" w:num="2">
            <w:col w:w="3840" w:space="720"/>
            <w:col w:w="4499"/>
          </w:cols>
          <w:pgMar w:left="1400" w:top="265" w:right="1440" w:bottom="1440" w:gutter="0" w:footer="0" w:header="0"/>
          <w:type w:val="continuous"/>
        </w:sectPr>
      </w:pPr>
    </w:p>
    <w:p>
      <w:pPr>
        <w:spacing w:after="0" w:line="24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type w:val="continuous"/>
        </w:sectPr>
      </w:pPr>
    </w:p>
    <w:bookmarkStart w:id="17" w:name="page18"/>
    <w:bookmarkEnd w:id="1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5790565" cy="52933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90565" cy="529336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Except with respect to interest earned on the funds held</w:t>
      </w:r>
    </w:p>
    <w:p>
      <w:pPr>
        <w:ind w:left="4560"/>
        <w:spacing w:after="0" w:line="232" w:lineRule="auto"/>
        <w:rPr>
          <w:sz w:val="20"/>
          <w:szCs w:val="20"/>
          <w:color w:val="auto"/>
        </w:rPr>
      </w:pPr>
      <w:r>
        <w:rPr>
          <w:rFonts w:ascii="Arial" w:cs="Arial" w:eastAsia="Arial" w:hAnsi="Arial"/>
          <w:sz w:val="17"/>
          <w:szCs w:val="17"/>
          <w:color w:val="auto"/>
        </w:rPr>
        <w:t>in the trust account that may be released to us to pay our</w:t>
      </w:r>
    </w:p>
    <w:p>
      <w:pPr>
        <w:ind w:left="4560"/>
        <w:spacing w:after="0" w:line="232" w:lineRule="auto"/>
        <w:rPr>
          <w:sz w:val="20"/>
          <w:szCs w:val="20"/>
          <w:color w:val="auto"/>
        </w:rPr>
      </w:pPr>
      <w:r>
        <w:rPr>
          <w:rFonts w:ascii="Arial" w:cs="Arial" w:eastAsia="Arial" w:hAnsi="Arial"/>
          <w:sz w:val="17"/>
          <w:szCs w:val="17"/>
          <w:color w:val="auto"/>
        </w:rPr>
        <w:t>income taxes, if any, our amended and restated</w:t>
      </w:r>
    </w:p>
    <w:p>
      <w:pPr>
        <w:ind w:left="4560"/>
        <w:spacing w:after="0" w:line="232" w:lineRule="auto"/>
        <w:rPr>
          <w:sz w:val="20"/>
          <w:szCs w:val="20"/>
          <w:color w:val="auto"/>
        </w:rPr>
      </w:pPr>
      <w:r>
        <w:rPr>
          <w:rFonts w:ascii="Arial" w:cs="Arial" w:eastAsia="Arial" w:hAnsi="Arial"/>
          <w:sz w:val="17"/>
          <w:szCs w:val="17"/>
          <w:color w:val="auto"/>
        </w:rPr>
        <w:t>memorandum and articles of association, as discussed</w:t>
      </w:r>
    </w:p>
    <w:p>
      <w:pPr>
        <w:ind w:left="4560"/>
        <w:spacing w:after="0" w:line="232" w:lineRule="auto"/>
        <w:rPr>
          <w:sz w:val="20"/>
          <w:szCs w:val="20"/>
          <w:color w:val="auto"/>
        </w:rPr>
      </w:pPr>
      <w:r>
        <w:rPr>
          <w:rFonts w:ascii="Arial" w:cs="Arial" w:eastAsia="Arial" w:hAnsi="Arial"/>
          <w:sz w:val="17"/>
          <w:szCs w:val="17"/>
          <w:color w:val="auto"/>
        </w:rPr>
        <w:t>below and subject to the requirements of law and</w:t>
      </w:r>
    </w:p>
    <w:p>
      <w:pPr>
        <w:ind w:left="4560"/>
        <w:spacing w:after="0" w:line="232" w:lineRule="auto"/>
        <w:rPr>
          <w:sz w:val="20"/>
          <w:szCs w:val="20"/>
          <w:color w:val="auto"/>
        </w:rPr>
      </w:pPr>
      <w:r>
        <w:rPr>
          <w:rFonts w:ascii="Arial" w:cs="Arial" w:eastAsia="Arial" w:hAnsi="Arial"/>
          <w:sz w:val="17"/>
          <w:szCs w:val="17"/>
          <w:color w:val="auto"/>
        </w:rPr>
        <w:t>regulation, will provide that the proceeds from this</w:t>
      </w:r>
    </w:p>
    <w:p>
      <w:pPr>
        <w:ind w:left="4560"/>
        <w:spacing w:after="0" w:line="232" w:lineRule="auto"/>
        <w:rPr>
          <w:sz w:val="20"/>
          <w:szCs w:val="20"/>
          <w:color w:val="auto"/>
        </w:rPr>
      </w:pPr>
      <w:r>
        <w:rPr>
          <w:rFonts w:ascii="Arial" w:cs="Arial" w:eastAsia="Arial" w:hAnsi="Arial"/>
          <w:sz w:val="17"/>
          <w:szCs w:val="17"/>
          <w:color w:val="auto"/>
        </w:rPr>
        <w:t>offering and the sale of the private placement shares</w:t>
      </w:r>
    </w:p>
    <w:p>
      <w:pPr>
        <w:ind w:left="4560"/>
        <w:spacing w:after="0" w:line="232" w:lineRule="auto"/>
        <w:rPr>
          <w:sz w:val="20"/>
          <w:szCs w:val="20"/>
          <w:color w:val="auto"/>
        </w:rPr>
      </w:pPr>
      <w:r>
        <w:rPr>
          <w:rFonts w:ascii="Arial" w:cs="Arial" w:eastAsia="Arial" w:hAnsi="Arial"/>
          <w:sz w:val="17"/>
          <w:szCs w:val="17"/>
          <w:color w:val="auto"/>
        </w:rPr>
        <w:t>held in the trust account will not be released from the</w:t>
      </w:r>
    </w:p>
    <w:p>
      <w:pPr>
        <w:ind w:left="4560"/>
        <w:spacing w:after="0" w:line="232" w:lineRule="auto"/>
        <w:rPr>
          <w:sz w:val="20"/>
          <w:szCs w:val="20"/>
          <w:color w:val="auto"/>
        </w:rPr>
      </w:pPr>
      <w:r>
        <w:rPr>
          <w:rFonts w:ascii="Arial" w:cs="Arial" w:eastAsia="Arial" w:hAnsi="Arial"/>
          <w:sz w:val="17"/>
          <w:szCs w:val="17"/>
          <w:color w:val="auto"/>
        </w:rPr>
        <w:t>trust account (1) to us, until the completion of our initial</w:t>
      </w:r>
    </w:p>
    <w:p>
      <w:pPr>
        <w:ind w:left="4560"/>
        <w:spacing w:after="0" w:line="232" w:lineRule="auto"/>
        <w:rPr>
          <w:sz w:val="20"/>
          <w:szCs w:val="20"/>
          <w:color w:val="auto"/>
        </w:rPr>
      </w:pPr>
      <w:r>
        <w:rPr>
          <w:rFonts w:ascii="Arial" w:cs="Arial" w:eastAsia="Arial" w:hAnsi="Arial"/>
          <w:sz w:val="17"/>
          <w:szCs w:val="17"/>
          <w:color w:val="auto"/>
        </w:rPr>
        <w:t>business combination, or (2) to our public shareholders,</w:t>
      </w:r>
    </w:p>
    <w:p>
      <w:pPr>
        <w:ind w:left="4560"/>
        <w:spacing w:after="0" w:line="232" w:lineRule="auto"/>
        <w:rPr>
          <w:sz w:val="20"/>
          <w:szCs w:val="20"/>
          <w:color w:val="auto"/>
        </w:rPr>
      </w:pPr>
      <w:r>
        <w:rPr>
          <w:rFonts w:ascii="Arial" w:cs="Arial" w:eastAsia="Arial" w:hAnsi="Arial"/>
          <w:sz w:val="17"/>
          <w:szCs w:val="17"/>
          <w:color w:val="auto"/>
        </w:rPr>
        <w:t>until the earliest of (a) the completion of our initial</w:t>
      </w:r>
    </w:p>
    <w:p>
      <w:pPr>
        <w:ind w:left="4560"/>
        <w:spacing w:after="0" w:line="232" w:lineRule="auto"/>
        <w:rPr>
          <w:sz w:val="20"/>
          <w:szCs w:val="20"/>
          <w:color w:val="auto"/>
        </w:rPr>
      </w:pPr>
      <w:r>
        <w:rPr>
          <w:rFonts w:ascii="Arial" w:cs="Arial" w:eastAsia="Arial" w:hAnsi="Arial"/>
          <w:sz w:val="17"/>
          <w:szCs w:val="17"/>
          <w:color w:val="auto"/>
        </w:rPr>
        <w:t>business combination, and then only in connection with</w:t>
      </w:r>
    </w:p>
    <w:p>
      <w:pPr>
        <w:ind w:left="4560"/>
        <w:spacing w:after="0" w:line="232" w:lineRule="auto"/>
        <w:rPr>
          <w:sz w:val="20"/>
          <w:szCs w:val="20"/>
          <w:color w:val="auto"/>
        </w:rPr>
      </w:pPr>
      <w:r>
        <w:rPr>
          <w:rFonts w:ascii="Arial" w:cs="Arial" w:eastAsia="Arial" w:hAnsi="Arial"/>
          <w:sz w:val="17"/>
          <w:szCs w:val="17"/>
          <w:color w:val="auto"/>
        </w:rPr>
        <w:t>those Class A ordinary shares that such shareholders</w:t>
      </w:r>
    </w:p>
    <w:p>
      <w:pPr>
        <w:ind w:left="4560"/>
        <w:spacing w:after="0" w:line="232" w:lineRule="auto"/>
        <w:rPr>
          <w:sz w:val="20"/>
          <w:szCs w:val="20"/>
          <w:color w:val="auto"/>
        </w:rPr>
      </w:pPr>
      <w:r>
        <w:rPr>
          <w:rFonts w:ascii="Arial" w:cs="Arial" w:eastAsia="Arial" w:hAnsi="Arial"/>
          <w:sz w:val="17"/>
          <w:szCs w:val="17"/>
          <w:color w:val="auto"/>
        </w:rPr>
        <w:t>properly elected to redeem, subject to the limitations</w:t>
      </w:r>
    </w:p>
    <w:p>
      <w:pPr>
        <w:ind w:left="4560"/>
        <w:spacing w:after="0" w:line="232" w:lineRule="auto"/>
        <w:rPr>
          <w:sz w:val="20"/>
          <w:szCs w:val="20"/>
          <w:color w:val="auto"/>
        </w:rPr>
      </w:pPr>
      <w:r>
        <w:rPr>
          <w:rFonts w:ascii="Arial" w:cs="Arial" w:eastAsia="Arial" w:hAnsi="Arial"/>
          <w:sz w:val="17"/>
          <w:szCs w:val="17"/>
          <w:color w:val="auto"/>
        </w:rPr>
        <w:t>described herein, (b) the redemption of any public</w:t>
      </w:r>
    </w:p>
    <w:p>
      <w:pPr>
        <w:ind w:left="4560"/>
        <w:spacing w:after="0" w:line="232" w:lineRule="auto"/>
        <w:rPr>
          <w:sz w:val="20"/>
          <w:szCs w:val="20"/>
          <w:color w:val="auto"/>
        </w:rPr>
      </w:pPr>
      <w:r>
        <w:rPr>
          <w:rFonts w:ascii="Arial" w:cs="Arial" w:eastAsia="Arial" w:hAnsi="Arial"/>
          <w:sz w:val="17"/>
          <w:szCs w:val="17"/>
          <w:color w:val="auto"/>
        </w:rPr>
        <w:t>shares properly tendered in connection with a</w:t>
      </w:r>
    </w:p>
    <w:p>
      <w:pPr>
        <w:ind w:left="4560"/>
        <w:spacing w:after="0" w:line="232" w:lineRule="auto"/>
        <w:rPr>
          <w:sz w:val="20"/>
          <w:szCs w:val="20"/>
          <w:color w:val="auto"/>
        </w:rPr>
      </w:pPr>
      <w:r>
        <w:rPr>
          <w:rFonts w:ascii="Arial" w:cs="Arial" w:eastAsia="Arial" w:hAnsi="Arial"/>
          <w:sz w:val="17"/>
          <w:szCs w:val="17"/>
          <w:color w:val="auto"/>
        </w:rPr>
        <w:t>shareholder vote to amend our amended and restated</w:t>
      </w:r>
    </w:p>
    <w:p>
      <w:pPr>
        <w:ind w:left="4560"/>
        <w:spacing w:after="0" w:line="232" w:lineRule="auto"/>
        <w:rPr>
          <w:sz w:val="20"/>
          <w:szCs w:val="20"/>
          <w:color w:val="auto"/>
        </w:rPr>
      </w:pPr>
      <w:r>
        <w:rPr>
          <w:rFonts w:ascii="Arial" w:cs="Arial" w:eastAsia="Arial" w:hAnsi="Arial"/>
          <w:sz w:val="17"/>
          <w:szCs w:val="17"/>
          <w:color w:val="auto"/>
        </w:rPr>
        <w:t>memorandum and articles of association (A) to modify</w:t>
      </w:r>
    </w:p>
    <w:p>
      <w:pPr>
        <w:ind w:left="4560"/>
        <w:spacing w:after="0" w:line="232" w:lineRule="auto"/>
        <w:rPr>
          <w:sz w:val="20"/>
          <w:szCs w:val="20"/>
          <w:color w:val="auto"/>
        </w:rPr>
      </w:pPr>
      <w:r>
        <w:rPr>
          <w:rFonts w:ascii="Arial" w:cs="Arial" w:eastAsia="Arial" w:hAnsi="Arial"/>
          <w:sz w:val="17"/>
          <w:szCs w:val="17"/>
          <w:color w:val="auto"/>
        </w:rPr>
        <w:t>the substance or timing of our obligation to provide</w:t>
      </w:r>
    </w:p>
    <w:p>
      <w:pPr>
        <w:ind w:left="4560"/>
        <w:spacing w:after="0" w:line="232" w:lineRule="auto"/>
        <w:rPr>
          <w:sz w:val="20"/>
          <w:szCs w:val="20"/>
          <w:color w:val="auto"/>
        </w:rPr>
      </w:pPr>
      <w:r>
        <w:rPr>
          <w:rFonts w:ascii="Arial" w:cs="Arial" w:eastAsia="Arial" w:hAnsi="Arial"/>
          <w:sz w:val="17"/>
          <w:szCs w:val="17"/>
          <w:color w:val="auto"/>
        </w:rPr>
        <w:t>holders of our Class A ordinary shares the right to have</w:t>
      </w:r>
    </w:p>
    <w:p>
      <w:pPr>
        <w:ind w:left="4560"/>
        <w:spacing w:after="0" w:line="233" w:lineRule="auto"/>
        <w:rPr>
          <w:sz w:val="20"/>
          <w:szCs w:val="20"/>
          <w:color w:val="auto"/>
        </w:rPr>
      </w:pPr>
      <w:r>
        <w:rPr>
          <w:rFonts w:ascii="Arial" w:cs="Arial" w:eastAsia="Arial" w:hAnsi="Arial"/>
          <w:sz w:val="17"/>
          <w:szCs w:val="17"/>
          <w:color w:val="auto"/>
        </w:rPr>
        <w:t>their shares redeemed in connection with our initial</w:t>
      </w:r>
    </w:p>
    <w:p>
      <w:pPr>
        <w:ind w:left="4560"/>
        <w:spacing w:after="0" w:line="232" w:lineRule="auto"/>
        <w:rPr>
          <w:sz w:val="20"/>
          <w:szCs w:val="20"/>
          <w:color w:val="auto"/>
        </w:rPr>
      </w:pPr>
      <w:r>
        <w:rPr>
          <w:rFonts w:ascii="Arial" w:cs="Arial" w:eastAsia="Arial" w:hAnsi="Arial"/>
          <w:sz w:val="17"/>
          <w:szCs w:val="17"/>
          <w:color w:val="auto"/>
        </w:rPr>
        <w:t>business combination or to redeem 100% of our public</w:t>
      </w:r>
    </w:p>
    <w:p>
      <w:pPr>
        <w:ind w:left="4560"/>
        <w:spacing w:after="0" w:line="232" w:lineRule="auto"/>
        <w:rPr>
          <w:sz w:val="20"/>
          <w:szCs w:val="20"/>
          <w:color w:val="auto"/>
        </w:rPr>
      </w:pPr>
      <w:r>
        <w:rPr>
          <w:rFonts w:ascii="Arial" w:cs="Arial" w:eastAsia="Arial" w:hAnsi="Arial"/>
          <w:sz w:val="17"/>
          <w:szCs w:val="17"/>
          <w:color w:val="auto"/>
        </w:rPr>
        <w:t>shares if we do not complete our initial business</w:t>
      </w:r>
    </w:p>
    <w:p>
      <w:pPr>
        <w:ind w:left="4560"/>
        <w:spacing w:after="0" w:line="232" w:lineRule="auto"/>
        <w:rPr>
          <w:sz w:val="20"/>
          <w:szCs w:val="20"/>
          <w:color w:val="auto"/>
        </w:rPr>
      </w:pPr>
      <w:r>
        <w:rPr>
          <w:rFonts w:ascii="Arial" w:cs="Arial" w:eastAsia="Arial" w:hAnsi="Arial"/>
          <w:sz w:val="17"/>
          <w:szCs w:val="17"/>
          <w:color w:val="auto"/>
        </w:rPr>
        <w:t>combination within 24 months from the closing of this</w:t>
      </w:r>
    </w:p>
    <w:p>
      <w:pPr>
        <w:ind w:left="4560"/>
        <w:spacing w:after="0" w:line="232" w:lineRule="auto"/>
        <w:rPr>
          <w:sz w:val="20"/>
          <w:szCs w:val="20"/>
          <w:color w:val="auto"/>
        </w:rPr>
      </w:pPr>
      <w:r>
        <w:rPr>
          <w:rFonts w:ascii="Arial" w:cs="Arial" w:eastAsia="Arial" w:hAnsi="Arial"/>
          <w:sz w:val="17"/>
          <w:szCs w:val="17"/>
          <w:color w:val="auto"/>
        </w:rPr>
        <w:t>offering or (B) with respect to any other provision relating</w:t>
      </w:r>
    </w:p>
    <w:p>
      <w:pPr>
        <w:ind w:left="4560"/>
        <w:spacing w:after="0" w:line="232" w:lineRule="auto"/>
        <w:rPr>
          <w:sz w:val="20"/>
          <w:szCs w:val="20"/>
          <w:color w:val="auto"/>
        </w:rPr>
      </w:pPr>
      <w:r>
        <w:rPr>
          <w:rFonts w:ascii="Arial" w:cs="Arial" w:eastAsia="Arial" w:hAnsi="Arial"/>
          <w:sz w:val="17"/>
          <w:szCs w:val="17"/>
          <w:color w:val="auto"/>
        </w:rPr>
        <w:t>to the rights of holders of our Class A ordinary shares,</w:t>
      </w:r>
    </w:p>
    <w:p>
      <w:pPr>
        <w:ind w:left="4560"/>
        <w:spacing w:after="0" w:line="232" w:lineRule="auto"/>
        <w:rPr>
          <w:sz w:val="20"/>
          <w:szCs w:val="20"/>
          <w:color w:val="auto"/>
        </w:rPr>
      </w:pPr>
      <w:r>
        <w:rPr>
          <w:rFonts w:ascii="Arial" w:cs="Arial" w:eastAsia="Arial" w:hAnsi="Arial"/>
          <w:sz w:val="17"/>
          <w:szCs w:val="17"/>
          <w:color w:val="auto"/>
        </w:rPr>
        <w:t>and (c) the redemption of our public shares if we have</w:t>
      </w:r>
    </w:p>
    <w:p>
      <w:pPr>
        <w:ind w:left="4560"/>
        <w:spacing w:after="0" w:line="232" w:lineRule="auto"/>
        <w:rPr>
          <w:sz w:val="20"/>
          <w:szCs w:val="20"/>
          <w:color w:val="auto"/>
        </w:rPr>
      </w:pPr>
      <w:r>
        <w:rPr>
          <w:rFonts w:ascii="Arial" w:cs="Arial" w:eastAsia="Arial" w:hAnsi="Arial"/>
          <w:sz w:val="17"/>
          <w:szCs w:val="17"/>
          <w:color w:val="auto"/>
        </w:rPr>
        <w:t>not consummated our business combination within 24</w:t>
      </w:r>
    </w:p>
    <w:p>
      <w:pPr>
        <w:ind w:left="4560"/>
        <w:spacing w:after="0" w:line="232" w:lineRule="auto"/>
        <w:rPr>
          <w:sz w:val="20"/>
          <w:szCs w:val="20"/>
          <w:color w:val="auto"/>
        </w:rPr>
      </w:pPr>
      <w:r>
        <w:rPr>
          <w:rFonts w:ascii="Arial" w:cs="Arial" w:eastAsia="Arial" w:hAnsi="Arial"/>
          <w:sz w:val="17"/>
          <w:szCs w:val="17"/>
          <w:color w:val="auto"/>
        </w:rPr>
        <w:t>months from the closing of this offering, subject to</w:t>
      </w:r>
    </w:p>
    <w:p>
      <w:pPr>
        <w:ind w:left="4560"/>
        <w:spacing w:after="0" w:line="232" w:lineRule="auto"/>
        <w:rPr>
          <w:sz w:val="20"/>
          <w:szCs w:val="20"/>
          <w:color w:val="auto"/>
        </w:rPr>
      </w:pPr>
      <w:r>
        <w:rPr>
          <w:rFonts w:ascii="Arial" w:cs="Arial" w:eastAsia="Arial" w:hAnsi="Arial"/>
          <w:sz w:val="17"/>
          <w:szCs w:val="17"/>
          <w:color w:val="auto"/>
        </w:rPr>
        <w:t>applicable law. Public shareholders who redeem their</w:t>
      </w:r>
    </w:p>
    <w:p>
      <w:pPr>
        <w:ind w:left="4560"/>
        <w:spacing w:after="0" w:line="232" w:lineRule="auto"/>
        <w:rPr>
          <w:sz w:val="20"/>
          <w:szCs w:val="20"/>
          <w:color w:val="auto"/>
        </w:rPr>
      </w:pPr>
      <w:r>
        <w:rPr>
          <w:rFonts w:ascii="Arial" w:cs="Arial" w:eastAsia="Arial" w:hAnsi="Arial"/>
          <w:sz w:val="17"/>
          <w:szCs w:val="17"/>
          <w:color w:val="auto"/>
        </w:rPr>
        <w:t>Class A ordinary shares in connection with a shareholder</w:t>
      </w:r>
    </w:p>
    <w:p>
      <w:pPr>
        <w:ind w:left="4560"/>
        <w:spacing w:after="0" w:line="232" w:lineRule="auto"/>
        <w:rPr>
          <w:sz w:val="20"/>
          <w:szCs w:val="20"/>
          <w:color w:val="auto"/>
        </w:rPr>
      </w:pPr>
      <w:r>
        <w:rPr>
          <w:rFonts w:ascii="Arial" w:cs="Arial" w:eastAsia="Arial" w:hAnsi="Arial"/>
          <w:sz w:val="17"/>
          <w:szCs w:val="17"/>
          <w:color w:val="auto"/>
        </w:rPr>
        <w:t>vote described in clause (b) in the preceding sentence</w:t>
      </w:r>
    </w:p>
    <w:p>
      <w:pPr>
        <w:ind w:left="4560"/>
        <w:spacing w:after="0" w:line="232" w:lineRule="auto"/>
        <w:rPr>
          <w:sz w:val="20"/>
          <w:szCs w:val="20"/>
          <w:color w:val="auto"/>
        </w:rPr>
      </w:pPr>
      <w:r>
        <w:rPr>
          <w:rFonts w:ascii="Arial" w:cs="Arial" w:eastAsia="Arial" w:hAnsi="Arial"/>
          <w:sz w:val="17"/>
          <w:szCs w:val="17"/>
          <w:color w:val="auto"/>
        </w:rPr>
        <w:t>shall not be entitled to funds from the trust account upon</w:t>
      </w:r>
    </w:p>
    <w:p>
      <w:pPr>
        <w:ind w:left="4560"/>
        <w:spacing w:after="0" w:line="232" w:lineRule="auto"/>
        <w:rPr>
          <w:sz w:val="20"/>
          <w:szCs w:val="20"/>
          <w:color w:val="auto"/>
        </w:rPr>
      </w:pPr>
      <w:r>
        <w:rPr>
          <w:rFonts w:ascii="Arial" w:cs="Arial" w:eastAsia="Arial" w:hAnsi="Arial"/>
          <w:sz w:val="17"/>
          <w:szCs w:val="17"/>
          <w:color w:val="auto"/>
        </w:rPr>
        <w:t>the subsequent completion of an initial business</w:t>
      </w:r>
    </w:p>
    <w:p>
      <w:pPr>
        <w:ind w:left="4560"/>
        <w:spacing w:after="0" w:line="232" w:lineRule="auto"/>
        <w:rPr>
          <w:sz w:val="20"/>
          <w:szCs w:val="20"/>
          <w:color w:val="auto"/>
        </w:rPr>
      </w:pPr>
      <w:r>
        <w:rPr>
          <w:rFonts w:ascii="Arial" w:cs="Arial" w:eastAsia="Arial" w:hAnsi="Arial"/>
          <w:sz w:val="17"/>
          <w:szCs w:val="17"/>
          <w:color w:val="auto"/>
        </w:rPr>
        <w:t>combination or liquidation if we have not consummated</w:t>
      </w:r>
    </w:p>
    <w:p>
      <w:pPr>
        <w:ind w:left="4560"/>
        <w:spacing w:after="0" w:line="232" w:lineRule="auto"/>
        <w:rPr>
          <w:sz w:val="20"/>
          <w:szCs w:val="20"/>
          <w:color w:val="auto"/>
        </w:rPr>
      </w:pPr>
      <w:r>
        <w:rPr>
          <w:rFonts w:ascii="Arial" w:cs="Arial" w:eastAsia="Arial" w:hAnsi="Arial"/>
          <w:sz w:val="17"/>
          <w:szCs w:val="17"/>
          <w:color w:val="auto"/>
        </w:rPr>
        <w:t>an initial business combination within 24 months from</w:t>
      </w:r>
    </w:p>
    <w:p>
      <w:pPr>
        <w:ind w:left="4560"/>
        <w:spacing w:after="0" w:line="232" w:lineRule="auto"/>
        <w:rPr>
          <w:sz w:val="20"/>
          <w:szCs w:val="20"/>
          <w:color w:val="auto"/>
        </w:rPr>
      </w:pPr>
      <w:r>
        <w:rPr>
          <w:rFonts w:ascii="Arial" w:cs="Arial" w:eastAsia="Arial" w:hAnsi="Arial"/>
          <w:sz w:val="17"/>
          <w:szCs w:val="17"/>
          <w:color w:val="auto"/>
        </w:rPr>
        <w:t>the closing of this offering, with respect to such Class A</w:t>
      </w:r>
    </w:p>
    <w:p>
      <w:pPr>
        <w:ind w:left="4560"/>
        <w:spacing w:after="0" w:line="232" w:lineRule="auto"/>
        <w:rPr>
          <w:sz w:val="20"/>
          <w:szCs w:val="20"/>
          <w:color w:val="auto"/>
        </w:rPr>
      </w:pPr>
      <w:r>
        <w:rPr>
          <w:rFonts w:ascii="Arial" w:cs="Arial" w:eastAsia="Arial" w:hAnsi="Arial"/>
          <w:sz w:val="17"/>
          <w:szCs w:val="17"/>
          <w:color w:val="auto"/>
        </w:rPr>
        <w:t>ordinary shares so redeemed. The proceeds deposited</w:t>
      </w:r>
    </w:p>
    <w:p>
      <w:pPr>
        <w:ind w:left="4560"/>
        <w:spacing w:after="0" w:line="232" w:lineRule="auto"/>
        <w:rPr>
          <w:sz w:val="20"/>
          <w:szCs w:val="20"/>
          <w:color w:val="auto"/>
        </w:rPr>
      </w:pPr>
      <w:r>
        <w:rPr>
          <w:rFonts w:ascii="Arial" w:cs="Arial" w:eastAsia="Arial" w:hAnsi="Arial"/>
          <w:sz w:val="17"/>
          <w:szCs w:val="17"/>
          <w:color w:val="auto"/>
        </w:rPr>
        <w:t>in the trust account could become subject to the claims</w:t>
      </w:r>
    </w:p>
    <w:p>
      <w:pPr>
        <w:ind w:left="4560"/>
        <w:spacing w:after="0" w:line="233" w:lineRule="auto"/>
        <w:rPr>
          <w:sz w:val="20"/>
          <w:szCs w:val="20"/>
          <w:color w:val="auto"/>
        </w:rPr>
      </w:pPr>
      <w:r>
        <w:rPr>
          <w:rFonts w:ascii="Arial" w:cs="Arial" w:eastAsia="Arial" w:hAnsi="Arial"/>
          <w:sz w:val="17"/>
          <w:szCs w:val="17"/>
          <w:color w:val="auto"/>
        </w:rPr>
        <w:t>of our creditors, if any, which could have priority over the</w:t>
      </w:r>
    </w:p>
    <w:p>
      <w:pPr>
        <w:ind w:left="4560"/>
        <w:spacing w:after="0"/>
        <w:rPr>
          <w:sz w:val="20"/>
          <w:szCs w:val="20"/>
          <w:color w:val="auto"/>
        </w:rPr>
      </w:pPr>
      <w:r>
        <w:rPr>
          <w:rFonts w:ascii="Arial" w:cs="Arial" w:eastAsia="Arial" w:hAnsi="Arial"/>
          <w:sz w:val="17"/>
          <w:szCs w:val="17"/>
          <w:color w:val="auto"/>
        </w:rPr>
        <w:t>claims of our public shareholders.</w:t>
      </w:r>
    </w:p>
    <w:p>
      <w:pPr>
        <w:spacing w:after="0" w:line="200" w:lineRule="exact"/>
        <w:rPr>
          <w:sz w:val="20"/>
          <w:szCs w:val="20"/>
          <w:color w:val="auto"/>
        </w:rPr>
      </w:pPr>
    </w:p>
    <w:p>
      <w:pPr>
        <w:spacing w:after="0" w:line="24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5790565" cy="63049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90565" cy="630491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Anticipated expenses and funding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20" w:hanging="179"/>
        <w:spacing w:after="0" w:line="267" w:lineRule="auto"/>
        <w:rPr>
          <w:sz w:val="20"/>
          <w:szCs w:val="20"/>
          <w:color w:val="auto"/>
        </w:rPr>
      </w:pPr>
      <w:r>
        <w:rPr>
          <w:rFonts w:ascii="Arial" w:cs="Arial" w:eastAsia="Arial" w:hAnsi="Arial"/>
          <w:sz w:val="17"/>
          <w:szCs w:val="17"/>
          <w:b w:val="1"/>
          <w:bCs w:val="1"/>
          <w:color w:val="auto"/>
        </w:rPr>
        <w:t>Conditions to completing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ind w:right="179"/>
        <w:spacing w:after="0"/>
        <w:rPr>
          <w:sz w:val="20"/>
          <w:szCs w:val="20"/>
          <w:color w:val="auto"/>
        </w:rPr>
      </w:pPr>
      <w:r>
        <w:rPr>
          <w:rFonts w:ascii="Arial" w:cs="Arial" w:eastAsia="Arial" w:hAnsi="Arial"/>
          <w:sz w:val="17"/>
          <w:szCs w:val="17"/>
          <w:color w:val="auto"/>
        </w:rPr>
        <w:t>Unless and until we complete our initial business combination, no proceeds held in the trust account will be available for our use, except the withdrawal of interest income (if any) to pay our income taxes, if any. 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Assuming an interest rate of 0.1% per year, we estimate the interest earned on the trust account will be approximately $125,000 per year; however, we can provide no assurances regarding this amount. Unless and until we complete our initial business combination, we may pay our expenses only from:</w:t>
      </w:r>
    </w:p>
    <w:p>
      <w:pPr>
        <w:spacing w:after="0" w:line="200" w:lineRule="exact"/>
        <w:rPr>
          <w:sz w:val="20"/>
          <w:szCs w:val="20"/>
          <w:color w:val="auto"/>
        </w:rPr>
      </w:pPr>
    </w:p>
    <w:p>
      <w:pPr>
        <w:ind w:left="360" w:right="219" w:hanging="358"/>
        <w:spacing w:after="0" w:line="235" w:lineRule="auto"/>
        <w:tabs>
          <w:tab w:leader="none" w:pos="3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net proceeds of this offering and the sale of the private placement shares not held in the trust account, which will be approximately $1,000,000 in working capital after the payment of approximately $1,000,000 in expenses relating to this offering; and</w:t>
      </w:r>
    </w:p>
    <w:p>
      <w:pPr>
        <w:spacing w:after="0" w:line="95" w:lineRule="exact"/>
        <w:rPr>
          <w:rFonts w:ascii="Arial" w:cs="Arial" w:eastAsia="Arial" w:hAnsi="Arial"/>
          <w:sz w:val="17"/>
          <w:szCs w:val="17"/>
          <w:color w:val="auto"/>
        </w:rPr>
      </w:pPr>
    </w:p>
    <w:p>
      <w:pPr>
        <w:ind w:left="360" w:right="239" w:hanging="358"/>
        <w:spacing w:after="0" w:line="234" w:lineRule="auto"/>
        <w:tabs>
          <w:tab w:leader="none" w:pos="36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any loans or additional investments from our sponsor or an affiliate of our sponsor or certain of our officers and directors, although they are under no obligation to advance funds or invest in us, and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any such loans will not have any claim on</w:t>
      </w:r>
      <w:r>
        <w:rPr>
          <w:rFonts w:ascii="Arial" w:cs="Arial" w:eastAsia="Arial" w:hAnsi="Arial"/>
          <w:sz w:val="17"/>
          <w:szCs w:val="17"/>
          <w:i w:val="1"/>
          <w:iCs w:val="1"/>
          <w:color w:val="auto"/>
        </w:rPr>
        <w:t xml:space="preserve"> </w:t>
      </w:r>
      <w:r>
        <w:rPr>
          <w:rFonts w:ascii="Arial" w:cs="Arial" w:eastAsia="Arial" w:hAnsi="Arial"/>
          <w:sz w:val="17"/>
          <w:szCs w:val="17"/>
          <w:color w:val="auto"/>
        </w:rPr>
        <w:t>the proceeds held in the trust account unless such proceeds are released to us upon completion of our initial business combination.</w:t>
      </w:r>
    </w:p>
    <w:p>
      <w:pPr>
        <w:spacing w:after="0" w:line="257" w:lineRule="exact"/>
        <w:rPr>
          <w:sz w:val="20"/>
          <w:szCs w:val="20"/>
          <w:color w:val="auto"/>
        </w:rPr>
      </w:pPr>
    </w:p>
    <w:p>
      <w:pPr>
        <w:ind w:right="259"/>
        <w:spacing w:after="0" w:line="233" w:lineRule="auto"/>
        <w:rPr>
          <w:sz w:val="20"/>
          <w:szCs w:val="20"/>
          <w:color w:val="auto"/>
        </w:rPr>
      </w:pPr>
      <w:r>
        <w:rPr>
          <w:rFonts w:ascii="Arial" w:cs="Arial" w:eastAsia="Arial" w:hAnsi="Arial"/>
          <w:sz w:val="17"/>
          <w:szCs w:val="17"/>
          <w:color w:val="auto"/>
        </w:rPr>
        <w:t>Nasdaq rules require that our initial business combination must occur with one or more target businesses that together have an aggregate fair market value of at least 80% of our assets held in the trust account (excluding the amount of deferred underwriting discounts held in trust and taxes payable on the interest earned on the trust account) at the time of signing the agreement to enter into the initial business combination. If our board of directors is not able to independently determine the fair market value of the target business or businesses or we are considering an initial business combination with an affiliated entity, we will obtain an opinion from an independent investment banking firm which is a member of FINRA or an independent valuation or accounting firm with respect to the satisfaction of such criteria. Our shareholders may not be provided with a copy of such opinion nor will they be able to rely on such opinion.</w:t>
      </w:r>
    </w:p>
    <w:p>
      <w:pPr>
        <w:spacing w:after="0" w:line="200" w:lineRule="exact"/>
        <w:rPr>
          <w:sz w:val="20"/>
          <w:szCs w:val="20"/>
          <w:color w:val="auto"/>
        </w:rPr>
      </w:pPr>
    </w:p>
    <w:p>
      <w:pPr>
        <w:sectPr>
          <w:pgSz w:w="11900" w:h="16838" w:orient="portrait"/>
          <w:cols w:equalWidth="0" w:num="2">
            <w:col w:w="3900" w:space="660"/>
            <w:col w:w="4499"/>
          </w:cols>
          <w:pgMar w:left="1400" w:top="265" w:right="1440" w:bottom="1440" w:gutter="0" w:footer="0" w:header="0"/>
          <w:type w:val="continuous"/>
        </w:sectPr>
      </w:pPr>
    </w:p>
    <w:p>
      <w:pPr>
        <w:spacing w:after="0" w:line="24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type w:val="continuous"/>
        </w:sectPr>
      </w:pPr>
    </w:p>
    <w:bookmarkStart w:id="19" w:name="page20"/>
    <w:bookmarkEnd w:id="1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5790565" cy="65449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90565" cy="65449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20" w:hanging="179"/>
        <w:spacing w:after="0" w:line="267" w:lineRule="auto"/>
        <w:rPr>
          <w:sz w:val="20"/>
          <w:szCs w:val="20"/>
          <w:color w:val="auto"/>
        </w:rPr>
      </w:pPr>
      <w:r>
        <w:rPr>
          <w:rFonts w:ascii="Arial" w:cs="Arial" w:eastAsia="Arial" w:hAnsi="Arial"/>
          <w:sz w:val="17"/>
          <w:szCs w:val="17"/>
          <w:b w:val="1"/>
          <w:bCs w:val="1"/>
          <w:color w:val="auto"/>
        </w:rPr>
        <w:t>Permitted purchases and other transactions with respect to our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ind w:right="179"/>
        <w:spacing w:after="0" w:line="232" w:lineRule="auto"/>
        <w:rPr>
          <w:sz w:val="20"/>
          <w:szCs w:val="20"/>
          <w:color w:val="auto"/>
        </w:rPr>
      </w:pPr>
      <w:r>
        <w:rPr>
          <w:rFonts w:ascii="Arial" w:cs="Arial" w:eastAsia="Arial" w:hAnsi="Arial"/>
          <w:sz w:val="17"/>
          <w:szCs w:val="17"/>
          <w:color w:val="auto"/>
        </w:rPr>
        <w:t xml:space="preserve">We will complete our initial business combination only if the post-business combination company in which our public shareholders own shares will own or acquire 50% or more of the outstanding voting securities of the target or is otherwise not required to register as an investment company under the Investment Company Act. Even if the post-business combination company owns or acquires 50% or more of the voting securities of the target, our shareholders prior to the completion of our initial business combination may collectively own a minority interest in the post-business combination company, depending on valuations ascribed to the target and us in the business combination transaction. If less than 100% of the equity interests or assets of a target business or businesses are owned or acquired by the post-business combination company, the portion of such business or businesses that is owned or acquired is what will be valued for purposes of the 80% of net assets test,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in the event that the business combination</w:t>
      </w:r>
      <w:r>
        <w:rPr>
          <w:rFonts w:ascii="Arial" w:cs="Arial" w:eastAsia="Arial" w:hAnsi="Arial"/>
          <w:sz w:val="17"/>
          <w:szCs w:val="17"/>
          <w:i w:val="1"/>
          <w:iCs w:val="1"/>
          <w:color w:val="auto"/>
        </w:rPr>
        <w:t xml:space="preserve"> </w:t>
      </w:r>
      <w:r>
        <w:rPr>
          <w:rFonts w:ascii="Arial" w:cs="Arial" w:eastAsia="Arial" w:hAnsi="Arial"/>
          <w:sz w:val="17"/>
          <w:szCs w:val="17"/>
          <w:color w:val="auto"/>
        </w:rPr>
        <w:t>involves more than one target business, the 80% of net assets test will be based on the aggregate value of all of the target businesses and we will treat the target businesses together as the initial business combination for purposes of a tender offer or for seeking shareholder approval, as applicable.</w:t>
      </w:r>
    </w:p>
    <w:p>
      <w:pPr>
        <w:spacing w:after="0" w:line="271" w:lineRule="exact"/>
        <w:rPr>
          <w:sz w:val="20"/>
          <w:szCs w:val="20"/>
          <w:color w:val="auto"/>
        </w:rPr>
      </w:pPr>
    </w:p>
    <w:p>
      <w:pPr>
        <w:ind w:right="179"/>
        <w:spacing w:after="0" w:line="232"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sponsor, directors, executive officers, advisors or their affiliates may purchase public shares in privately negotiated transactions or in the open market either prior to or following the completion of our initial business combination. Additionally, at any time at or prior to the completion of our initial business combination, subject to applicable securities laws (including with respect to material nonpublic information), our sponsor, directors, executive officers, advisors or their affiliates may enter into transactions with investors and others to provide them with incentives to acquire public shares, vote their public shares in favor of our initial business combination or not redeem their public shares. However, they have no current commitments, plans or intentions to engage in such transactions and have not formulated any terms or conditions for any such transactions. None of the funds held in the trust account will be used to purchase public shares in such transactions. If our sponsor, directors, executive officers, advisors or their affiliates engage in such transactions, they will be restricted from making any such purchases when they are in possession of any</w:t>
      </w:r>
    </w:p>
    <w:p>
      <w:pPr>
        <w:spacing w:after="0" w:line="200" w:lineRule="exact"/>
        <w:rPr>
          <w:sz w:val="20"/>
          <w:szCs w:val="20"/>
          <w:color w:val="auto"/>
        </w:rPr>
      </w:pPr>
    </w:p>
    <w:p>
      <w:pPr>
        <w:sectPr>
          <w:pgSz w:w="11900" w:h="16838" w:orient="portrait"/>
          <w:cols w:equalWidth="0" w:num="2">
            <w:col w:w="4220" w:space="340"/>
            <w:col w:w="4499"/>
          </w:cols>
          <w:pgMar w:left="1400" w:top="265" w:right="1440" w:bottom="1440" w:gutter="0" w:footer="0" w:header="0"/>
          <w:type w:val="continuous"/>
        </w:sectPr>
      </w:pPr>
    </w:p>
    <w:p>
      <w:pPr>
        <w:spacing w:after="0" w:line="25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type w:val="continuous"/>
        </w:sectPr>
      </w:pPr>
    </w:p>
    <w:bookmarkStart w:id="20" w:name="page21"/>
    <w:bookmarkEnd w:id="2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5790565" cy="66135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90565" cy="661352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ind w:left="240"/>
        <w:spacing w:after="0" w:line="267" w:lineRule="auto"/>
        <w:rPr>
          <w:sz w:val="20"/>
          <w:szCs w:val="20"/>
          <w:color w:val="auto"/>
        </w:rPr>
      </w:pPr>
      <w:r>
        <w:rPr>
          <w:rFonts w:ascii="Arial" w:cs="Arial" w:eastAsia="Arial" w:hAnsi="Arial"/>
          <w:sz w:val="17"/>
          <w:szCs w:val="17"/>
          <w:b w:val="1"/>
          <w:bCs w:val="1"/>
          <w:color w:val="auto"/>
        </w:rPr>
        <w:t>Redemption rights for public shareholders upon completion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ind w:right="239"/>
        <w:spacing w:after="0" w:line="233" w:lineRule="auto"/>
        <w:rPr>
          <w:sz w:val="20"/>
          <w:szCs w:val="20"/>
          <w:color w:val="auto"/>
        </w:rPr>
      </w:pPr>
      <w:r>
        <w:rPr>
          <w:rFonts w:ascii="Arial" w:cs="Arial" w:eastAsia="Arial" w:hAnsi="Arial"/>
          <w:sz w:val="17"/>
          <w:szCs w:val="17"/>
          <w:color w:val="auto"/>
        </w:rPr>
        <w:t>material nonpublic information not disclosed to the seller or if such purchases are prohibited by Regulation M under the Securities Exchange Act of 1934, as amended, or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be required to comply with such rules. Any such purchases will be reported pursuant to Section 13 and Section 16 of the Exchange Act to the extent such purchasers are subject to such reporting requirements. See “Proposed Business — Permitted Purchases and Other Transactions with Respect to Our Securities” for a description of how our sponsor, directors, executive officers, advisors or their affiliates will select which shareholders to purchase securities from in any private transaction.</w:t>
      </w:r>
    </w:p>
    <w:p>
      <w:pPr>
        <w:spacing w:after="0" w:line="93" w:lineRule="exact"/>
        <w:rPr>
          <w:sz w:val="20"/>
          <w:szCs w:val="20"/>
          <w:color w:val="auto"/>
        </w:rPr>
      </w:pPr>
    </w:p>
    <w:p>
      <w:pPr>
        <w:ind w:right="179"/>
        <w:spacing w:after="0" w:line="233" w:lineRule="auto"/>
        <w:rPr>
          <w:sz w:val="20"/>
          <w:szCs w:val="20"/>
          <w:color w:val="auto"/>
        </w:rPr>
      </w:pPr>
      <w:r>
        <w:rPr>
          <w:rFonts w:ascii="Arial" w:cs="Arial" w:eastAsia="Arial" w:hAnsi="Arial"/>
          <w:sz w:val="17"/>
          <w:szCs w:val="17"/>
          <w:color w:val="auto"/>
        </w:rPr>
        <w:t>The purpose of any such transaction could be to (1) vote in favor of the business combination and thereby increase the likelihood of obtaining shareholder approval of the business combination or (2) satisfy a closing condition in an agreement with a target that requires us to have a minimum net worth or a certain amount of cash at the closing of our initial business combination, where it appears that such requirement would otherwise not be met. Any such purchases of our securities may result in the completion of our initial business combination that may not otherwise have been possible. In addition, if such purchases are made, the public “float” of our Class A ordinary shares may be reduced and the number of beneficial holders of our securities may be reduced, which may make it difficult to maintain or obtain the quotation, listing or trading of our securities on a national securities exchange.</w:t>
      </w:r>
    </w:p>
    <w:p>
      <w:pPr>
        <w:spacing w:after="0" w:line="257" w:lineRule="exact"/>
        <w:rPr>
          <w:sz w:val="20"/>
          <w:szCs w:val="20"/>
          <w:color w:val="auto"/>
        </w:rPr>
      </w:pPr>
    </w:p>
    <w:p>
      <w:pPr>
        <w:ind w:right="259"/>
        <w:spacing w:after="0" w:line="233" w:lineRule="auto"/>
        <w:rPr>
          <w:sz w:val="20"/>
          <w:szCs w:val="20"/>
          <w:color w:val="auto"/>
        </w:rPr>
      </w:pPr>
      <w:r>
        <w:rPr>
          <w:rFonts w:ascii="Arial" w:cs="Arial" w:eastAsia="Arial" w:hAnsi="Arial"/>
          <w:sz w:val="17"/>
          <w:szCs w:val="17"/>
          <w:color w:val="auto"/>
        </w:rPr>
        <w:t>We will provide our public shareholders with the opportunity to redeem all or a portion of their Class A ordinary shares upon the completion of our initial business combination at a per-share price, payable in cash, equal to the aggregate amount then on deposit in the trust account calculated as of two business days prior to the consummation of the initial business combination, including interest earned on the funds held in the trust account and not previously released to us to pay our income taxes, if any, divided by the number of then-outstanding public shares, subject to the limitations described herein. The amount in the trust account is initially anticipated to be $10.00 per public share.</w:t>
      </w:r>
    </w:p>
    <w:p>
      <w:pPr>
        <w:spacing w:after="0" w:line="200" w:lineRule="exact"/>
        <w:rPr>
          <w:sz w:val="20"/>
          <w:szCs w:val="20"/>
          <w:color w:val="auto"/>
        </w:rPr>
      </w:pPr>
    </w:p>
    <w:p>
      <w:pPr>
        <w:sectPr>
          <w:pgSz w:w="11900" w:h="16838" w:orient="portrait"/>
          <w:cols w:equalWidth="0" w:num="2">
            <w:col w:w="4200" w:space="360"/>
            <w:col w:w="4499"/>
          </w:cols>
          <w:pgMar w:left="1400" w:top="265" w:right="1440" w:bottom="1440" w:gutter="0" w:footer="0" w:header="0"/>
          <w:type w:val="continuous"/>
        </w:sectPr>
      </w:pPr>
    </w:p>
    <w:p>
      <w:pPr>
        <w:spacing w:after="0" w:line="24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type w:val="continuous"/>
        </w:sectPr>
      </w:pPr>
    </w:p>
    <w:bookmarkStart w:id="21" w:name="page22"/>
    <w:bookmarkEnd w:id="21"/>
    <w:p>
      <w:pPr>
        <w:ind w:left="96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537"/>
        </w:trPr>
        <w:tc>
          <w:tcPr>
            <w:tcW w:w="980" w:type="dxa"/>
            <w:vAlign w:val="bottom"/>
            <w:tcBorders>
              <w:right w:val="single" w:sz="8" w:color="auto"/>
            </w:tcBorders>
          </w:tcPr>
          <w:p>
            <w:pPr>
              <w:spacing w:after="0"/>
              <w:rPr>
                <w:sz w:val="24"/>
                <w:szCs w:val="24"/>
                <w:color w:val="auto"/>
              </w:rPr>
            </w:pPr>
          </w:p>
        </w:tc>
        <w:tc>
          <w:tcPr>
            <w:tcW w:w="3440" w:type="dxa"/>
            <w:vAlign w:val="bottom"/>
            <w:tcBorders>
              <w:top w:val="single" w:sz="8" w:color="auto"/>
            </w:tcBorders>
          </w:tcPr>
          <w:p>
            <w:pPr>
              <w:spacing w:after="0"/>
              <w:rPr>
                <w:sz w:val="24"/>
                <w:szCs w:val="24"/>
                <w:color w:val="auto"/>
              </w:rPr>
            </w:pPr>
          </w:p>
        </w:tc>
        <w:tc>
          <w:tcPr>
            <w:tcW w:w="5660" w:type="dxa"/>
            <w:vAlign w:val="bottom"/>
            <w:tcBorders>
              <w:top w:val="single" w:sz="8" w:color="auto"/>
              <w:right w:val="single" w:sz="8" w:color="auto"/>
            </w:tcBorders>
          </w:tcPr>
          <w:p>
            <w:pPr>
              <w:ind w:left="1100"/>
              <w:spacing w:after="0"/>
              <w:rPr>
                <w:sz w:val="20"/>
                <w:szCs w:val="20"/>
                <w:color w:val="auto"/>
              </w:rPr>
            </w:pPr>
            <w:r>
              <w:rPr>
                <w:rFonts w:ascii="Arial" w:cs="Arial" w:eastAsia="Arial" w:hAnsi="Arial"/>
                <w:sz w:val="17"/>
                <w:szCs w:val="17"/>
                <w:color w:val="auto"/>
              </w:rPr>
              <w:t>The per share amount we will distribute to investors who</w:t>
            </w:r>
          </w:p>
        </w:tc>
        <w:tc>
          <w:tcPr>
            <w:tcW w:w="940" w:type="dxa"/>
            <w:vAlign w:val="bottom"/>
          </w:tcPr>
          <w:p>
            <w:pPr>
              <w:spacing w:after="0"/>
              <w:rPr>
                <w:sz w:val="24"/>
                <w:szCs w:val="24"/>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440" w:type="dxa"/>
            <w:vAlign w:val="bottom"/>
          </w:tcPr>
          <w:p>
            <w:pPr>
              <w:spacing w:after="0"/>
              <w:rPr>
                <w:sz w:val="16"/>
                <w:szCs w:val="16"/>
                <w:color w:val="auto"/>
              </w:rPr>
            </w:pPr>
          </w:p>
        </w:tc>
        <w:tc>
          <w:tcPr>
            <w:tcW w:w="5660" w:type="dxa"/>
            <w:vAlign w:val="bottom"/>
            <w:tcBorders>
              <w:right w:val="single" w:sz="8" w:color="auto"/>
            </w:tcBorders>
          </w:tcPr>
          <w:p>
            <w:pPr>
              <w:ind w:left="1100"/>
              <w:spacing w:after="0" w:line="189" w:lineRule="exact"/>
              <w:rPr>
                <w:sz w:val="20"/>
                <w:szCs w:val="20"/>
                <w:color w:val="auto"/>
              </w:rPr>
            </w:pPr>
            <w:r>
              <w:rPr>
                <w:rFonts w:ascii="Arial" w:cs="Arial" w:eastAsia="Arial" w:hAnsi="Arial"/>
                <w:sz w:val="17"/>
                <w:szCs w:val="17"/>
                <w:color w:val="auto"/>
              </w:rPr>
              <w:t>properly redeem their shares will not be reduced by the</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440" w:type="dxa"/>
            <w:vAlign w:val="bottom"/>
          </w:tcPr>
          <w:p>
            <w:pPr>
              <w:spacing w:after="0"/>
              <w:rPr>
                <w:sz w:val="16"/>
                <w:szCs w:val="16"/>
                <w:color w:val="auto"/>
              </w:rPr>
            </w:pPr>
          </w:p>
        </w:tc>
        <w:tc>
          <w:tcPr>
            <w:tcW w:w="5660" w:type="dxa"/>
            <w:vAlign w:val="bottom"/>
            <w:tcBorders>
              <w:right w:val="single" w:sz="8" w:color="auto"/>
            </w:tcBorders>
          </w:tcPr>
          <w:p>
            <w:pPr>
              <w:ind w:left="1100"/>
              <w:spacing w:after="0" w:line="189" w:lineRule="exact"/>
              <w:rPr>
                <w:sz w:val="20"/>
                <w:szCs w:val="20"/>
                <w:color w:val="auto"/>
              </w:rPr>
            </w:pPr>
            <w:r>
              <w:rPr>
                <w:rFonts w:ascii="Arial" w:cs="Arial" w:eastAsia="Arial" w:hAnsi="Arial"/>
                <w:sz w:val="17"/>
                <w:szCs w:val="17"/>
                <w:color w:val="auto"/>
              </w:rPr>
              <w:t>deferred underwriting commissions we will pay to the</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440" w:type="dxa"/>
            <w:vAlign w:val="bottom"/>
          </w:tcPr>
          <w:p>
            <w:pPr>
              <w:spacing w:after="0"/>
              <w:rPr>
                <w:sz w:val="16"/>
                <w:szCs w:val="16"/>
                <w:color w:val="auto"/>
              </w:rPr>
            </w:pPr>
          </w:p>
        </w:tc>
        <w:tc>
          <w:tcPr>
            <w:tcW w:w="5660" w:type="dxa"/>
            <w:vAlign w:val="bottom"/>
            <w:tcBorders>
              <w:right w:val="single" w:sz="8" w:color="auto"/>
            </w:tcBorders>
          </w:tcPr>
          <w:p>
            <w:pPr>
              <w:ind w:left="1100"/>
              <w:spacing w:after="0" w:line="189" w:lineRule="exact"/>
              <w:rPr>
                <w:sz w:val="20"/>
                <w:szCs w:val="20"/>
                <w:color w:val="auto"/>
              </w:rPr>
            </w:pPr>
            <w:r>
              <w:rPr>
                <w:rFonts w:ascii="Arial" w:cs="Arial" w:eastAsia="Arial" w:hAnsi="Arial"/>
                <w:sz w:val="17"/>
                <w:szCs w:val="17"/>
                <w:color w:val="auto"/>
              </w:rPr>
              <w:t>underwriter. The redemption rights may include the</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440" w:type="dxa"/>
            <w:vAlign w:val="bottom"/>
          </w:tcPr>
          <w:p>
            <w:pPr>
              <w:spacing w:after="0"/>
              <w:rPr>
                <w:sz w:val="16"/>
                <w:szCs w:val="16"/>
                <w:color w:val="auto"/>
              </w:rPr>
            </w:pPr>
          </w:p>
        </w:tc>
        <w:tc>
          <w:tcPr>
            <w:tcW w:w="5660" w:type="dxa"/>
            <w:vAlign w:val="bottom"/>
            <w:tcBorders>
              <w:right w:val="single" w:sz="8" w:color="auto"/>
            </w:tcBorders>
          </w:tcPr>
          <w:p>
            <w:pPr>
              <w:ind w:left="1100"/>
              <w:spacing w:after="0" w:line="189" w:lineRule="exact"/>
              <w:rPr>
                <w:sz w:val="20"/>
                <w:szCs w:val="20"/>
                <w:color w:val="auto"/>
              </w:rPr>
            </w:pPr>
            <w:r>
              <w:rPr>
                <w:rFonts w:ascii="Arial" w:cs="Arial" w:eastAsia="Arial" w:hAnsi="Arial"/>
                <w:sz w:val="17"/>
                <w:szCs w:val="17"/>
                <w:color w:val="auto"/>
              </w:rPr>
              <w:t>requirement that a beneficial holder must identify itself in</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440" w:type="dxa"/>
            <w:vAlign w:val="bottom"/>
          </w:tcPr>
          <w:p>
            <w:pPr>
              <w:spacing w:after="0"/>
              <w:rPr>
                <w:sz w:val="16"/>
                <w:szCs w:val="16"/>
                <w:color w:val="auto"/>
              </w:rPr>
            </w:pPr>
          </w:p>
        </w:tc>
        <w:tc>
          <w:tcPr>
            <w:tcW w:w="5660" w:type="dxa"/>
            <w:vAlign w:val="bottom"/>
            <w:tcBorders>
              <w:right w:val="single" w:sz="8" w:color="auto"/>
            </w:tcBorders>
          </w:tcPr>
          <w:p>
            <w:pPr>
              <w:ind w:left="1100"/>
              <w:spacing w:after="0" w:line="189" w:lineRule="exact"/>
              <w:rPr>
                <w:sz w:val="20"/>
                <w:szCs w:val="20"/>
                <w:color w:val="auto"/>
              </w:rPr>
            </w:pPr>
            <w:r>
              <w:rPr>
                <w:rFonts w:ascii="Arial" w:cs="Arial" w:eastAsia="Arial" w:hAnsi="Arial"/>
                <w:sz w:val="17"/>
                <w:szCs w:val="17"/>
                <w:color w:val="auto"/>
              </w:rPr>
              <w:t>order to validly redeem its shares. There will be no</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440" w:type="dxa"/>
            <w:vAlign w:val="bottom"/>
          </w:tcPr>
          <w:p>
            <w:pPr>
              <w:spacing w:after="0"/>
              <w:rPr>
                <w:sz w:val="16"/>
                <w:szCs w:val="16"/>
                <w:color w:val="auto"/>
              </w:rPr>
            </w:pPr>
          </w:p>
        </w:tc>
        <w:tc>
          <w:tcPr>
            <w:tcW w:w="5660" w:type="dxa"/>
            <w:vAlign w:val="bottom"/>
            <w:tcBorders>
              <w:right w:val="single" w:sz="8" w:color="auto"/>
            </w:tcBorders>
          </w:tcPr>
          <w:p>
            <w:pPr>
              <w:ind w:left="1100"/>
              <w:spacing w:after="0" w:line="189" w:lineRule="exact"/>
              <w:rPr>
                <w:sz w:val="20"/>
                <w:szCs w:val="20"/>
                <w:color w:val="auto"/>
              </w:rPr>
            </w:pPr>
            <w:r>
              <w:rPr>
                <w:rFonts w:ascii="Arial" w:cs="Arial" w:eastAsia="Arial" w:hAnsi="Arial"/>
                <w:sz w:val="17"/>
                <w:szCs w:val="17"/>
                <w:color w:val="auto"/>
              </w:rPr>
              <w:t>redemption rights upon the completion of our initial</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440" w:type="dxa"/>
            <w:vAlign w:val="bottom"/>
          </w:tcPr>
          <w:p>
            <w:pPr>
              <w:spacing w:after="0"/>
              <w:rPr>
                <w:sz w:val="16"/>
                <w:szCs w:val="16"/>
                <w:color w:val="auto"/>
              </w:rPr>
            </w:pPr>
          </w:p>
        </w:tc>
        <w:tc>
          <w:tcPr>
            <w:tcW w:w="5660" w:type="dxa"/>
            <w:vAlign w:val="bottom"/>
            <w:tcBorders>
              <w:right w:val="single" w:sz="8" w:color="auto"/>
            </w:tcBorders>
          </w:tcPr>
          <w:p>
            <w:pPr>
              <w:ind w:left="1100"/>
              <w:spacing w:after="0" w:line="189" w:lineRule="exact"/>
              <w:rPr>
                <w:sz w:val="20"/>
                <w:szCs w:val="20"/>
                <w:color w:val="auto"/>
              </w:rPr>
            </w:pPr>
            <w:r>
              <w:rPr>
                <w:rFonts w:ascii="Arial" w:cs="Arial" w:eastAsia="Arial" w:hAnsi="Arial"/>
                <w:sz w:val="17"/>
                <w:szCs w:val="17"/>
                <w:color w:val="auto"/>
              </w:rPr>
              <w:t>business combination with respect to our private</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440" w:type="dxa"/>
            <w:vAlign w:val="bottom"/>
          </w:tcPr>
          <w:p>
            <w:pPr>
              <w:spacing w:after="0"/>
              <w:rPr>
                <w:sz w:val="16"/>
                <w:szCs w:val="16"/>
                <w:color w:val="auto"/>
              </w:rPr>
            </w:pPr>
          </w:p>
        </w:tc>
        <w:tc>
          <w:tcPr>
            <w:tcW w:w="5660" w:type="dxa"/>
            <w:vAlign w:val="bottom"/>
            <w:tcBorders>
              <w:right w:val="single" w:sz="8" w:color="auto"/>
            </w:tcBorders>
          </w:tcPr>
          <w:p>
            <w:pPr>
              <w:ind w:left="1100"/>
              <w:spacing w:after="0" w:line="189" w:lineRule="exact"/>
              <w:rPr>
                <w:sz w:val="20"/>
                <w:szCs w:val="20"/>
                <w:color w:val="auto"/>
              </w:rPr>
            </w:pPr>
            <w:r>
              <w:rPr>
                <w:rFonts w:ascii="Arial" w:cs="Arial" w:eastAsia="Arial" w:hAnsi="Arial"/>
                <w:sz w:val="17"/>
                <w:szCs w:val="17"/>
                <w:color w:val="auto"/>
              </w:rPr>
              <w:t>placement shares. Further, we will not proceed with</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440" w:type="dxa"/>
            <w:vAlign w:val="bottom"/>
          </w:tcPr>
          <w:p>
            <w:pPr>
              <w:spacing w:after="0"/>
              <w:rPr>
                <w:sz w:val="16"/>
                <w:szCs w:val="16"/>
                <w:color w:val="auto"/>
              </w:rPr>
            </w:pPr>
          </w:p>
        </w:tc>
        <w:tc>
          <w:tcPr>
            <w:tcW w:w="5660" w:type="dxa"/>
            <w:vAlign w:val="bottom"/>
            <w:tcBorders>
              <w:right w:val="single" w:sz="8" w:color="auto"/>
            </w:tcBorders>
          </w:tcPr>
          <w:p>
            <w:pPr>
              <w:ind w:left="1100"/>
              <w:spacing w:after="0" w:line="189" w:lineRule="exact"/>
              <w:rPr>
                <w:sz w:val="20"/>
                <w:szCs w:val="20"/>
                <w:color w:val="auto"/>
              </w:rPr>
            </w:pPr>
            <w:r>
              <w:rPr>
                <w:rFonts w:ascii="Arial" w:cs="Arial" w:eastAsia="Arial" w:hAnsi="Arial"/>
                <w:sz w:val="17"/>
                <w:szCs w:val="17"/>
                <w:color w:val="auto"/>
              </w:rPr>
              <w:t>redeeming our public shares, even if a public</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440" w:type="dxa"/>
            <w:vAlign w:val="bottom"/>
          </w:tcPr>
          <w:p>
            <w:pPr>
              <w:spacing w:after="0"/>
              <w:rPr>
                <w:sz w:val="16"/>
                <w:szCs w:val="16"/>
                <w:color w:val="auto"/>
              </w:rPr>
            </w:pPr>
          </w:p>
        </w:tc>
        <w:tc>
          <w:tcPr>
            <w:tcW w:w="5660" w:type="dxa"/>
            <w:vAlign w:val="bottom"/>
            <w:tcBorders>
              <w:right w:val="single" w:sz="8" w:color="auto"/>
            </w:tcBorders>
          </w:tcPr>
          <w:p>
            <w:pPr>
              <w:ind w:left="1100"/>
              <w:spacing w:after="0" w:line="189" w:lineRule="exact"/>
              <w:rPr>
                <w:sz w:val="20"/>
                <w:szCs w:val="20"/>
                <w:color w:val="auto"/>
              </w:rPr>
            </w:pPr>
            <w:r>
              <w:rPr>
                <w:rFonts w:ascii="Arial" w:cs="Arial" w:eastAsia="Arial" w:hAnsi="Arial"/>
                <w:sz w:val="17"/>
                <w:szCs w:val="17"/>
                <w:color w:val="auto"/>
              </w:rPr>
              <w:t>shareholder has properly elected to redeem its shares, if</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440" w:type="dxa"/>
            <w:vAlign w:val="bottom"/>
          </w:tcPr>
          <w:p>
            <w:pPr>
              <w:spacing w:after="0"/>
              <w:rPr>
                <w:sz w:val="16"/>
                <w:szCs w:val="16"/>
                <w:color w:val="auto"/>
              </w:rPr>
            </w:pPr>
          </w:p>
        </w:tc>
        <w:tc>
          <w:tcPr>
            <w:tcW w:w="5660" w:type="dxa"/>
            <w:vAlign w:val="bottom"/>
            <w:tcBorders>
              <w:right w:val="single" w:sz="8" w:color="auto"/>
            </w:tcBorders>
          </w:tcPr>
          <w:p>
            <w:pPr>
              <w:ind w:left="1100"/>
              <w:spacing w:after="0" w:line="189" w:lineRule="exact"/>
              <w:rPr>
                <w:sz w:val="20"/>
                <w:szCs w:val="20"/>
                <w:color w:val="auto"/>
              </w:rPr>
            </w:pPr>
            <w:r>
              <w:rPr>
                <w:rFonts w:ascii="Arial" w:cs="Arial" w:eastAsia="Arial" w:hAnsi="Arial"/>
                <w:sz w:val="17"/>
                <w:szCs w:val="17"/>
                <w:color w:val="auto"/>
              </w:rPr>
              <w:t>a business combination does not close. Our sponsor and</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440" w:type="dxa"/>
            <w:vAlign w:val="bottom"/>
          </w:tcPr>
          <w:p>
            <w:pPr>
              <w:spacing w:after="0"/>
              <w:rPr>
                <w:sz w:val="16"/>
                <w:szCs w:val="16"/>
                <w:color w:val="auto"/>
              </w:rPr>
            </w:pPr>
          </w:p>
        </w:tc>
        <w:tc>
          <w:tcPr>
            <w:tcW w:w="5660" w:type="dxa"/>
            <w:vAlign w:val="bottom"/>
            <w:tcBorders>
              <w:right w:val="single" w:sz="8" w:color="auto"/>
            </w:tcBorders>
          </w:tcPr>
          <w:p>
            <w:pPr>
              <w:ind w:left="1100"/>
              <w:spacing w:after="0" w:line="189" w:lineRule="exact"/>
              <w:rPr>
                <w:sz w:val="20"/>
                <w:szCs w:val="20"/>
                <w:color w:val="auto"/>
              </w:rPr>
            </w:pPr>
            <w:r>
              <w:rPr>
                <w:rFonts w:ascii="Arial" w:cs="Arial" w:eastAsia="Arial" w:hAnsi="Arial"/>
                <w:sz w:val="17"/>
                <w:szCs w:val="17"/>
                <w:color w:val="auto"/>
              </w:rPr>
              <w:t>each member of our management team have entered</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440" w:type="dxa"/>
            <w:vAlign w:val="bottom"/>
          </w:tcPr>
          <w:p>
            <w:pPr>
              <w:spacing w:after="0"/>
              <w:rPr>
                <w:sz w:val="16"/>
                <w:szCs w:val="16"/>
                <w:color w:val="auto"/>
              </w:rPr>
            </w:pPr>
          </w:p>
        </w:tc>
        <w:tc>
          <w:tcPr>
            <w:tcW w:w="5660" w:type="dxa"/>
            <w:vAlign w:val="bottom"/>
            <w:tcBorders>
              <w:right w:val="single" w:sz="8" w:color="auto"/>
            </w:tcBorders>
          </w:tcPr>
          <w:p>
            <w:pPr>
              <w:ind w:left="1100"/>
              <w:spacing w:after="0" w:line="189" w:lineRule="exact"/>
              <w:rPr>
                <w:sz w:val="20"/>
                <w:szCs w:val="20"/>
                <w:color w:val="auto"/>
              </w:rPr>
            </w:pPr>
            <w:r>
              <w:rPr>
                <w:rFonts w:ascii="Arial" w:cs="Arial" w:eastAsia="Arial" w:hAnsi="Arial"/>
                <w:sz w:val="17"/>
                <w:szCs w:val="17"/>
                <w:color w:val="auto"/>
              </w:rPr>
              <w:t>into an agreement with us, pursuant to which they have</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440" w:type="dxa"/>
            <w:vAlign w:val="bottom"/>
          </w:tcPr>
          <w:p>
            <w:pPr>
              <w:spacing w:after="0"/>
              <w:rPr>
                <w:sz w:val="16"/>
                <w:szCs w:val="16"/>
                <w:color w:val="auto"/>
              </w:rPr>
            </w:pPr>
          </w:p>
        </w:tc>
        <w:tc>
          <w:tcPr>
            <w:tcW w:w="5660" w:type="dxa"/>
            <w:vAlign w:val="bottom"/>
            <w:tcBorders>
              <w:right w:val="single" w:sz="8" w:color="auto"/>
            </w:tcBorders>
          </w:tcPr>
          <w:p>
            <w:pPr>
              <w:ind w:left="1100"/>
              <w:spacing w:after="0" w:line="189" w:lineRule="exact"/>
              <w:rPr>
                <w:sz w:val="20"/>
                <w:szCs w:val="20"/>
                <w:color w:val="auto"/>
              </w:rPr>
            </w:pPr>
            <w:r>
              <w:rPr>
                <w:rFonts w:ascii="Arial" w:cs="Arial" w:eastAsia="Arial" w:hAnsi="Arial"/>
                <w:sz w:val="17"/>
                <w:szCs w:val="17"/>
                <w:color w:val="auto"/>
              </w:rPr>
              <w:t>agreed to waive their redemption rights with respect to</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440" w:type="dxa"/>
            <w:vAlign w:val="bottom"/>
          </w:tcPr>
          <w:p>
            <w:pPr>
              <w:spacing w:after="0"/>
              <w:rPr>
                <w:sz w:val="16"/>
                <w:szCs w:val="16"/>
                <w:color w:val="auto"/>
              </w:rPr>
            </w:pPr>
          </w:p>
        </w:tc>
        <w:tc>
          <w:tcPr>
            <w:tcW w:w="5660" w:type="dxa"/>
            <w:vAlign w:val="bottom"/>
            <w:tcBorders>
              <w:right w:val="single" w:sz="8" w:color="auto"/>
            </w:tcBorders>
          </w:tcPr>
          <w:p>
            <w:pPr>
              <w:ind w:left="1100"/>
              <w:spacing w:after="0" w:line="189" w:lineRule="exact"/>
              <w:rPr>
                <w:sz w:val="20"/>
                <w:szCs w:val="20"/>
                <w:color w:val="auto"/>
              </w:rPr>
            </w:pPr>
            <w:r>
              <w:rPr>
                <w:rFonts w:ascii="Arial" w:cs="Arial" w:eastAsia="Arial" w:hAnsi="Arial"/>
                <w:sz w:val="17"/>
                <w:szCs w:val="17"/>
                <w:color w:val="auto"/>
              </w:rPr>
              <w:t>their founder shares, private placement shares and any</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440" w:type="dxa"/>
            <w:vAlign w:val="bottom"/>
          </w:tcPr>
          <w:p>
            <w:pPr>
              <w:spacing w:after="0"/>
              <w:rPr>
                <w:sz w:val="16"/>
                <w:szCs w:val="16"/>
                <w:color w:val="auto"/>
              </w:rPr>
            </w:pPr>
          </w:p>
        </w:tc>
        <w:tc>
          <w:tcPr>
            <w:tcW w:w="5660" w:type="dxa"/>
            <w:vAlign w:val="bottom"/>
            <w:tcBorders>
              <w:right w:val="single" w:sz="8" w:color="auto"/>
            </w:tcBorders>
          </w:tcPr>
          <w:p>
            <w:pPr>
              <w:ind w:left="1100"/>
              <w:spacing w:after="0" w:line="189" w:lineRule="exact"/>
              <w:rPr>
                <w:sz w:val="20"/>
                <w:szCs w:val="20"/>
                <w:color w:val="auto"/>
              </w:rPr>
            </w:pPr>
            <w:r>
              <w:rPr>
                <w:rFonts w:ascii="Arial" w:cs="Arial" w:eastAsia="Arial" w:hAnsi="Arial"/>
                <w:sz w:val="17"/>
                <w:szCs w:val="17"/>
                <w:color w:val="auto"/>
              </w:rPr>
              <w:t>public shares purchased during or after this offering in</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440" w:type="dxa"/>
            <w:vAlign w:val="bottom"/>
          </w:tcPr>
          <w:p>
            <w:pPr>
              <w:spacing w:after="0"/>
              <w:rPr>
                <w:sz w:val="16"/>
                <w:szCs w:val="16"/>
                <w:color w:val="auto"/>
              </w:rPr>
            </w:pPr>
          </w:p>
        </w:tc>
        <w:tc>
          <w:tcPr>
            <w:tcW w:w="5660" w:type="dxa"/>
            <w:vAlign w:val="bottom"/>
            <w:tcBorders>
              <w:right w:val="single" w:sz="8" w:color="auto"/>
            </w:tcBorders>
          </w:tcPr>
          <w:p>
            <w:pPr>
              <w:ind w:left="1100"/>
              <w:spacing w:after="0" w:line="189" w:lineRule="exact"/>
              <w:rPr>
                <w:sz w:val="20"/>
                <w:szCs w:val="20"/>
                <w:color w:val="auto"/>
              </w:rPr>
            </w:pPr>
            <w:r>
              <w:rPr>
                <w:rFonts w:ascii="Arial" w:cs="Arial" w:eastAsia="Arial" w:hAnsi="Arial"/>
                <w:sz w:val="17"/>
                <w:szCs w:val="17"/>
                <w:color w:val="auto"/>
              </w:rPr>
              <w:t>connection with (i) the completion of our initial business</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440" w:type="dxa"/>
            <w:vAlign w:val="bottom"/>
          </w:tcPr>
          <w:p>
            <w:pPr>
              <w:spacing w:after="0"/>
              <w:rPr>
                <w:sz w:val="16"/>
                <w:szCs w:val="16"/>
                <w:color w:val="auto"/>
              </w:rPr>
            </w:pPr>
          </w:p>
        </w:tc>
        <w:tc>
          <w:tcPr>
            <w:tcW w:w="5660" w:type="dxa"/>
            <w:vAlign w:val="bottom"/>
            <w:tcBorders>
              <w:right w:val="single" w:sz="8" w:color="auto"/>
            </w:tcBorders>
          </w:tcPr>
          <w:p>
            <w:pPr>
              <w:ind w:left="1100"/>
              <w:spacing w:after="0" w:line="189" w:lineRule="exact"/>
              <w:rPr>
                <w:sz w:val="20"/>
                <w:szCs w:val="20"/>
                <w:color w:val="auto"/>
              </w:rPr>
            </w:pPr>
            <w:r>
              <w:rPr>
                <w:rFonts w:ascii="Arial" w:cs="Arial" w:eastAsia="Arial" w:hAnsi="Arial"/>
                <w:sz w:val="17"/>
                <w:szCs w:val="17"/>
                <w:color w:val="auto"/>
              </w:rPr>
              <w:t>combination and (ii) a shareholder vote to approve an</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440" w:type="dxa"/>
            <w:vAlign w:val="bottom"/>
          </w:tcPr>
          <w:p>
            <w:pPr>
              <w:spacing w:after="0"/>
              <w:rPr>
                <w:sz w:val="16"/>
                <w:szCs w:val="16"/>
                <w:color w:val="auto"/>
              </w:rPr>
            </w:pPr>
          </w:p>
        </w:tc>
        <w:tc>
          <w:tcPr>
            <w:tcW w:w="5660" w:type="dxa"/>
            <w:vAlign w:val="bottom"/>
            <w:tcBorders>
              <w:right w:val="single" w:sz="8" w:color="auto"/>
            </w:tcBorders>
          </w:tcPr>
          <w:p>
            <w:pPr>
              <w:ind w:left="1100"/>
              <w:spacing w:after="0" w:line="189" w:lineRule="exact"/>
              <w:rPr>
                <w:sz w:val="20"/>
                <w:szCs w:val="20"/>
                <w:color w:val="auto"/>
              </w:rPr>
            </w:pPr>
            <w:r>
              <w:rPr>
                <w:rFonts w:ascii="Arial" w:cs="Arial" w:eastAsia="Arial" w:hAnsi="Arial"/>
                <w:sz w:val="17"/>
                <w:szCs w:val="17"/>
                <w:color w:val="auto"/>
              </w:rPr>
              <w:t>amendment to our amended and restated memorandum</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440" w:type="dxa"/>
            <w:vAlign w:val="bottom"/>
          </w:tcPr>
          <w:p>
            <w:pPr>
              <w:spacing w:after="0"/>
              <w:rPr>
                <w:sz w:val="16"/>
                <w:szCs w:val="16"/>
                <w:color w:val="auto"/>
              </w:rPr>
            </w:pPr>
          </w:p>
        </w:tc>
        <w:tc>
          <w:tcPr>
            <w:tcW w:w="5660" w:type="dxa"/>
            <w:vAlign w:val="bottom"/>
            <w:tcBorders>
              <w:right w:val="single" w:sz="8" w:color="auto"/>
            </w:tcBorders>
          </w:tcPr>
          <w:p>
            <w:pPr>
              <w:ind w:left="1100"/>
              <w:spacing w:after="0" w:line="189" w:lineRule="exact"/>
              <w:rPr>
                <w:sz w:val="20"/>
                <w:szCs w:val="20"/>
                <w:color w:val="auto"/>
              </w:rPr>
            </w:pPr>
            <w:r>
              <w:rPr>
                <w:rFonts w:ascii="Arial" w:cs="Arial" w:eastAsia="Arial" w:hAnsi="Arial"/>
                <w:sz w:val="17"/>
                <w:szCs w:val="17"/>
                <w:color w:val="auto"/>
              </w:rPr>
              <w:t>and articles of association (A) that would modify the</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440" w:type="dxa"/>
            <w:vAlign w:val="bottom"/>
          </w:tcPr>
          <w:p>
            <w:pPr>
              <w:spacing w:after="0"/>
              <w:rPr>
                <w:sz w:val="16"/>
                <w:szCs w:val="16"/>
                <w:color w:val="auto"/>
              </w:rPr>
            </w:pPr>
          </w:p>
        </w:tc>
        <w:tc>
          <w:tcPr>
            <w:tcW w:w="5660" w:type="dxa"/>
            <w:vAlign w:val="bottom"/>
            <w:tcBorders>
              <w:right w:val="single" w:sz="8" w:color="auto"/>
            </w:tcBorders>
          </w:tcPr>
          <w:p>
            <w:pPr>
              <w:ind w:left="1100"/>
              <w:spacing w:after="0" w:line="189" w:lineRule="exact"/>
              <w:rPr>
                <w:sz w:val="20"/>
                <w:szCs w:val="20"/>
                <w:color w:val="auto"/>
              </w:rPr>
            </w:pPr>
            <w:r>
              <w:rPr>
                <w:rFonts w:ascii="Arial" w:cs="Arial" w:eastAsia="Arial" w:hAnsi="Arial"/>
                <w:sz w:val="17"/>
                <w:szCs w:val="17"/>
                <w:color w:val="auto"/>
              </w:rPr>
              <w:t>substance or timing of our obligation to provide holders</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440" w:type="dxa"/>
            <w:vAlign w:val="bottom"/>
          </w:tcPr>
          <w:p>
            <w:pPr>
              <w:spacing w:after="0"/>
              <w:rPr>
                <w:sz w:val="16"/>
                <w:szCs w:val="16"/>
                <w:color w:val="auto"/>
              </w:rPr>
            </w:pPr>
          </w:p>
        </w:tc>
        <w:tc>
          <w:tcPr>
            <w:tcW w:w="5660" w:type="dxa"/>
            <w:vAlign w:val="bottom"/>
            <w:tcBorders>
              <w:right w:val="single" w:sz="8" w:color="auto"/>
            </w:tcBorders>
          </w:tcPr>
          <w:p>
            <w:pPr>
              <w:ind w:left="1100"/>
              <w:spacing w:after="0" w:line="189" w:lineRule="exact"/>
              <w:rPr>
                <w:sz w:val="20"/>
                <w:szCs w:val="20"/>
                <w:color w:val="auto"/>
              </w:rPr>
            </w:pPr>
            <w:r>
              <w:rPr>
                <w:rFonts w:ascii="Arial" w:cs="Arial" w:eastAsia="Arial" w:hAnsi="Arial"/>
                <w:sz w:val="17"/>
                <w:szCs w:val="17"/>
                <w:color w:val="auto"/>
              </w:rPr>
              <w:t>of our Class A ordinary shares the right to have their</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440" w:type="dxa"/>
            <w:vAlign w:val="bottom"/>
          </w:tcPr>
          <w:p>
            <w:pPr>
              <w:spacing w:after="0"/>
              <w:rPr>
                <w:sz w:val="16"/>
                <w:szCs w:val="16"/>
                <w:color w:val="auto"/>
              </w:rPr>
            </w:pPr>
          </w:p>
        </w:tc>
        <w:tc>
          <w:tcPr>
            <w:tcW w:w="5660" w:type="dxa"/>
            <w:vAlign w:val="bottom"/>
            <w:tcBorders>
              <w:right w:val="single" w:sz="8" w:color="auto"/>
            </w:tcBorders>
          </w:tcPr>
          <w:p>
            <w:pPr>
              <w:ind w:left="1100"/>
              <w:spacing w:after="0" w:line="189" w:lineRule="exact"/>
              <w:rPr>
                <w:sz w:val="20"/>
                <w:szCs w:val="20"/>
                <w:color w:val="auto"/>
              </w:rPr>
            </w:pPr>
            <w:r>
              <w:rPr>
                <w:rFonts w:ascii="Arial" w:cs="Arial" w:eastAsia="Arial" w:hAnsi="Arial"/>
                <w:sz w:val="17"/>
                <w:szCs w:val="17"/>
                <w:color w:val="auto"/>
              </w:rPr>
              <w:t>shares redeemed in connection with our initial business</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440" w:type="dxa"/>
            <w:vAlign w:val="bottom"/>
          </w:tcPr>
          <w:p>
            <w:pPr>
              <w:spacing w:after="0"/>
              <w:rPr>
                <w:sz w:val="16"/>
                <w:szCs w:val="16"/>
                <w:color w:val="auto"/>
              </w:rPr>
            </w:pPr>
          </w:p>
        </w:tc>
        <w:tc>
          <w:tcPr>
            <w:tcW w:w="5660" w:type="dxa"/>
            <w:vAlign w:val="bottom"/>
            <w:tcBorders>
              <w:right w:val="single" w:sz="8" w:color="auto"/>
            </w:tcBorders>
          </w:tcPr>
          <w:p>
            <w:pPr>
              <w:ind w:left="1100"/>
              <w:spacing w:after="0" w:line="189" w:lineRule="exact"/>
              <w:rPr>
                <w:sz w:val="20"/>
                <w:szCs w:val="20"/>
                <w:color w:val="auto"/>
              </w:rPr>
            </w:pPr>
            <w:r>
              <w:rPr>
                <w:rFonts w:ascii="Arial" w:cs="Arial" w:eastAsia="Arial" w:hAnsi="Arial"/>
                <w:sz w:val="17"/>
                <w:szCs w:val="17"/>
                <w:color w:val="auto"/>
              </w:rPr>
              <w:t>combination or to redeem 100% of our public shares if</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440" w:type="dxa"/>
            <w:vAlign w:val="bottom"/>
          </w:tcPr>
          <w:p>
            <w:pPr>
              <w:spacing w:after="0"/>
              <w:rPr>
                <w:sz w:val="16"/>
                <w:szCs w:val="16"/>
                <w:color w:val="auto"/>
              </w:rPr>
            </w:pPr>
          </w:p>
        </w:tc>
        <w:tc>
          <w:tcPr>
            <w:tcW w:w="5660" w:type="dxa"/>
            <w:vAlign w:val="bottom"/>
            <w:tcBorders>
              <w:right w:val="single" w:sz="8" w:color="auto"/>
            </w:tcBorders>
          </w:tcPr>
          <w:p>
            <w:pPr>
              <w:ind w:left="1100"/>
              <w:spacing w:after="0" w:line="189" w:lineRule="exact"/>
              <w:rPr>
                <w:sz w:val="20"/>
                <w:szCs w:val="20"/>
                <w:color w:val="auto"/>
              </w:rPr>
            </w:pPr>
            <w:r>
              <w:rPr>
                <w:rFonts w:ascii="Arial" w:cs="Arial" w:eastAsia="Arial" w:hAnsi="Arial"/>
                <w:sz w:val="17"/>
                <w:szCs w:val="17"/>
                <w:color w:val="auto"/>
              </w:rPr>
              <w:t>we do not complete our initial business combination</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440" w:type="dxa"/>
            <w:vAlign w:val="bottom"/>
          </w:tcPr>
          <w:p>
            <w:pPr>
              <w:spacing w:after="0"/>
              <w:rPr>
                <w:sz w:val="16"/>
                <w:szCs w:val="16"/>
                <w:color w:val="auto"/>
              </w:rPr>
            </w:pPr>
          </w:p>
        </w:tc>
        <w:tc>
          <w:tcPr>
            <w:tcW w:w="5660" w:type="dxa"/>
            <w:vAlign w:val="bottom"/>
            <w:tcBorders>
              <w:right w:val="single" w:sz="8" w:color="auto"/>
            </w:tcBorders>
          </w:tcPr>
          <w:p>
            <w:pPr>
              <w:ind w:left="1100"/>
              <w:spacing w:after="0" w:line="189" w:lineRule="exact"/>
              <w:rPr>
                <w:sz w:val="20"/>
                <w:szCs w:val="20"/>
                <w:color w:val="auto"/>
              </w:rPr>
            </w:pPr>
            <w:r>
              <w:rPr>
                <w:rFonts w:ascii="Arial" w:cs="Arial" w:eastAsia="Arial" w:hAnsi="Arial"/>
                <w:sz w:val="17"/>
                <w:szCs w:val="17"/>
                <w:color w:val="auto"/>
              </w:rPr>
              <w:t>within 24 months from the closing of this offering or (B)</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440" w:type="dxa"/>
            <w:vAlign w:val="bottom"/>
          </w:tcPr>
          <w:p>
            <w:pPr>
              <w:spacing w:after="0"/>
              <w:rPr>
                <w:sz w:val="16"/>
                <w:szCs w:val="16"/>
                <w:color w:val="auto"/>
              </w:rPr>
            </w:pPr>
          </w:p>
        </w:tc>
        <w:tc>
          <w:tcPr>
            <w:tcW w:w="5660" w:type="dxa"/>
            <w:vAlign w:val="bottom"/>
            <w:tcBorders>
              <w:right w:val="single" w:sz="8" w:color="auto"/>
            </w:tcBorders>
          </w:tcPr>
          <w:p>
            <w:pPr>
              <w:ind w:left="1100"/>
              <w:spacing w:after="0" w:line="189" w:lineRule="exact"/>
              <w:rPr>
                <w:sz w:val="20"/>
                <w:szCs w:val="20"/>
                <w:color w:val="auto"/>
              </w:rPr>
            </w:pPr>
            <w:r>
              <w:rPr>
                <w:rFonts w:ascii="Arial" w:cs="Arial" w:eastAsia="Arial" w:hAnsi="Arial"/>
                <w:sz w:val="17"/>
                <w:szCs w:val="17"/>
                <w:color w:val="auto"/>
              </w:rPr>
              <w:t>with respect to any other provision relating to the rights</w:t>
            </w:r>
          </w:p>
        </w:tc>
        <w:tc>
          <w:tcPr>
            <w:tcW w:w="940" w:type="dxa"/>
            <w:vAlign w:val="bottom"/>
          </w:tcPr>
          <w:p>
            <w:pPr>
              <w:spacing w:after="0"/>
              <w:rPr>
                <w:sz w:val="16"/>
                <w:szCs w:val="16"/>
                <w:color w:val="auto"/>
              </w:rPr>
            </w:pPr>
          </w:p>
        </w:tc>
      </w:tr>
      <w:tr>
        <w:trPr>
          <w:trHeight w:val="205"/>
        </w:trPr>
        <w:tc>
          <w:tcPr>
            <w:tcW w:w="980" w:type="dxa"/>
            <w:vAlign w:val="bottom"/>
            <w:tcBorders>
              <w:right w:val="single" w:sz="8" w:color="auto"/>
            </w:tcBorders>
          </w:tcPr>
          <w:p>
            <w:pPr>
              <w:spacing w:after="0"/>
              <w:rPr>
                <w:sz w:val="17"/>
                <w:szCs w:val="17"/>
                <w:color w:val="auto"/>
              </w:rPr>
            </w:pPr>
          </w:p>
        </w:tc>
        <w:tc>
          <w:tcPr>
            <w:tcW w:w="3440" w:type="dxa"/>
            <w:vAlign w:val="bottom"/>
          </w:tcPr>
          <w:p>
            <w:pPr>
              <w:spacing w:after="0"/>
              <w:rPr>
                <w:sz w:val="17"/>
                <w:szCs w:val="17"/>
                <w:color w:val="auto"/>
              </w:rPr>
            </w:pPr>
          </w:p>
        </w:tc>
        <w:tc>
          <w:tcPr>
            <w:tcW w:w="5660" w:type="dxa"/>
            <w:vAlign w:val="bottom"/>
            <w:tcBorders>
              <w:right w:val="single" w:sz="8" w:color="auto"/>
            </w:tcBorders>
          </w:tcPr>
          <w:p>
            <w:pPr>
              <w:ind w:left="1100"/>
              <w:spacing w:after="0"/>
              <w:rPr>
                <w:sz w:val="20"/>
                <w:szCs w:val="20"/>
                <w:color w:val="auto"/>
              </w:rPr>
            </w:pPr>
            <w:r>
              <w:rPr>
                <w:rFonts w:ascii="Arial" w:cs="Arial" w:eastAsia="Arial" w:hAnsi="Arial"/>
                <w:sz w:val="17"/>
                <w:szCs w:val="17"/>
                <w:color w:val="auto"/>
              </w:rPr>
              <w:t>of holders of our Class A ordinary shares.</w:t>
            </w:r>
          </w:p>
        </w:tc>
        <w:tc>
          <w:tcPr>
            <w:tcW w:w="940" w:type="dxa"/>
            <w:vAlign w:val="bottom"/>
          </w:tcPr>
          <w:p>
            <w:pPr>
              <w:spacing w:after="0"/>
              <w:rPr>
                <w:sz w:val="17"/>
                <w:szCs w:val="17"/>
                <w:color w:val="auto"/>
              </w:rPr>
            </w:pPr>
          </w:p>
        </w:tc>
      </w:tr>
      <w:tr>
        <w:trPr>
          <w:trHeight w:val="295"/>
        </w:trPr>
        <w:tc>
          <w:tcPr>
            <w:tcW w:w="980" w:type="dxa"/>
            <w:vAlign w:val="bottom"/>
            <w:tcBorders>
              <w:right w:val="single" w:sz="8" w:color="auto"/>
            </w:tcBorders>
          </w:tcPr>
          <w:p>
            <w:pPr>
              <w:spacing w:after="0"/>
              <w:rPr>
                <w:sz w:val="24"/>
                <w:szCs w:val="24"/>
                <w:color w:val="auto"/>
              </w:rPr>
            </w:pPr>
          </w:p>
        </w:tc>
        <w:tc>
          <w:tcPr>
            <w:tcW w:w="3440" w:type="dxa"/>
            <w:vAlign w:val="bottom"/>
          </w:tcPr>
          <w:p>
            <w:pPr>
              <w:ind w:left="220"/>
              <w:spacing w:after="0"/>
              <w:rPr>
                <w:sz w:val="20"/>
                <w:szCs w:val="20"/>
                <w:color w:val="auto"/>
              </w:rPr>
            </w:pPr>
            <w:r>
              <w:rPr>
                <w:rFonts w:ascii="Arial" w:cs="Arial" w:eastAsia="Arial" w:hAnsi="Arial"/>
                <w:sz w:val="17"/>
                <w:szCs w:val="17"/>
                <w:b w:val="1"/>
                <w:bCs w:val="1"/>
                <w:color w:val="auto"/>
              </w:rPr>
              <w:t>Limitations on redemptions</w:t>
            </w:r>
          </w:p>
        </w:tc>
        <w:tc>
          <w:tcPr>
            <w:tcW w:w="5660" w:type="dxa"/>
            <w:vAlign w:val="bottom"/>
            <w:tcBorders>
              <w:right w:val="single" w:sz="8" w:color="auto"/>
            </w:tcBorders>
          </w:tcPr>
          <w:p>
            <w:pPr>
              <w:ind w:left="1100"/>
              <w:spacing w:after="0"/>
              <w:rPr>
                <w:sz w:val="20"/>
                <w:szCs w:val="20"/>
                <w:color w:val="auto"/>
              </w:rPr>
            </w:pPr>
            <w:r>
              <w:rPr>
                <w:rFonts w:ascii="Arial" w:cs="Arial" w:eastAsia="Arial" w:hAnsi="Arial"/>
                <w:sz w:val="17"/>
                <w:szCs w:val="17"/>
                <w:color w:val="auto"/>
              </w:rPr>
              <w:t>Our amended and restated memorandum and articles of</w:t>
            </w:r>
          </w:p>
        </w:tc>
        <w:tc>
          <w:tcPr>
            <w:tcW w:w="940" w:type="dxa"/>
            <w:vAlign w:val="bottom"/>
          </w:tcPr>
          <w:p>
            <w:pPr>
              <w:spacing w:after="0"/>
              <w:rPr>
                <w:sz w:val="24"/>
                <w:szCs w:val="24"/>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440" w:type="dxa"/>
            <w:vAlign w:val="bottom"/>
          </w:tcPr>
          <w:p>
            <w:pPr>
              <w:spacing w:after="0"/>
              <w:rPr>
                <w:sz w:val="16"/>
                <w:szCs w:val="16"/>
                <w:color w:val="auto"/>
              </w:rPr>
            </w:pPr>
          </w:p>
        </w:tc>
        <w:tc>
          <w:tcPr>
            <w:tcW w:w="5660" w:type="dxa"/>
            <w:vAlign w:val="bottom"/>
            <w:tcBorders>
              <w:right w:val="single" w:sz="8" w:color="auto"/>
            </w:tcBorders>
          </w:tcPr>
          <w:p>
            <w:pPr>
              <w:ind w:left="1100"/>
              <w:spacing w:after="0" w:line="189" w:lineRule="exact"/>
              <w:rPr>
                <w:sz w:val="20"/>
                <w:szCs w:val="20"/>
                <w:color w:val="auto"/>
              </w:rPr>
            </w:pPr>
            <w:r>
              <w:rPr>
                <w:rFonts w:ascii="Arial" w:cs="Arial" w:eastAsia="Arial" w:hAnsi="Arial"/>
                <w:sz w:val="17"/>
                <w:szCs w:val="17"/>
                <w:color w:val="auto"/>
              </w:rPr>
              <w:t>association will provide that in no event will we redeem</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440" w:type="dxa"/>
            <w:vAlign w:val="bottom"/>
          </w:tcPr>
          <w:p>
            <w:pPr>
              <w:spacing w:after="0"/>
              <w:rPr>
                <w:sz w:val="16"/>
                <w:szCs w:val="16"/>
                <w:color w:val="auto"/>
              </w:rPr>
            </w:pPr>
          </w:p>
        </w:tc>
        <w:tc>
          <w:tcPr>
            <w:tcW w:w="5660" w:type="dxa"/>
            <w:vAlign w:val="bottom"/>
            <w:tcBorders>
              <w:right w:val="single" w:sz="8" w:color="auto"/>
            </w:tcBorders>
          </w:tcPr>
          <w:p>
            <w:pPr>
              <w:ind w:left="1100"/>
              <w:spacing w:after="0" w:line="189" w:lineRule="exact"/>
              <w:rPr>
                <w:sz w:val="20"/>
                <w:szCs w:val="20"/>
                <w:color w:val="auto"/>
              </w:rPr>
            </w:pPr>
            <w:r>
              <w:rPr>
                <w:rFonts w:ascii="Arial" w:cs="Arial" w:eastAsia="Arial" w:hAnsi="Arial"/>
                <w:sz w:val="17"/>
                <w:szCs w:val="17"/>
                <w:color w:val="auto"/>
              </w:rPr>
              <w:t>our public shares in an amount that would cause our net</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440" w:type="dxa"/>
            <w:vAlign w:val="bottom"/>
          </w:tcPr>
          <w:p>
            <w:pPr>
              <w:spacing w:after="0"/>
              <w:rPr>
                <w:sz w:val="16"/>
                <w:szCs w:val="16"/>
                <w:color w:val="auto"/>
              </w:rPr>
            </w:pPr>
          </w:p>
        </w:tc>
        <w:tc>
          <w:tcPr>
            <w:tcW w:w="5660" w:type="dxa"/>
            <w:vAlign w:val="bottom"/>
            <w:tcBorders>
              <w:right w:val="single" w:sz="8" w:color="auto"/>
            </w:tcBorders>
          </w:tcPr>
          <w:p>
            <w:pPr>
              <w:ind w:left="1100"/>
              <w:spacing w:after="0" w:line="189" w:lineRule="exact"/>
              <w:rPr>
                <w:sz w:val="20"/>
                <w:szCs w:val="20"/>
                <w:color w:val="auto"/>
              </w:rPr>
            </w:pPr>
            <w:r>
              <w:rPr>
                <w:rFonts w:ascii="Arial" w:cs="Arial" w:eastAsia="Arial" w:hAnsi="Arial"/>
                <w:sz w:val="17"/>
                <w:szCs w:val="17"/>
                <w:color w:val="auto"/>
              </w:rPr>
              <w:t>tangible assets to be less than $5,000,001 (so that we</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440" w:type="dxa"/>
            <w:vAlign w:val="bottom"/>
          </w:tcPr>
          <w:p>
            <w:pPr>
              <w:spacing w:after="0"/>
              <w:rPr>
                <w:sz w:val="16"/>
                <w:szCs w:val="16"/>
                <w:color w:val="auto"/>
              </w:rPr>
            </w:pPr>
          </w:p>
        </w:tc>
        <w:tc>
          <w:tcPr>
            <w:tcW w:w="5660" w:type="dxa"/>
            <w:vAlign w:val="bottom"/>
            <w:tcBorders>
              <w:right w:val="single" w:sz="8" w:color="auto"/>
            </w:tcBorders>
          </w:tcPr>
          <w:p>
            <w:pPr>
              <w:ind w:left="1100"/>
              <w:spacing w:after="0" w:line="189" w:lineRule="exact"/>
              <w:rPr>
                <w:sz w:val="20"/>
                <w:szCs w:val="20"/>
                <w:color w:val="auto"/>
              </w:rPr>
            </w:pPr>
            <w:r>
              <w:rPr>
                <w:rFonts w:ascii="Arial" w:cs="Arial" w:eastAsia="Arial" w:hAnsi="Arial"/>
                <w:sz w:val="17"/>
                <w:szCs w:val="17"/>
                <w:color w:val="auto"/>
              </w:rPr>
              <w:t>do not then become subject to the SEC’s “penny stock”</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440" w:type="dxa"/>
            <w:vAlign w:val="bottom"/>
          </w:tcPr>
          <w:p>
            <w:pPr>
              <w:spacing w:after="0"/>
              <w:rPr>
                <w:sz w:val="16"/>
                <w:szCs w:val="16"/>
                <w:color w:val="auto"/>
              </w:rPr>
            </w:pPr>
          </w:p>
        </w:tc>
        <w:tc>
          <w:tcPr>
            <w:tcW w:w="5660" w:type="dxa"/>
            <w:vAlign w:val="bottom"/>
            <w:tcBorders>
              <w:right w:val="single" w:sz="8" w:color="auto"/>
            </w:tcBorders>
          </w:tcPr>
          <w:p>
            <w:pPr>
              <w:ind w:left="1100"/>
              <w:spacing w:after="0" w:line="189" w:lineRule="exact"/>
              <w:rPr>
                <w:sz w:val="20"/>
                <w:szCs w:val="20"/>
                <w:color w:val="auto"/>
              </w:rPr>
            </w:pPr>
            <w:r>
              <w:rPr>
                <w:rFonts w:ascii="Arial" w:cs="Arial" w:eastAsia="Arial" w:hAnsi="Arial"/>
                <w:sz w:val="17"/>
                <w:szCs w:val="17"/>
                <w:color w:val="auto"/>
              </w:rPr>
              <w:t>rules). However, a greater net tangible asset or cash</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440" w:type="dxa"/>
            <w:vAlign w:val="bottom"/>
          </w:tcPr>
          <w:p>
            <w:pPr>
              <w:spacing w:after="0"/>
              <w:rPr>
                <w:sz w:val="16"/>
                <w:szCs w:val="16"/>
                <w:color w:val="auto"/>
              </w:rPr>
            </w:pPr>
          </w:p>
        </w:tc>
        <w:tc>
          <w:tcPr>
            <w:tcW w:w="5660" w:type="dxa"/>
            <w:vAlign w:val="bottom"/>
            <w:tcBorders>
              <w:right w:val="single" w:sz="8" w:color="auto"/>
            </w:tcBorders>
          </w:tcPr>
          <w:p>
            <w:pPr>
              <w:ind w:left="1100"/>
              <w:spacing w:after="0" w:line="189" w:lineRule="exact"/>
              <w:rPr>
                <w:sz w:val="20"/>
                <w:szCs w:val="20"/>
                <w:color w:val="auto"/>
              </w:rPr>
            </w:pPr>
            <w:r>
              <w:rPr>
                <w:rFonts w:ascii="Arial" w:cs="Arial" w:eastAsia="Arial" w:hAnsi="Arial"/>
                <w:sz w:val="17"/>
                <w:szCs w:val="17"/>
                <w:color w:val="auto"/>
              </w:rPr>
              <w:t>requirement may be contained in the agreement relating</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440" w:type="dxa"/>
            <w:vAlign w:val="bottom"/>
          </w:tcPr>
          <w:p>
            <w:pPr>
              <w:spacing w:after="0"/>
              <w:rPr>
                <w:sz w:val="16"/>
                <w:szCs w:val="16"/>
                <w:color w:val="auto"/>
              </w:rPr>
            </w:pPr>
          </w:p>
        </w:tc>
        <w:tc>
          <w:tcPr>
            <w:tcW w:w="5660" w:type="dxa"/>
            <w:vAlign w:val="bottom"/>
            <w:tcBorders>
              <w:right w:val="single" w:sz="8" w:color="auto"/>
            </w:tcBorders>
          </w:tcPr>
          <w:p>
            <w:pPr>
              <w:ind w:left="1100"/>
              <w:spacing w:after="0" w:line="189" w:lineRule="exact"/>
              <w:rPr>
                <w:sz w:val="20"/>
                <w:szCs w:val="20"/>
                <w:color w:val="auto"/>
              </w:rPr>
            </w:pPr>
            <w:r>
              <w:rPr>
                <w:rFonts w:ascii="Arial" w:cs="Arial" w:eastAsia="Arial" w:hAnsi="Arial"/>
                <w:sz w:val="17"/>
                <w:szCs w:val="17"/>
                <w:color w:val="auto"/>
              </w:rPr>
              <w:t>to our initial business combination. For example, the</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440" w:type="dxa"/>
            <w:vAlign w:val="bottom"/>
          </w:tcPr>
          <w:p>
            <w:pPr>
              <w:spacing w:after="0"/>
              <w:rPr>
                <w:sz w:val="16"/>
                <w:szCs w:val="16"/>
                <w:color w:val="auto"/>
              </w:rPr>
            </w:pPr>
          </w:p>
        </w:tc>
        <w:tc>
          <w:tcPr>
            <w:tcW w:w="5660" w:type="dxa"/>
            <w:vAlign w:val="bottom"/>
            <w:tcBorders>
              <w:right w:val="single" w:sz="8" w:color="auto"/>
            </w:tcBorders>
          </w:tcPr>
          <w:p>
            <w:pPr>
              <w:ind w:left="1100"/>
              <w:spacing w:after="0" w:line="189" w:lineRule="exact"/>
              <w:rPr>
                <w:sz w:val="20"/>
                <w:szCs w:val="20"/>
                <w:color w:val="auto"/>
              </w:rPr>
            </w:pPr>
            <w:r>
              <w:rPr>
                <w:rFonts w:ascii="Arial" w:cs="Arial" w:eastAsia="Arial" w:hAnsi="Arial"/>
                <w:sz w:val="17"/>
                <w:szCs w:val="17"/>
                <w:color w:val="auto"/>
              </w:rPr>
              <w:t>proposed business combination may require: (i) cash</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440" w:type="dxa"/>
            <w:vAlign w:val="bottom"/>
          </w:tcPr>
          <w:p>
            <w:pPr>
              <w:spacing w:after="0"/>
              <w:rPr>
                <w:sz w:val="16"/>
                <w:szCs w:val="16"/>
                <w:color w:val="auto"/>
              </w:rPr>
            </w:pPr>
          </w:p>
        </w:tc>
        <w:tc>
          <w:tcPr>
            <w:tcW w:w="5660" w:type="dxa"/>
            <w:vAlign w:val="bottom"/>
            <w:tcBorders>
              <w:right w:val="single" w:sz="8" w:color="auto"/>
            </w:tcBorders>
          </w:tcPr>
          <w:p>
            <w:pPr>
              <w:ind w:left="1100"/>
              <w:spacing w:after="0" w:line="189" w:lineRule="exact"/>
              <w:rPr>
                <w:sz w:val="20"/>
                <w:szCs w:val="20"/>
                <w:color w:val="auto"/>
              </w:rPr>
            </w:pPr>
            <w:r>
              <w:rPr>
                <w:rFonts w:ascii="Arial" w:cs="Arial" w:eastAsia="Arial" w:hAnsi="Arial"/>
                <w:sz w:val="17"/>
                <w:szCs w:val="17"/>
                <w:color w:val="auto"/>
              </w:rPr>
              <w:t>consideration to be paid to the target or its owners,</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440" w:type="dxa"/>
            <w:vAlign w:val="bottom"/>
          </w:tcPr>
          <w:p>
            <w:pPr>
              <w:spacing w:after="0"/>
              <w:rPr>
                <w:sz w:val="16"/>
                <w:szCs w:val="16"/>
                <w:color w:val="auto"/>
              </w:rPr>
            </w:pPr>
          </w:p>
        </w:tc>
        <w:tc>
          <w:tcPr>
            <w:tcW w:w="5660" w:type="dxa"/>
            <w:vAlign w:val="bottom"/>
            <w:tcBorders>
              <w:right w:val="single" w:sz="8" w:color="auto"/>
            </w:tcBorders>
          </w:tcPr>
          <w:p>
            <w:pPr>
              <w:ind w:left="1100"/>
              <w:spacing w:after="0" w:line="189" w:lineRule="exact"/>
              <w:rPr>
                <w:sz w:val="20"/>
                <w:szCs w:val="20"/>
                <w:color w:val="auto"/>
              </w:rPr>
            </w:pPr>
            <w:r>
              <w:rPr>
                <w:rFonts w:ascii="Arial" w:cs="Arial" w:eastAsia="Arial" w:hAnsi="Arial"/>
                <w:sz w:val="17"/>
                <w:szCs w:val="17"/>
                <w:color w:val="auto"/>
              </w:rPr>
              <w:t>(ii) cash to be transferred to the target for working capital</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440" w:type="dxa"/>
            <w:vAlign w:val="bottom"/>
          </w:tcPr>
          <w:p>
            <w:pPr>
              <w:spacing w:after="0"/>
              <w:rPr>
                <w:sz w:val="16"/>
                <w:szCs w:val="16"/>
                <w:color w:val="auto"/>
              </w:rPr>
            </w:pPr>
          </w:p>
        </w:tc>
        <w:tc>
          <w:tcPr>
            <w:tcW w:w="5660" w:type="dxa"/>
            <w:vAlign w:val="bottom"/>
            <w:tcBorders>
              <w:right w:val="single" w:sz="8" w:color="auto"/>
            </w:tcBorders>
          </w:tcPr>
          <w:p>
            <w:pPr>
              <w:ind w:left="1100"/>
              <w:spacing w:after="0" w:line="189" w:lineRule="exact"/>
              <w:rPr>
                <w:sz w:val="20"/>
                <w:szCs w:val="20"/>
                <w:color w:val="auto"/>
              </w:rPr>
            </w:pPr>
            <w:r>
              <w:rPr>
                <w:rFonts w:ascii="Arial" w:cs="Arial" w:eastAsia="Arial" w:hAnsi="Arial"/>
                <w:sz w:val="17"/>
                <w:szCs w:val="17"/>
                <w:color w:val="auto"/>
              </w:rPr>
              <w:t>or other general corporate purposes or (iii) the retention</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440" w:type="dxa"/>
            <w:vAlign w:val="bottom"/>
          </w:tcPr>
          <w:p>
            <w:pPr>
              <w:spacing w:after="0"/>
              <w:rPr>
                <w:sz w:val="16"/>
                <w:szCs w:val="16"/>
                <w:color w:val="auto"/>
              </w:rPr>
            </w:pPr>
          </w:p>
        </w:tc>
        <w:tc>
          <w:tcPr>
            <w:tcW w:w="5660" w:type="dxa"/>
            <w:vAlign w:val="bottom"/>
            <w:tcBorders>
              <w:right w:val="single" w:sz="8" w:color="auto"/>
            </w:tcBorders>
          </w:tcPr>
          <w:p>
            <w:pPr>
              <w:ind w:left="1100"/>
              <w:spacing w:after="0" w:line="189" w:lineRule="exact"/>
              <w:rPr>
                <w:sz w:val="20"/>
                <w:szCs w:val="20"/>
                <w:color w:val="auto"/>
              </w:rPr>
            </w:pPr>
            <w:r>
              <w:rPr>
                <w:rFonts w:ascii="Arial" w:cs="Arial" w:eastAsia="Arial" w:hAnsi="Arial"/>
                <w:sz w:val="17"/>
                <w:szCs w:val="17"/>
                <w:color w:val="auto"/>
              </w:rPr>
              <w:t>of cash to satisfy other conditions in accordance with the</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440" w:type="dxa"/>
            <w:vAlign w:val="bottom"/>
          </w:tcPr>
          <w:p>
            <w:pPr>
              <w:spacing w:after="0"/>
              <w:rPr>
                <w:sz w:val="16"/>
                <w:szCs w:val="16"/>
                <w:color w:val="auto"/>
              </w:rPr>
            </w:pPr>
          </w:p>
        </w:tc>
        <w:tc>
          <w:tcPr>
            <w:tcW w:w="5660" w:type="dxa"/>
            <w:vAlign w:val="bottom"/>
            <w:tcBorders>
              <w:right w:val="single" w:sz="8" w:color="auto"/>
            </w:tcBorders>
          </w:tcPr>
          <w:p>
            <w:pPr>
              <w:ind w:left="1100"/>
              <w:spacing w:after="0" w:line="189" w:lineRule="exact"/>
              <w:rPr>
                <w:sz w:val="20"/>
                <w:szCs w:val="20"/>
                <w:color w:val="auto"/>
              </w:rPr>
            </w:pPr>
            <w:r>
              <w:rPr>
                <w:rFonts w:ascii="Arial" w:cs="Arial" w:eastAsia="Arial" w:hAnsi="Arial"/>
                <w:sz w:val="17"/>
                <w:szCs w:val="17"/>
                <w:color w:val="auto"/>
              </w:rPr>
              <w:t>terms of the proposed business combination.</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440" w:type="dxa"/>
            <w:vAlign w:val="bottom"/>
          </w:tcPr>
          <w:p>
            <w:pPr>
              <w:spacing w:after="0"/>
              <w:rPr>
                <w:sz w:val="16"/>
                <w:szCs w:val="16"/>
                <w:color w:val="auto"/>
              </w:rPr>
            </w:pPr>
          </w:p>
        </w:tc>
        <w:tc>
          <w:tcPr>
            <w:tcW w:w="5660" w:type="dxa"/>
            <w:vAlign w:val="bottom"/>
            <w:tcBorders>
              <w:right w:val="single" w:sz="8" w:color="auto"/>
            </w:tcBorders>
          </w:tcPr>
          <w:p>
            <w:pPr>
              <w:ind w:left="1100"/>
              <w:spacing w:after="0" w:line="189" w:lineRule="exact"/>
              <w:rPr>
                <w:sz w:val="20"/>
                <w:szCs w:val="20"/>
                <w:color w:val="auto"/>
              </w:rPr>
            </w:pPr>
            <w:r>
              <w:rPr>
                <w:rFonts w:ascii="Arial" w:cs="Arial" w:eastAsia="Arial" w:hAnsi="Arial"/>
                <w:sz w:val="17"/>
                <w:szCs w:val="17"/>
                <w:color w:val="auto"/>
              </w:rPr>
              <w:t>Furthermore, although we will not redeem shares in an</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440" w:type="dxa"/>
            <w:vAlign w:val="bottom"/>
          </w:tcPr>
          <w:p>
            <w:pPr>
              <w:spacing w:after="0"/>
              <w:rPr>
                <w:sz w:val="16"/>
                <w:szCs w:val="16"/>
                <w:color w:val="auto"/>
              </w:rPr>
            </w:pPr>
          </w:p>
        </w:tc>
        <w:tc>
          <w:tcPr>
            <w:tcW w:w="5660" w:type="dxa"/>
            <w:vAlign w:val="bottom"/>
            <w:tcBorders>
              <w:right w:val="single" w:sz="8" w:color="auto"/>
            </w:tcBorders>
          </w:tcPr>
          <w:p>
            <w:pPr>
              <w:ind w:left="1100"/>
              <w:spacing w:after="0" w:line="189" w:lineRule="exact"/>
              <w:rPr>
                <w:sz w:val="20"/>
                <w:szCs w:val="20"/>
                <w:color w:val="auto"/>
              </w:rPr>
            </w:pPr>
            <w:r>
              <w:rPr>
                <w:rFonts w:ascii="Arial" w:cs="Arial" w:eastAsia="Arial" w:hAnsi="Arial"/>
                <w:sz w:val="17"/>
                <w:szCs w:val="17"/>
                <w:color w:val="auto"/>
              </w:rPr>
              <w:t>amount that would cause our net tangible assets to fall</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440" w:type="dxa"/>
            <w:vAlign w:val="bottom"/>
          </w:tcPr>
          <w:p>
            <w:pPr>
              <w:spacing w:after="0"/>
              <w:rPr>
                <w:sz w:val="16"/>
                <w:szCs w:val="16"/>
                <w:color w:val="auto"/>
              </w:rPr>
            </w:pPr>
          </w:p>
        </w:tc>
        <w:tc>
          <w:tcPr>
            <w:tcW w:w="5660" w:type="dxa"/>
            <w:vAlign w:val="bottom"/>
            <w:tcBorders>
              <w:right w:val="single" w:sz="8" w:color="auto"/>
            </w:tcBorders>
          </w:tcPr>
          <w:p>
            <w:pPr>
              <w:ind w:left="1100"/>
              <w:spacing w:after="0" w:line="189" w:lineRule="exact"/>
              <w:rPr>
                <w:sz w:val="20"/>
                <w:szCs w:val="20"/>
                <w:color w:val="auto"/>
              </w:rPr>
            </w:pPr>
            <w:r>
              <w:rPr>
                <w:rFonts w:ascii="Arial" w:cs="Arial" w:eastAsia="Arial" w:hAnsi="Arial"/>
                <w:sz w:val="17"/>
                <w:szCs w:val="17"/>
                <w:color w:val="auto"/>
              </w:rPr>
              <w:t>below $5,000,001, we do not have a maximum</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440" w:type="dxa"/>
            <w:vAlign w:val="bottom"/>
          </w:tcPr>
          <w:p>
            <w:pPr>
              <w:spacing w:after="0"/>
              <w:rPr>
                <w:sz w:val="16"/>
                <w:szCs w:val="16"/>
                <w:color w:val="auto"/>
              </w:rPr>
            </w:pPr>
          </w:p>
        </w:tc>
        <w:tc>
          <w:tcPr>
            <w:tcW w:w="5660" w:type="dxa"/>
            <w:vAlign w:val="bottom"/>
            <w:tcBorders>
              <w:right w:val="single" w:sz="8" w:color="auto"/>
            </w:tcBorders>
          </w:tcPr>
          <w:p>
            <w:pPr>
              <w:ind w:left="1100"/>
              <w:spacing w:after="0" w:line="189" w:lineRule="exact"/>
              <w:rPr>
                <w:sz w:val="20"/>
                <w:szCs w:val="20"/>
                <w:color w:val="auto"/>
              </w:rPr>
            </w:pPr>
            <w:r>
              <w:rPr>
                <w:rFonts w:ascii="Arial" w:cs="Arial" w:eastAsia="Arial" w:hAnsi="Arial"/>
                <w:sz w:val="17"/>
                <w:szCs w:val="17"/>
                <w:color w:val="auto"/>
              </w:rPr>
              <w:t>redemption threshold based on the percentage of shares</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440" w:type="dxa"/>
            <w:vAlign w:val="bottom"/>
          </w:tcPr>
          <w:p>
            <w:pPr>
              <w:spacing w:after="0"/>
              <w:rPr>
                <w:sz w:val="16"/>
                <w:szCs w:val="16"/>
                <w:color w:val="auto"/>
              </w:rPr>
            </w:pPr>
          </w:p>
        </w:tc>
        <w:tc>
          <w:tcPr>
            <w:tcW w:w="5660" w:type="dxa"/>
            <w:vAlign w:val="bottom"/>
            <w:tcBorders>
              <w:right w:val="single" w:sz="8" w:color="auto"/>
            </w:tcBorders>
          </w:tcPr>
          <w:p>
            <w:pPr>
              <w:ind w:left="1100"/>
              <w:spacing w:after="0" w:line="189" w:lineRule="exact"/>
              <w:rPr>
                <w:sz w:val="20"/>
                <w:szCs w:val="20"/>
                <w:color w:val="auto"/>
              </w:rPr>
            </w:pPr>
            <w:r>
              <w:rPr>
                <w:rFonts w:ascii="Arial" w:cs="Arial" w:eastAsia="Arial" w:hAnsi="Arial"/>
                <w:sz w:val="17"/>
                <w:szCs w:val="17"/>
                <w:color w:val="auto"/>
              </w:rPr>
              <w:t>sold in this offering, as many blank check companies do.</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440" w:type="dxa"/>
            <w:vAlign w:val="bottom"/>
          </w:tcPr>
          <w:p>
            <w:pPr>
              <w:spacing w:after="0"/>
              <w:rPr>
                <w:sz w:val="16"/>
                <w:szCs w:val="16"/>
                <w:color w:val="auto"/>
              </w:rPr>
            </w:pPr>
          </w:p>
        </w:tc>
        <w:tc>
          <w:tcPr>
            <w:tcW w:w="5660" w:type="dxa"/>
            <w:vAlign w:val="bottom"/>
            <w:tcBorders>
              <w:right w:val="single" w:sz="8" w:color="auto"/>
            </w:tcBorders>
          </w:tcPr>
          <w:p>
            <w:pPr>
              <w:ind w:left="1100"/>
              <w:spacing w:after="0" w:line="189" w:lineRule="exact"/>
              <w:rPr>
                <w:sz w:val="20"/>
                <w:szCs w:val="20"/>
                <w:color w:val="auto"/>
              </w:rPr>
            </w:pPr>
            <w:r>
              <w:rPr>
                <w:rFonts w:ascii="Arial" w:cs="Arial" w:eastAsia="Arial" w:hAnsi="Arial"/>
                <w:sz w:val="17"/>
                <w:szCs w:val="17"/>
                <w:color w:val="auto"/>
              </w:rPr>
              <w:t>In the event the aggregate cash consideration we would</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440" w:type="dxa"/>
            <w:vAlign w:val="bottom"/>
          </w:tcPr>
          <w:p>
            <w:pPr>
              <w:spacing w:after="0"/>
              <w:rPr>
                <w:sz w:val="16"/>
                <w:szCs w:val="16"/>
                <w:color w:val="auto"/>
              </w:rPr>
            </w:pPr>
          </w:p>
        </w:tc>
        <w:tc>
          <w:tcPr>
            <w:tcW w:w="5660" w:type="dxa"/>
            <w:vAlign w:val="bottom"/>
            <w:tcBorders>
              <w:right w:val="single" w:sz="8" w:color="auto"/>
            </w:tcBorders>
          </w:tcPr>
          <w:p>
            <w:pPr>
              <w:ind w:left="1100"/>
              <w:spacing w:after="0" w:line="189" w:lineRule="exact"/>
              <w:rPr>
                <w:sz w:val="20"/>
                <w:szCs w:val="20"/>
                <w:color w:val="auto"/>
              </w:rPr>
            </w:pPr>
            <w:r>
              <w:rPr>
                <w:rFonts w:ascii="Arial" w:cs="Arial" w:eastAsia="Arial" w:hAnsi="Arial"/>
                <w:sz w:val="17"/>
                <w:szCs w:val="17"/>
                <w:color w:val="auto"/>
              </w:rPr>
              <w:t>be required to pay for all Class A ordinary shares that</w:t>
            </w:r>
          </w:p>
        </w:tc>
        <w:tc>
          <w:tcPr>
            <w:tcW w:w="940" w:type="dxa"/>
            <w:vAlign w:val="bottom"/>
          </w:tcPr>
          <w:p>
            <w:pPr>
              <w:spacing w:after="0"/>
              <w:rPr>
                <w:sz w:val="16"/>
                <w:szCs w:val="16"/>
                <w:color w:val="auto"/>
              </w:rPr>
            </w:pPr>
          </w:p>
        </w:tc>
      </w:tr>
      <w:tr>
        <w:trPr>
          <w:trHeight w:val="205"/>
        </w:trPr>
        <w:tc>
          <w:tcPr>
            <w:tcW w:w="980" w:type="dxa"/>
            <w:vAlign w:val="bottom"/>
            <w:tcBorders>
              <w:right w:val="single" w:sz="8" w:color="auto"/>
            </w:tcBorders>
          </w:tcPr>
          <w:p>
            <w:pPr>
              <w:spacing w:after="0"/>
              <w:rPr>
                <w:sz w:val="17"/>
                <w:szCs w:val="17"/>
                <w:color w:val="auto"/>
              </w:rPr>
            </w:pPr>
          </w:p>
        </w:tc>
        <w:tc>
          <w:tcPr>
            <w:tcW w:w="3440" w:type="dxa"/>
            <w:vAlign w:val="bottom"/>
          </w:tcPr>
          <w:p>
            <w:pPr>
              <w:spacing w:after="0"/>
              <w:rPr>
                <w:sz w:val="17"/>
                <w:szCs w:val="17"/>
                <w:color w:val="auto"/>
              </w:rPr>
            </w:pPr>
          </w:p>
        </w:tc>
        <w:tc>
          <w:tcPr>
            <w:tcW w:w="5660" w:type="dxa"/>
            <w:vAlign w:val="bottom"/>
            <w:tcBorders>
              <w:right w:val="single" w:sz="8" w:color="auto"/>
            </w:tcBorders>
          </w:tcPr>
          <w:p>
            <w:pPr>
              <w:ind w:left="1100"/>
              <w:spacing w:after="0"/>
              <w:rPr>
                <w:sz w:val="20"/>
                <w:szCs w:val="20"/>
                <w:color w:val="auto"/>
              </w:rPr>
            </w:pPr>
            <w:r>
              <w:rPr>
                <w:rFonts w:ascii="Arial" w:cs="Arial" w:eastAsia="Arial" w:hAnsi="Arial"/>
                <w:sz w:val="17"/>
                <w:szCs w:val="17"/>
                <w:color w:val="auto"/>
              </w:rPr>
              <w:t>are validly submitted for redemption plus any amount</w:t>
            </w:r>
          </w:p>
        </w:tc>
        <w:tc>
          <w:tcPr>
            <w:tcW w:w="940" w:type="dxa"/>
            <w:vAlign w:val="bottom"/>
          </w:tcPr>
          <w:p>
            <w:pPr>
              <w:spacing w:after="0"/>
              <w:rPr>
                <w:sz w:val="17"/>
                <w:szCs w:val="17"/>
                <w:color w:val="auto"/>
              </w:rPr>
            </w:pPr>
          </w:p>
        </w:tc>
      </w:tr>
      <w:tr>
        <w:trPr>
          <w:trHeight w:val="217"/>
        </w:trPr>
        <w:tc>
          <w:tcPr>
            <w:tcW w:w="980" w:type="dxa"/>
            <w:vAlign w:val="bottom"/>
            <w:tcBorders>
              <w:right w:val="single" w:sz="8" w:color="auto"/>
            </w:tcBorders>
          </w:tcPr>
          <w:p>
            <w:pPr>
              <w:spacing w:after="0"/>
              <w:rPr>
                <w:sz w:val="18"/>
                <w:szCs w:val="18"/>
                <w:color w:val="auto"/>
              </w:rPr>
            </w:pPr>
          </w:p>
        </w:tc>
        <w:tc>
          <w:tcPr>
            <w:tcW w:w="3440" w:type="dxa"/>
            <w:vAlign w:val="bottom"/>
            <w:tcBorders>
              <w:bottom w:val="single" w:sz="8" w:color="auto"/>
            </w:tcBorders>
          </w:tcPr>
          <w:p>
            <w:pPr>
              <w:spacing w:after="0"/>
              <w:rPr>
                <w:sz w:val="18"/>
                <w:szCs w:val="18"/>
                <w:color w:val="auto"/>
              </w:rPr>
            </w:pPr>
          </w:p>
        </w:tc>
        <w:tc>
          <w:tcPr>
            <w:tcW w:w="5660" w:type="dxa"/>
            <w:vAlign w:val="bottom"/>
            <w:tcBorders>
              <w:bottom w:val="single" w:sz="8" w:color="auto"/>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r>
      <w:tr>
        <w:trPr>
          <w:trHeight w:val="409"/>
        </w:trPr>
        <w:tc>
          <w:tcPr>
            <w:tcW w:w="9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660" w:type="dxa"/>
            <w:vAlign w:val="bottom"/>
          </w:tcPr>
          <w:p>
            <w:pPr>
              <w:ind w:left="1000"/>
              <w:spacing w:after="0"/>
              <w:rPr>
                <w:sz w:val="20"/>
                <w:szCs w:val="20"/>
                <w:color w:val="auto"/>
              </w:rPr>
            </w:pPr>
            <w:r>
              <w:rPr>
                <w:rFonts w:ascii="Arial" w:cs="Arial" w:eastAsia="Arial" w:hAnsi="Arial"/>
                <w:sz w:val="16"/>
                <w:szCs w:val="16"/>
                <w:color w:val="auto"/>
              </w:rPr>
              <w:t>19</w:t>
            </w:r>
          </w:p>
        </w:tc>
        <w:tc>
          <w:tcPr>
            <w:tcW w:w="940" w:type="dxa"/>
            <w:vAlign w:val="bottom"/>
          </w:tcPr>
          <w:p>
            <w:pPr>
              <w:spacing w:after="0"/>
              <w:rPr>
                <w:sz w:val="24"/>
                <w:szCs w:val="24"/>
                <w:color w:val="auto"/>
              </w:rPr>
            </w:pPr>
          </w:p>
        </w:tc>
      </w:tr>
      <w:tr>
        <w:trPr>
          <w:trHeight w:val="175"/>
        </w:trPr>
        <w:tc>
          <w:tcPr>
            <w:tcW w:w="98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tcPr>
          <w:p>
            <w:pPr>
              <w:spacing w:after="0"/>
              <w:rPr>
                <w:sz w:val="15"/>
                <w:szCs w:val="15"/>
                <w:color w:val="auto"/>
              </w:rPr>
            </w:pPr>
          </w:p>
        </w:tc>
        <w:tc>
          <w:tcPr>
            <w:tcW w:w="56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5790565" cy="67335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90565" cy="673354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3600" w:type="dxa"/>
            <w:vAlign w:val="bottom"/>
          </w:tcPr>
          <w:p>
            <w:pPr>
              <w:spacing w:after="0"/>
              <w:rPr>
                <w:sz w:val="16"/>
                <w:szCs w:val="16"/>
                <w:color w:val="auto"/>
              </w:rPr>
            </w:pPr>
          </w:p>
        </w:tc>
        <w:tc>
          <w:tcPr>
            <w:tcW w:w="5040" w:type="dxa"/>
            <w:vAlign w:val="bottom"/>
            <w:gridSpan w:val="2"/>
          </w:tcPr>
          <w:p>
            <w:pPr>
              <w:ind w:left="720"/>
              <w:spacing w:after="0"/>
              <w:rPr>
                <w:sz w:val="20"/>
                <w:szCs w:val="20"/>
                <w:color w:val="auto"/>
              </w:rPr>
            </w:pPr>
            <w:r>
              <w:rPr>
                <w:rFonts w:ascii="Arial" w:cs="Arial" w:eastAsia="Arial" w:hAnsi="Arial"/>
                <w:sz w:val="17"/>
                <w:szCs w:val="17"/>
                <w:color w:val="auto"/>
              </w:rPr>
              <w:t>required to satisfy cash conditions pursuant to the terms</w:t>
            </w:r>
          </w:p>
        </w:tc>
      </w:tr>
      <w:tr>
        <w:trPr>
          <w:trHeight w:val="189"/>
        </w:trPr>
        <w:tc>
          <w:tcPr>
            <w:tcW w:w="3600" w:type="dxa"/>
            <w:vAlign w:val="bottom"/>
          </w:tcPr>
          <w:p>
            <w:pPr>
              <w:spacing w:after="0"/>
              <w:rPr>
                <w:sz w:val="16"/>
                <w:szCs w:val="16"/>
                <w:color w:val="auto"/>
              </w:rPr>
            </w:pPr>
          </w:p>
        </w:tc>
        <w:tc>
          <w:tcPr>
            <w:tcW w:w="5040" w:type="dxa"/>
            <w:vAlign w:val="bottom"/>
            <w:gridSpan w:val="2"/>
          </w:tcPr>
          <w:p>
            <w:pPr>
              <w:ind w:left="720"/>
              <w:spacing w:after="0" w:line="189" w:lineRule="exact"/>
              <w:rPr>
                <w:sz w:val="20"/>
                <w:szCs w:val="20"/>
                <w:color w:val="auto"/>
              </w:rPr>
            </w:pPr>
            <w:r>
              <w:rPr>
                <w:rFonts w:ascii="Arial" w:cs="Arial" w:eastAsia="Arial" w:hAnsi="Arial"/>
                <w:sz w:val="17"/>
                <w:szCs w:val="17"/>
                <w:color w:val="auto"/>
              </w:rPr>
              <w:t>of the proposed business combination exceed the</w:t>
            </w:r>
          </w:p>
        </w:tc>
      </w:tr>
      <w:tr>
        <w:trPr>
          <w:trHeight w:val="189"/>
        </w:trPr>
        <w:tc>
          <w:tcPr>
            <w:tcW w:w="3600" w:type="dxa"/>
            <w:vAlign w:val="bottom"/>
          </w:tcPr>
          <w:p>
            <w:pPr>
              <w:spacing w:after="0"/>
              <w:rPr>
                <w:sz w:val="16"/>
                <w:szCs w:val="16"/>
                <w:color w:val="auto"/>
              </w:rPr>
            </w:pPr>
          </w:p>
        </w:tc>
        <w:tc>
          <w:tcPr>
            <w:tcW w:w="5040" w:type="dxa"/>
            <w:vAlign w:val="bottom"/>
            <w:gridSpan w:val="2"/>
          </w:tcPr>
          <w:p>
            <w:pPr>
              <w:ind w:left="720"/>
              <w:spacing w:after="0" w:line="189" w:lineRule="exact"/>
              <w:rPr>
                <w:sz w:val="20"/>
                <w:szCs w:val="20"/>
                <w:color w:val="auto"/>
              </w:rPr>
            </w:pPr>
            <w:r>
              <w:rPr>
                <w:rFonts w:ascii="Arial" w:cs="Arial" w:eastAsia="Arial" w:hAnsi="Arial"/>
                <w:sz w:val="17"/>
                <w:szCs w:val="17"/>
                <w:color w:val="auto"/>
              </w:rPr>
              <w:t>aggregate amount of cash available to us, we will not</w:t>
            </w:r>
          </w:p>
        </w:tc>
      </w:tr>
      <w:tr>
        <w:trPr>
          <w:trHeight w:val="189"/>
        </w:trPr>
        <w:tc>
          <w:tcPr>
            <w:tcW w:w="3600" w:type="dxa"/>
            <w:vAlign w:val="bottom"/>
          </w:tcPr>
          <w:p>
            <w:pPr>
              <w:spacing w:after="0"/>
              <w:rPr>
                <w:sz w:val="16"/>
                <w:szCs w:val="16"/>
                <w:color w:val="auto"/>
              </w:rPr>
            </w:pPr>
          </w:p>
        </w:tc>
        <w:tc>
          <w:tcPr>
            <w:tcW w:w="5040" w:type="dxa"/>
            <w:vAlign w:val="bottom"/>
            <w:gridSpan w:val="2"/>
          </w:tcPr>
          <w:p>
            <w:pPr>
              <w:ind w:left="720"/>
              <w:spacing w:after="0" w:line="189" w:lineRule="exact"/>
              <w:rPr>
                <w:sz w:val="20"/>
                <w:szCs w:val="20"/>
                <w:color w:val="auto"/>
              </w:rPr>
            </w:pPr>
            <w:r>
              <w:rPr>
                <w:rFonts w:ascii="Arial" w:cs="Arial" w:eastAsia="Arial" w:hAnsi="Arial"/>
                <w:sz w:val="17"/>
                <w:szCs w:val="17"/>
                <w:color w:val="auto"/>
              </w:rPr>
              <w:t>complete the business combination or redeem any</w:t>
            </w:r>
          </w:p>
        </w:tc>
      </w:tr>
      <w:tr>
        <w:trPr>
          <w:trHeight w:val="189"/>
        </w:trPr>
        <w:tc>
          <w:tcPr>
            <w:tcW w:w="3600" w:type="dxa"/>
            <w:vAlign w:val="bottom"/>
          </w:tcPr>
          <w:p>
            <w:pPr>
              <w:spacing w:after="0"/>
              <w:rPr>
                <w:sz w:val="16"/>
                <w:szCs w:val="16"/>
                <w:color w:val="auto"/>
              </w:rPr>
            </w:pPr>
          </w:p>
        </w:tc>
        <w:tc>
          <w:tcPr>
            <w:tcW w:w="5040" w:type="dxa"/>
            <w:vAlign w:val="bottom"/>
            <w:gridSpan w:val="2"/>
          </w:tcPr>
          <w:p>
            <w:pPr>
              <w:ind w:left="720"/>
              <w:spacing w:after="0" w:line="189" w:lineRule="exact"/>
              <w:rPr>
                <w:sz w:val="20"/>
                <w:szCs w:val="20"/>
                <w:color w:val="auto"/>
              </w:rPr>
            </w:pPr>
            <w:r>
              <w:rPr>
                <w:rFonts w:ascii="Arial" w:cs="Arial" w:eastAsia="Arial" w:hAnsi="Arial"/>
                <w:sz w:val="17"/>
                <w:szCs w:val="17"/>
                <w:color w:val="auto"/>
              </w:rPr>
              <w:t>shares, and all Class A ordinary shares submitted for</w:t>
            </w:r>
          </w:p>
        </w:tc>
      </w:tr>
      <w:tr>
        <w:trPr>
          <w:trHeight w:val="189"/>
        </w:trPr>
        <w:tc>
          <w:tcPr>
            <w:tcW w:w="3600" w:type="dxa"/>
            <w:vAlign w:val="bottom"/>
          </w:tcPr>
          <w:p>
            <w:pPr>
              <w:spacing w:after="0"/>
              <w:rPr>
                <w:sz w:val="16"/>
                <w:szCs w:val="16"/>
                <w:color w:val="auto"/>
              </w:rPr>
            </w:pPr>
          </w:p>
        </w:tc>
        <w:tc>
          <w:tcPr>
            <w:tcW w:w="5040" w:type="dxa"/>
            <w:vAlign w:val="bottom"/>
            <w:gridSpan w:val="2"/>
          </w:tcPr>
          <w:p>
            <w:pPr>
              <w:ind w:left="720"/>
              <w:spacing w:after="0" w:line="189" w:lineRule="exact"/>
              <w:rPr>
                <w:sz w:val="20"/>
                <w:szCs w:val="20"/>
                <w:color w:val="auto"/>
              </w:rPr>
            </w:pPr>
            <w:r>
              <w:rPr>
                <w:rFonts w:ascii="Arial" w:cs="Arial" w:eastAsia="Arial" w:hAnsi="Arial"/>
                <w:sz w:val="17"/>
                <w:szCs w:val="17"/>
                <w:color w:val="auto"/>
              </w:rPr>
              <w:t>redemption will be returned to the holders thereof, and</w:t>
            </w:r>
          </w:p>
        </w:tc>
      </w:tr>
      <w:tr>
        <w:trPr>
          <w:trHeight w:val="189"/>
        </w:trPr>
        <w:tc>
          <w:tcPr>
            <w:tcW w:w="3600" w:type="dxa"/>
            <w:vAlign w:val="bottom"/>
          </w:tcPr>
          <w:p>
            <w:pPr>
              <w:spacing w:after="0"/>
              <w:rPr>
                <w:sz w:val="16"/>
                <w:szCs w:val="16"/>
                <w:color w:val="auto"/>
              </w:rPr>
            </w:pPr>
          </w:p>
        </w:tc>
        <w:tc>
          <w:tcPr>
            <w:tcW w:w="5040" w:type="dxa"/>
            <w:vAlign w:val="bottom"/>
            <w:gridSpan w:val="2"/>
          </w:tcPr>
          <w:p>
            <w:pPr>
              <w:ind w:left="720"/>
              <w:spacing w:after="0" w:line="189" w:lineRule="exact"/>
              <w:rPr>
                <w:sz w:val="20"/>
                <w:szCs w:val="20"/>
                <w:color w:val="auto"/>
              </w:rPr>
            </w:pPr>
            <w:r>
              <w:rPr>
                <w:rFonts w:ascii="Arial" w:cs="Arial" w:eastAsia="Arial" w:hAnsi="Arial"/>
                <w:sz w:val="17"/>
                <w:szCs w:val="17"/>
                <w:color w:val="auto"/>
              </w:rPr>
              <w:t>we instead may search for an alternate business</w:t>
            </w:r>
          </w:p>
        </w:tc>
      </w:tr>
      <w:tr>
        <w:trPr>
          <w:trHeight w:val="205"/>
        </w:trPr>
        <w:tc>
          <w:tcPr>
            <w:tcW w:w="3600" w:type="dxa"/>
            <w:vAlign w:val="bottom"/>
          </w:tcPr>
          <w:p>
            <w:pPr>
              <w:spacing w:after="0"/>
              <w:rPr>
                <w:sz w:val="17"/>
                <w:szCs w:val="17"/>
                <w:color w:val="auto"/>
              </w:rPr>
            </w:pPr>
          </w:p>
        </w:tc>
        <w:tc>
          <w:tcPr>
            <w:tcW w:w="5040" w:type="dxa"/>
            <w:vAlign w:val="bottom"/>
            <w:gridSpan w:val="2"/>
          </w:tcPr>
          <w:p>
            <w:pPr>
              <w:ind w:left="720"/>
              <w:spacing w:after="0"/>
              <w:rPr>
                <w:sz w:val="20"/>
                <w:szCs w:val="20"/>
                <w:color w:val="auto"/>
              </w:rPr>
            </w:pPr>
            <w:r>
              <w:rPr>
                <w:rFonts w:ascii="Arial" w:cs="Arial" w:eastAsia="Arial" w:hAnsi="Arial"/>
                <w:sz w:val="17"/>
                <w:szCs w:val="17"/>
                <w:color w:val="auto"/>
              </w:rPr>
              <w:t>combination.</w:t>
            </w:r>
          </w:p>
        </w:tc>
      </w:tr>
      <w:tr>
        <w:trPr>
          <w:trHeight w:val="295"/>
        </w:trPr>
        <w:tc>
          <w:tcPr>
            <w:tcW w:w="3600" w:type="dxa"/>
            <w:vAlign w:val="bottom"/>
          </w:tcPr>
          <w:p>
            <w:pPr>
              <w:spacing w:after="0"/>
              <w:rPr>
                <w:sz w:val="20"/>
                <w:szCs w:val="20"/>
                <w:color w:val="auto"/>
              </w:rPr>
            </w:pPr>
            <w:r>
              <w:rPr>
                <w:rFonts w:ascii="Arial" w:cs="Arial" w:eastAsia="Arial" w:hAnsi="Arial"/>
                <w:sz w:val="17"/>
                <w:szCs w:val="17"/>
                <w:b w:val="1"/>
                <w:bCs w:val="1"/>
                <w:color w:val="auto"/>
              </w:rPr>
              <w:t>Manner of conducting redemptions</w:t>
            </w:r>
          </w:p>
        </w:tc>
        <w:tc>
          <w:tcPr>
            <w:tcW w:w="5040" w:type="dxa"/>
            <w:vAlign w:val="bottom"/>
            <w:gridSpan w:val="2"/>
          </w:tcPr>
          <w:p>
            <w:pPr>
              <w:ind w:left="720"/>
              <w:spacing w:after="0"/>
              <w:rPr>
                <w:sz w:val="20"/>
                <w:szCs w:val="20"/>
                <w:color w:val="auto"/>
              </w:rPr>
            </w:pPr>
            <w:r>
              <w:rPr>
                <w:rFonts w:ascii="Arial" w:cs="Arial" w:eastAsia="Arial" w:hAnsi="Arial"/>
                <w:sz w:val="17"/>
                <w:szCs w:val="17"/>
                <w:color w:val="auto"/>
              </w:rPr>
              <w:t>We will provide our public shareholders with the</w:t>
            </w:r>
          </w:p>
        </w:tc>
      </w:tr>
      <w:tr>
        <w:trPr>
          <w:trHeight w:val="189"/>
        </w:trPr>
        <w:tc>
          <w:tcPr>
            <w:tcW w:w="3600" w:type="dxa"/>
            <w:vAlign w:val="bottom"/>
          </w:tcPr>
          <w:p>
            <w:pPr>
              <w:spacing w:after="0"/>
              <w:rPr>
                <w:sz w:val="16"/>
                <w:szCs w:val="16"/>
                <w:color w:val="auto"/>
              </w:rPr>
            </w:pPr>
          </w:p>
        </w:tc>
        <w:tc>
          <w:tcPr>
            <w:tcW w:w="5040" w:type="dxa"/>
            <w:vAlign w:val="bottom"/>
            <w:gridSpan w:val="2"/>
          </w:tcPr>
          <w:p>
            <w:pPr>
              <w:ind w:left="720"/>
              <w:spacing w:after="0" w:line="189" w:lineRule="exact"/>
              <w:rPr>
                <w:sz w:val="20"/>
                <w:szCs w:val="20"/>
                <w:color w:val="auto"/>
              </w:rPr>
            </w:pPr>
            <w:r>
              <w:rPr>
                <w:rFonts w:ascii="Arial" w:cs="Arial" w:eastAsia="Arial" w:hAnsi="Arial"/>
                <w:sz w:val="17"/>
                <w:szCs w:val="17"/>
                <w:color w:val="auto"/>
              </w:rPr>
              <w:t>opportunity to redeem all or a portion of their public</w:t>
            </w:r>
          </w:p>
        </w:tc>
      </w:tr>
      <w:tr>
        <w:trPr>
          <w:trHeight w:val="189"/>
        </w:trPr>
        <w:tc>
          <w:tcPr>
            <w:tcW w:w="3600" w:type="dxa"/>
            <w:vAlign w:val="bottom"/>
          </w:tcPr>
          <w:p>
            <w:pPr>
              <w:spacing w:after="0"/>
              <w:rPr>
                <w:sz w:val="16"/>
                <w:szCs w:val="16"/>
                <w:color w:val="auto"/>
              </w:rPr>
            </w:pPr>
          </w:p>
        </w:tc>
        <w:tc>
          <w:tcPr>
            <w:tcW w:w="5040" w:type="dxa"/>
            <w:vAlign w:val="bottom"/>
            <w:gridSpan w:val="2"/>
          </w:tcPr>
          <w:p>
            <w:pPr>
              <w:ind w:left="720"/>
              <w:spacing w:after="0" w:line="189" w:lineRule="exact"/>
              <w:rPr>
                <w:sz w:val="20"/>
                <w:szCs w:val="20"/>
                <w:color w:val="auto"/>
              </w:rPr>
            </w:pPr>
            <w:r>
              <w:rPr>
                <w:rFonts w:ascii="Arial" w:cs="Arial" w:eastAsia="Arial" w:hAnsi="Arial"/>
                <w:sz w:val="17"/>
                <w:szCs w:val="17"/>
                <w:color w:val="auto"/>
              </w:rPr>
              <w:t>shares upon the completion of our initial business</w:t>
            </w:r>
          </w:p>
        </w:tc>
      </w:tr>
      <w:tr>
        <w:trPr>
          <w:trHeight w:val="189"/>
        </w:trPr>
        <w:tc>
          <w:tcPr>
            <w:tcW w:w="3600" w:type="dxa"/>
            <w:vAlign w:val="bottom"/>
          </w:tcPr>
          <w:p>
            <w:pPr>
              <w:spacing w:after="0"/>
              <w:rPr>
                <w:sz w:val="16"/>
                <w:szCs w:val="16"/>
                <w:color w:val="auto"/>
              </w:rPr>
            </w:pPr>
          </w:p>
        </w:tc>
        <w:tc>
          <w:tcPr>
            <w:tcW w:w="5040" w:type="dxa"/>
            <w:vAlign w:val="bottom"/>
            <w:gridSpan w:val="2"/>
          </w:tcPr>
          <w:p>
            <w:pPr>
              <w:ind w:left="720"/>
              <w:spacing w:after="0" w:line="189" w:lineRule="exact"/>
              <w:rPr>
                <w:sz w:val="20"/>
                <w:szCs w:val="20"/>
                <w:color w:val="auto"/>
              </w:rPr>
            </w:pPr>
            <w:r>
              <w:rPr>
                <w:rFonts w:ascii="Arial" w:cs="Arial" w:eastAsia="Arial" w:hAnsi="Arial"/>
                <w:sz w:val="17"/>
                <w:szCs w:val="17"/>
                <w:color w:val="auto"/>
              </w:rPr>
              <w:t>combination either (i) in connection with a shareholder</w:t>
            </w:r>
          </w:p>
        </w:tc>
      </w:tr>
      <w:tr>
        <w:trPr>
          <w:trHeight w:val="189"/>
        </w:trPr>
        <w:tc>
          <w:tcPr>
            <w:tcW w:w="3600" w:type="dxa"/>
            <w:vAlign w:val="bottom"/>
          </w:tcPr>
          <w:p>
            <w:pPr>
              <w:spacing w:after="0"/>
              <w:rPr>
                <w:sz w:val="16"/>
                <w:szCs w:val="16"/>
                <w:color w:val="auto"/>
              </w:rPr>
            </w:pPr>
          </w:p>
        </w:tc>
        <w:tc>
          <w:tcPr>
            <w:tcW w:w="5040" w:type="dxa"/>
            <w:vAlign w:val="bottom"/>
            <w:gridSpan w:val="2"/>
          </w:tcPr>
          <w:p>
            <w:pPr>
              <w:ind w:left="720"/>
              <w:spacing w:after="0" w:line="189" w:lineRule="exact"/>
              <w:rPr>
                <w:sz w:val="20"/>
                <w:szCs w:val="20"/>
                <w:color w:val="auto"/>
              </w:rPr>
            </w:pPr>
            <w:r>
              <w:rPr>
                <w:rFonts w:ascii="Arial" w:cs="Arial" w:eastAsia="Arial" w:hAnsi="Arial"/>
                <w:sz w:val="17"/>
                <w:szCs w:val="17"/>
                <w:color w:val="auto"/>
              </w:rPr>
              <w:t>meeting called to approve the business combination or</w:t>
            </w:r>
          </w:p>
        </w:tc>
      </w:tr>
      <w:tr>
        <w:trPr>
          <w:trHeight w:val="189"/>
        </w:trPr>
        <w:tc>
          <w:tcPr>
            <w:tcW w:w="3600" w:type="dxa"/>
            <w:vAlign w:val="bottom"/>
          </w:tcPr>
          <w:p>
            <w:pPr>
              <w:spacing w:after="0"/>
              <w:rPr>
                <w:sz w:val="16"/>
                <w:szCs w:val="16"/>
                <w:color w:val="auto"/>
              </w:rPr>
            </w:pPr>
          </w:p>
        </w:tc>
        <w:tc>
          <w:tcPr>
            <w:tcW w:w="5040" w:type="dxa"/>
            <w:vAlign w:val="bottom"/>
            <w:gridSpan w:val="2"/>
          </w:tcPr>
          <w:p>
            <w:pPr>
              <w:ind w:left="720"/>
              <w:spacing w:after="0" w:line="189" w:lineRule="exact"/>
              <w:rPr>
                <w:sz w:val="20"/>
                <w:szCs w:val="20"/>
                <w:color w:val="auto"/>
              </w:rPr>
            </w:pPr>
            <w:r>
              <w:rPr>
                <w:rFonts w:ascii="Arial" w:cs="Arial" w:eastAsia="Arial" w:hAnsi="Arial"/>
                <w:sz w:val="17"/>
                <w:szCs w:val="17"/>
                <w:color w:val="auto"/>
              </w:rPr>
              <w:t>(ii) by means of a tender offer. The decision as to</w:t>
            </w:r>
          </w:p>
        </w:tc>
      </w:tr>
      <w:tr>
        <w:trPr>
          <w:trHeight w:val="189"/>
        </w:trPr>
        <w:tc>
          <w:tcPr>
            <w:tcW w:w="3600" w:type="dxa"/>
            <w:vAlign w:val="bottom"/>
          </w:tcPr>
          <w:p>
            <w:pPr>
              <w:spacing w:after="0"/>
              <w:rPr>
                <w:sz w:val="16"/>
                <w:szCs w:val="16"/>
                <w:color w:val="auto"/>
              </w:rPr>
            </w:pPr>
          </w:p>
        </w:tc>
        <w:tc>
          <w:tcPr>
            <w:tcW w:w="5040" w:type="dxa"/>
            <w:vAlign w:val="bottom"/>
            <w:gridSpan w:val="2"/>
          </w:tcPr>
          <w:p>
            <w:pPr>
              <w:ind w:left="720"/>
              <w:spacing w:after="0" w:line="189" w:lineRule="exact"/>
              <w:rPr>
                <w:sz w:val="20"/>
                <w:szCs w:val="20"/>
                <w:color w:val="auto"/>
              </w:rPr>
            </w:pPr>
            <w:r>
              <w:rPr>
                <w:rFonts w:ascii="Arial" w:cs="Arial" w:eastAsia="Arial" w:hAnsi="Arial"/>
                <w:sz w:val="17"/>
                <w:szCs w:val="17"/>
                <w:color w:val="auto"/>
              </w:rPr>
              <w:t>whether we will seek shareholder approval of a proposed</w:t>
            </w:r>
          </w:p>
        </w:tc>
      </w:tr>
      <w:tr>
        <w:trPr>
          <w:trHeight w:val="189"/>
        </w:trPr>
        <w:tc>
          <w:tcPr>
            <w:tcW w:w="3600" w:type="dxa"/>
            <w:vAlign w:val="bottom"/>
          </w:tcPr>
          <w:p>
            <w:pPr>
              <w:spacing w:after="0"/>
              <w:rPr>
                <w:sz w:val="16"/>
                <w:szCs w:val="16"/>
                <w:color w:val="auto"/>
              </w:rPr>
            </w:pPr>
          </w:p>
        </w:tc>
        <w:tc>
          <w:tcPr>
            <w:tcW w:w="5040" w:type="dxa"/>
            <w:vAlign w:val="bottom"/>
            <w:gridSpan w:val="2"/>
          </w:tcPr>
          <w:p>
            <w:pPr>
              <w:ind w:left="720"/>
              <w:spacing w:after="0" w:line="189" w:lineRule="exact"/>
              <w:rPr>
                <w:sz w:val="20"/>
                <w:szCs w:val="20"/>
                <w:color w:val="auto"/>
              </w:rPr>
            </w:pPr>
            <w:r>
              <w:rPr>
                <w:rFonts w:ascii="Arial" w:cs="Arial" w:eastAsia="Arial" w:hAnsi="Arial"/>
                <w:sz w:val="17"/>
                <w:szCs w:val="17"/>
                <w:color w:val="auto"/>
              </w:rPr>
              <w:t>business combination or conduct a tender offer will be</w:t>
            </w:r>
          </w:p>
        </w:tc>
      </w:tr>
      <w:tr>
        <w:trPr>
          <w:trHeight w:val="189"/>
        </w:trPr>
        <w:tc>
          <w:tcPr>
            <w:tcW w:w="3600" w:type="dxa"/>
            <w:vAlign w:val="bottom"/>
          </w:tcPr>
          <w:p>
            <w:pPr>
              <w:spacing w:after="0"/>
              <w:rPr>
                <w:sz w:val="16"/>
                <w:szCs w:val="16"/>
                <w:color w:val="auto"/>
              </w:rPr>
            </w:pPr>
          </w:p>
        </w:tc>
        <w:tc>
          <w:tcPr>
            <w:tcW w:w="5040" w:type="dxa"/>
            <w:vAlign w:val="bottom"/>
            <w:gridSpan w:val="2"/>
          </w:tcPr>
          <w:p>
            <w:pPr>
              <w:ind w:left="720"/>
              <w:spacing w:after="0" w:line="189" w:lineRule="exact"/>
              <w:rPr>
                <w:sz w:val="20"/>
                <w:szCs w:val="20"/>
                <w:color w:val="auto"/>
              </w:rPr>
            </w:pPr>
            <w:r>
              <w:rPr>
                <w:rFonts w:ascii="Arial" w:cs="Arial" w:eastAsia="Arial" w:hAnsi="Arial"/>
                <w:sz w:val="17"/>
                <w:szCs w:val="17"/>
                <w:color w:val="auto"/>
              </w:rPr>
              <w:t>made by us, solely in our discretion, and will be based</w:t>
            </w:r>
          </w:p>
        </w:tc>
      </w:tr>
      <w:tr>
        <w:trPr>
          <w:trHeight w:val="189"/>
        </w:trPr>
        <w:tc>
          <w:tcPr>
            <w:tcW w:w="3600" w:type="dxa"/>
            <w:vAlign w:val="bottom"/>
          </w:tcPr>
          <w:p>
            <w:pPr>
              <w:spacing w:after="0"/>
              <w:rPr>
                <w:sz w:val="16"/>
                <w:szCs w:val="16"/>
                <w:color w:val="auto"/>
              </w:rPr>
            </w:pPr>
          </w:p>
        </w:tc>
        <w:tc>
          <w:tcPr>
            <w:tcW w:w="5040" w:type="dxa"/>
            <w:vAlign w:val="bottom"/>
            <w:gridSpan w:val="2"/>
          </w:tcPr>
          <w:p>
            <w:pPr>
              <w:ind w:left="720"/>
              <w:spacing w:after="0" w:line="189" w:lineRule="exact"/>
              <w:rPr>
                <w:sz w:val="20"/>
                <w:szCs w:val="20"/>
                <w:color w:val="auto"/>
              </w:rPr>
            </w:pPr>
            <w:r>
              <w:rPr>
                <w:rFonts w:ascii="Arial" w:cs="Arial" w:eastAsia="Arial" w:hAnsi="Arial"/>
                <w:sz w:val="17"/>
                <w:szCs w:val="17"/>
                <w:color w:val="auto"/>
              </w:rPr>
              <w:t>on a variety of factors such as the timing of the</w:t>
            </w:r>
          </w:p>
        </w:tc>
      </w:tr>
      <w:tr>
        <w:trPr>
          <w:trHeight w:val="189"/>
        </w:trPr>
        <w:tc>
          <w:tcPr>
            <w:tcW w:w="3600" w:type="dxa"/>
            <w:vAlign w:val="bottom"/>
          </w:tcPr>
          <w:p>
            <w:pPr>
              <w:spacing w:after="0"/>
              <w:rPr>
                <w:sz w:val="16"/>
                <w:szCs w:val="16"/>
                <w:color w:val="auto"/>
              </w:rPr>
            </w:pPr>
          </w:p>
        </w:tc>
        <w:tc>
          <w:tcPr>
            <w:tcW w:w="5040" w:type="dxa"/>
            <w:vAlign w:val="bottom"/>
            <w:gridSpan w:val="2"/>
          </w:tcPr>
          <w:p>
            <w:pPr>
              <w:ind w:left="720"/>
              <w:spacing w:after="0" w:line="189" w:lineRule="exact"/>
              <w:rPr>
                <w:sz w:val="20"/>
                <w:szCs w:val="20"/>
                <w:color w:val="auto"/>
              </w:rPr>
            </w:pPr>
            <w:r>
              <w:rPr>
                <w:rFonts w:ascii="Arial" w:cs="Arial" w:eastAsia="Arial" w:hAnsi="Arial"/>
                <w:sz w:val="17"/>
                <w:szCs w:val="17"/>
                <w:color w:val="auto"/>
              </w:rPr>
              <w:t>transaction and whether the terms of the transaction</w:t>
            </w:r>
          </w:p>
        </w:tc>
      </w:tr>
      <w:tr>
        <w:trPr>
          <w:trHeight w:val="189"/>
        </w:trPr>
        <w:tc>
          <w:tcPr>
            <w:tcW w:w="3600" w:type="dxa"/>
            <w:vAlign w:val="bottom"/>
          </w:tcPr>
          <w:p>
            <w:pPr>
              <w:spacing w:after="0"/>
              <w:rPr>
                <w:sz w:val="16"/>
                <w:szCs w:val="16"/>
                <w:color w:val="auto"/>
              </w:rPr>
            </w:pPr>
          </w:p>
        </w:tc>
        <w:tc>
          <w:tcPr>
            <w:tcW w:w="5040" w:type="dxa"/>
            <w:vAlign w:val="bottom"/>
            <w:gridSpan w:val="2"/>
          </w:tcPr>
          <w:p>
            <w:pPr>
              <w:ind w:left="720"/>
              <w:spacing w:after="0" w:line="189" w:lineRule="exact"/>
              <w:rPr>
                <w:sz w:val="20"/>
                <w:szCs w:val="20"/>
                <w:color w:val="auto"/>
              </w:rPr>
            </w:pPr>
            <w:r>
              <w:rPr>
                <w:rFonts w:ascii="Arial" w:cs="Arial" w:eastAsia="Arial" w:hAnsi="Arial"/>
                <w:sz w:val="17"/>
                <w:szCs w:val="17"/>
                <w:color w:val="auto"/>
              </w:rPr>
              <w:t>would require us to seek shareholder approval under</w:t>
            </w:r>
          </w:p>
        </w:tc>
      </w:tr>
      <w:tr>
        <w:trPr>
          <w:trHeight w:val="189"/>
        </w:trPr>
        <w:tc>
          <w:tcPr>
            <w:tcW w:w="3600" w:type="dxa"/>
            <w:vAlign w:val="bottom"/>
          </w:tcPr>
          <w:p>
            <w:pPr>
              <w:spacing w:after="0"/>
              <w:rPr>
                <w:sz w:val="16"/>
                <w:szCs w:val="16"/>
                <w:color w:val="auto"/>
              </w:rPr>
            </w:pPr>
          </w:p>
        </w:tc>
        <w:tc>
          <w:tcPr>
            <w:tcW w:w="5040" w:type="dxa"/>
            <w:vAlign w:val="bottom"/>
            <w:gridSpan w:val="2"/>
          </w:tcPr>
          <w:p>
            <w:pPr>
              <w:ind w:left="720"/>
              <w:spacing w:after="0" w:line="189" w:lineRule="exact"/>
              <w:rPr>
                <w:sz w:val="20"/>
                <w:szCs w:val="20"/>
                <w:color w:val="auto"/>
              </w:rPr>
            </w:pPr>
            <w:r>
              <w:rPr>
                <w:rFonts w:ascii="Arial" w:cs="Arial" w:eastAsia="Arial" w:hAnsi="Arial"/>
                <w:sz w:val="17"/>
                <w:szCs w:val="17"/>
                <w:color w:val="auto"/>
              </w:rPr>
              <w:t>applicable law or stock exchange listing requirement.</w:t>
            </w:r>
          </w:p>
        </w:tc>
      </w:tr>
      <w:tr>
        <w:trPr>
          <w:trHeight w:val="189"/>
        </w:trPr>
        <w:tc>
          <w:tcPr>
            <w:tcW w:w="3600" w:type="dxa"/>
            <w:vAlign w:val="bottom"/>
          </w:tcPr>
          <w:p>
            <w:pPr>
              <w:spacing w:after="0"/>
              <w:rPr>
                <w:sz w:val="16"/>
                <w:szCs w:val="16"/>
                <w:color w:val="auto"/>
              </w:rPr>
            </w:pPr>
          </w:p>
        </w:tc>
        <w:tc>
          <w:tcPr>
            <w:tcW w:w="5040" w:type="dxa"/>
            <w:vAlign w:val="bottom"/>
            <w:gridSpan w:val="2"/>
          </w:tcPr>
          <w:p>
            <w:pPr>
              <w:ind w:left="720"/>
              <w:spacing w:after="0" w:line="189" w:lineRule="exact"/>
              <w:rPr>
                <w:sz w:val="20"/>
                <w:szCs w:val="20"/>
                <w:color w:val="auto"/>
              </w:rPr>
            </w:pPr>
            <w:r>
              <w:rPr>
                <w:rFonts w:ascii="Arial" w:cs="Arial" w:eastAsia="Arial" w:hAnsi="Arial"/>
                <w:sz w:val="17"/>
                <w:szCs w:val="17"/>
                <w:color w:val="auto"/>
              </w:rPr>
              <w:t>Asset acquisitions and share purchases would not</w:t>
            </w:r>
          </w:p>
        </w:tc>
      </w:tr>
      <w:tr>
        <w:trPr>
          <w:trHeight w:val="189"/>
        </w:trPr>
        <w:tc>
          <w:tcPr>
            <w:tcW w:w="3600" w:type="dxa"/>
            <w:vAlign w:val="bottom"/>
          </w:tcPr>
          <w:p>
            <w:pPr>
              <w:spacing w:after="0"/>
              <w:rPr>
                <w:sz w:val="16"/>
                <w:szCs w:val="16"/>
                <w:color w:val="auto"/>
              </w:rPr>
            </w:pPr>
          </w:p>
        </w:tc>
        <w:tc>
          <w:tcPr>
            <w:tcW w:w="5040" w:type="dxa"/>
            <w:vAlign w:val="bottom"/>
            <w:gridSpan w:val="2"/>
          </w:tcPr>
          <w:p>
            <w:pPr>
              <w:ind w:left="720"/>
              <w:spacing w:after="0" w:line="189" w:lineRule="exact"/>
              <w:rPr>
                <w:sz w:val="20"/>
                <w:szCs w:val="20"/>
                <w:color w:val="auto"/>
              </w:rPr>
            </w:pPr>
            <w:r>
              <w:rPr>
                <w:rFonts w:ascii="Arial" w:cs="Arial" w:eastAsia="Arial" w:hAnsi="Arial"/>
                <w:sz w:val="17"/>
                <w:szCs w:val="17"/>
                <w:color w:val="auto"/>
              </w:rPr>
              <w:t>typically require shareholder approval, while direct</w:t>
            </w:r>
          </w:p>
        </w:tc>
      </w:tr>
      <w:tr>
        <w:trPr>
          <w:trHeight w:val="189"/>
        </w:trPr>
        <w:tc>
          <w:tcPr>
            <w:tcW w:w="3600" w:type="dxa"/>
            <w:vAlign w:val="bottom"/>
          </w:tcPr>
          <w:p>
            <w:pPr>
              <w:spacing w:after="0"/>
              <w:rPr>
                <w:sz w:val="16"/>
                <w:szCs w:val="16"/>
                <w:color w:val="auto"/>
              </w:rPr>
            </w:pPr>
          </w:p>
        </w:tc>
        <w:tc>
          <w:tcPr>
            <w:tcW w:w="5040" w:type="dxa"/>
            <w:vAlign w:val="bottom"/>
            <w:gridSpan w:val="2"/>
          </w:tcPr>
          <w:p>
            <w:pPr>
              <w:ind w:left="720"/>
              <w:spacing w:after="0" w:line="189" w:lineRule="exact"/>
              <w:rPr>
                <w:sz w:val="20"/>
                <w:szCs w:val="20"/>
                <w:color w:val="auto"/>
              </w:rPr>
            </w:pPr>
            <w:r>
              <w:rPr>
                <w:rFonts w:ascii="Arial" w:cs="Arial" w:eastAsia="Arial" w:hAnsi="Arial"/>
                <w:sz w:val="17"/>
                <w:szCs w:val="17"/>
                <w:color w:val="auto"/>
              </w:rPr>
              <w:t>mergers with our company where we do not survive and</w:t>
            </w:r>
          </w:p>
        </w:tc>
      </w:tr>
      <w:tr>
        <w:trPr>
          <w:trHeight w:val="189"/>
        </w:trPr>
        <w:tc>
          <w:tcPr>
            <w:tcW w:w="3600" w:type="dxa"/>
            <w:vAlign w:val="bottom"/>
          </w:tcPr>
          <w:p>
            <w:pPr>
              <w:spacing w:after="0"/>
              <w:rPr>
                <w:sz w:val="16"/>
                <w:szCs w:val="16"/>
                <w:color w:val="auto"/>
              </w:rPr>
            </w:pPr>
          </w:p>
        </w:tc>
        <w:tc>
          <w:tcPr>
            <w:tcW w:w="5040" w:type="dxa"/>
            <w:vAlign w:val="bottom"/>
            <w:gridSpan w:val="2"/>
          </w:tcPr>
          <w:p>
            <w:pPr>
              <w:ind w:left="720"/>
              <w:spacing w:after="0" w:line="189" w:lineRule="exact"/>
              <w:rPr>
                <w:sz w:val="20"/>
                <w:szCs w:val="20"/>
                <w:color w:val="auto"/>
              </w:rPr>
            </w:pPr>
            <w:r>
              <w:rPr>
                <w:rFonts w:ascii="Arial" w:cs="Arial" w:eastAsia="Arial" w:hAnsi="Arial"/>
                <w:sz w:val="17"/>
                <w:szCs w:val="17"/>
                <w:color w:val="auto"/>
              </w:rPr>
              <w:t>any transactions where we issue more than 20% of our</w:t>
            </w:r>
          </w:p>
        </w:tc>
      </w:tr>
      <w:tr>
        <w:trPr>
          <w:trHeight w:val="189"/>
        </w:trPr>
        <w:tc>
          <w:tcPr>
            <w:tcW w:w="3600" w:type="dxa"/>
            <w:vAlign w:val="bottom"/>
          </w:tcPr>
          <w:p>
            <w:pPr>
              <w:spacing w:after="0"/>
              <w:rPr>
                <w:sz w:val="16"/>
                <w:szCs w:val="16"/>
                <w:color w:val="auto"/>
              </w:rPr>
            </w:pPr>
          </w:p>
        </w:tc>
        <w:tc>
          <w:tcPr>
            <w:tcW w:w="5040" w:type="dxa"/>
            <w:vAlign w:val="bottom"/>
            <w:gridSpan w:val="2"/>
          </w:tcPr>
          <w:p>
            <w:pPr>
              <w:ind w:left="720"/>
              <w:spacing w:after="0" w:line="189" w:lineRule="exact"/>
              <w:rPr>
                <w:sz w:val="20"/>
                <w:szCs w:val="20"/>
                <w:color w:val="auto"/>
              </w:rPr>
            </w:pPr>
            <w:r>
              <w:rPr>
                <w:rFonts w:ascii="Arial" w:cs="Arial" w:eastAsia="Arial" w:hAnsi="Arial"/>
                <w:sz w:val="17"/>
                <w:szCs w:val="17"/>
                <w:color w:val="auto"/>
              </w:rPr>
              <w:t>outstanding ordinary shares (excluding the private</w:t>
            </w:r>
          </w:p>
        </w:tc>
      </w:tr>
      <w:tr>
        <w:trPr>
          <w:trHeight w:val="189"/>
        </w:trPr>
        <w:tc>
          <w:tcPr>
            <w:tcW w:w="3600" w:type="dxa"/>
            <w:vAlign w:val="bottom"/>
          </w:tcPr>
          <w:p>
            <w:pPr>
              <w:spacing w:after="0"/>
              <w:rPr>
                <w:sz w:val="16"/>
                <w:szCs w:val="16"/>
                <w:color w:val="auto"/>
              </w:rPr>
            </w:pPr>
          </w:p>
        </w:tc>
        <w:tc>
          <w:tcPr>
            <w:tcW w:w="5040" w:type="dxa"/>
            <w:vAlign w:val="bottom"/>
            <w:gridSpan w:val="2"/>
          </w:tcPr>
          <w:p>
            <w:pPr>
              <w:ind w:left="720"/>
              <w:spacing w:after="0" w:line="189" w:lineRule="exact"/>
              <w:rPr>
                <w:sz w:val="20"/>
                <w:szCs w:val="20"/>
                <w:color w:val="auto"/>
              </w:rPr>
            </w:pPr>
            <w:r>
              <w:rPr>
                <w:rFonts w:ascii="Arial" w:cs="Arial" w:eastAsia="Arial" w:hAnsi="Arial"/>
                <w:sz w:val="17"/>
                <w:szCs w:val="17"/>
                <w:color w:val="auto"/>
              </w:rPr>
              <w:t>placement shares) or seek to amend our amended and</w:t>
            </w:r>
          </w:p>
        </w:tc>
      </w:tr>
      <w:tr>
        <w:trPr>
          <w:trHeight w:val="189"/>
        </w:trPr>
        <w:tc>
          <w:tcPr>
            <w:tcW w:w="3600" w:type="dxa"/>
            <w:vAlign w:val="bottom"/>
          </w:tcPr>
          <w:p>
            <w:pPr>
              <w:spacing w:after="0"/>
              <w:rPr>
                <w:sz w:val="16"/>
                <w:szCs w:val="16"/>
                <w:color w:val="auto"/>
              </w:rPr>
            </w:pPr>
          </w:p>
        </w:tc>
        <w:tc>
          <w:tcPr>
            <w:tcW w:w="5040" w:type="dxa"/>
            <w:vAlign w:val="bottom"/>
            <w:gridSpan w:val="2"/>
          </w:tcPr>
          <w:p>
            <w:pPr>
              <w:ind w:left="720"/>
              <w:spacing w:after="0" w:line="189" w:lineRule="exact"/>
              <w:rPr>
                <w:sz w:val="20"/>
                <w:szCs w:val="20"/>
                <w:color w:val="auto"/>
              </w:rPr>
            </w:pPr>
            <w:r>
              <w:rPr>
                <w:rFonts w:ascii="Arial" w:cs="Arial" w:eastAsia="Arial" w:hAnsi="Arial"/>
                <w:sz w:val="17"/>
                <w:szCs w:val="17"/>
                <w:color w:val="auto"/>
              </w:rPr>
              <w:t>restated memorandum and articles of association would</w:t>
            </w:r>
          </w:p>
        </w:tc>
      </w:tr>
      <w:tr>
        <w:trPr>
          <w:trHeight w:val="189"/>
        </w:trPr>
        <w:tc>
          <w:tcPr>
            <w:tcW w:w="3600" w:type="dxa"/>
            <w:vAlign w:val="bottom"/>
          </w:tcPr>
          <w:p>
            <w:pPr>
              <w:spacing w:after="0"/>
              <w:rPr>
                <w:sz w:val="16"/>
                <w:szCs w:val="16"/>
                <w:color w:val="auto"/>
              </w:rPr>
            </w:pPr>
          </w:p>
        </w:tc>
        <w:tc>
          <w:tcPr>
            <w:tcW w:w="5040" w:type="dxa"/>
            <w:vAlign w:val="bottom"/>
            <w:gridSpan w:val="2"/>
          </w:tcPr>
          <w:p>
            <w:pPr>
              <w:ind w:left="720"/>
              <w:spacing w:after="0" w:line="189" w:lineRule="exact"/>
              <w:rPr>
                <w:sz w:val="20"/>
                <w:szCs w:val="20"/>
                <w:color w:val="auto"/>
              </w:rPr>
            </w:pPr>
            <w:r>
              <w:rPr>
                <w:rFonts w:ascii="Arial" w:cs="Arial" w:eastAsia="Arial" w:hAnsi="Arial"/>
                <w:sz w:val="17"/>
                <w:szCs w:val="17"/>
                <w:color w:val="auto"/>
              </w:rPr>
              <w:t>typically require shareholder approval. We currently</w:t>
            </w:r>
          </w:p>
        </w:tc>
      </w:tr>
      <w:tr>
        <w:trPr>
          <w:trHeight w:val="189"/>
        </w:trPr>
        <w:tc>
          <w:tcPr>
            <w:tcW w:w="3600" w:type="dxa"/>
            <w:vAlign w:val="bottom"/>
          </w:tcPr>
          <w:p>
            <w:pPr>
              <w:spacing w:after="0"/>
              <w:rPr>
                <w:sz w:val="16"/>
                <w:szCs w:val="16"/>
                <w:color w:val="auto"/>
              </w:rPr>
            </w:pPr>
          </w:p>
        </w:tc>
        <w:tc>
          <w:tcPr>
            <w:tcW w:w="5040" w:type="dxa"/>
            <w:vAlign w:val="bottom"/>
            <w:gridSpan w:val="2"/>
          </w:tcPr>
          <w:p>
            <w:pPr>
              <w:ind w:left="720"/>
              <w:spacing w:after="0" w:line="189" w:lineRule="exact"/>
              <w:rPr>
                <w:sz w:val="20"/>
                <w:szCs w:val="20"/>
                <w:color w:val="auto"/>
              </w:rPr>
            </w:pPr>
            <w:r>
              <w:rPr>
                <w:rFonts w:ascii="Arial" w:cs="Arial" w:eastAsia="Arial" w:hAnsi="Arial"/>
                <w:sz w:val="17"/>
                <w:szCs w:val="17"/>
                <w:color w:val="auto"/>
              </w:rPr>
              <w:t>intend to conduct redemptions in connection with a</w:t>
            </w:r>
          </w:p>
        </w:tc>
      </w:tr>
      <w:tr>
        <w:trPr>
          <w:trHeight w:val="189"/>
        </w:trPr>
        <w:tc>
          <w:tcPr>
            <w:tcW w:w="3600" w:type="dxa"/>
            <w:vAlign w:val="bottom"/>
          </w:tcPr>
          <w:p>
            <w:pPr>
              <w:spacing w:after="0"/>
              <w:rPr>
                <w:sz w:val="16"/>
                <w:szCs w:val="16"/>
                <w:color w:val="auto"/>
              </w:rPr>
            </w:pPr>
          </w:p>
        </w:tc>
        <w:tc>
          <w:tcPr>
            <w:tcW w:w="5040" w:type="dxa"/>
            <w:vAlign w:val="bottom"/>
            <w:gridSpan w:val="2"/>
          </w:tcPr>
          <w:p>
            <w:pPr>
              <w:ind w:left="720"/>
              <w:spacing w:after="0" w:line="189" w:lineRule="exact"/>
              <w:rPr>
                <w:sz w:val="20"/>
                <w:szCs w:val="20"/>
                <w:color w:val="auto"/>
              </w:rPr>
            </w:pPr>
            <w:r>
              <w:rPr>
                <w:rFonts w:ascii="Arial" w:cs="Arial" w:eastAsia="Arial" w:hAnsi="Arial"/>
                <w:sz w:val="17"/>
                <w:szCs w:val="17"/>
                <w:color w:val="auto"/>
              </w:rPr>
              <w:t>shareholder vote unless shareholder approval is not</w:t>
            </w:r>
          </w:p>
        </w:tc>
      </w:tr>
      <w:tr>
        <w:trPr>
          <w:trHeight w:val="189"/>
        </w:trPr>
        <w:tc>
          <w:tcPr>
            <w:tcW w:w="3600" w:type="dxa"/>
            <w:vAlign w:val="bottom"/>
          </w:tcPr>
          <w:p>
            <w:pPr>
              <w:spacing w:after="0"/>
              <w:rPr>
                <w:sz w:val="16"/>
                <w:szCs w:val="16"/>
                <w:color w:val="auto"/>
              </w:rPr>
            </w:pPr>
          </w:p>
        </w:tc>
        <w:tc>
          <w:tcPr>
            <w:tcW w:w="5040" w:type="dxa"/>
            <w:vAlign w:val="bottom"/>
            <w:gridSpan w:val="2"/>
          </w:tcPr>
          <w:p>
            <w:pPr>
              <w:ind w:left="720"/>
              <w:spacing w:after="0" w:line="189" w:lineRule="exact"/>
              <w:rPr>
                <w:sz w:val="20"/>
                <w:szCs w:val="20"/>
                <w:color w:val="auto"/>
              </w:rPr>
            </w:pPr>
            <w:r>
              <w:rPr>
                <w:rFonts w:ascii="Arial" w:cs="Arial" w:eastAsia="Arial" w:hAnsi="Arial"/>
                <w:sz w:val="17"/>
                <w:szCs w:val="17"/>
                <w:color w:val="auto"/>
              </w:rPr>
              <w:t>required by applicable law or stock exchange rule or we</w:t>
            </w:r>
          </w:p>
        </w:tc>
      </w:tr>
      <w:tr>
        <w:trPr>
          <w:trHeight w:val="189"/>
        </w:trPr>
        <w:tc>
          <w:tcPr>
            <w:tcW w:w="3600" w:type="dxa"/>
            <w:vAlign w:val="bottom"/>
          </w:tcPr>
          <w:p>
            <w:pPr>
              <w:spacing w:after="0"/>
              <w:rPr>
                <w:sz w:val="16"/>
                <w:szCs w:val="16"/>
                <w:color w:val="auto"/>
              </w:rPr>
            </w:pPr>
          </w:p>
        </w:tc>
        <w:tc>
          <w:tcPr>
            <w:tcW w:w="5040" w:type="dxa"/>
            <w:vAlign w:val="bottom"/>
            <w:gridSpan w:val="2"/>
          </w:tcPr>
          <w:p>
            <w:pPr>
              <w:ind w:left="720"/>
              <w:spacing w:after="0" w:line="189" w:lineRule="exact"/>
              <w:rPr>
                <w:sz w:val="20"/>
                <w:szCs w:val="20"/>
                <w:color w:val="auto"/>
              </w:rPr>
            </w:pPr>
            <w:r>
              <w:rPr>
                <w:rFonts w:ascii="Arial" w:cs="Arial" w:eastAsia="Arial" w:hAnsi="Arial"/>
                <w:sz w:val="17"/>
                <w:szCs w:val="17"/>
                <w:color w:val="auto"/>
              </w:rPr>
              <w:t>choose to conduct redemptions pursuant to the tender</w:t>
            </w:r>
          </w:p>
        </w:tc>
      </w:tr>
      <w:tr>
        <w:trPr>
          <w:trHeight w:val="205"/>
        </w:trPr>
        <w:tc>
          <w:tcPr>
            <w:tcW w:w="3600" w:type="dxa"/>
            <w:vAlign w:val="bottom"/>
          </w:tcPr>
          <w:p>
            <w:pPr>
              <w:spacing w:after="0"/>
              <w:rPr>
                <w:sz w:val="17"/>
                <w:szCs w:val="17"/>
                <w:color w:val="auto"/>
              </w:rPr>
            </w:pPr>
          </w:p>
        </w:tc>
        <w:tc>
          <w:tcPr>
            <w:tcW w:w="5040" w:type="dxa"/>
            <w:vAlign w:val="bottom"/>
            <w:gridSpan w:val="2"/>
          </w:tcPr>
          <w:p>
            <w:pPr>
              <w:ind w:left="720"/>
              <w:spacing w:after="0"/>
              <w:rPr>
                <w:sz w:val="20"/>
                <w:szCs w:val="20"/>
                <w:color w:val="auto"/>
              </w:rPr>
            </w:pPr>
            <w:r>
              <w:rPr>
                <w:rFonts w:ascii="Arial" w:cs="Arial" w:eastAsia="Arial" w:hAnsi="Arial"/>
                <w:sz w:val="17"/>
                <w:szCs w:val="17"/>
                <w:color w:val="auto"/>
              </w:rPr>
              <w:t>offer rules of the SEC for business or other reasons.</w:t>
            </w:r>
          </w:p>
        </w:tc>
      </w:tr>
      <w:tr>
        <w:trPr>
          <w:trHeight w:val="281"/>
        </w:trPr>
        <w:tc>
          <w:tcPr>
            <w:tcW w:w="3600" w:type="dxa"/>
            <w:vAlign w:val="bottom"/>
          </w:tcPr>
          <w:p>
            <w:pPr>
              <w:spacing w:after="0"/>
              <w:rPr>
                <w:sz w:val="24"/>
                <w:szCs w:val="24"/>
                <w:color w:val="auto"/>
              </w:rPr>
            </w:pPr>
          </w:p>
        </w:tc>
        <w:tc>
          <w:tcPr>
            <w:tcW w:w="5040" w:type="dxa"/>
            <w:vAlign w:val="bottom"/>
            <w:gridSpan w:val="2"/>
          </w:tcPr>
          <w:p>
            <w:pPr>
              <w:ind w:left="720"/>
              <w:spacing w:after="0"/>
              <w:rPr>
                <w:sz w:val="20"/>
                <w:szCs w:val="20"/>
                <w:color w:val="auto"/>
              </w:rPr>
            </w:pPr>
            <w:r>
              <w:rPr>
                <w:rFonts w:ascii="Arial" w:cs="Arial" w:eastAsia="Arial" w:hAnsi="Arial"/>
                <w:sz w:val="17"/>
                <w:szCs w:val="17"/>
                <w:color w:val="auto"/>
              </w:rPr>
              <w:t>If we hold a shareholder vote to approve our initial</w:t>
            </w:r>
          </w:p>
        </w:tc>
      </w:tr>
      <w:tr>
        <w:trPr>
          <w:trHeight w:val="205"/>
        </w:trPr>
        <w:tc>
          <w:tcPr>
            <w:tcW w:w="3600" w:type="dxa"/>
            <w:vAlign w:val="bottom"/>
          </w:tcPr>
          <w:p>
            <w:pPr>
              <w:spacing w:after="0"/>
              <w:rPr>
                <w:sz w:val="17"/>
                <w:szCs w:val="17"/>
                <w:color w:val="auto"/>
              </w:rPr>
            </w:pPr>
          </w:p>
        </w:tc>
        <w:tc>
          <w:tcPr>
            <w:tcW w:w="5040" w:type="dxa"/>
            <w:vAlign w:val="bottom"/>
            <w:gridSpan w:val="2"/>
          </w:tcPr>
          <w:p>
            <w:pPr>
              <w:ind w:left="720"/>
              <w:spacing w:after="0"/>
              <w:rPr>
                <w:sz w:val="20"/>
                <w:szCs w:val="20"/>
                <w:color w:val="auto"/>
              </w:rPr>
            </w:pPr>
            <w:r>
              <w:rPr>
                <w:rFonts w:ascii="Arial" w:cs="Arial" w:eastAsia="Arial" w:hAnsi="Arial"/>
                <w:sz w:val="17"/>
                <w:szCs w:val="17"/>
                <w:color w:val="auto"/>
              </w:rPr>
              <w:t>business combination, we will:</w:t>
            </w:r>
          </w:p>
        </w:tc>
      </w:tr>
      <w:tr>
        <w:trPr>
          <w:trHeight w:val="281"/>
        </w:trPr>
        <w:tc>
          <w:tcPr>
            <w:tcW w:w="3600" w:type="dxa"/>
            <w:vAlign w:val="bottom"/>
          </w:tcPr>
          <w:p>
            <w:pPr>
              <w:spacing w:after="0"/>
              <w:rPr>
                <w:sz w:val="24"/>
                <w:szCs w:val="24"/>
                <w:color w:val="auto"/>
              </w:rPr>
            </w:pPr>
          </w:p>
        </w:tc>
        <w:tc>
          <w:tcPr>
            <w:tcW w:w="920" w:type="dxa"/>
            <w:vAlign w:val="bottom"/>
          </w:tcPr>
          <w:p>
            <w:pPr>
              <w:ind w:left="720"/>
              <w:spacing w:after="0"/>
              <w:rPr>
                <w:sz w:val="20"/>
                <w:szCs w:val="20"/>
                <w:color w:val="auto"/>
              </w:rPr>
            </w:pPr>
            <w:r>
              <w:rPr>
                <w:rFonts w:ascii="Arial" w:cs="Arial" w:eastAsia="Arial" w:hAnsi="Arial"/>
                <w:sz w:val="17"/>
                <w:szCs w:val="17"/>
                <w:color w:val="auto"/>
              </w:rPr>
              <w:t>•</w:t>
            </w:r>
          </w:p>
        </w:tc>
        <w:tc>
          <w:tcPr>
            <w:tcW w:w="4120" w:type="dxa"/>
            <w:vAlign w:val="bottom"/>
          </w:tcPr>
          <w:p>
            <w:pPr>
              <w:ind w:left="160"/>
              <w:spacing w:after="0"/>
              <w:rPr>
                <w:sz w:val="20"/>
                <w:szCs w:val="20"/>
                <w:color w:val="auto"/>
              </w:rPr>
            </w:pPr>
            <w:r>
              <w:rPr>
                <w:rFonts w:ascii="Arial" w:cs="Arial" w:eastAsia="Arial" w:hAnsi="Arial"/>
                <w:sz w:val="17"/>
                <w:szCs w:val="17"/>
                <w:color w:val="auto"/>
              </w:rPr>
              <w:t>conduct the redemptions in conjunction with a proxy</w:t>
            </w:r>
          </w:p>
        </w:tc>
      </w:tr>
      <w:tr>
        <w:trPr>
          <w:trHeight w:val="189"/>
        </w:trPr>
        <w:tc>
          <w:tcPr>
            <w:tcW w:w="3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120" w:type="dxa"/>
            <w:vAlign w:val="bottom"/>
          </w:tcPr>
          <w:p>
            <w:pPr>
              <w:ind w:left="160"/>
              <w:spacing w:after="0" w:line="189" w:lineRule="exact"/>
              <w:rPr>
                <w:sz w:val="20"/>
                <w:szCs w:val="20"/>
                <w:color w:val="auto"/>
              </w:rPr>
            </w:pPr>
            <w:r>
              <w:rPr>
                <w:rFonts w:ascii="Arial" w:cs="Arial" w:eastAsia="Arial" w:hAnsi="Arial"/>
                <w:sz w:val="17"/>
                <w:szCs w:val="17"/>
                <w:color w:val="auto"/>
              </w:rPr>
              <w:t>solicitation pursuant to Regulation 14A of the</w:t>
            </w:r>
          </w:p>
        </w:tc>
      </w:tr>
      <w:tr>
        <w:trPr>
          <w:trHeight w:val="189"/>
        </w:trPr>
        <w:tc>
          <w:tcPr>
            <w:tcW w:w="3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120" w:type="dxa"/>
            <w:vAlign w:val="bottom"/>
          </w:tcPr>
          <w:p>
            <w:pPr>
              <w:ind w:left="160"/>
              <w:spacing w:after="0" w:line="189" w:lineRule="exact"/>
              <w:rPr>
                <w:sz w:val="20"/>
                <w:szCs w:val="20"/>
                <w:color w:val="auto"/>
              </w:rPr>
            </w:pPr>
            <w:r>
              <w:rPr>
                <w:rFonts w:ascii="Arial" w:cs="Arial" w:eastAsia="Arial" w:hAnsi="Arial"/>
                <w:sz w:val="17"/>
                <w:szCs w:val="17"/>
                <w:color w:val="auto"/>
              </w:rPr>
              <w:t>Exchange Act, which regulates the solicitation of</w:t>
            </w:r>
          </w:p>
        </w:tc>
      </w:tr>
      <w:tr>
        <w:trPr>
          <w:trHeight w:val="189"/>
        </w:trPr>
        <w:tc>
          <w:tcPr>
            <w:tcW w:w="3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120" w:type="dxa"/>
            <w:vAlign w:val="bottom"/>
          </w:tcPr>
          <w:p>
            <w:pPr>
              <w:ind w:left="160"/>
              <w:spacing w:after="0" w:line="189" w:lineRule="exact"/>
              <w:rPr>
                <w:sz w:val="20"/>
                <w:szCs w:val="20"/>
                <w:color w:val="auto"/>
              </w:rPr>
            </w:pPr>
            <w:r>
              <w:rPr>
                <w:rFonts w:ascii="Arial" w:cs="Arial" w:eastAsia="Arial" w:hAnsi="Arial"/>
                <w:sz w:val="17"/>
                <w:szCs w:val="17"/>
                <w:color w:val="auto"/>
              </w:rPr>
              <w:t>proxies, and not pursuant to the tender offer rules;</w:t>
            </w:r>
          </w:p>
        </w:tc>
      </w:tr>
      <w:tr>
        <w:trPr>
          <w:trHeight w:val="205"/>
        </w:trPr>
        <w:tc>
          <w:tcPr>
            <w:tcW w:w="3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120" w:type="dxa"/>
            <w:vAlign w:val="bottom"/>
          </w:tcPr>
          <w:p>
            <w:pPr>
              <w:ind w:left="160"/>
              <w:spacing w:after="0"/>
              <w:rPr>
                <w:sz w:val="20"/>
                <w:szCs w:val="20"/>
                <w:color w:val="auto"/>
              </w:rPr>
            </w:pPr>
            <w:r>
              <w:rPr>
                <w:rFonts w:ascii="Arial" w:cs="Arial" w:eastAsia="Arial" w:hAnsi="Arial"/>
                <w:sz w:val="17"/>
                <w:szCs w:val="17"/>
                <w:color w:val="auto"/>
              </w:rPr>
              <w:t>and</w:t>
            </w:r>
          </w:p>
        </w:tc>
      </w:tr>
      <w:tr>
        <w:trPr>
          <w:trHeight w:val="297"/>
        </w:trPr>
        <w:tc>
          <w:tcPr>
            <w:tcW w:w="3600" w:type="dxa"/>
            <w:vAlign w:val="bottom"/>
          </w:tcPr>
          <w:p>
            <w:pPr>
              <w:spacing w:after="0"/>
              <w:rPr>
                <w:sz w:val="24"/>
                <w:szCs w:val="24"/>
                <w:color w:val="auto"/>
              </w:rPr>
            </w:pPr>
          </w:p>
        </w:tc>
        <w:tc>
          <w:tcPr>
            <w:tcW w:w="920" w:type="dxa"/>
            <w:vAlign w:val="bottom"/>
          </w:tcPr>
          <w:p>
            <w:pPr>
              <w:ind w:left="720"/>
              <w:spacing w:after="0"/>
              <w:rPr>
                <w:sz w:val="20"/>
                <w:szCs w:val="20"/>
                <w:color w:val="auto"/>
              </w:rPr>
            </w:pPr>
            <w:r>
              <w:rPr>
                <w:rFonts w:ascii="Arial" w:cs="Arial" w:eastAsia="Arial" w:hAnsi="Arial"/>
                <w:sz w:val="17"/>
                <w:szCs w:val="17"/>
                <w:color w:val="auto"/>
              </w:rPr>
              <w:t>•</w:t>
            </w:r>
          </w:p>
        </w:tc>
        <w:tc>
          <w:tcPr>
            <w:tcW w:w="4120" w:type="dxa"/>
            <w:vAlign w:val="bottom"/>
          </w:tcPr>
          <w:p>
            <w:pPr>
              <w:ind w:left="160"/>
              <w:spacing w:after="0"/>
              <w:rPr>
                <w:sz w:val="20"/>
                <w:szCs w:val="20"/>
                <w:color w:val="auto"/>
              </w:rPr>
            </w:pPr>
            <w:r>
              <w:rPr>
                <w:rFonts w:ascii="Arial" w:cs="Arial" w:eastAsia="Arial" w:hAnsi="Arial"/>
                <w:sz w:val="17"/>
                <w:szCs w:val="17"/>
                <w:color w:val="auto"/>
              </w:rPr>
              <w:t>file proxy materials with the SEC.</w:t>
            </w:r>
          </w:p>
        </w:tc>
      </w:tr>
      <w:tr>
        <w:trPr>
          <w:trHeight w:val="281"/>
        </w:trPr>
        <w:tc>
          <w:tcPr>
            <w:tcW w:w="3600" w:type="dxa"/>
            <w:vAlign w:val="bottom"/>
          </w:tcPr>
          <w:p>
            <w:pPr>
              <w:spacing w:after="0"/>
              <w:rPr>
                <w:sz w:val="24"/>
                <w:szCs w:val="24"/>
                <w:color w:val="auto"/>
              </w:rPr>
            </w:pPr>
          </w:p>
        </w:tc>
        <w:tc>
          <w:tcPr>
            <w:tcW w:w="5040" w:type="dxa"/>
            <w:vAlign w:val="bottom"/>
            <w:gridSpan w:val="2"/>
          </w:tcPr>
          <w:p>
            <w:pPr>
              <w:ind w:left="720"/>
              <w:spacing w:after="0"/>
              <w:rPr>
                <w:sz w:val="20"/>
                <w:szCs w:val="20"/>
                <w:color w:val="auto"/>
              </w:rPr>
            </w:pPr>
            <w:r>
              <w:rPr>
                <w:rFonts w:ascii="Arial" w:cs="Arial" w:eastAsia="Arial" w:hAnsi="Arial"/>
                <w:sz w:val="17"/>
                <w:szCs w:val="17"/>
                <w:color w:val="auto"/>
              </w:rPr>
              <w:t>If we seek shareholder approval, we will complete our</w:t>
            </w:r>
          </w:p>
        </w:tc>
      </w:tr>
      <w:tr>
        <w:trPr>
          <w:trHeight w:val="189"/>
        </w:trPr>
        <w:tc>
          <w:tcPr>
            <w:tcW w:w="3600" w:type="dxa"/>
            <w:vAlign w:val="bottom"/>
          </w:tcPr>
          <w:p>
            <w:pPr>
              <w:spacing w:after="0"/>
              <w:rPr>
                <w:sz w:val="16"/>
                <w:szCs w:val="16"/>
                <w:color w:val="auto"/>
              </w:rPr>
            </w:pPr>
          </w:p>
        </w:tc>
        <w:tc>
          <w:tcPr>
            <w:tcW w:w="5040" w:type="dxa"/>
            <w:vAlign w:val="bottom"/>
            <w:gridSpan w:val="2"/>
          </w:tcPr>
          <w:p>
            <w:pPr>
              <w:ind w:left="720"/>
              <w:spacing w:after="0" w:line="189" w:lineRule="exact"/>
              <w:rPr>
                <w:sz w:val="20"/>
                <w:szCs w:val="20"/>
                <w:color w:val="auto"/>
              </w:rPr>
            </w:pPr>
            <w:r>
              <w:rPr>
                <w:rFonts w:ascii="Arial" w:cs="Arial" w:eastAsia="Arial" w:hAnsi="Arial"/>
                <w:sz w:val="17"/>
                <w:szCs w:val="17"/>
                <w:color w:val="auto"/>
              </w:rPr>
              <w:t>initial business combination only if a majority of the</w:t>
            </w:r>
          </w:p>
        </w:tc>
      </w:tr>
      <w:tr>
        <w:trPr>
          <w:trHeight w:val="189"/>
        </w:trPr>
        <w:tc>
          <w:tcPr>
            <w:tcW w:w="3600" w:type="dxa"/>
            <w:vAlign w:val="bottom"/>
          </w:tcPr>
          <w:p>
            <w:pPr>
              <w:spacing w:after="0"/>
              <w:rPr>
                <w:sz w:val="16"/>
                <w:szCs w:val="16"/>
                <w:color w:val="auto"/>
              </w:rPr>
            </w:pPr>
          </w:p>
        </w:tc>
        <w:tc>
          <w:tcPr>
            <w:tcW w:w="5040" w:type="dxa"/>
            <w:vAlign w:val="bottom"/>
            <w:gridSpan w:val="2"/>
          </w:tcPr>
          <w:p>
            <w:pPr>
              <w:ind w:left="720"/>
              <w:spacing w:after="0" w:line="189" w:lineRule="exact"/>
              <w:rPr>
                <w:sz w:val="20"/>
                <w:szCs w:val="20"/>
                <w:color w:val="auto"/>
              </w:rPr>
            </w:pPr>
            <w:r>
              <w:rPr>
                <w:rFonts w:ascii="Arial" w:cs="Arial" w:eastAsia="Arial" w:hAnsi="Arial"/>
                <w:sz w:val="17"/>
                <w:szCs w:val="17"/>
                <w:color w:val="auto"/>
              </w:rPr>
              <w:t>ordinary shares, represented in person or by proxy and</w:t>
            </w:r>
          </w:p>
        </w:tc>
      </w:tr>
    </w:tbl>
    <w:p>
      <w:pPr>
        <w:ind w:left="4560"/>
        <w:spacing w:after="0" w:line="232" w:lineRule="auto"/>
        <w:rPr>
          <w:sz w:val="20"/>
          <w:szCs w:val="20"/>
          <w:color w:val="auto"/>
        </w:rPr>
      </w:pPr>
      <w:r>
        <w:rPr>
          <w:rFonts w:ascii="Arial" w:cs="Arial" w:eastAsia="Arial" w:hAnsi="Arial"/>
          <w:sz w:val="17"/>
          <w:szCs w:val="17"/>
          <w:color w:val="auto"/>
        </w:rPr>
        <w:t>entitled to vote thereon, voted at a shareholder meeting</w:t>
      </w:r>
    </w:p>
    <w:p>
      <w:pPr>
        <w:ind w:left="4560"/>
        <w:spacing w:after="0" w:line="232" w:lineRule="auto"/>
        <w:rPr>
          <w:sz w:val="20"/>
          <w:szCs w:val="20"/>
          <w:color w:val="auto"/>
        </w:rPr>
      </w:pPr>
      <w:r>
        <w:rPr>
          <w:rFonts w:ascii="Arial" w:cs="Arial" w:eastAsia="Arial" w:hAnsi="Arial"/>
          <w:sz w:val="17"/>
          <w:szCs w:val="17"/>
          <w:color w:val="auto"/>
        </w:rPr>
        <w:t>are voted in favor of the business combination. In such</w:t>
      </w:r>
    </w:p>
    <w:p>
      <w:pPr>
        <w:ind w:left="4560"/>
        <w:spacing w:after="0" w:line="232" w:lineRule="auto"/>
        <w:rPr>
          <w:sz w:val="20"/>
          <w:szCs w:val="20"/>
          <w:color w:val="auto"/>
        </w:rPr>
      </w:pPr>
      <w:r>
        <w:rPr>
          <w:rFonts w:ascii="Arial" w:cs="Arial" w:eastAsia="Arial" w:hAnsi="Arial"/>
          <w:sz w:val="17"/>
          <w:szCs w:val="17"/>
          <w:color w:val="auto"/>
        </w:rPr>
        <w:t>case, our sponsor and our management team have</w:t>
      </w:r>
    </w:p>
    <w:p>
      <w:pPr>
        <w:ind w:left="4560"/>
        <w:spacing w:after="0" w:line="232" w:lineRule="auto"/>
        <w:rPr>
          <w:sz w:val="20"/>
          <w:szCs w:val="20"/>
          <w:color w:val="auto"/>
        </w:rPr>
      </w:pPr>
      <w:r>
        <w:rPr>
          <w:rFonts w:ascii="Arial" w:cs="Arial" w:eastAsia="Arial" w:hAnsi="Arial"/>
          <w:sz w:val="17"/>
          <w:szCs w:val="17"/>
          <w:color w:val="auto"/>
        </w:rPr>
        <w:t>agreed to vote their founder shares, private placement</w:t>
      </w:r>
    </w:p>
    <w:p>
      <w:pPr>
        <w:ind w:left="4560"/>
        <w:spacing w:after="0"/>
        <w:rPr>
          <w:sz w:val="20"/>
          <w:szCs w:val="20"/>
          <w:color w:val="auto"/>
        </w:rPr>
      </w:pPr>
      <w:r>
        <w:rPr>
          <w:rFonts w:ascii="Arial" w:cs="Arial" w:eastAsia="Arial" w:hAnsi="Arial"/>
          <w:sz w:val="17"/>
          <w:szCs w:val="17"/>
          <w:color w:val="auto"/>
        </w:rPr>
        <w:t>shares</w:t>
      </w: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5790565" cy="64077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90565" cy="640778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and any public shares purchased during or after this</w:t>
      </w:r>
    </w:p>
    <w:p>
      <w:pPr>
        <w:ind w:left="4560"/>
        <w:spacing w:after="0" w:line="232" w:lineRule="auto"/>
        <w:rPr>
          <w:sz w:val="20"/>
          <w:szCs w:val="20"/>
          <w:color w:val="auto"/>
        </w:rPr>
      </w:pPr>
      <w:r>
        <w:rPr>
          <w:rFonts w:ascii="Arial" w:cs="Arial" w:eastAsia="Arial" w:hAnsi="Arial"/>
          <w:sz w:val="17"/>
          <w:szCs w:val="17"/>
          <w:color w:val="auto"/>
        </w:rPr>
        <w:t>offering in favor of our initial business combination. As a</w:t>
      </w:r>
    </w:p>
    <w:p>
      <w:pPr>
        <w:ind w:left="4560"/>
        <w:spacing w:after="0" w:line="232" w:lineRule="auto"/>
        <w:rPr>
          <w:sz w:val="20"/>
          <w:szCs w:val="20"/>
          <w:color w:val="auto"/>
        </w:rPr>
      </w:pPr>
      <w:r>
        <w:rPr>
          <w:rFonts w:ascii="Arial" w:cs="Arial" w:eastAsia="Arial" w:hAnsi="Arial"/>
          <w:sz w:val="17"/>
          <w:szCs w:val="17"/>
          <w:color w:val="auto"/>
        </w:rPr>
        <w:t>result, in addition to our initial shareholders’ founder</w:t>
      </w:r>
    </w:p>
    <w:p>
      <w:pPr>
        <w:ind w:left="4560"/>
        <w:spacing w:after="0" w:line="232" w:lineRule="auto"/>
        <w:rPr>
          <w:sz w:val="20"/>
          <w:szCs w:val="20"/>
          <w:color w:val="auto"/>
        </w:rPr>
      </w:pPr>
      <w:r>
        <w:rPr>
          <w:rFonts w:ascii="Arial" w:cs="Arial" w:eastAsia="Arial" w:hAnsi="Arial"/>
          <w:sz w:val="17"/>
          <w:szCs w:val="17"/>
          <w:color w:val="auto"/>
        </w:rPr>
        <w:t>shares and private placement shares, we would need</w:t>
      </w:r>
    </w:p>
    <w:p>
      <w:pPr>
        <w:ind w:left="4560"/>
        <w:spacing w:after="0" w:line="232" w:lineRule="auto"/>
        <w:rPr>
          <w:sz w:val="20"/>
          <w:szCs w:val="20"/>
          <w:color w:val="auto"/>
        </w:rPr>
      </w:pPr>
      <w:r>
        <w:rPr>
          <w:rFonts w:ascii="Arial" w:cs="Arial" w:eastAsia="Arial" w:hAnsi="Arial"/>
          <w:sz w:val="17"/>
          <w:szCs w:val="17"/>
          <w:color w:val="auto"/>
        </w:rPr>
        <w:t>4,462,501, or 35.70%, of the 12,500,000 public shares</w:t>
      </w:r>
    </w:p>
    <w:p>
      <w:pPr>
        <w:ind w:left="4560"/>
        <w:spacing w:after="0" w:line="232" w:lineRule="auto"/>
        <w:rPr>
          <w:sz w:val="20"/>
          <w:szCs w:val="20"/>
          <w:color w:val="auto"/>
        </w:rPr>
      </w:pPr>
      <w:r>
        <w:rPr>
          <w:rFonts w:ascii="Arial" w:cs="Arial" w:eastAsia="Arial" w:hAnsi="Arial"/>
          <w:sz w:val="17"/>
          <w:szCs w:val="17"/>
          <w:color w:val="auto"/>
        </w:rPr>
        <w:t>sold in this offering to be voted in favor of an initial</w:t>
      </w:r>
    </w:p>
    <w:p>
      <w:pPr>
        <w:ind w:left="4560"/>
        <w:spacing w:after="0" w:line="232" w:lineRule="auto"/>
        <w:rPr>
          <w:sz w:val="20"/>
          <w:szCs w:val="20"/>
          <w:color w:val="auto"/>
        </w:rPr>
      </w:pPr>
      <w:r>
        <w:rPr>
          <w:rFonts w:ascii="Arial" w:cs="Arial" w:eastAsia="Arial" w:hAnsi="Arial"/>
          <w:sz w:val="17"/>
          <w:szCs w:val="17"/>
          <w:color w:val="auto"/>
        </w:rPr>
        <w:t>business combination in order to have our initial</w:t>
      </w:r>
    </w:p>
    <w:p>
      <w:pPr>
        <w:ind w:left="4560"/>
        <w:spacing w:after="0" w:line="232" w:lineRule="auto"/>
        <w:rPr>
          <w:sz w:val="20"/>
          <w:szCs w:val="20"/>
          <w:color w:val="auto"/>
        </w:rPr>
      </w:pPr>
      <w:r>
        <w:rPr>
          <w:rFonts w:ascii="Arial" w:cs="Arial" w:eastAsia="Arial" w:hAnsi="Arial"/>
          <w:sz w:val="17"/>
          <w:szCs w:val="17"/>
          <w:color w:val="auto"/>
        </w:rPr>
        <w:t>business combination approved (assuming all issued</w:t>
      </w:r>
    </w:p>
    <w:p>
      <w:pPr>
        <w:ind w:left="4560"/>
        <w:spacing w:after="0" w:line="232" w:lineRule="auto"/>
        <w:rPr>
          <w:sz w:val="20"/>
          <w:szCs w:val="20"/>
          <w:color w:val="auto"/>
        </w:rPr>
      </w:pPr>
      <w:r>
        <w:rPr>
          <w:rFonts w:ascii="Arial" w:cs="Arial" w:eastAsia="Arial" w:hAnsi="Arial"/>
          <w:sz w:val="17"/>
          <w:szCs w:val="17"/>
          <w:color w:val="auto"/>
        </w:rPr>
        <w:t>and outstanding shares are voted, the private placement</w:t>
      </w:r>
    </w:p>
    <w:p>
      <w:pPr>
        <w:ind w:left="4560"/>
        <w:spacing w:after="0" w:line="232" w:lineRule="auto"/>
        <w:rPr>
          <w:sz w:val="20"/>
          <w:szCs w:val="20"/>
          <w:color w:val="auto"/>
        </w:rPr>
      </w:pPr>
      <w:r>
        <w:rPr>
          <w:rFonts w:ascii="Arial" w:cs="Arial" w:eastAsia="Arial" w:hAnsi="Arial"/>
          <w:sz w:val="17"/>
          <w:szCs w:val="17"/>
          <w:color w:val="auto"/>
        </w:rPr>
        <w:t>shares to be issued to our sponsor are voted in favor of</w:t>
      </w:r>
    </w:p>
    <w:p>
      <w:pPr>
        <w:ind w:left="4560"/>
        <w:spacing w:after="0" w:line="232" w:lineRule="auto"/>
        <w:rPr>
          <w:sz w:val="20"/>
          <w:szCs w:val="20"/>
          <w:color w:val="auto"/>
        </w:rPr>
      </w:pPr>
      <w:r>
        <w:rPr>
          <w:rFonts w:ascii="Arial" w:cs="Arial" w:eastAsia="Arial" w:hAnsi="Arial"/>
          <w:sz w:val="17"/>
          <w:szCs w:val="17"/>
          <w:color w:val="auto"/>
        </w:rPr>
        <w:t>the transaction and the over-allotment option is not</w:t>
      </w:r>
    </w:p>
    <w:p>
      <w:pPr>
        <w:ind w:left="4560"/>
        <w:spacing w:after="0" w:line="232" w:lineRule="auto"/>
        <w:rPr>
          <w:sz w:val="20"/>
          <w:szCs w:val="20"/>
          <w:color w:val="auto"/>
        </w:rPr>
      </w:pPr>
      <w:r>
        <w:rPr>
          <w:rFonts w:ascii="Arial" w:cs="Arial" w:eastAsia="Arial" w:hAnsi="Arial"/>
          <w:sz w:val="17"/>
          <w:szCs w:val="17"/>
          <w:color w:val="auto"/>
        </w:rPr>
        <w:t>exercised). Each public shareholder may elect to redeem</w:t>
      </w:r>
    </w:p>
    <w:p>
      <w:pPr>
        <w:ind w:left="4560"/>
        <w:spacing w:after="0" w:line="232" w:lineRule="auto"/>
        <w:rPr>
          <w:sz w:val="20"/>
          <w:szCs w:val="20"/>
          <w:color w:val="auto"/>
        </w:rPr>
      </w:pPr>
      <w:r>
        <w:rPr>
          <w:rFonts w:ascii="Arial" w:cs="Arial" w:eastAsia="Arial" w:hAnsi="Arial"/>
          <w:sz w:val="17"/>
          <w:szCs w:val="17"/>
          <w:color w:val="auto"/>
        </w:rPr>
        <w:t>their public shares irrespective of whether they vote for</w:t>
      </w:r>
    </w:p>
    <w:p>
      <w:pPr>
        <w:ind w:left="4560"/>
        <w:spacing w:after="0" w:line="232" w:lineRule="auto"/>
        <w:rPr>
          <w:sz w:val="20"/>
          <w:szCs w:val="20"/>
          <w:color w:val="auto"/>
        </w:rPr>
      </w:pPr>
      <w:r>
        <w:rPr>
          <w:rFonts w:ascii="Arial" w:cs="Arial" w:eastAsia="Arial" w:hAnsi="Arial"/>
          <w:sz w:val="17"/>
          <w:szCs w:val="17"/>
          <w:color w:val="auto"/>
        </w:rPr>
        <w:t>or against the proposed transaction or vote at all. Our</w:t>
      </w:r>
    </w:p>
    <w:p>
      <w:pPr>
        <w:ind w:left="4560"/>
        <w:spacing w:after="0" w:line="232" w:lineRule="auto"/>
        <w:rPr>
          <w:sz w:val="20"/>
          <w:szCs w:val="20"/>
          <w:color w:val="auto"/>
        </w:rPr>
      </w:pPr>
      <w:r>
        <w:rPr>
          <w:rFonts w:ascii="Arial" w:cs="Arial" w:eastAsia="Arial" w:hAnsi="Arial"/>
          <w:sz w:val="17"/>
          <w:szCs w:val="17"/>
          <w:color w:val="auto"/>
        </w:rPr>
        <w:t>amended and restated memorandum and articles of</w:t>
      </w:r>
    </w:p>
    <w:p>
      <w:pPr>
        <w:ind w:left="4560"/>
        <w:spacing w:after="0" w:line="232" w:lineRule="auto"/>
        <w:rPr>
          <w:sz w:val="20"/>
          <w:szCs w:val="20"/>
          <w:color w:val="auto"/>
        </w:rPr>
      </w:pPr>
      <w:r>
        <w:rPr>
          <w:rFonts w:ascii="Arial" w:cs="Arial" w:eastAsia="Arial" w:hAnsi="Arial"/>
          <w:sz w:val="17"/>
          <w:szCs w:val="17"/>
          <w:color w:val="auto"/>
        </w:rPr>
        <w:t>association will require that at least five clear days’</w:t>
      </w:r>
    </w:p>
    <w:p>
      <w:pPr>
        <w:spacing w:after="0" w:line="1"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notice will be given of any such shareholder meeting.</w:t>
      </w:r>
    </w:p>
    <w:p>
      <w:pPr>
        <w:spacing w:after="0" w:line="95"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If we conduct redemptions pursuant to the tender offer</w:t>
      </w:r>
    </w:p>
    <w:p>
      <w:pPr>
        <w:ind w:left="4560"/>
        <w:spacing w:after="0" w:line="232" w:lineRule="auto"/>
        <w:rPr>
          <w:sz w:val="20"/>
          <w:szCs w:val="20"/>
          <w:color w:val="auto"/>
        </w:rPr>
      </w:pPr>
      <w:r>
        <w:rPr>
          <w:rFonts w:ascii="Arial" w:cs="Arial" w:eastAsia="Arial" w:hAnsi="Arial"/>
          <w:sz w:val="17"/>
          <w:szCs w:val="17"/>
          <w:color w:val="auto"/>
        </w:rPr>
        <w:t>rules of the SEC, we will, pursuant to our amended and</w:t>
      </w:r>
    </w:p>
    <w:p>
      <w:pPr>
        <w:ind w:left="4560"/>
        <w:spacing w:after="0"/>
        <w:rPr>
          <w:sz w:val="20"/>
          <w:szCs w:val="20"/>
          <w:color w:val="auto"/>
        </w:rPr>
      </w:pPr>
      <w:r>
        <w:rPr>
          <w:rFonts w:ascii="Arial" w:cs="Arial" w:eastAsia="Arial" w:hAnsi="Arial"/>
          <w:sz w:val="17"/>
          <w:szCs w:val="17"/>
          <w:color w:val="auto"/>
        </w:rPr>
        <w:t>restated memorandum and articles of association:</w:t>
      </w:r>
    </w:p>
    <w:p>
      <w:pPr>
        <w:spacing w:after="0" w:line="95" w:lineRule="exact"/>
        <w:rPr>
          <w:sz w:val="20"/>
          <w:szCs w:val="20"/>
          <w:color w:val="auto"/>
        </w:rPr>
      </w:pPr>
    </w:p>
    <w:p>
      <w:pPr>
        <w:ind w:left="4560"/>
        <w:spacing w:after="0"/>
        <w:tabs>
          <w:tab w:leader="none" w:pos="49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conduct the redemptions pursuant to Rule 13e-4</w:t>
      </w:r>
    </w:p>
    <w:p>
      <w:pPr>
        <w:ind w:left="4920"/>
        <w:spacing w:after="0" w:line="232" w:lineRule="auto"/>
        <w:rPr>
          <w:sz w:val="20"/>
          <w:szCs w:val="20"/>
          <w:color w:val="auto"/>
        </w:rPr>
      </w:pPr>
      <w:r>
        <w:rPr>
          <w:rFonts w:ascii="Arial" w:cs="Arial" w:eastAsia="Arial" w:hAnsi="Arial"/>
          <w:sz w:val="17"/>
          <w:szCs w:val="17"/>
          <w:color w:val="auto"/>
        </w:rPr>
        <w:t>and Regulation 14E of the Exchange Act, which</w:t>
      </w:r>
    </w:p>
    <w:p>
      <w:pPr>
        <w:ind w:left="4920"/>
        <w:spacing w:after="0"/>
        <w:rPr>
          <w:sz w:val="20"/>
          <w:szCs w:val="20"/>
          <w:color w:val="auto"/>
        </w:rPr>
      </w:pPr>
      <w:r>
        <w:rPr>
          <w:rFonts w:ascii="Arial" w:cs="Arial" w:eastAsia="Arial" w:hAnsi="Arial"/>
          <w:sz w:val="17"/>
          <w:szCs w:val="17"/>
          <w:color w:val="auto"/>
        </w:rPr>
        <w:t>regulate issuer tender offers; and</w:t>
      </w:r>
    </w:p>
    <w:p>
      <w:pPr>
        <w:spacing w:after="0" w:line="95" w:lineRule="exact"/>
        <w:rPr>
          <w:sz w:val="20"/>
          <w:szCs w:val="20"/>
          <w:color w:val="auto"/>
        </w:rPr>
      </w:pPr>
    </w:p>
    <w:p>
      <w:pPr>
        <w:ind w:left="4560"/>
        <w:spacing w:after="0"/>
        <w:tabs>
          <w:tab w:leader="none" w:pos="49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file tender offer documents with the SEC prior to</w:t>
      </w:r>
    </w:p>
    <w:p>
      <w:pPr>
        <w:ind w:left="4920"/>
        <w:spacing w:after="0" w:line="232" w:lineRule="auto"/>
        <w:rPr>
          <w:sz w:val="20"/>
          <w:szCs w:val="20"/>
          <w:color w:val="auto"/>
        </w:rPr>
      </w:pPr>
      <w:r>
        <w:rPr>
          <w:rFonts w:ascii="Arial" w:cs="Arial" w:eastAsia="Arial" w:hAnsi="Arial"/>
          <w:sz w:val="17"/>
          <w:szCs w:val="17"/>
          <w:color w:val="auto"/>
        </w:rPr>
        <w:t>completing our initial business combination which</w:t>
      </w:r>
    </w:p>
    <w:p>
      <w:pPr>
        <w:ind w:left="4920"/>
        <w:spacing w:after="0" w:line="232" w:lineRule="auto"/>
        <w:rPr>
          <w:sz w:val="20"/>
          <w:szCs w:val="20"/>
          <w:color w:val="auto"/>
        </w:rPr>
      </w:pPr>
      <w:r>
        <w:rPr>
          <w:rFonts w:ascii="Arial" w:cs="Arial" w:eastAsia="Arial" w:hAnsi="Arial"/>
          <w:sz w:val="17"/>
          <w:szCs w:val="17"/>
          <w:color w:val="auto"/>
        </w:rPr>
        <w:t>contain substantially the same financial and other</w:t>
      </w:r>
    </w:p>
    <w:p>
      <w:pPr>
        <w:ind w:left="4920"/>
        <w:spacing w:after="0" w:line="232" w:lineRule="auto"/>
        <w:rPr>
          <w:sz w:val="20"/>
          <w:szCs w:val="20"/>
          <w:color w:val="auto"/>
        </w:rPr>
      </w:pPr>
      <w:r>
        <w:rPr>
          <w:rFonts w:ascii="Arial" w:cs="Arial" w:eastAsia="Arial" w:hAnsi="Arial"/>
          <w:sz w:val="17"/>
          <w:szCs w:val="17"/>
          <w:color w:val="auto"/>
        </w:rPr>
        <w:t>information about the initial business combination</w:t>
      </w:r>
    </w:p>
    <w:p>
      <w:pPr>
        <w:ind w:left="4920"/>
        <w:spacing w:after="0" w:line="232" w:lineRule="auto"/>
        <w:rPr>
          <w:sz w:val="20"/>
          <w:szCs w:val="20"/>
          <w:color w:val="auto"/>
        </w:rPr>
      </w:pPr>
      <w:r>
        <w:rPr>
          <w:rFonts w:ascii="Arial" w:cs="Arial" w:eastAsia="Arial" w:hAnsi="Arial"/>
          <w:sz w:val="17"/>
          <w:szCs w:val="17"/>
          <w:color w:val="auto"/>
        </w:rPr>
        <w:t>and the redemption rights as is required under</w:t>
      </w:r>
    </w:p>
    <w:p>
      <w:pPr>
        <w:ind w:left="4920"/>
        <w:spacing w:after="0" w:line="232" w:lineRule="auto"/>
        <w:rPr>
          <w:sz w:val="20"/>
          <w:szCs w:val="20"/>
          <w:color w:val="auto"/>
        </w:rPr>
      </w:pPr>
      <w:r>
        <w:rPr>
          <w:rFonts w:ascii="Arial" w:cs="Arial" w:eastAsia="Arial" w:hAnsi="Arial"/>
          <w:sz w:val="17"/>
          <w:szCs w:val="17"/>
          <w:color w:val="auto"/>
        </w:rPr>
        <w:t>Regulation 14A of the Exchange Act, which</w:t>
      </w:r>
    </w:p>
    <w:p>
      <w:pPr>
        <w:ind w:left="4920"/>
        <w:spacing w:after="0"/>
        <w:rPr>
          <w:sz w:val="20"/>
          <w:szCs w:val="20"/>
          <w:color w:val="auto"/>
        </w:rPr>
      </w:pPr>
      <w:r>
        <w:rPr>
          <w:rFonts w:ascii="Arial" w:cs="Arial" w:eastAsia="Arial" w:hAnsi="Arial"/>
          <w:sz w:val="17"/>
          <w:szCs w:val="17"/>
          <w:color w:val="auto"/>
        </w:rPr>
        <w:t>regulates the solicitation of proxies.</w:t>
      </w:r>
    </w:p>
    <w:p>
      <w:pPr>
        <w:spacing w:after="0" w:line="95"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Upon the public announcement of our initial business</w:t>
      </w:r>
    </w:p>
    <w:p>
      <w:pPr>
        <w:ind w:left="4560"/>
        <w:spacing w:after="0" w:line="232" w:lineRule="auto"/>
        <w:rPr>
          <w:sz w:val="20"/>
          <w:szCs w:val="20"/>
          <w:color w:val="auto"/>
        </w:rPr>
      </w:pPr>
      <w:r>
        <w:rPr>
          <w:rFonts w:ascii="Arial" w:cs="Arial" w:eastAsia="Arial" w:hAnsi="Arial"/>
          <w:sz w:val="17"/>
          <w:szCs w:val="17"/>
          <w:color w:val="auto"/>
        </w:rPr>
        <w:t>combination, if we elect to conduct redemptions pursuant</w:t>
      </w:r>
    </w:p>
    <w:p>
      <w:pPr>
        <w:ind w:left="4560"/>
        <w:spacing w:after="0" w:line="232" w:lineRule="auto"/>
        <w:rPr>
          <w:sz w:val="20"/>
          <w:szCs w:val="20"/>
          <w:color w:val="auto"/>
        </w:rPr>
      </w:pPr>
      <w:r>
        <w:rPr>
          <w:rFonts w:ascii="Arial" w:cs="Arial" w:eastAsia="Arial" w:hAnsi="Arial"/>
          <w:sz w:val="17"/>
          <w:szCs w:val="17"/>
          <w:color w:val="auto"/>
        </w:rPr>
        <w:t>to the tender offer rules, we and our sponsor will</w:t>
      </w:r>
    </w:p>
    <w:p>
      <w:pPr>
        <w:ind w:left="4560"/>
        <w:spacing w:after="0" w:line="232" w:lineRule="auto"/>
        <w:rPr>
          <w:sz w:val="20"/>
          <w:szCs w:val="20"/>
          <w:color w:val="auto"/>
        </w:rPr>
      </w:pPr>
      <w:r>
        <w:rPr>
          <w:rFonts w:ascii="Arial" w:cs="Arial" w:eastAsia="Arial" w:hAnsi="Arial"/>
          <w:sz w:val="17"/>
          <w:szCs w:val="17"/>
          <w:color w:val="auto"/>
        </w:rPr>
        <w:t>terminate any plan established in accordance with Rule</w:t>
      </w:r>
    </w:p>
    <w:p>
      <w:pPr>
        <w:ind w:left="4560"/>
        <w:spacing w:after="0" w:line="232" w:lineRule="auto"/>
        <w:rPr>
          <w:sz w:val="20"/>
          <w:szCs w:val="20"/>
          <w:color w:val="auto"/>
        </w:rPr>
      </w:pPr>
      <w:r>
        <w:rPr>
          <w:rFonts w:ascii="Arial" w:cs="Arial" w:eastAsia="Arial" w:hAnsi="Arial"/>
          <w:sz w:val="17"/>
          <w:szCs w:val="17"/>
          <w:color w:val="auto"/>
        </w:rPr>
        <w:t>10b5-1 to purchase our Class A ordinary shares in the</w:t>
      </w:r>
    </w:p>
    <w:p>
      <w:pPr>
        <w:ind w:left="4560"/>
        <w:spacing w:after="0" w:line="232" w:lineRule="auto"/>
        <w:rPr>
          <w:sz w:val="20"/>
          <w:szCs w:val="20"/>
          <w:color w:val="auto"/>
        </w:rPr>
      </w:pPr>
      <w:r>
        <w:rPr>
          <w:rFonts w:ascii="Arial" w:cs="Arial" w:eastAsia="Arial" w:hAnsi="Arial"/>
          <w:sz w:val="17"/>
          <w:szCs w:val="17"/>
          <w:color w:val="auto"/>
        </w:rPr>
        <w:t>open market, in order to comply with Rule 14e-5 under</w:t>
      </w:r>
    </w:p>
    <w:p>
      <w:pPr>
        <w:ind w:left="4560"/>
        <w:spacing w:after="0" w:line="232" w:lineRule="auto"/>
        <w:rPr>
          <w:sz w:val="20"/>
          <w:szCs w:val="20"/>
          <w:color w:val="auto"/>
        </w:rPr>
      </w:pPr>
      <w:r>
        <w:rPr>
          <w:rFonts w:ascii="Arial" w:cs="Arial" w:eastAsia="Arial" w:hAnsi="Arial"/>
          <w:sz w:val="17"/>
          <w:szCs w:val="17"/>
          <w:color w:val="auto"/>
        </w:rPr>
        <w:t>the Exchange Act. In the event we conduct redemptions</w:t>
      </w:r>
    </w:p>
    <w:p>
      <w:pPr>
        <w:ind w:left="4560"/>
        <w:spacing w:after="0" w:line="232" w:lineRule="auto"/>
        <w:rPr>
          <w:sz w:val="20"/>
          <w:szCs w:val="20"/>
          <w:color w:val="auto"/>
        </w:rPr>
      </w:pPr>
      <w:r>
        <w:rPr>
          <w:rFonts w:ascii="Arial" w:cs="Arial" w:eastAsia="Arial" w:hAnsi="Arial"/>
          <w:sz w:val="17"/>
          <w:szCs w:val="17"/>
          <w:color w:val="auto"/>
        </w:rPr>
        <w:t>pursuant to the tender offer rules, our offer to redeem will</w:t>
      </w:r>
    </w:p>
    <w:p>
      <w:pPr>
        <w:ind w:left="4560"/>
        <w:spacing w:after="0" w:line="232" w:lineRule="auto"/>
        <w:rPr>
          <w:sz w:val="20"/>
          <w:szCs w:val="20"/>
          <w:color w:val="auto"/>
        </w:rPr>
      </w:pPr>
      <w:r>
        <w:rPr>
          <w:rFonts w:ascii="Arial" w:cs="Arial" w:eastAsia="Arial" w:hAnsi="Arial"/>
          <w:sz w:val="17"/>
          <w:szCs w:val="17"/>
          <w:color w:val="auto"/>
        </w:rPr>
        <w:t>remain open for at least 20 business days, in</w:t>
      </w:r>
    </w:p>
    <w:p>
      <w:pPr>
        <w:ind w:left="4560"/>
        <w:spacing w:after="0" w:line="232" w:lineRule="auto"/>
        <w:rPr>
          <w:sz w:val="20"/>
          <w:szCs w:val="20"/>
          <w:color w:val="auto"/>
        </w:rPr>
      </w:pPr>
      <w:r>
        <w:rPr>
          <w:rFonts w:ascii="Arial" w:cs="Arial" w:eastAsia="Arial" w:hAnsi="Arial"/>
          <w:sz w:val="17"/>
          <w:szCs w:val="17"/>
          <w:color w:val="auto"/>
        </w:rPr>
        <w:t>accordance with Rule 14e-1(a) under the Exchange Act,</w:t>
      </w:r>
    </w:p>
    <w:p>
      <w:pPr>
        <w:ind w:left="4560"/>
        <w:spacing w:after="0" w:line="232" w:lineRule="auto"/>
        <w:rPr>
          <w:sz w:val="20"/>
          <w:szCs w:val="20"/>
          <w:color w:val="auto"/>
        </w:rPr>
      </w:pPr>
      <w:r>
        <w:rPr>
          <w:rFonts w:ascii="Arial" w:cs="Arial" w:eastAsia="Arial" w:hAnsi="Arial"/>
          <w:sz w:val="17"/>
          <w:szCs w:val="17"/>
          <w:color w:val="auto"/>
        </w:rPr>
        <w:t>and we will not be permitted to complete our initial</w:t>
      </w:r>
    </w:p>
    <w:p>
      <w:pPr>
        <w:ind w:left="4560"/>
        <w:spacing w:after="0" w:line="232" w:lineRule="auto"/>
        <w:rPr>
          <w:sz w:val="20"/>
          <w:szCs w:val="20"/>
          <w:color w:val="auto"/>
        </w:rPr>
      </w:pPr>
      <w:r>
        <w:rPr>
          <w:rFonts w:ascii="Arial" w:cs="Arial" w:eastAsia="Arial" w:hAnsi="Arial"/>
          <w:sz w:val="17"/>
          <w:szCs w:val="17"/>
          <w:color w:val="auto"/>
        </w:rPr>
        <w:t>business combination until the expiration of the tender</w:t>
      </w:r>
    </w:p>
    <w:p>
      <w:pPr>
        <w:ind w:left="4560"/>
        <w:spacing w:after="0" w:line="232" w:lineRule="auto"/>
        <w:rPr>
          <w:sz w:val="20"/>
          <w:szCs w:val="20"/>
          <w:color w:val="auto"/>
        </w:rPr>
      </w:pPr>
      <w:r>
        <w:rPr>
          <w:rFonts w:ascii="Arial" w:cs="Arial" w:eastAsia="Arial" w:hAnsi="Arial"/>
          <w:sz w:val="17"/>
          <w:szCs w:val="17"/>
          <w:color w:val="auto"/>
        </w:rPr>
        <w:t>offer period. In addition, the tender offer will be</w:t>
      </w:r>
    </w:p>
    <w:p>
      <w:pPr>
        <w:ind w:left="4560"/>
        <w:spacing w:after="0" w:line="232" w:lineRule="auto"/>
        <w:rPr>
          <w:sz w:val="20"/>
          <w:szCs w:val="20"/>
          <w:color w:val="auto"/>
        </w:rPr>
      </w:pPr>
      <w:r>
        <w:rPr>
          <w:rFonts w:ascii="Arial" w:cs="Arial" w:eastAsia="Arial" w:hAnsi="Arial"/>
          <w:sz w:val="17"/>
          <w:szCs w:val="17"/>
          <w:color w:val="auto"/>
        </w:rPr>
        <w:t>conditioned on public shareholders not tendering more</w:t>
      </w:r>
    </w:p>
    <w:p>
      <w:pPr>
        <w:ind w:left="4560"/>
        <w:spacing w:after="0" w:line="232" w:lineRule="auto"/>
        <w:rPr>
          <w:sz w:val="20"/>
          <w:szCs w:val="20"/>
          <w:color w:val="auto"/>
        </w:rPr>
      </w:pPr>
      <w:r>
        <w:rPr>
          <w:rFonts w:ascii="Arial" w:cs="Arial" w:eastAsia="Arial" w:hAnsi="Arial"/>
          <w:sz w:val="17"/>
          <w:szCs w:val="17"/>
          <w:color w:val="auto"/>
        </w:rPr>
        <w:t>than the number of public shares we are permitted to</w:t>
      </w:r>
    </w:p>
    <w:p>
      <w:pPr>
        <w:ind w:left="4560"/>
        <w:spacing w:after="0" w:line="232" w:lineRule="auto"/>
        <w:rPr>
          <w:sz w:val="20"/>
          <w:szCs w:val="20"/>
          <w:color w:val="auto"/>
        </w:rPr>
      </w:pPr>
      <w:r>
        <w:rPr>
          <w:rFonts w:ascii="Arial" w:cs="Arial" w:eastAsia="Arial" w:hAnsi="Arial"/>
          <w:sz w:val="17"/>
          <w:szCs w:val="17"/>
          <w:color w:val="auto"/>
        </w:rPr>
        <w:t>redeem. If public shareholders tender more shares than</w:t>
      </w:r>
    </w:p>
    <w:p>
      <w:pPr>
        <w:ind w:left="4560"/>
        <w:spacing w:after="0" w:line="232" w:lineRule="auto"/>
        <w:rPr>
          <w:sz w:val="20"/>
          <w:szCs w:val="20"/>
          <w:color w:val="auto"/>
        </w:rPr>
      </w:pPr>
      <w:r>
        <w:rPr>
          <w:rFonts w:ascii="Arial" w:cs="Arial" w:eastAsia="Arial" w:hAnsi="Arial"/>
          <w:sz w:val="17"/>
          <w:szCs w:val="17"/>
          <w:color w:val="auto"/>
        </w:rPr>
        <w:t>we have offered to purchase, we will withdraw the tender</w:t>
      </w:r>
    </w:p>
    <w:p>
      <w:pPr>
        <w:spacing w:after="0" w:line="1"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offer and not complete such initial business combination.</w:t>
      </w:r>
    </w:p>
    <w:p>
      <w:pPr>
        <w:spacing w:after="0" w:line="200" w:lineRule="exact"/>
        <w:rPr>
          <w:sz w:val="20"/>
          <w:szCs w:val="20"/>
          <w:color w:val="auto"/>
        </w:rPr>
      </w:pPr>
    </w:p>
    <w:p>
      <w:pPr>
        <w:spacing w:after="0" w:line="24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5790565" cy="64077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90565" cy="640778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420" w:hanging="179"/>
        <w:spacing w:after="0" w:line="249" w:lineRule="auto"/>
        <w:rPr>
          <w:sz w:val="20"/>
          <w:szCs w:val="20"/>
          <w:color w:val="auto"/>
        </w:rPr>
      </w:pPr>
      <w:r>
        <w:rPr>
          <w:rFonts w:ascii="Arial" w:cs="Arial" w:eastAsia="Arial" w:hAnsi="Arial"/>
          <w:sz w:val="17"/>
          <w:szCs w:val="17"/>
          <w:b w:val="1"/>
          <w:bCs w:val="1"/>
          <w:color w:val="auto"/>
        </w:rPr>
        <w:t>Limitation on redemption rights of shareholders holding more than 15% of the shares sold in this offering if we hold a shareholder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20" w:right="100" w:hanging="179"/>
        <w:spacing w:after="0" w:line="267" w:lineRule="auto"/>
        <w:rPr>
          <w:sz w:val="20"/>
          <w:szCs w:val="20"/>
          <w:color w:val="auto"/>
        </w:rPr>
      </w:pPr>
      <w:r>
        <w:rPr>
          <w:rFonts w:ascii="Arial" w:cs="Arial" w:eastAsia="Arial" w:hAnsi="Arial"/>
          <w:sz w:val="17"/>
          <w:szCs w:val="17"/>
          <w:b w:val="1"/>
          <w:bCs w:val="1"/>
          <w:color w:val="auto"/>
        </w:rPr>
        <w:t>Release of funds in trust account on closing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79"/>
        <w:spacing w:after="0" w:line="232" w:lineRule="auto"/>
        <w:rPr>
          <w:sz w:val="20"/>
          <w:szCs w:val="20"/>
          <w:color w:val="auto"/>
        </w:rPr>
      </w:pPr>
      <w:r>
        <w:rPr>
          <w:rFonts w:ascii="Arial" w:cs="Arial" w:eastAsia="Arial" w:hAnsi="Arial"/>
          <w:sz w:val="17"/>
          <w:szCs w:val="17"/>
          <w:color w:val="auto"/>
        </w:rPr>
        <w:t>Notwithstanding the foregoing redemption rights, 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redeeming its shares with respect to more than an aggregate of 15% of the shares sold in this offering, without our prior consent. We believe the restriction described above will discourage shareholders from accumulating large blocks of shares, and subsequent attempts by such holders to use their ability to redeem their shares as a means to force us or our management to purchase their shares at a significant premium to the then-current market price or on other undesirable terms. Absent this provision, a public shareholder holding more than an aggregate of 15% of the shares sold in this offering could threaten to exercise its redemption rights against a business combination if such holder’s shares are not purchased by us, our sponsor or our management team at a premium to the then-current market price or on other undesirable terms. By limiting our shareholders’ ability to redeem to no more than 15% of the shares sold in this offering, we believe we will limit the ability of a small group of shareholders to unreasonably attempt to block our ability to complete our initial business combination, particularly in connection with a business combination with a target that requires as a closing condition that we have a minimum net worth or a certain amount of cash. However, we would not be restricting our shareholders’ ability to vote all of their shares (including all shares held by those shareholders that hold more than 15% of the shares sold in this offering) for or against our initial business combination.</w:t>
      </w:r>
    </w:p>
    <w:p>
      <w:pPr>
        <w:spacing w:after="0" w:line="272" w:lineRule="exact"/>
        <w:rPr>
          <w:sz w:val="20"/>
          <w:szCs w:val="20"/>
          <w:color w:val="auto"/>
        </w:rPr>
      </w:pPr>
    </w:p>
    <w:p>
      <w:pPr>
        <w:ind w:right="279"/>
        <w:spacing w:after="0" w:line="234" w:lineRule="auto"/>
        <w:rPr>
          <w:sz w:val="20"/>
          <w:szCs w:val="20"/>
          <w:color w:val="auto"/>
        </w:rPr>
      </w:pPr>
      <w:r>
        <w:rPr>
          <w:rFonts w:ascii="Arial" w:cs="Arial" w:eastAsia="Arial" w:hAnsi="Arial"/>
          <w:sz w:val="17"/>
          <w:szCs w:val="17"/>
          <w:color w:val="auto"/>
        </w:rPr>
        <w:t>On the completion of our initial business combination, the funds held in the trust account will be disbursed directly by the trustee to pay amounts due to any public shareholders who properly exercise their redemption rights as described above adjacent to the caption “Redemption rights for public shareholders upon completion of our initial business combination,” to pay the underwriters their deferred underwriting commissions, to pay all or a portion of the consideration</w:t>
      </w:r>
    </w:p>
    <w:p>
      <w:pPr>
        <w:spacing w:after="0" w:line="200" w:lineRule="exact"/>
        <w:rPr>
          <w:sz w:val="20"/>
          <w:szCs w:val="20"/>
          <w:color w:val="auto"/>
        </w:rPr>
      </w:pPr>
    </w:p>
    <w:p>
      <w:pPr>
        <w:sectPr>
          <w:pgSz w:w="11900" w:h="16838" w:orient="portrait"/>
          <w:cols w:equalWidth="0" w:num="2">
            <w:col w:w="4140" w:space="420"/>
            <w:col w:w="4499"/>
          </w:cols>
          <w:pgMar w:left="1400" w:top="265" w:right="1440" w:bottom="1440" w:gutter="0" w:footer="0" w:header="0"/>
          <w:type w:val="continuous"/>
        </w:sectPr>
      </w:pP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type w:val="continuous"/>
        </w:sectPr>
      </w:pPr>
    </w:p>
    <w:bookmarkStart w:id="25" w:name="page26"/>
    <w:bookmarkEnd w:id="2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5790565" cy="66046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90565" cy="660463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20" w:hanging="179"/>
        <w:spacing w:after="0" w:line="267" w:lineRule="auto"/>
        <w:rPr>
          <w:sz w:val="20"/>
          <w:szCs w:val="20"/>
          <w:color w:val="auto"/>
        </w:rPr>
      </w:pPr>
      <w:r>
        <w:rPr>
          <w:rFonts w:ascii="Arial" w:cs="Arial" w:eastAsia="Arial" w:hAnsi="Arial"/>
          <w:sz w:val="17"/>
          <w:szCs w:val="17"/>
          <w:b w:val="1"/>
          <w:bCs w:val="1"/>
          <w:color w:val="auto"/>
        </w:rPr>
        <w:t>Redemption of public shares and distribution and liquidation if no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ind w:right="259"/>
        <w:spacing w:after="0" w:line="233" w:lineRule="auto"/>
        <w:rPr>
          <w:sz w:val="20"/>
          <w:szCs w:val="20"/>
          <w:color w:val="auto"/>
        </w:rPr>
      </w:pPr>
      <w:r>
        <w:rPr>
          <w:rFonts w:ascii="Arial" w:cs="Arial" w:eastAsia="Arial" w:hAnsi="Arial"/>
          <w:sz w:val="17"/>
          <w:szCs w:val="17"/>
          <w:color w:val="auto"/>
        </w:rPr>
        <w:t>payable to the target or owners of the target of our initial business combination and to pay other expenses associated with our initial business combination. If our initial business combination is paid for using equity or debt or not all of the funds released from the trust account are used for payment of the consideration in connection with our initial business combination or used for redemptions of our Class A ordinary shares, we may apply the balance of the cash released to us from the trust account for general corporate purposes, including for maintenance or expansion of operations of post-business combination businesses, the payment of principal or interest due on indebtedness incurred in completing our initial business combination, to fund the purchase of other companies or for working capital.</w:t>
      </w:r>
    </w:p>
    <w:p>
      <w:pPr>
        <w:spacing w:after="0" w:line="258" w:lineRule="exact"/>
        <w:rPr>
          <w:sz w:val="20"/>
          <w:szCs w:val="20"/>
          <w:color w:val="auto"/>
        </w:rPr>
      </w:pPr>
    </w:p>
    <w:p>
      <w:pPr>
        <w:ind w:right="199"/>
        <w:spacing w:after="0" w:line="232" w:lineRule="auto"/>
        <w:rPr>
          <w:sz w:val="20"/>
          <w:szCs w:val="20"/>
          <w:color w:val="auto"/>
        </w:rPr>
      </w:pPr>
      <w:r>
        <w:rPr>
          <w:rFonts w:ascii="Arial" w:cs="Arial" w:eastAsia="Arial" w:hAnsi="Arial"/>
          <w:sz w:val="17"/>
          <w:szCs w:val="17"/>
          <w:color w:val="auto"/>
        </w:rPr>
        <w:t>Our amended and restated memorandum and articles of association will provide that we will have only 24 months from the closing of this offering to consummate our initial business combination. If we do not consummate an initial business combination within 24 months from the closing of this offering,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the requirements of other applicable law.</w:t>
      </w:r>
    </w:p>
    <w:p>
      <w:pPr>
        <w:spacing w:after="0" w:line="96" w:lineRule="exact"/>
        <w:rPr>
          <w:sz w:val="20"/>
          <w:szCs w:val="20"/>
          <w:color w:val="auto"/>
        </w:rPr>
      </w:pPr>
    </w:p>
    <w:p>
      <w:pPr>
        <w:ind w:right="279"/>
        <w:spacing w:after="0" w:line="233" w:lineRule="auto"/>
        <w:rPr>
          <w:sz w:val="20"/>
          <w:szCs w:val="20"/>
          <w:color w:val="auto"/>
        </w:rPr>
      </w:pPr>
      <w:r>
        <w:rPr>
          <w:rFonts w:ascii="Arial" w:cs="Arial" w:eastAsia="Arial" w:hAnsi="Arial"/>
          <w:sz w:val="17"/>
          <w:szCs w:val="17"/>
          <w:color w:val="auto"/>
        </w:rPr>
        <w:t>Our sponsor and each member of our management team have entered into an agreement with us, pursuant to which they have agreed to waive their rights to liquidating distributions from the trust account with respect to any founder shares or private placement shares they hold if we fail to consummate an initial business combination within 24 months from the closing of this offering (although they will be entitled to liquidating distributions from the trust account with respect to any public shares</w:t>
      </w:r>
    </w:p>
    <w:p>
      <w:pPr>
        <w:spacing w:after="0" w:line="200" w:lineRule="exact"/>
        <w:rPr>
          <w:sz w:val="20"/>
          <w:szCs w:val="20"/>
          <w:color w:val="auto"/>
        </w:rPr>
      </w:pPr>
    </w:p>
    <w:p>
      <w:pPr>
        <w:sectPr>
          <w:pgSz w:w="11900" w:h="16838" w:orient="portrait"/>
          <w:cols w:equalWidth="0" w:num="2">
            <w:col w:w="4280" w:space="280"/>
            <w:col w:w="4499"/>
          </w:cols>
          <w:pgMar w:left="1400" w:top="265" w:right="1440" w:bottom="1440" w:gutter="0" w:footer="0" w:header="0"/>
          <w:type w:val="continuous"/>
        </w:sectPr>
      </w:pPr>
    </w:p>
    <w:p>
      <w:pPr>
        <w:spacing w:after="0" w:line="24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type w:val="continuous"/>
        </w:sectPr>
      </w:pPr>
    </w:p>
    <w:bookmarkStart w:id="26" w:name="page27"/>
    <w:bookmarkEnd w:id="2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5790565" cy="60217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90565" cy="602170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they hold if we fail to complete our initial business</w:t>
      </w:r>
    </w:p>
    <w:p>
      <w:pPr>
        <w:ind w:left="4560"/>
        <w:spacing w:after="0" w:line="232" w:lineRule="auto"/>
        <w:rPr>
          <w:sz w:val="20"/>
          <w:szCs w:val="20"/>
          <w:color w:val="auto"/>
        </w:rPr>
      </w:pPr>
      <w:r>
        <w:rPr>
          <w:rFonts w:ascii="Arial" w:cs="Arial" w:eastAsia="Arial" w:hAnsi="Arial"/>
          <w:sz w:val="17"/>
          <w:szCs w:val="17"/>
          <w:color w:val="auto"/>
        </w:rPr>
        <w:t>combination within 24 months from the closing of this</w:t>
      </w:r>
    </w:p>
    <w:p>
      <w:pPr>
        <w:ind w:left="4560"/>
        <w:spacing w:after="0"/>
        <w:rPr>
          <w:sz w:val="20"/>
          <w:szCs w:val="20"/>
          <w:color w:val="auto"/>
        </w:rPr>
      </w:pPr>
      <w:r>
        <w:rPr>
          <w:rFonts w:ascii="Arial" w:cs="Arial" w:eastAsia="Arial" w:hAnsi="Arial"/>
          <w:sz w:val="17"/>
          <w:szCs w:val="17"/>
          <w:color w:val="auto"/>
        </w:rPr>
        <w:t>offering).</w:t>
      </w:r>
    </w:p>
    <w:p>
      <w:pPr>
        <w:spacing w:after="0" w:line="82"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The underwriters have agreed to waive their rights to</w:t>
      </w:r>
    </w:p>
    <w:p>
      <w:pPr>
        <w:ind w:left="4560"/>
        <w:spacing w:after="0" w:line="232" w:lineRule="auto"/>
        <w:rPr>
          <w:sz w:val="20"/>
          <w:szCs w:val="20"/>
          <w:color w:val="auto"/>
        </w:rPr>
      </w:pPr>
      <w:r>
        <w:rPr>
          <w:rFonts w:ascii="Arial" w:cs="Arial" w:eastAsia="Arial" w:hAnsi="Arial"/>
          <w:sz w:val="17"/>
          <w:szCs w:val="17"/>
          <w:color w:val="auto"/>
        </w:rPr>
        <w:t>their deferred underwriting commission held in the trust</w:t>
      </w:r>
    </w:p>
    <w:p>
      <w:pPr>
        <w:ind w:left="4560"/>
        <w:spacing w:after="0" w:line="232" w:lineRule="auto"/>
        <w:rPr>
          <w:sz w:val="20"/>
          <w:szCs w:val="20"/>
          <w:color w:val="auto"/>
        </w:rPr>
      </w:pPr>
      <w:r>
        <w:rPr>
          <w:rFonts w:ascii="Arial" w:cs="Arial" w:eastAsia="Arial" w:hAnsi="Arial"/>
          <w:sz w:val="17"/>
          <w:szCs w:val="17"/>
          <w:color w:val="auto"/>
        </w:rPr>
        <w:t>account in the event we do not consummate an initial</w:t>
      </w:r>
    </w:p>
    <w:p>
      <w:pPr>
        <w:ind w:left="4560"/>
        <w:spacing w:after="0" w:line="232" w:lineRule="auto"/>
        <w:rPr>
          <w:sz w:val="20"/>
          <w:szCs w:val="20"/>
          <w:color w:val="auto"/>
        </w:rPr>
      </w:pPr>
      <w:r>
        <w:rPr>
          <w:rFonts w:ascii="Arial" w:cs="Arial" w:eastAsia="Arial" w:hAnsi="Arial"/>
          <w:sz w:val="17"/>
          <w:szCs w:val="17"/>
          <w:color w:val="auto"/>
        </w:rPr>
        <w:t>business combination within 24 months from the closing</w:t>
      </w:r>
    </w:p>
    <w:p>
      <w:pPr>
        <w:ind w:left="4560"/>
        <w:spacing w:after="0" w:line="232" w:lineRule="auto"/>
        <w:rPr>
          <w:sz w:val="20"/>
          <w:szCs w:val="20"/>
          <w:color w:val="auto"/>
        </w:rPr>
      </w:pPr>
      <w:r>
        <w:rPr>
          <w:rFonts w:ascii="Arial" w:cs="Arial" w:eastAsia="Arial" w:hAnsi="Arial"/>
          <w:sz w:val="17"/>
          <w:szCs w:val="17"/>
          <w:color w:val="auto"/>
        </w:rPr>
        <w:t>of this offering and, in such event, such amounts will be</w:t>
      </w:r>
    </w:p>
    <w:p>
      <w:pPr>
        <w:ind w:left="4560"/>
        <w:spacing w:after="0" w:line="232" w:lineRule="auto"/>
        <w:rPr>
          <w:sz w:val="20"/>
          <w:szCs w:val="20"/>
          <w:color w:val="auto"/>
        </w:rPr>
      </w:pPr>
      <w:r>
        <w:rPr>
          <w:rFonts w:ascii="Arial" w:cs="Arial" w:eastAsia="Arial" w:hAnsi="Arial"/>
          <w:sz w:val="17"/>
          <w:szCs w:val="17"/>
          <w:color w:val="auto"/>
        </w:rPr>
        <w:t>included with the funds held in the trust account that will</w:t>
      </w:r>
    </w:p>
    <w:p>
      <w:pPr>
        <w:ind w:left="4560"/>
        <w:spacing w:after="0"/>
        <w:rPr>
          <w:sz w:val="20"/>
          <w:szCs w:val="20"/>
          <w:color w:val="auto"/>
        </w:rPr>
      </w:pPr>
      <w:r>
        <w:rPr>
          <w:rFonts w:ascii="Arial" w:cs="Arial" w:eastAsia="Arial" w:hAnsi="Arial"/>
          <w:sz w:val="17"/>
          <w:szCs w:val="17"/>
          <w:color w:val="auto"/>
        </w:rPr>
        <w:t>be available to fund the redemption of our public shares.</w:t>
      </w:r>
    </w:p>
    <w:p>
      <w:pPr>
        <w:spacing w:after="0" w:line="95"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Our sponsor, executive officers, directors and director</w:t>
      </w:r>
    </w:p>
    <w:p>
      <w:pPr>
        <w:ind w:left="4560"/>
        <w:spacing w:after="0" w:line="232" w:lineRule="auto"/>
        <w:rPr>
          <w:sz w:val="20"/>
          <w:szCs w:val="20"/>
          <w:color w:val="auto"/>
        </w:rPr>
      </w:pPr>
      <w:r>
        <w:rPr>
          <w:rFonts w:ascii="Arial" w:cs="Arial" w:eastAsia="Arial" w:hAnsi="Arial"/>
          <w:sz w:val="17"/>
          <w:szCs w:val="17"/>
          <w:color w:val="auto"/>
        </w:rPr>
        <w:t>nominees have agreed, pursuant to a written agreement</w:t>
      </w:r>
    </w:p>
    <w:p>
      <w:pPr>
        <w:ind w:left="4560"/>
        <w:spacing w:after="0" w:line="232" w:lineRule="auto"/>
        <w:rPr>
          <w:sz w:val="20"/>
          <w:szCs w:val="20"/>
          <w:color w:val="auto"/>
        </w:rPr>
      </w:pPr>
      <w:r>
        <w:rPr>
          <w:rFonts w:ascii="Arial" w:cs="Arial" w:eastAsia="Arial" w:hAnsi="Arial"/>
          <w:sz w:val="17"/>
          <w:szCs w:val="17"/>
          <w:color w:val="auto"/>
        </w:rPr>
        <w:t>with us, that they will not propose any amendment to our</w:t>
      </w:r>
    </w:p>
    <w:p>
      <w:pPr>
        <w:ind w:left="4560"/>
        <w:spacing w:after="0" w:line="232" w:lineRule="auto"/>
        <w:rPr>
          <w:sz w:val="20"/>
          <w:szCs w:val="20"/>
          <w:color w:val="auto"/>
        </w:rPr>
      </w:pPr>
      <w:r>
        <w:rPr>
          <w:rFonts w:ascii="Arial" w:cs="Arial" w:eastAsia="Arial" w:hAnsi="Arial"/>
          <w:sz w:val="17"/>
          <w:szCs w:val="17"/>
          <w:color w:val="auto"/>
        </w:rPr>
        <w:t>amended and restated memorandum and articles of</w:t>
      </w:r>
    </w:p>
    <w:p>
      <w:pPr>
        <w:ind w:left="4560"/>
        <w:spacing w:after="0" w:line="232" w:lineRule="auto"/>
        <w:rPr>
          <w:sz w:val="20"/>
          <w:szCs w:val="20"/>
          <w:color w:val="auto"/>
        </w:rPr>
      </w:pPr>
      <w:r>
        <w:rPr>
          <w:rFonts w:ascii="Arial" w:cs="Arial" w:eastAsia="Arial" w:hAnsi="Arial"/>
          <w:sz w:val="17"/>
          <w:szCs w:val="17"/>
          <w:color w:val="auto"/>
        </w:rPr>
        <w:t>association (A) that would modify the substance or</w:t>
      </w:r>
    </w:p>
    <w:p>
      <w:pPr>
        <w:ind w:left="4560"/>
        <w:spacing w:after="0" w:line="232" w:lineRule="auto"/>
        <w:rPr>
          <w:sz w:val="20"/>
          <w:szCs w:val="20"/>
          <w:color w:val="auto"/>
        </w:rPr>
      </w:pPr>
      <w:r>
        <w:rPr>
          <w:rFonts w:ascii="Arial" w:cs="Arial" w:eastAsia="Arial" w:hAnsi="Arial"/>
          <w:sz w:val="17"/>
          <w:szCs w:val="17"/>
          <w:color w:val="auto"/>
        </w:rPr>
        <w:t>timing of our obligation to provide holders of our Class A</w:t>
      </w:r>
    </w:p>
    <w:p>
      <w:pPr>
        <w:ind w:left="4560"/>
        <w:spacing w:after="0" w:line="232" w:lineRule="auto"/>
        <w:rPr>
          <w:sz w:val="20"/>
          <w:szCs w:val="20"/>
          <w:color w:val="auto"/>
        </w:rPr>
      </w:pPr>
      <w:r>
        <w:rPr>
          <w:rFonts w:ascii="Arial" w:cs="Arial" w:eastAsia="Arial" w:hAnsi="Arial"/>
          <w:sz w:val="17"/>
          <w:szCs w:val="17"/>
          <w:color w:val="auto"/>
        </w:rPr>
        <w:t>ordinary shares the right to have their shares redeemed</w:t>
      </w:r>
    </w:p>
    <w:p>
      <w:pPr>
        <w:ind w:left="4560"/>
        <w:spacing w:after="0" w:line="232" w:lineRule="auto"/>
        <w:rPr>
          <w:sz w:val="20"/>
          <w:szCs w:val="20"/>
          <w:color w:val="auto"/>
        </w:rPr>
      </w:pPr>
      <w:r>
        <w:rPr>
          <w:rFonts w:ascii="Arial" w:cs="Arial" w:eastAsia="Arial" w:hAnsi="Arial"/>
          <w:sz w:val="17"/>
          <w:szCs w:val="17"/>
          <w:color w:val="auto"/>
        </w:rPr>
        <w:t>in connection with our initial business combination or to</w:t>
      </w:r>
    </w:p>
    <w:p>
      <w:pPr>
        <w:ind w:left="4560"/>
        <w:spacing w:after="0" w:line="232" w:lineRule="auto"/>
        <w:rPr>
          <w:sz w:val="20"/>
          <w:szCs w:val="20"/>
          <w:color w:val="auto"/>
        </w:rPr>
      </w:pPr>
      <w:r>
        <w:rPr>
          <w:rFonts w:ascii="Arial" w:cs="Arial" w:eastAsia="Arial" w:hAnsi="Arial"/>
          <w:sz w:val="17"/>
          <w:szCs w:val="17"/>
          <w:color w:val="auto"/>
        </w:rPr>
        <w:t>redeem 100% of our public shares if we do not complete</w:t>
      </w:r>
    </w:p>
    <w:p>
      <w:pPr>
        <w:ind w:left="4560"/>
        <w:spacing w:after="0" w:line="232" w:lineRule="auto"/>
        <w:rPr>
          <w:sz w:val="20"/>
          <w:szCs w:val="20"/>
          <w:color w:val="auto"/>
        </w:rPr>
      </w:pPr>
      <w:r>
        <w:rPr>
          <w:rFonts w:ascii="Arial" w:cs="Arial" w:eastAsia="Arial" w:hAnsi="Arial"/>
          <w:sz w:val="17"/>
          <w:szCs w:val="17"/>
          <w:color w:val="auto"/>
        </w:rPr>
        <w:t>our initial business combination within 24 months from</w:t>
      </w:r>
    </w:p>
    <w:p>
      <w:pPr>
        <w:ind w:left="4560"/>
        <w:spacing w:after="0" w:line="232" w:lineRule="auto"/>
        <w:rPr>
          <w:sz w:val="20"/>
          <w:szCs w:val="20"/>
          <w:color w:val="auto"/>
        </w:rPr>
      </w:pPr>
      <w:r>
        <w:rPr>
          <w:rFonts w:ascii="Arial" w:cs="Arial" w:eastAsia="Arial" w:hAnsi="Arial"/>
          <w:sz w:val="17"/>
          <w:szCs w:val="17"/>
          <w:color w:val="auto"/>
        </w:rPr>
        <w:t>the closing of this offering or (B) with respect to any other</w:t>
      </w:r>
    </w:p>
    <w:p>
      <w:pPr>
        <w:ind w:left="4560"/>
        <w:spacing w:after="0" w:line="232" w:lineRule="auto"/>
        <w:rPr>
          <w:sz w:val="20"/>
          <w:szCs w:val="20"/>
          <w:color w:val="auto"/>
        </w:rPr>
      </w:pPr>
      <w:r>
        <w:rPr>
          <w:rFonts w:ascii="Arial" w:cs="Arial" w:eastAsia="Arial" w:hAnsi="Arial"/>
          <w:sz w:val="17"/>
          <w:szCs w:val="17"/>
          <w:color w:val="auto"/>
        </w:rPr>
        <w:t>provision relating to the rights of holders of our Class A</w:t>
      </w:r>
    </w:p>
    <w:p>
      <w:pPr>
        <w:ind w:left="4560"/>
        <w:spacing w:after="0" w:line="232" w:lineRule="auto"/>
        <w:rPr>
          <w:sz w:val="20"/>
          <w:szCs w:val="20"/>
          <w:color w:val="auto"/>
        </w:rPr>
      </w:pPr>
      <w:r>
        <w:rPr>
          <w:rFonts w:ascii="Arial" w:cs="Arial" w:eastAsia="Arial" w:hAnsi="Arial"/>
          <w:sz w:val="17"/>
          <w:szCs w:val="17"/>
          <w:color w:val="auto"/>
        </w:rPr>
        <w:t>ordinary shares; unless we provide our public</w:t>
      </w:r>
    </w:p>
    <w:p>
      <w:pPr>
        <w:ind w:left="4560"/>
        <w:spacing w:after="0" w:line="232" w:lineRule="auto"/>
        <w:rPr>
          <w:sz w:val="20"/>
          <w:szCs w:val="20"/>
          <w:color w:val="auto"/>
        </w:rPr>
      </w:pPr>
      <w:r>
        <w:rPr>
          <w:rFonts w:ascii="Arial" w:cs="Arial" w:eastAsia="Arial" w:hAnsi="Arial"/>
          <w:sz w:val="17"/>
          <w:szCs w:val="17"/>
          <w:color w:val="auto"/>
        </w:rPr>
        <w:t>shareholders with the opportunity to redeem their</w:t>
      </w:r>
    </w:p>
    <w:p>
      <w:pPr>
        <w:ind w:left="4560"/>
        <w:spacing w:after="0" w:line="232" w:lineRule="auto"/>
        <w:rPr>
          <w:sz w:val="20"/>
          <w:szCs w:val="20"/>
          <w:color w:val="auto"/>
        </w:rPr>
      </w:pPr>
      <w:r>
        <w:rPr>
          <w:rFonts w:ascii="Arial" w:cs="Arial" w:eastAsia="Arial" w:hAnsi="Arial"/>
          <w:sz w:val="17"/>
          <w:szCs w:val="17"/>
          <w:color w:val="auto"/>
        </w:rPr>
        <w:t>Class A ordinary shares upon approval of any such</w:t>
      </w:r>
    </w:p>
    <w:p>
      <w:pPr>
        <w:ind w:left="4560"/>
        <w:spacing w:after="0" w:line="232" w:lineRule="auto"/>
        <w:rPr>
          <w:sz w:val="20"/>
          <w:szCs w:val="20"/>
          <w:color w:val="auto"/>
        </w:rPr>
      </w:pPr>
      <w:r>
        <w:rPr>
          <w:rFonts w:ascii="Arial" w:cs="Arial" w:eastAsia="Arial" w:hAnsi="Arial"/>
          <w:sz w:val="17"/>
          <w:szCs w:val="17"/>
          <w:color w:val="auto"/>
        </w:rPr>
        <w:t>amendment at a per-share price, payable in cash, equal</w:t>
      </w:r>
    </w:p>
    <w:p>
      <w:pPr>
        <w:ind w:left="4560"/>
        <w:spacing w:after="0" w:line="232" w:lineRule="auto"/>
        <w:rPr>
          <w:sz w:val="20"/>
          <w:szCs w:val="20"/>
          <w:color w:val="auto"/>
        </w:rPr>
      </w:pPr>
      <w:r>
        <w:rPr>
          <w:rFonts w:ascii="Arial" w:cs="Arial" w:eastAsia="Arial" w:hAnsi="Arial"/>
          <w:sz w:val="17"/>
          <w:szCs w:val="17"/>
          <w:color w:val="auto"/>
        </w:rPr>
        <w:t>to the aggregate amount then on deposit in the trust</w:t>
      </w:r>
    </w:p>
    <w:p>
      <w:pPr>
        <w:ind w:left="4560"/>
        <w:spacing w:after="0" w:line="232" w:lineRule="auto"/>
        <w:rPr>
          <w:sz w:val="20"/>
          <w:szCs w:val="20"/>
          <w:color w:val="auto"/>
        </w:rPr>
      </w:pPr>
      <w:r>
        <w:rPr>
          <w:rFonts w:ascii="Arial" w:cs="Arial" w:eastAsia="Arial" w:hAnsi="Arial"/>
          <w:sz w:val="17"/>
          <w:szCs w:val="17"/>
          <w:color w:val="auto"/>
        </w:rPr>
        <w:t>account, including interest earned on the funds held in</w:t>
      </w:r>
    </w:p>
    <w:p>
      <w:pPr>
        <w:ind w:left="4560"/>
        <w:spacing w:after="0" w:line="232" w:lineRule="auto"/>
        <w:rPr>
          <w:sz w:val="20"/>
          <w:szCs w:val="20"/>
          <w:color w:val="auto"/>
        </w:rPr>
      </w:pPr>
      <w:r>
        <w:rPr>
          <w:rFonts w:ascii="Arial" w:cs="Arial" w:eastAsia="Arial" w:hAnsi="Arial"/>
          <w:sz w:val="17"/>
          <w:szCs w:val="17"/>
          <w:color w:val="auto"/>
        </w:rPr>
        <w:t>the trust account and not previously released to us to</w:t>
      </w:r>
    </w:p>
    <w:p>
      <w:pPr>
        <w:ind w:left="4560"/>
        <w:spacing w:after="0" w:line="232" w:lineRule="auto"/>
        <w:rPr>
          <w:sz w:val="20"/>
          <w:szCs w:val="20"/>
          <w:color w:val="auto"/>
        </w:rPr>
      </w:pPr>
      <w:r>
        <w:rPr>
          <w:rFonts w:ascii="Arial" w:cs="Arial" w:eastAsia="Arial" w:hAnsi="Arial"/>
          <w:sz w:val="17"/>
          <w:szCs w:val="17"/>
          <w:color w:val="auto"/>
        </w:rPr>
        <w:t>pay our income taxes, if any, divided by the number of</w:t>
      </w:r>
    </w:p>
    <w:p>
      <w:pPr>
        <w:ind w:left="4560"/>
        <w:spacing w:after="0" w:line="233" w:lineRule="auto"/>
        <w:rPr>
          <w:sz w:val="20"/>
          <w:szCs w:val="20"/>
          <w:color w:val="auto"/>
        </w:rPr>
      </w:pPr>
      <w:r>
        <w:rPr>
          <w:rFonts w:ascii="Arial" w:cs="Arial" w:eastAsia="Arial" w:hAnsi="Arial"/>
          <w:sz w:val="17"/>
          <w:szCs w:val="17"/>
          <w:color w:val="auto"/>
        </w:rPr>
        <w:t>the then-outstanding public shares, subject to the</w:t>
      </w:r>
    </w:p>
    <w:p>
      <w:pPr>
        <w:ind w:left="4560"/>
        <w:spacing w:after="0" w:line="232" w:lineRule="auto"/>
        <w:rPr>
          <w:sz w:val="20"/>
          <w:szCs w:val="20"/>
          <w:color w:val="auto"/>
        </w:rPr>
      </w:pPr>
      <w:r>
        <w:rPr>
          <w:rFonts w:ascii="Arial" w:cs="Arial" w:eastAsia="Arial" w:hAnsi="Arial"/>
          <w:sz w:val="17"/>
          <w:szCs w:val="17"/>
          <w:color w:val="auto"/>
        </w:rPr>
        <w:t>limitations described above adjacent to the caption</w:t>
      </w:r>
    </w:p>
    <w:p>
      <w:pPr>
        <w:ind w:left="4560"/>
        <w:spacing w:after="0" w:line="232" w:lineRule="auto"/>
        <w:rPr>
          <w:sz w:val="20"/>
          <w:szCs w:val="20"/>
          <w:color w:val="auto"/>
        </w:rPr>
      </w:pPr>
      <w:r>
        <w:rPr>
          <w:rFonts w:ascii="Arial" w:cs="Arial" w:eastAsia="Arial" w:hAnsi="Arial"/>
          <w:sz w:val="17"/>
          <w:szCs w:val="17"/>
          <w:color w:val="auto"/>
        </w:rPr>
        <w:t>“Limitations on redemptions.” For example, our board of</w:t>
      </w:r>
    </w:p>
    <w:p>
      <w:pPr>
        <w:ind w:left="4560"/>
        <w:spacing w:after="0" w:line="232" w:lineRule="auto"/>
        <w:rPr>
          <w:sz w:val="20"/>
          <w:szCs w:val="20"/>
          <w:color w:val="auto"/>
        </w:rPr>
      </w:pPr>
      <w:r>
        <w:rPr>
          <w:rFonts w:ascii="Arial" w:cs="Arial" w:eastAsia="Arial" w:hAnsi="Arial"/>
          <w:sz w:val="17"/>
          <w:szCs w:val="17"/>
          <w:color w:val="auto"/>
        </w:rPr>
        <w:t>directors may propose such an amendment if it</w:t>
      </w:r>
    </w:p>
    <w:p>
      <w:pPr>
        <w:ind w:left="4560"/>
        <w:spacing w:after="0" w:line="232" w:lineRule="auto"/>
        <w:rPr>
          <w:sz w:val="20"/>
          <w:szCs w:val="20"/>
          <w:color w:val="auto"/>
        </w:rPr>
      </w:pPr>
      <w:r>
        <w:rPr>
          <w:rFonts w:ascii="Arial" w:cs="Arial" w:eastAsia="Arial" w:hAnsi="Arial"/>
          <w:sz w:val="17"/>
          <w:szCs w:val="17"/>
          <w:color w:val="auto"/>
        </w:rPr>
        <w:t>determines that additional time is necessary to complete</w:t>
      </w:r>
    </w:p>
    <w:p>
      <w:pPr>
        <w:ind w:left="4560"/>
        <w:spacing w:after="0" w:line="232" w:lineRule="auto"/>
        <w:rPr>
          <w:sz w:val="20"/>
          <w:szCs w:val="20"/>
          <w:color w:val="auto"/>
        </w:rPr>
      </w:pPr>
      <w:r>
        <w:rPr>
          <w:rFonts w:ascii="Arial" w:cs="Arial" w:eastAsia="Arial" w:hAnsi="Arial"/>
          <w:sz w:val="17"/>
          <w:szCs w:val="17"/>
          <w:color w:val="auto"/>
        </w:rPr>
        <w:t>our initial business combination. In such event, we will</w:t>
      </w:r>
    </w:p>
    <w:p>
      <w:pPr>
        <w:ind w:left="4560"/>
        <w:spacing w:after="0" w:line="232" w:lineRule="auto"/>
        <w:rPr>
          <w:sz w:val="20"/>
          <w:szCs w:val="20"/>
          <w:color w:val="auto"/>
        </w:rPr>
      </w:pPr>
      <w:r>
        <w:rPr>
          <w:rFonts w:ascii="Arial" w:cs="Arial" w:eastAsia="Arial" w:hAnsi="Arial"/>
          <w:sz w:val="17"/>
          <w:szCs w:val="17"/>
          <w:color w:val="auto"/>
        </w:rPr>
        <w:t>conduct a proxy solicitation and distribute proxy</w:t>
      </w:r>
    </w:p>
    <w:p>
      <w:pPr>
        <w:ind w:left="4560"/>
        <w:spacing w:after="0" w:line="232" w:lineRule="auto"/>
        <w:rPr>
          <w:sz w:val="20"/>
          <w:szCs w:val="20"/>
          <w:color w:val="auto"/>
        </w:rPr>
      </w:pPr>
      <w:r>
        <w:rPr>
          <w:rFonts w:ascii="Arial" w:cs="Arial" w:eastAsia="Arial" w:hAnsi="Arial"/>
          <w:sz w:val="17"/>
          <w:szCs w:val="17"/>
          <w:color w:val="auto"/>
        </w:rPr>
        <w:t>materials pursuant to Regulation 14A of the Exchange</w:t>
      </w:r>
    </w:p>
    <w:p>
      <w:pPr>
        <w:ind w:left="4560"/>
        <w:spacing w:after="0" w:line="232" w:lineRule="auto"/>
        <w:rPr>
          <w:sz w:val="20"/>
          <w:szCs w:val="20"/>
          <w:color w:val="auto"/>
        </w:rPr>
      </w:pPr>
      <w:r>
        <w:rPr>
          <w:rFonts w:ascii="Arial" w:cs="Arial" w:eastAsia="Arial" w:hAnsi="Arial"/>
          <w:sz w:val="17"/>
          <w:szCs w:val="17"/>
          <w:color w:val="auto"/>
        </w:rPr>
        <w:t>Act seeking shareholder approval of such proposal and,</w:t>
      </w:r>
    </w:p>
    <w:p>
      <w:pPr>
        <w:ind w:left="4560"/>
        <w:spacing w:after="0" w:line="232" w:lineRule="auto"/>
        <w:rPr>
          <w:sz w:val="20"/>
          <w:szCs w:val="20"/>
          <w:color w:val="auto"/>
        </w:rPr>
      </w:pPr>
      <w:r>
        <w:rPr>
          <w:rFonts w:ascii="Arial" w:cs="Arial" w:eastAsia="Arial" w:hAnsi="Arial"/>
          <w:sz w:val="17"/>
          <w:szCs w:val="17"/>
          <w:color w:val="auto"/>
        </w:rPr>
        <w:t>in connection therewith, provide our public shareholders</w:t>
      </w:r>
    </w:p>
    <w:p>
      <w:pPr>
        <w:ind w:left="4560"/>
        <w:spacing w:after="0" w:line="232" w:lineRule="auto"/>
        <w:rPr>
          <w:sz w:val="20"/>
          <w:szCs w:val="20"/>
          <w:color w:val="auto"/>
        </w:rPr>
      </w:pPr>
      <w:r>
        <w:rPr>
          <w:rFonts w:ascii="Arial" w:cs="Arial" w:eastAsia="Arial" w:hAnsi="Arial"/>
          <w:sz w:val="17"/>
          <w:szCs w:val="17"/>
          <w:color w:val="auto"/>
        </w:rPr>
        <w:t>with the redemption rights described above upon</w:t>
      </w:r>
    </w:p>
    <w:p>
      <w:pPr>
        <w:ind w:left="4560"/>
        <w:spacing w:after="0" w:line="232" w:lineRule="auto"/>
        <w:rPr>
          <w:sz w:val="20"/>
          <w:szCs w:val="20"/>
          <w:color w:val="auto"/>
        </w:rPr>
      </w:pPr>
      <w:r>
        <w:rPr>
          <w:rFonts w:ascii="Arial" w:cs="Arial" w:eastAsia="Arial" w:hAnsi="Arial"/>
          <w:sz w:val="17"/>
          <w:szCs w:val="17"/>
          <w:color w:val="auto"/>
        </w:rPr>
        <w:t>shareholder approval of such amendment. This</w:t>
      </w:r>
    </w:p>
    <w:p>
      <w:pPr>
        <w:ind w:left="4560"/>
        <w:spacing w:after="0" w:line="232" w:lineRule="auto"/>
        <w:rPr>
          <w:sz w:val="20"/>
          <w:szCs w:val="20"/>
          <w:color w:val="auto"/>
        </w:rPr>
      </w:pPr>
      <w:r>
        <w:rPr>
          <w:rFonts w:ascii="Arial" w:cs="Arial" w:eastAsia="Arial" w:hAnsi="Arial"/>
          <w:sz w:val="17"/>
          <w:szCs w:val="17"/>
          <w:color w:val="auto"/>
        </w:rPr>
        <w:t>redemption right shall apply in the event of the approval</w:t>
      </w:r>
    </w:p>
    <w:p>
      <w:pPr>
        <w:ind w:left="4560"/>
        <w:spacing w:after="0" w:line="232" w:lineRule="auto"/>
        <w:rPr>
          <w:sz w:val="20"/>
          <w:szCs w:val="20"/>
          <w:color w:val="auto"/>
        </w:rPr>
      </w:pPr>
      <w:r>
        <w:rPr>
          <w:rFonts w:ascii="Arial" w:cs="Arial" w:eastAsia="Arial" w:hAnsi="Arial"/>
          <w:sz w:val="17"/>
          <w:szCs w:val="17"/>
          <w:color w:val="auto"/>
        </w:rPr>
        <w:t>of any such amendment, whether proposed by our</w:t>
      </w:r>
    </w:p>
    <w:p>
      <w:pPr>
        <w:ind w:left="4560"/>
        <w:spacing w:after="0" w:line="232" w:lineRule="auto"/>
        <w:rPr>
          <w:sz w:val="20"/>
          <w:szCs w:val="20"/>
          <w:color w:val="auto"/>
        </w:rPr>
      </w:pPr>
      <w:r>
        <w:rPr>
          <w:rFonts w:ascii="Arial" w:cs="Arial" w:eastAsia="Arial" w:hAnsi="Arial"/>
          <w:sz w:val="17"/>
          <w:szCs w:val="17"/>
          <w:color w:val="auto"/>
        </w:rPr>
        <w:t>sponsor, any executive officer, director or director</w:t>
      </w:r>
    </w:p>
    <w:p>
      <w:pPr>
        <w:spacing w:after="0" w:line="1"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nominee, or any other person.</w:t>
      </w: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5790565" cy="63220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90565" cy="632206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3340" w:type="dxa"/>
            <w:vAlign w:val="bottom"/>
          </w:tcPr>
          <w:p>
            <w:pPr>
              <w:spacing w:after="0"/>
              <w:rPr>
                <w:sz w:val="16"/>
                <w:szCs w:val="16"/>
                <w:color w:val="auto"/>
              </w:rPr>
            </w:pPr>
          </w:p>
        </w:tc>
        <w:tc>
          <w:tcPr>
            <w:tcW w:w="5300" w:type="dxa"/>
            <w:vAlign w:val="bottom"/>
            <w:gridSpan w:val="2"/>
          </w:tcPr>
          <w:p>
            <w:pPr>
              <w:ind w:left="980"/>
              <w:spacing w:after="0"/>
              <w:rPr>
                <w:sz w:val="20"/>
                <w:szCs w:val="20"/>
                <w:color w:val="auto"/>
              </w:rPr>
            </w:pPr>
            <w:r>
              <w:rPr>
                <w:rFonts w:ascii="Arial" w:cs="Arial" w:eastAsia="Arial" w:hAnsi="Arial"/>
                <w:sz w:val="17"/>
                <w:szCs w:val="17"/>
                <w:color w:val="auto"/>
              </w:rPr>
              <w:t>Our amended and restated memorandum and articles of</w:t>
            </w:r>
          </w:p>
        </w:tc>
      </w:tr>
      <w:tr>
        <w:trPr>
          <w:trHeight w:val="189"/>
        </w:trPr>
        <w:tc>
          <w:tcPr>
            <w:tcW w:w="3340" w:type="dxa"/>
            <w:vAlign w:val="bottom"/>
          </w:tcPr>
          <w:p>
            <w:pPr>
              <w:spacing w:after="0"/>
              <w:rPr>
                <w:sz w:val="16"/>
                <w:szCs w:val="16"/>
                <w:color w:val="auto"/>
              </w:rPr>
            </w:pPr>
          </w:p>
        </w:tc>
        <w:tc>
          <w:tcPr>
            <w:tcW w:w="5300" w:type="dxa"/>
            <w:vAlign w:val="bottom"/>
            <w:gridSpan w:val="2"/>
          </w:tcPr>
          <w:p>
            <w:pPr>
              <w:ind w:left="980"/>
              <w:spacing w:after="0" w:line="189" w:lineRule="exact"/>
              <w:rPr>
                <w:sz w:val="20"/>
                <w:szCs w:val="20"/>
                <w:color w:val="auto"/>
              </w:rPr>
            </w:pPr>
            <w:r>
              <w:rPr>
                <w:rFonts w:ascii="Arial" w:cs="Arial" w:eastAsia="Arial" w:hAnsi="Arial"/>
                <w:sz w:val="17"/>
                <w:szCs w:val="17"/>
                <w:color w:val="auto"/>
              </w:rPr>
              <w:t>association will provide that, if we wind up for any other</w:t>
            </w:r>
          </w:p>
        </w:tc>
      </w:tr>
      <w:tr>
        <w:trPr>
          <w:trHeight w:val="189"/>
        </w:trPr>
        <w:tc>
          <w:tcPr>
            <w:tcW w:w="3340" w:type="dxa"/>
            <w:vAlign w:val="bottom"/>
          </w:tcPr>
          <w:p>
            <w:pPr>
              <w:spacing w:after="0"/>
              <w:rPr>
                <w:sz w:val="16"/>
                <w:szCs w:val="16"/>
                <w:color w:val="auto"/>
              </w:rPr>
            </w:pPr>
          </w:p>
        </w:tc>
        <w:tc>
          <w:tcPr>
            <w:tcW w:w="5300" w:type="dxa"/>
            <w:vAlign w:val="bottom"/>
            <w:gridSpan w:val="2"/>
          </w:tcPr>
          <w:p>
            <w:pPr>
              <w:ind w:left="980"/>
              <w:spacing w:after="0" w:line="189" w:lineRule="exact"/>
              <w:rPr>
                <w:sz w:val="20"/>
                <w:szCs w:val="20"/>
                <w:color w:val="auto"/>
              </w:rPr>
            </w:pPr>
            <w:r>
              <w:rPr>
                <w:rFonts w:ascii="Arial" w:cs="Arial" w:eastAsia="Arial" w:hAnsi="Arial"/>
                <w:sz w:val="17"/>
                <w:szCs w:val="17"/>
                <w:color w:val="auto"/>
              </w:rPr>
              <w:t>reason prior to the consummation of our initial business</w:t>
            </w:r>
          </w:p>
        </w:tc>
      </w:tr>
      <w:tr>
        <w:trPr>
          <w:trHeight w:val="189"/>
        </w:trPr>
        <w:tc>
          <w:tcPr>
            <w:tcW w:w="3340" w:type="dxa"/>
            <w:vAlign w:val="bottom"/>
          </w:tcPr>
          <w:p>
            <w:pPr>
              <w:spacing w:after="0"/>
              <w:rPr>
                <w:sz w:val="16"/>
                <w:szCs w:val="16"/>
                <w:color w:val="auto"/>
              </w:rPr>
            </w:pPr>
          </w:p>
        </w:tc>
        <w:tc>
          <w:tcPr>
            <w:tcW w:w="5300" w:type="dxa"/>
            <w:vAlign w:val="bottom"/>
            <w:gridSpan w:val="2"/>
          </w:tcPr>
          <w:p>
            <w:pPr>
              <w:ind w:left="980"/>
              <w:spacing w:after="0" w:line="189" w:lineRule="exact"/>
              <w:rPr>
                <w:sz w:val="20"/>
                <w:szCs w:val="20"/>
                <w:color w:val="auto"/>
              </w:rPr>
            </w:pPr>
            <w:r>
              <w:rPr>
                <w:rFonts w:ascii="Arial" w:cs="Arial" w:eastAsia="Arial" w:hAnsi="Arial"/>
                <w:sz w:val="17"/>
                <w:szCs w:val="17"/>
                <w:color w:val="auto"/>
              </w:rPr>
              <w:t>combination, we will follow the foregoing procedures with</w:t>
            </w:r>
          </w:p>
        </w:tc>
      </w:tr>
      <w:tr>
        <w:trPr>
          <w:trHeight w:val="189"/>
        </w:trPr>
        <w:tc>
          <w:tcPr>
            <w:tcW w:w="3340" w:type="dxa"/>
            <w:vAlign w:val="bottom"/>
          </w:tcPr>
          <w:p>
            <w:pPr>
              <w:spacing w:after="0"/>
              <w:rPr>
                <w:sz w:val="16"/>
                <w:szCs w:val="16"/>
                <w:color w:val="auto"/>
              </w:rPr>
            </w:pPr>
          </w:p>
        </w:tc>
        <w:tc>
          <w:tcPr>
            <w:tcW w:w="5300" w:type="dxa"/>
            <w:vAlign w:val="bottom"/>
            <w:gridSpan w:val="2"/>
          </w:tcPr>
          <w:p>
            <w:pPr>
              <w:ind w:left="980"/>
              <w:spacing w:after="0" w:line="189" w:lineRule="exact"/>
              <w:rPr>
                <w:sz w:val="20"/>
                <w:szCs w:val="20"/>
                <w:color w:val="auto"/>
              </w:rPr>
            </w:pPr>
            <w:r>
              <w:rPr>
                <w:rFonts w:ascii="Arial" w:cs="Arial" w:eastAsia="Arial" w:hAnsi="Arial"/>
                <w:sz w:val="17"/>
                <w:szCs w:val="17"/>
                <w:color w:val="auto"/>
              </w:rPr>
              <w:t>respect to the liquidation of the trust account as promptly</w:t>
            </w:r>
          </w:p>
        </w:tc>
      </w:tr>
      <w:tr>
        <w:trPr>
          <w:trHeight w:val="189"/>
        </w:trPr>
        <w:tc>
          <w:tcPr>
            <w:tcW w:w="3340" w:type="dxa"/>
            <w:vAlign w:val="bottom"/>
          </w:tcPr>
          <w:p>
            <w:pPr>
              <w:spacing w:after="0"/>
              <w:rPr>
                <w:sz w:val="16"/>
                <w:szCs w:val="16"/>
                <w:color w:val="auto"/>
              </w:rPr>
            </w:pPr>
          </w:p>
        </w:tc>
        <w:tc>
          <w:tcPr>
            <w:tcW w:w="5300" w:type="dxa"/>
            <w:vAlign w:val="bottom"/>
            <w:gridSpan w:val="2"/>
          </w:tcPr>
          <w:p>
            <w:pPr>
              <w:ind w:left="980"/>
              <w:spacing w:after="0" w:line="189" w:lineRule="exact"/>
              <w:rPr>
                <w:sz w:val="20"/>
                <w:szCs w:val="20"/>
                <w:color w:val="auto"/>
              </w:rPr>
            </w:pPr>
            <w:r>
              <w:rPr>
                <w:rFonts w:ascii="Arial" w:cs="Arial" w:eastAsia="Arial" w:hAnsi="Arial"/>
                <w:sz w:val="17"/>
                <w:szCs w:val="17"/>
                <w:color w:val="auto"/>
              </w:rPr>
              <w:t>as reasonably possible but not more than ten business</w:t>
            </w:r>
          </w:p>
        </w:tc>
      </w:tr>
      <w:tr>
        <w:trPr>
          <w:trHeight w:val="189"/>
        </w:trPr>
        <w:tc>
          <w:tcPr>
            <w:tcW w:w="3340" w:type="dxa"/>
            <w:vAlign w:val="bottom"/>
          </w:tcPr>
          <w:p>
            <w:pPr>
              <w:spacing w:after="0"/>
              <w:rPr>
                <w:sz w:val="16"/>
                <w:szCs w:val="16"/>
                <w:color w:val="auto"/>
              </w:rPr>
            </w:pPr>
          </w:p>
        </w:tc>
        <w:tc>
          <w:tcPr>
            <w:tcW w:w="5300" w:type="dxa"/>
            <w:vAlign w:val="bottom"/>
            <w:gridSpan w:val="2"/>
          </w:tcPr>
          <w:p>
            <w:pPr>
              <w:ind w:left="980"/>
              <w:spacing w:after="0" w:line="189" w:lineRule="exact"/>
              <w:rPr>
                <w:sz w:val="20"/>
                <w:szCs w:val="20"/>
                <w:color w:val="auto"/>
              </w:rPr>
            </w:pPr>
            <w:r>
              <w:rPr>
                <w:rFonts w:ascii="Arial" w:cs="Arial" w:eastAsia="Arial" w:hAnsi="Arial"/>
                <w:sz w:val="17"/>
                <w:szCs w:val="17"/>
                <w:color w:val="auto"/>
              </w:rPr>
              <w:t>days thereafter, subject to applicable Cayman Islands</w:t>
            </w:r>
          </w:p>
        </w:tc>
      </w:tr>
      <w:tr>
        <w:trPr>
          <w:trHeight w:val="205"/>
        </w:trPr>
        <w:tc>
          <w:tcPr>
            <w:tcW w:w="3340" w:type="dxa"/>
            <w:vAlign w:val="bottom"/>
          </w:tcPr>
          <w:p>
            <w:pPr>
              <w:spacing w:after="0"/>
              <w:rPr>
                <w:sz w:val="17"/>
                <w:szCs w:val="17"/>
                <w:color w:val="auto"/>
              </w:rPr>
            </w:pPr>
          </w:p>
        </w:tc>
        <w:tc>
          <w:tcPr>
            <w:tcW w:w="1300" w:type="dxa"/>
            <w:vAlign w:val="bottom"/>
          </w:tcPr>
          <w:p>
            <w:pPr>
              <w:ind w:left="980"/>
              <w:spacing w:after="0"/>
              <w:rPr>
                <w:sz w:val="20"/>
                <w:szCs w:val="20"/>
                <w:color w:val="auto"/>
              </w:rPr>
            </w:pPr>
            <w:r>
              <w:rPr>
                <w:rFonts w:ascii="Arial" w:cs="Arial" w:eastAsia="Arial" w:hAnsi="Arial"/>
                <w:sz w:val="17"/>
                <w:szCs w:val="17"/>
                <w:color w:val="auto"/>
                <w:w w:val="99"/>
              </w:rPr>
              <w:t>law.</w:t>
            </w:r>
          </w:p>
        </w:tc>
        <w:tc>
          <w:tcPr>
            <w:tcW w:w="4000" w:type="dxa"/>
            <w:vAlign w:val="bottom"/>
          </w:tcPr>
          <w:p>
            <w:pPr>
              <w:spacing w:after="0"/>
              <w:rPr>
                <w:sz w:val="17"/>
                <w:szCs w:val="17"/>
                <w:color w:val="auto"/>
              </w:rPr>
            </w:pPr>
          </w:p>
        </w:tc>
      </w:tr>
      <w:tr>
        <w:trPr>
          <w:trHeight w:val="295"/>
        </w:trPr>
        <w:tc>
          <w:tcPr>
            <w:tcW w:w="3340" w:type="dxa"/>
            <w:vAlign w:val="bottom"/>
          </w:tcPr>
          <w:p>
            <w:pPr>
              <w:spacing w:after="0"/>
              <w:rPr>
                <w:sz w:val="20"/>
                <w:szCs w:val="20"/>
                <w:color w:val="auto"/>
              </w:rPr>
            </w:pPr>
            <w:r>
              <w:rPr>
                <w:rFonts w:ascii="Arial" w:cs="Arial" w:eastAsia="Arial" w:hAnsi="Arial"/>
                <w:sz w:val="17"/>
                <w:szCs w:val="17"/>
                <w:b w:val="1"/>
                <w:bCs w:val="1"/>
                <w:color w:val="auto"/>
              </w:rPr>
              <w:t>Limited payments to insiders</w:t>
            </w:r>
          </w:p>
        </w:tc>
        <w:tc>
          <w:tcPr>
            <w:tcW w:w="5300" w:type="dxa"/>
            <w:vAlign w:val="bottom"/>
            <w:gridSpan w:val="2"/>
          </w:tcPr>
          <w:p>
            <w:pPr>
              <w:ind w:left="980"/>
              <w:spacing w:after="0"/>
              <w:rPr>
                <w:sz w:val="20"/>
                <w:szCs w:val="20"/>
                <w:color w:val="auto"/>
              </w:rPr>
            </w:pPr>
            <w:r>
              <w:rPr>
                <w:rFonts w:ascii="Arial" w:cs="Arial" w:eastAsia="Arial" w:hAnsi="Arial"/>
                <w:sz w:val="17"/>
                <w:szCs w:val="17"/>
                <w:color w:val="auto"/>
              </w:rPr>
              <w:t>There will be no finder’s fees, reimbursements or cash</w:t>
            </w:r>
          </w:p>
        </w:tc>
      </w:tr>
      <w:tr>
        <w:trPr>
          <w:trHeight w:val="189"/>
        </w:trPr>
        <w:tc>
          <w:tcPr>
            <w:tcW w:w="3340" w:type="dxa"/>
            <w:vAlign w:val="bottom"/>
          </w:tcPr>
          <w:p>
            <w:pPr>
              <w:spacing w:after="0"/>
              <w:rPr>
                <w:sz w:val="16"/>
                <w:szCs w:val="16"/>
                <w:color w:val="auto"/>
              </w:rPr>
            </w:pPr>
          </w:p>
        </w:tc>
        <w:tc>
          <w:tcPr>
            <w:tcW w:w="5300" w:type="dxa"/>
            <w:vAlign w:val="bottom"/>
            <w:gridSpan w:val="2"/>
          </w:tcPr>
          <w:p>
            <w:pPr>
              <w:ind w:left="980"/>
              <w:spacing w:after="0" w:line="189" w:lineRule="exact"/>
              <w:rPr>
                <w:sz w:val="20"/>
                <w:szCs w:val="20"/>
                <w:color w:val="auto"/>
              </w:rPr>
            </w:pPr>
            <w:r>
              <w:rPr>
                <w:rFonts w:ascii="Arial" w:cs="Arial" w:eastAsia="Arial" w:hAnsi="Arial"/>
                <w:sz w:val="17"/>
                <w:szCs w:val="17"/>
                <w:color w:val="auto"/>
              </w:rPr>
              <w:t>payments made by the company to our sponsor, officers</w:t>
            </w:r>
          </w:p>
        </w:tc>
      </w:tr>
      <w:tr>
        <w:trPr>
          <w:trHeight w:val="189"/>
        </w:trPr>
        <w:tc>
          <w:tcPr>
            <w:tcW w:w="3340" w:type="dxa"/>
            <w:vAlign w:val="bottom"/>
          </w:tcPr>
          <w:p>
            <w:pPr>
              <w:spacing w:after="0"/>
              <w:rPr>
                <w:sz w:val="16"/>
                <w:szCs w:val="16"/>
                <w:color w:val="auto"/>
              </w:rPr>
            </w:pPr>
          </w:p>
        </w:tc>
        <w:tc>
          <w:tcPr>
            <w:tcW w:w="5300" w:type="dxa"/>
            <w:vAlign w:val="bottom"/>
            <w:gridSpan w:val="2"/>
          </w:tcPr>
          <w:p>
            <w:pPr>
              <w:ind w:left="980"/>
              <w:spacing w:after="0" w:line="189" w:lineRule="exact"/>
              <w:rPr>
                <w:sz w:val="20"/>
                <w:szCs w:val="20"/>
                <w:color w:val="auto"/>
              </w:rPr>
            </w:pPr>
            <w:r>
              <w:rPr>
                <w:rFonts w:ascii="Arial" w:cs="Arial" w:eastAsia="Arial" w:hAnsi="Arial"/>
                <w:sz w:val="17"/>
                <w:szCs w:val="17"/>
                <w:color w:val="auto"/>
              </w:rPr>
              <w:t>or directors, or their affiliates, for services rendered to us</w:t>
            </w:r>
          </w:p>
        </w:tc>
      </w:tr>
      <w:tr>
        <w:trPr>
          <w:trHeight w:val="189"/>
        </w:trPr>
        <w:tc>
          <w:tcPr>
            <w:tcW w:w="3340" w:type="dxa"/>
            <w:vAlign w:val="bottom"/>
          </w:tcPr>
          <w:p>
            <w:pPr>
              <w:spacing w:after="0"/>
              <w:rPr>
                <w:sz w:val="16"/>
                <w:szCs w:val="16"/>
                <w:color w:val="auto"/>
              </w:rPr>
            </w:pPr>
          </w:p>
        </w:tc>
        <w:tc>
          <w:tcPr>
            <w:tcW w:w="5300" w:type="dxa"/>
            <w:vAlign w:val="bottom"/>
            <w:gridSpan w:val="2"/>
          </w:tcPr>
          <w:p>
            <w:pPr>
              <w:ind w:left="980"/>
              <w:spacing w:after="0" w:line="189" w:lineRule="exact"/>
              <w:rPr>
                <w:sz w:val="20"/>
                <w:szCs w:val="20"/>
                <w:color w:val="auto"/>
              </w:rPr>
            </w:pPr>
            <w:r>
              <w:rPr>
                <w:rFonts w:ascii="Arial" w:cs="Arial" w:eastAsia="Arial" w:hAnsi="Arial"/>
                <w:sz w:val="17"/>
                <w:szCs w:val="17"/>
                <w:color w:val="auto"/>
              </w:rPr>
              <w:t>prior to or in connection with the completion of our initial</w:t>
            </w:r>
          </w:p>
        </w:tc>
      </w:tr>
      <w:tr>
        <w:trPr>
          <w:trHeight w:val="189"/>
        </w:trPr>
        <w:tc>
          <w:tcPr>
            <w:tcW w:w="3340" w:type="dxa"/>
            <w:vAlign w:val="bottom"/>
          </w:tcPr>
          <w:p>
            <w:pPr>
              <w:spacing w:after="0"/>
              <w:rPr>
                <w:sz w:val="16"/>
                <w:szCs w:val="16"/>
                <w:color w:val="auto"/>
              </w:rPr>
            </w:pPr>
          </w:p>
        </w:tc>
        <w:tc>
          <w:tcPr>
            <w:tcW w:w="5300" w:type="dxa"/>
            <w:vAlign w:val="bottom"/>
            <w:gridSpan w:val="2"/>
          </w:tcPr>
          <w:p>
            <w:pPr>
              <w:ind w:left="980"/>
              <w:spacing w:after="0" w:line="189" w:lineRule="exact"/>
              <w:rPr>
                <w:sz w:val="20"/>
                <w:szCs w:val="20"/>
                <w:color w:val="auto"/>
              </w:rPr>
            </w:pPr>
            <w:r>
              <w:rPr>
                <w:rFonts w:ascii="Arial" w:cs="Arial" w:eastAsia="Arial" w:hAnsi="Arial"/>
                <w:sz w:val="17"/>
                <w:szCs w:val="17"/>
                <w:color w:val="auto"/>
              </w:rPr>
              <w:t>business combination, other than the following</w:t>
            </w:r>
          </w:p>
        </w:tc>
      </w:tr>
      <w:tr>
        <w:trPr>
          <w:trHeight w:val="189"/>
        </w:trPr>
        <w:tc>
          <w:tcPr>
            <w:tcW w:w="3340" w:type="dxa"/>
            <w:vAlign w:val="bottom"/>
          </w:tcPr>
          <w:p>
            <w:pPr>
              <w:spacing w:after="0"/>
              <w:rPr>
                <w:sz w:val="16"/>
                <w:szCs w:val="16"/>
                <w:color w:val="auto"/>
              </w:rPr>
            </w:pPr>
          </w:p>
        </w:tc>
        <w:tc>
          <w:tcPr>
            <w:tcW w:w="5300" w:type="dxa"/>
            <w:vAlign w:val="bottom"/>
            <w:gridSpan w:val="2"/>
          </w:tcPr>
          <w:p>
            <w:pPr>
              <w:ind w:left="980"/>
              <w:spacing w:after="0" w:line="189" w:lineRule="exact"/>
              <w:rPr>
                <w:sz w:val="20"/>
                <w:szCs w:val="20"/>
                <w:color w:val="auto"/>
              </w:rPr>
            </w:pPr>
            <w:r>
              <w:rPr>
                <w:rFonts w:ascii="Arial" w:cs="Arial" w:eastAsia="Arial" w:hAnsi="Arial"/>
                <w:sz w:val="17"/>
                <w:szCs w:val="17"/>
                <w:color w:val="auto"/>
              </w:rPr>
              <w:t>payments, none of which will be made from the proceeds</w:t>
            </w:r>
          </w:p>
        </w:tc>
      </w:tr>
      <w:tr>
        <w:trPr>
          <w:trHeight w:val="189"/>
        </w:trPr>
        <w:tc>
          <w:tcPr>
            <w:tcW w:w="3340" w:type="dxa"/>
            <w:vAlign w:val="bottom"/>
          </w:tcPr>
          <w:p>
            <w:pPr>
              <w:spacing w:after="0"/>
              <w:rPr>
                <w:sz w:val="16"/>
                <w:szCs w:val="16"/>
                <w:color w:val="auto"/>
              </w:rPr>
            </w:pPr>
          </w:p>
        </w:tc>
        <w:tc>
          <w:tcPr>
            <w:tcW w:w="5300" w:type="dxa"/>
            <w:vAlign w:val="bottom"/>
            <w:gridSpan w:val="2"/>
          </w:tcPr>
          <w:p>
            <w:pPr>
              <w:ind w:left="980"/>
              <w:spacing w:after="0" w:line="189" w:lineRule="exact"/>
              <w:rPr>
                <w:sz w:val="20"/>
                <w:szCs w:val="20"/>
                <w:color w:val="auto"/>
              </w:rPr>
            </w:pPr>
            <w:r>
              <w:rPr>
                <w:rFonts w:ascii="Arial" w:cs="Arial" w:eastAsia="Arial" w:hAnsi="Arial"/>
                <w:sz w:val="17"/>
                <w:szCs w:val="17"/>
                <w:color w:val="auto"/>
              </w:rPr>
              <w:t>of this offering and the sale of the private placement</w:t>
            </w:r>
          </w:p>
        </w:tc>
      </w:tr>
      <w:tr>
        <w:trPr>
          <w:trHeight w:val="189"/>
        </w:trPr>
        <w:tc>
          <w:tcPr>
            <w:tcW w:w="3340" w:type="dxa"/>
            <w:vAlign w:val="bottom"/>
          </w:tcPr>
          <w:p>
            <w:pPr>
              <w:spacing w:after="0"/>
              <w:rPr>
                <w:sz w:val="16"/>
                <w:szCs w:val="16"/>
                <w:color w:val="auto"/>
              </w:rPr>
            </w:pPr>
          </w:p>
        </w:tc>
        <w:tc>
          <w:tcPr>
            <w:tcW w:w="5300" w:type="dxa"/>
            <w:vAlign w:val="bottom"/>
            <w:gridSpan w:val="2"/>
          </w:tcPr>
          <w:p>
            <w:pPr>
              <w:ind w:left="980"/>
              <w:spacing w:after="0" w:line="189" w:lineRule="exact"/>
              <w:rPr>
                <w:sz w:val="20"/>
                <w:szCs w:val="20"/>
                <w:color w:val="auto"/>
              </w:rPr>
            </w:pPr>
            <w:r>
              <w:rPr>
                <w:rFonts w:ascii="Arial" w:cs="Arial" w:eastAsia="Arial" w:hAnsi="Arial"/>
                <w:sz w:val="17"/>
                <w:szCs w:val="17"/>
                <w:color w:val="auto"/>
              </w:rPr>
              <w:t>shares held in the trust account prior to the completion of</w:t>
            </w:r>
          </w:p>
        </w:tc>
      </w:tr>
      <w:tr>
        <w:trPr>
          <w:trHeight w:val="205"/>
        </w:trPr>
        <w:tc>
          <w:tcPr>
            <w:tcW w:w="3340" w:type="dxa"/>
            <w:vAlign w:val="bottom"/>
          </w:tcPr>
          <w:p>
            <w:pPr>
              <w:spacing w:after="0"/>
              <w:rPr>
                <w:sz w:val="17"/>
                <w:szCs w:val="17"/>
                <w:color w:val="auto"/>
              </w:rPr>
            </w:pPr>
          </w:p>
        </w:tc>
        <w:tc>
          <w:tcPr>
            <w:tcW w:w="5300" w:type="dxa"/>
            <w:vAlign w:val="bottom"/>
            <w:gridSpan w:val="2"/>
          </w:tcPr>
          <w:p>
            <w:pPr>
              <w:ind w:left="980"/>
              <w:spacing w:after="0"/>
              <w:rPr>
                <w:sz w:val="20"/>
                <w:szCs w:val="20"/>
                <w:color w:val="auto"/>
              </w:rPr>
            </w:pPr>
            <w:r>
              <w:rPr>
                <w:rFonts w:ascii="Arial" w:cs="Arial" w:eastAsia="Arial" w:hAnsi="Arial"/>
                <w:sz w:val="17"/>
                <w:szCs w:val="17"/>
                <w:color w:val="auto"/>
              </w:rPr>
              <w:t>our initial business combination:</w:t>
            </w:r>
          </w:p>
        </w:tc>
      </w:tr>
      <w:tr>
        <w:trPr>
          <w:trHeight w:val="281"/>
        </w:trPr>
        <w:tc>
          <w:tcPr>
            <w:tcW w:w="3340" w:type="dxa"/>
            <w:vAlign w:val="bottom"/>
          </w:tcPr>
          <w:p>
            <w:pPr>
              <w:spacing w:after="0"/>
              <w:rPr>
                <w:sz w:val="24"/>
                <w:szCs w:val="24"/>
                <w:color w:val="auto"/>
              </w:rPr>
            </w:pPr>
          </w:p>
        </w:tc>
        <w:tc>
          <w:tcPr>
            <w:tcW w:w="1300" w:type="dxa"/>
            <w:vAlign w:val="bottom"/>
          </w:tcPr>
          <w:p>
            <w:pPr>
              <w:ind w:left="980"/>
              <w:spacing w:after="0"/>
              <w:rPr>
                <w:sz w:val="20"/>
                <w:szCs w:val="20"/>
                <w:color w:val="auto"/>
              </w:rPr>
            </w:pPr>
            <w:r>
              <w:rPr>
                <w:rFonts w:ascii="Arial" w:cs="Arial" w:eastAsia="Arial" w:hAnsi="Arial"/>
                <w:sz w:val="17"/>
                <w:szCs w:val="17"/>
                <w:color w:val="auto"/>
              </w:rPr>
              <w:t>•</w:t>
            </w:r>
          </w:p>
        </w:tc>
        <w:tc>
          <w:tcPr>
            <w:tcW w:w="4000" w:type="dxa"/>
            <w:vAlign w:val="bottom"/>
          </w:tcPr>
          <w:p>
            <w:pPr>
              <w:ind w:left="40"/>
              <w:spacing w:after="0"/>
              <w:rPr>
                <w:sz w:val="20"/>
                <w:szCs w:val="20"/>
                <w:color w:val="auto"/>
              </w:rPr>
            </w:pPr>
            <w:r>
              <w:rPr>
                <w:rFonts w:ascii="Arial" w:cs="Arial" w:eastAsia="Arial" w:hAnsi="Arial"/>
                <w:sz w:val="17"/>
                <w:szCs w:val="17"/>
                <w:color w:val="auto"/>
              </w:rPr>
              <w:t>repayment of up to an aggregate of $300,000 in</w:t>
            </w:r>
          </w:p>
        </w:tc>
      </w:tr>
      <w:tr>
        <w:trPr>
          <w:trHeight w:val="189"/>
        </w:trPr>
        <w:tc>
          <w:tcPr>
            <w:tcW w:w="3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00" w:type="dxa"/>
            <w:vAlign w:val="bottom"/>
          </w:tcPr>
          <w:p>
            <w:pPr>
              <w:ind w:left="40"/>
              <w:spacing w:after="0" w:line="189" w:lineRule="exact"/>
              <w:rPr>
                <w:sz w:val="20"/>
                <w:szCs w:val="20"/>
                <w:color w:val="auto"/>
              </w:rPr>
            </w:pPr>
            <w:r>
              <w:rPr>
                <w:rFonts w:ascii="Arial" w:cs="Arial" w:eastAsia="Arial" w:hAnsi="Arial"/>
                <w:sz w:val="17"/>
                <w:szCs w:val="17"/>
                <w:color w:val="auto"/>
              </w:rPr>
              <w:t>loans made to us by our sponsor to cover offering-</w:t>
            </w:r>
          </w:p>
        </w:tc>
      </w:tr>
      <w:tr>
        <w:trPr>
          <w:trHeight w:val="205"/>
        </w:trPr>
        <w:tc>
          <w:tcPr>
            <w:tcW w:w="3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00" w:type="dxa"/>
            <w:vAlign w:val="bottom"/>
          </w:tcPr>
          <w:p>
            <w:pPr>
              <w:ind w:left="40"/>
              <w:spacing w:after="0"/>
              <w:rPr>
                <w:sz w:val="20"/>
                <w:szCs w:val="20"/>
                <w:color w:val="auto"/>
              </w:rPr>
            </w:pPr>
            <w:r>
              <w:rPr>
                <w:rFonts w:ascii="Arial" w:cs="Arial" w:eastAsia="Arial" w:hAnsi="Arial"/>
                <w:sz w:val="17"/>
                <w:szCs w:val="17"/>
                <w:color w:val="auto"/>
              </w:rPr>
              <w:t>related and organizational expenses;</w:t>
            </w:r>
          </w:p>
        </w:tc>
      </w:tr>
      <w:tr>
        <w:trPr>
          <w:trHeight w:val="281"/>
        </w:trPr>
        <w:tc>
          <w:tcPr>
            <w:tcW w:w="3340" w:type="dxa"/>
            <w:vAlign w:val="bottom"/>
          </w:tcPr>
          <w:p>
            <w:pPr>
              <w:spacing w:after="0"/>
              <w:rPr>
                <w:sz w:val="24"/>
                <w:szCs w:val="24"/>
                <w:color w:val="auto"/>
              </w:rPr>
            </w:pPr>
          </w:p>
        </w:tc>
        <w:tc>
          <w:tcPr>
            <w:tcW w:w="1300" w:type="dxa"/>
            <w:vAlign w:val="bottom"/>
          </w:tcPr>
          <w:p>
            <w:pPr>
              <w:ind w:left="980"/>
              <w:spacing w:after="0"/>
              <w:rPr>
                <w:sz w:val="20"/>
                <w:szCs w:val="20"/>
                <w:color w:val="auto"/>
              </w:rPr>
            </w:pPr>
            <w:r>
              <w:rPr>
                <w:rFonts w:ascii="Arial" w:cs="Arial" w:eastAsia="Arial" w:hAnsi="Arial"/>
                <w:sz w:val="17"/>
                <w:szCs w:val="17"/>
                <w:color w:val="auto"/>
              </w:rPr>
              <w:t>•</w:t>
            </w:r>
          </w:p>
        </w:tc>
        <w:tc>
          <w:tcPr>
            <w:tcW w:w="4000" w:type="dxa"/>
            <w:vAlign w:val="bottom"/>
          </w:tcPr>
          <w:p>
            <w:pPr>
              <w:ind w:left="40"/>
              <w:spacing w:after="0"/>
              <w:rPr>
                <w:sz w:val="20"/>
                <w:szCs w:val="20"/>
                <w:color w:val="auto"/>
              </w:rPr>
            </w:pPr>
            <w:r>
              <w:rPr>
                <w:rFonts w:ascii="Arial" w:cs="Arial" w:eastAsia="Arial" w:hAnsi="Arial"/>
                <w:sz w:val="17"/>
                <w:szCs w:val="17"/>
                <w:color w:val="auto"/>
              </w:rPr>
              <w:t>reimbursement for office space, secretarial and</w:t>
            </w:r>
          </w:p>
        </w:tc>
      </w:tr>
      <w:tr>
        <w:trPr>
          <w:trHeight w:val="189"/>
        </w:trPr>
        <w:tc>
          <w:tcPr>
            <w:tcW w:w="3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00" w:type="dxa"/>
            <w:vAlign w:val="bottom"/>
          </w:tcPr>
          <w:p>
            <w:pPr>
              <w:ind w:left="40"/>
              <w:spacing w:after="0" w:line="189" w:lineRule="exact"/>
              <w:rPr>
                <w:sz w:val="20"/>
                <w:szCs w:val="20"/>
                <w:color w:val="auto"/>
              </w:rPr>
            </w:pPr>
            <w:r>
              <w:rPr>
                <w:rFonts w:ascii="Arial" w:cs="Arial" w:eastAsia="Arial" w:hAnsi="Arial"/>
                <w:sz w:val="17"/>
                <w:szCs w:val="17"/>
                <w:color w:val="auto"/>
              </w:rPr>
              <w:t>administrative services provided to us by our</w:t>
            </w:r>
          </w:p>
        </w:tc>
      </w:tr>
      <w:tr>
        <w:trPr>
          <w:trHeight w:val="205"/>
        </w:trPr>
        <w:tc>
          <w:tcPr>
            <w:tcW w:w="3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00" w:type="dxa"/>
            <w:vAlign w:val="bottom"/>
          </w:tcPr>
          <w:p>
            <w:pPr>
              <w:ind w:left="40"/>
              <w:spacing w:after="0"/>
              <w:rPr>
                <w:sz w:val="20"/>
                <w:szCs w:val="20"/>
                <w:color w:val="auto"/>
              </w:rPr>
            </w:pPr>
            <w:r>
              <w:rPr>
                <w:rFonts w:ascii="Arial" w:cs="Arial" w:eastAsia="Arial" w:hAnsi="Arial"/>
                <w:sz w:val="17"/>
                <w:szCs w:val="17"/>
                <w:color w:val="auto"/>
              </w:rPr>
              <w:t>sponsor, in the amount of $10,000 per month;</w:t>
            </w:r>
          </w:p>
        </w:tc>
      </w:tr>
      <w:tr>
        <w:trPr>
          <w:trHeight w:val="281"/>
        </w:trPr>
        <w:tc>
          <w:tcPr>
            <w:tcW w:w="3340" w:type="dxa"/>
            <w:vAlign w:val="bottom"/>
          </w:tcPr>
          <w:p>
            <w:pPr>
              <w:spacing w:after="0"/>
              <w:rPr>
                <w:sz w:val="24"/>
                <w:szCs w:val="24"/>
                <w:color w:val="auto"/>
              </w:rPr>
            </w:pPr>
          </w:p>
        </w:tc>
        <w:tc>
          <w:tcPr>
            <w:tcW w:w="1300" w:type="dxa"/>
            <w:vAlign w:val="bottom"/>
          </w:tcPr>
          <w:p>
            <w:pPr>
              <w:ind w:left="980"/>
              <w:spacing w:after="0"/>
              <w:rPr>
                <w:sz w:val="20"/>
                <w:szCs w:val="20"/>
                <w:color w:val="auto"/>
              </w:rPr>
            </w:pPr>
            <w:r>
              <w:rPr>
                <w:rFonts w:ascii="Arial" w:cs="Arial" w:eastAsia="Arial" w:hAnsi="Arial"/>
                <w:sz w:val="17"/>
                <w:szCs w:val="17"/>
                <w:color w:val="auto"/>
              </w:rPr>
              <w:t>•</w:t>
            </w:r>
          </w:p>
        </w:tc>
        <w:tc>
          <w:tcPr>
            <w:tcW w:w="4000" w:type="dxa"/>
            <w:vAlign w:val="bottom"/>
          </w:tcPr>
          <w:p>
            <w:pPr>
              <w:ind w:left="40"/>
              <w:spacing w:after="0"/>
              <w:rPr>
                <w:sz w:val="20"/>
                <w:szCs w:val="20"/>
                <w:color w:val="auto"/>
              </w:rPr>
            </w:pPr>
            <w:r>
              <w:rPr>
                <w:rFonts w:ascii="Arial" w:cs="Arial" w:eastAsia="Arial" w:hAnsi="Arial"/>
                <w:sz w:val="17"/>
                <w:szCs w:val="17"/>
                <w:color w:val="auto"/>
              </w:rPr>
              <w:t>reimbursement for any out-of-pocket expenses</w:t>
            </w:r>
          </w:p>
        </w:tc>
      </w:tr>
      <w:tr>
        <w:trPr>
          <w:trHeight w:val="189"/>
        </w:trPr>
        <w:tc>
          <w:tcPr>
            <w:tcW w:w="3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00" w:type="dxa"/>
            <w:vAlign w:val="bottom"/>
          </w:tcPr>
          <w:p>
            <w:pPr>
              <w:ind w:left="40"/>
              <w:spacing w:after="0" w:line="189" w:lineRule="exact"/>
              <w:rPr>
                <w:sz w:val="20"/>
                <w:szCs w:val="20"/>
                <w:color w:val="auto"/>
              </w:rPr>
            </w:pPr>
            <w:r>
              <w:rPr>
                <w:rFonts w:ascii="Arial" w:cs="Arial" w:eastAsia="Arial" w:hAnsi="Arial"/>
                <w:sz w:val="17"/>
                <w:szCs w:val="17"/>
                <w:color w:val="auto"/>
              </w:rPr>
              <w:t>related to identifying, investigating, negotiating and</w:t>
            </w:r>
          </w:p>
        </w:tc>
      </w:tr>
      <w:tr>
        <w:trPr>
          <w:trHeight w:val="205"/>
        </w:trPr>
        <w:tc>
          <w:tcPr>
            <w:tcW w:w="3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00" w:type="dxa"/>
            <w:vAlign w:val="bottom"/>
          </w:tcPr>
          <w:p>
            <w:pPr>
              <w:ind w:left="40"/>
              <w:spacing w:after="0"/>
              <w:rPr>
                <w:sz w:val="20"/>
                <w:szCs w:val="20"/>
                <w:color w:val="auto"/>
              </w:rPr>
            </w:pPr>
            <w:r>
              <w:rPr>
                <w:rFonts w:ascii="Arial" w:cs="Arial" w:eastAsia="Arial" w:hAnsi="Arial"/>
                <w:sz w:val="17"/>
                <w:szCs w:val="17"/>
                <w:color w:val="auto"/>
              </w:rPr>
              <w:t>completing an initial business combination; and</w:t>
            </w:r>
          </w:p>
        </w:tc>
      </w:tr>
      <w:tr>
        <w:trPr>
          <w:trHeight w:val="281"/>
        </w:trPr>
        <w:tc>
          <w:tcPr>
            <w:tcW w:w="3340" w:type="dxa"/>
            <w:vAlign w:val="bottom"/>
          </w:tcPr>
          <w:p>
            <w:pPr>
              <w:spacing w:after="0"/>
              <w:rPr>
                <w:sz w:val="24"/>
                <w:szCs w:val="24"/>
                <w:color w:val="auto"/>
              </w:rPr>
            </w:pPr>
          </w:p>
        </w:tc>
        <w:tc>
          <w:tcPr>
            <w:tcW w:w="1300" w:type="dxa"/>
            <w:vAlign w:val="bottom"/>
          </w:tcPr>
          <w:p>
            <w:pPr>
              <w:ind w:left="980"/>
              <w:spacing w:after="0"/>
              <w:rPr>
                <w:sz w:val="20"/>
                <w:szCs w:val="20"/>
                <w:color w:val="auto"/>
              </w:rPr>
            </w:pPr>
            <w:r>
              <w:rPr>
                <w:rFonts w:ascii="Arial" w:cs="Arial" w:eastAsia="Arial" w:hAnsi="Arial"/>
                <w:sz w:val="17"/>
                <w:szCs w:val="17"/>
                <w:color w:val="auto"/>
              </w:rPr>
              <w:t>•</w:t>
            </w:r>
          </w:p>
        </w:tc>
        <w:tc>
          <w:tcPr>
            <w:tcW w:w="4000" w:type="dxa"/>
            <w:vAlign w:val="bottom"/>
          </w:tcPr>
          <w:p>
            <w:pPr>
              <w:ind w:left="40"/>
              <w:spacing w:after="0"/>
              <w:rPr>
                <w:sz w:val="20"/>
                <w:szCs w:val="20"/>
                <w:color w:val="auto"/>
              </w:rPr>
            </w:pPr>
            <w:r>
              <w:rPr>
                <w:rFonts w:ascii="Arial" w:cs="Arial" w:eastAsia="Arial" w:hAnsi="Arial"/>
                <w:sz w:val="17"/>
                <w:szCs w:val="17"/>
                <w:color w:val="auto"/>
              </w:rPr>
              <w:t>repayment of loans which may be made by our</w:t>
            </w:r>
          </w:p>
        </w:tc>
      </w:tr>
      <w:tr>
        <w:trPr>
          <w:trHeight w:val="189"/>
        </w:trPr>
        <w:tc>
          <w:tcPr>
            <w:tcW w:w="3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00" w:type="dxa"/>
            <w:vAlign w:val="bottom"/>
          </w:tcPr>
          <w:p>
            <w:pPr>
              <w:ind w:left="40"/>
              <w:spacing w:after="0" w:line="189" w:lineRule="exact"/>
              <w:rPr>
                <w:sz w:val="20"/>
                <w:szCs w:val="20"/>
                <w:color w:val="auto"/>
              </w:rPr>
            </w:pPr>
            <w:r>
              <w:rPr>
                <w:rFonts w:ascii="Arial" w:cs="Arial" w:eastAsia="Arial" w:hAnsi="Arial"/>
                <w:sz w:val="17"/>
                <w:szCs w:val="17"/>
                <w:color w:val="auto"/>
              </w:rPr>
              <w:t>sponsor or an affiliate of our sponsor or certain of</w:t>
            </w:r>
          </w:p>
        </w:tc>
      </w:tr>
      <w:tr>
        <w:trPr>
          <w:trHeight w:val="189"/>
        </w:trPr>
        <w:tc>
          <w:tcPr>
            <w:tcW w:w="3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00" w:type="dxa"/>
            <w:vAlign w:val="bottom"/>
          </w:tcPr>
          <w:p>
            <w:pPr>
              <w:ind w:left="40"/>
              <w:spacing w:after="0" w:line="189" w:lineRule="exact"/>
              <w:rPr>
                <w:sz w:val="20"/>
                <w:szCs w:val="20"/>
                <w:color w:val="auto"/>
              </w:rPr>
            </w:pPr>
            <w:r>
              <w:rPr>
                <w:rFonts w:ascii="Arial" w:cs="Arial" w:eastAsia="Arial" w:hAnsi="Arial"/>
                <w:sz w:val="17"/>
                <w:szCs w:val="17"/>
                <w:color w:val="auto"/>
              </w:rPr>
              <w:t>our officers and directors to finance transaction</w:t>
            </w:r>
          </w:p>
        </w:tc>
      </w:tr>
    </w:tbl>
    <w:p>
      <w:pPr>
        <w:ind w:left="4920"/>
        <w:spacing w:after="0" w:line="232" w:lineRule="auto"/>
        <w:rPr>
          <w:sz w:val="20"/>
          <w:szCs w:val="20"/>
          <w:color w:val="auto"/>
        </w:rPr>
      </w:pPr>
      <w:r>
        <w:rPr>
          <w:rFonts w:ascii="Arial" w:cs="Arial" w:eastAsia="Arial" w:hAnsi="Arial"/>
          <w:sz w:val="17"/>
          <w:szCs w:val="17"/>
          <w:color w:val="auto"/>
        </w:rPr>
        <w:t>costs in connection with an intended initial business</w:t>
      </w:r>
    </w:p>
    <w:p>
      <w:pPr>
        <w:ind w:left="4920"/>
        <w:spacing w:after="0" w:line="232" w:lineRule="auto"/>
        <w:rPr>
          <w:sz w:val="20"/>
          <w:szCs w:val="20"/>
          <w:color w:val="auto"/>
        </w:rPr>
      </w:pPr>
      <w:r>
        <w:rPr>
          <w:rFonts w:ascii="Arial" w:cs="Arial" w:eastAsia="Arial" w:hAnsi="Arial"/>
          <w:sz w:val="17"/>
          <w:szCs w:val="17"/>
          <w:color w:val="auto"/>
        </w:rPr>
        <w:t>combination. Up to $1,500,000 of such loans may</w:t>
      </w:r>
    </w:p>
    <w:p>
      <w:pPr>
        <w:ind w:left="4920"/>
        <w:spacing w:after="0" w:line="232" w:lineRule="auto"/>
        <w:rPr>
          <w:sz w:val="20"/>
          <w:szCs w:val="20"/>
          <w:color w:val="auto"/>
        </w:rPr>
      </w:pPr>
      <w:r>
        <w:rPr>
          <w:rFonts w:ascii="Arial" w:cs="Arial" w:eastAsia="Arial" w:hAnsi="Arial"/>
          <w:sz w:val="17"/>
          <w:szCs w:val="17"/>
          <w:color w:val="auto"/>
        </w:rPr>
        <w:t>be convertible into shares of the post-business</w:t>
      </w:r>
    </w:p>
    <w:p>
      <w:pPr>
        <w:ind w:left="4920"/>
        <w:spacing w:after="0" w:line="232" w:lineRule="auto"/>
        <w:rPr>
          <w:sz w:val="20"/>
          <w:szCs w:val="20"/>
          <w:color w:val="auto"/>
        </w:rPr>
      </w:pPr>
      <w:r>
        <w:rPr>
          <w:rFonts w:ascii="Arial" w:cs="Arial" w:eastAsia="Arial" w:hAnsi="Arial"/>
          <w:sz w:val="17"/>
          <w:szCs w:val="17"/>
          <w:color w:val="auto"/>
        </w:rPr>
        <w:t>combination company at a price of $10.00 per share</w:t>
      </w:r>
    </w:p>
    <w:p>
      <w:pPr>
        <w:ind w:left="4920"/>
        <w:spacing w:after="0" w:line="232" w:lineRule="auto"/>
        <w:rPr>
          <w:sz w:val="20"/>
          <w:szCs w:val="20"/>
          <w:color w:val="auto"/>
        </w:rPr>
      </w:pPr>
      <w:r>
        <w:rPr>
          <w:rFonts w:ascii="Arial" w:cs="Arial" w:eastAsia="Arial" w:hAnsi="Arial"/>
          <w:sz w:val="17"/>
          <w:szCs w:val="17"/>
          <w:color w:val="auto"/>
        </w:rPr>
        <w:t>at the option of the lender. The shares would be</w:t>
      </w:r>
    </w:p>
    <w:p>
      <w:pPr>
        <w:ind w:left="4920"/>
        <w:spacing w:after="0" w:line="232" w:lineRule="auto"/>
        <w:rPr>
          <w:sz w:val="20"/>
          <w:szCs w:val="20"/>
          <w:color w:val="auto"/>
        </w:rPr>
      </w:pPr>
      <w:r>
        <w:rPr>
          <w:rFonts w:ascii="Arial" w:cs="Arial" w:eastAsia="Arial" w:hAnsi="Arial"/>
          <w:sz w:val="17"/>
          <w:szCs w:val="17"/>
          <w:color w:val="auto"/>
        </w:rPr>
        <w:t>identical to the private placement shares. Except for</w:t>
      </w:r>
    </w:p>
    <w:p>
      <w:pPr>
        <w:ind w:left="4920"/>
        <w:spacing w:after="0" w:line="232" w:lineRule="auto"/>
        <w:rPr>
          <w:sz w:val="20"/>
          <w:szCs w:val="20"/>
          <w:color w:val="auto"/>
        </w:rPr>
      </w:pPr>
      <w:r>
        <w:rPr>
          <w:rFonts w:ascii="Arial" w:cs="Arial" w:eastAsia="Arial" w:hAnsi="Arial"/>
          <w:sz w:val="17"/>
          <w:szCs w:val="17"/>
          <w:color w:val="auto"/>
        </w:rPr>
        <w:t>the foregoing, the terms of such loans, if any, have</w:t>
      </w:r>
    </w:p>
    <w:p>
      <w:pPr>
        <w:ind w:left="4920"/>
        <w:spacing w:after="0" w:line="232" w:lineRule="auto"/>
        <w:rPr>
          <w:sz w:val="20"/>
          <w:szCs w:val="20"/>
          <w:color w:val="auto"/>
        </w:rPr>
      </w:pPr>
      <w:r>
        <w:rPr>
          <w:rFonts w:ascii="Arial" w:cs="Arial" w:eastAsia="Arial" w:hAnsi="Arial"/>
          <w:sz w:val="17"/>
          <w:szCs w:val="17"/>
          <w:color w:val="auto"/>
        </w:rPr>
        <w:t>not been determined and no written agreements</w:t>
      </w:r>
    </w:p>
    <w:p>
      <w:pPr>
        <w:ind w:left="4920"/>
        <w:spacing w:after="0"/>
        <w:rPr>
          <w:sz w:val="20"/>
          <w:szCs w:val="20"/>
          <w:color w:val="auto"/>
        </w:rPr>
      </w:pPr>
      <w:r>
        <w:rPr>
          <w:rFonts w:ascii="Arial" w:cs="Arial" w:eastAsia="Arial" w:hAnsi="Arial"/>
          <w:sz w:val="17"/>
          <w:szCs w:val="17"/>
          <w:color w:val="auto"/>
        </w:rPr>
        <w:t>exist with respect to such loans.</w:t>
      </w:r>
    </w:p>
    <w:p>
      <w:pPr>
        <w:spacing w:after="0" w:line="95"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Any such payments will be made either (i) prior to the</w:t>
      </w:r>
    </w:p>
    <w:p>
      <w:pPr>
        <w:ind w:left="4560"/>
        <w:spacing w:after="0" w:line="232" w:lineRule="auto"/>
        <w:rPr>
          <w:sz w:val="20"/>
          <w:szCs w:val="20"/>
          <w:color w:val="auto"/>
        </w:rPr>
      </w:pPr>
      <w:r>
        <w:rPr>
          <w:rFonts w:ascii="Arial" w:cs="Arial" w:eastAsia="Arial" w:hAnsi="Arial"/>
          <w:sz w:val="17"/>
          <w:szCs w:val="17"/>
          <w:color w:val="auto"/>
        </w:rPr>
        <w:t>completion of our initial business combination using</w:t>
      </w:r>
    </w:p>
    <w:p>
      <w:pPr>
        <w:ind w:left="4560"/>
        <w:spacing w:after="0" w:line="232" w:lineRule="auto"/>
        <w:rPr>
          <w:sz w:val="20"/>
          <w:szCs w:val="20"/>
          <w:color w:val="auto"/>
        </w:rPr>
      </w:pPr>
      <w:r>
        <w:rPr>
          <w:rFonts w:ascii="Arial" w:cs="Arial" w:eastAsia="Arial" w:hAnsi="Arial"/>
          <w:sz w:val="17"/>
          <w:szCs w:val="17"/>
          <w:color w:val="auto"/>
        </w:rPr>
        <w:t>proceeds of this offering and the sale of the private</w:t>
      </w:r>
    </w:p>
    <w:p>
      <w:pPr>
        <w:ind w:left="4560"/>
        <w:spacing w:after="0" w:line="232" w:lineRule="auto"/>
        <w:rPr>
          <w:sz w:val="20"/>
          <w:szCs w:val="20"/>
          <w:color w:val="auto"/>
        </w:rPr>
      </w:pPr>
      <w:r>
        <w:rPr>
          <w:rFonts w:ascii="Arial" w:cs="Arial" w:eastAsia="Arial" w:hAnsi="Arial"/>
          <w:sz w:val="17"/>
          <w:szCs w:val="17"/>
          <w:color w:val="auto"/>
        </w:rPr>
        <w:t>placement shares held outside the trust account or from</w:t>
      </w:r>
    </w:p>
    <w:p>
      <w:pPr>
        <w:ind w:left="4560"/>
        <w:spacing w:after="0" w:line="232" w:lineRule="auto"/>
        <w:rPr>
          <w:sz w:val="20"/>
          <w:szCs w:val="20"/>
          <w:color w:val="auto"/>
        </w:rPr>
      </w:pPr>
      <w:r>
        <w:rPr>
          <w:rFonts w:ascii="Arial" w:cs="Arial" w:eastAsia="Arial" w:hAnsi="Arial"/>
          <w:sz w:val="17"/>
          <w:szCs w:val="17"/>
          <w:color w:val="auto"/>
        </w:rPr>
        <w:t>loans made to us by our sponsor or an affiliate of our</w:t>
      </w:r>
    </w:p>
    <w:p>
      <w:pPr>
        <w:ind w:left="4560"/>
        <w:spacing w:after="0" w:line="232" w:lineRule="auto"/>
        <w:rPr>
          <w:sz w:val="20"/>
          <w:szCs w:val="20"/>
          <w:color w:val="auto"/>
        </w:rPr>
      </w:pPr>
      <w:r>
        <w:rPr>
          <w:rFonts w:ascii="Arial" w:cs="Arial" w:eastAsia="Arial" w:hAnsi="Arial"/>
          <w:sz w:val="17"/>
          <w:szCs w:val="17"/>
          <w:color w:val="auto"/>
        </w:rPr>
        <w:t>sponsor or certain of our officers and directors or (ii) in</w:t>
      </w:r>
    </w:p>
    <w:p>
      <w:pPr>
        <w:ind w:left="4560"/>
        <w:spacing w:after="0" w:line="232" w:lineRule="auto"/>
        <w:rPr>
          <w:sz w:val="20"/>
          <w:szCs w:val="20"/>
          <w:color w:val="auto"/>
        </w:rPr>
      </w:pPr>
      <w:r>
        <w:rPr>
          <w:rFonts w:ascii="Arial" w:cs="Arial" w:eastAsia="Arial" w:hAnsi="Arial"/>
          <w:sz w:val="17"/>
          <w:szCs w:val="17"/>
          <w:color w:val="auto"/>
        </w:rPr>
        <w:t>connection with or after the consummation of our initial</w:t>
      </w:r>
    </w:p>
    <w:p>
      <w:pPr>
        <w:ind w:left="4560"/>
        <w:spacing w:after="0"/>
        <w:rPr>
          <w:sz w:val="20"/>
          <w:szCs w:val="20"/>
          <w:color w:val="auto"/>
        </w:rPr>
      </w:pPr>
      <w:r>
        <w:rPr>
          <w:rFonts w:ascii="Arial" w:cs="Arial" w:eastAsia="Arial" w:hAnsi="Arial"/>
          <w:sz w:val="17"/>
          <w:szCs w:val="17"/>
          <w:color w:val="auto"/>
        </w:rPr>
        <w:t>business combination.</w:t>
      </w: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bookmarkStart w:id="28" w:name="page29"/>
    <w:bookmarkEnd w:id="28"/>
    <w:p>
      <w:pPr>
        <w:ind w:left="96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510"/>
        </w:trPr>
        <w:tc>
          <w:tcPr>
            <w:tcW w:w="980" w:type="dxa"/>
            <w:vAlign w:val="bottom"/>
            <w:tcBorders>
              <w:right w:val="single" w:sz="8" w:color="auto"/>
            </w:tcBorders>
          </w:tcPr>
          <w:p>
            <w:pPr>
              <w:spacing w:after="0"/>
              <w:rPr>
                <w:sz w:val="24"/>
                <w:szCs w:val="24"/>
                <w:color w:val="auto"/>
              </w:rPr>
            </w:pPr>
          </w:p>
        </w:tc>
        <w:tc>
          <w:tcPr>
            <w:tcW w:w="3000" w:type="dxa"/>
            <w:vAlign w:val="bottom"/>
            <w:tcBorders>
              <w:top w:val="single" w:sz="8" w:color="auto"/>
            </w:tcBorders>
          </w:tcPr>
          <w:p>
            <w:pPr>
              <w:ind w:left="220"/>
              <w:spacing w:after="0"/>
              <w:rPr>
                <w:sz w:val="20"/>
                <w:szCs w:val="20"/>
                <w:color w:val="auto"/>
              </w:rPr>
            </w:pPr>
            <w:r>
              <w:rPr>
                <w:rFonts w:ascii="Arial" w:cs="Arial" w:eastAsia="Arial" w:hAnsi="Arial"/>
                <w:sz w:val="17"/>
                <w:szCs w:val="17"/>
                <w:b w:val="1"/>
                <w:bCs w:val="1"/>
                <w:color w:val="auto"/>
              </w:rPr>
              <w:t>Audit committee</w:t>
            </w:r>
          </w:p>
        </w:tc>
        <w:tc>
          <w:tcPr>
            <w:tcW w:w="6100" w:type="dxa"/>
            <w:vAlign w:val="bottom"/>
            <w:tcBorders>
              <w:top w:val="single" w:sz="8" w:color="auto"/>
              <w:right w:val="single" w:sz="8" w:color="auto"/>
            </w:tcBorders>
          </w:tcPr>
          <w:p>
            <w:pPr>
              <w:ind w:left="1540"/>
              <w:spacing w:after="0"/>
              <w:rPr>
                <w:sz w:val="20"/>
                <w:szCs w:val="20"/>
                <w:color w:val="auto"/>
              </w:rPr>
            </w:pPr>
            <w:r>
              <w:rPr>
                <w:rFonts w:ascii="Arial" w:cs="Arial" w:eastAsia="Arial" w:hAnsi="Arial"/>
                <w:sz w:val="17"/>
                <w:szCs w:val="17"/>
                <w:color w:val="auto"/>
              </w:rPr>
              <w:t>We will establish and maintain an audit committee, which</w:t>
            </w:r>
          </w:p>
        </w:tc>
        <w:tc>
          <w:tcPr>
            <w:tcW w:w="940" w:type="dxa"/>
            <w:vAlign w:val="bottom"/>
          </w:tcPr>
          <w:p>
            <w:pPr>
              <w:spacing w:after="0"/>
              <w:rPr>
                <w:sz w:val="24"/>
                <w:szCs w:val="24"/>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000" w:type="dxa"/>
            <w:vAlign w:val="bottom"/>
          </w:tcPr>
          <w:p>
            <w:pPr>
              <w:spacing w:after="0"/>
              <w:rPr>
                <w:sz w:val="16"/>
                <w:szCs w:val="16"/>
                <w:color w:val="auto"/>
              </w:rPr>
            </w:pPr>
          </w:p>
        </w:tc>
        <w:tc>
          <w:tcPr>
            <w:tcW w:w="6100" w:type="dxa"/>
            <w:vAlign w:val="bottom"/>
            <w:tcBorders>
              <w:right w:val="single" w:sz="8" w:color="auto"/>
            </w:tcBorders>
          </w:tcPr>
          <w:p>
            <w:pPr>
              <w:ind w:left="1540"/>
              <w:spacing w:after="0" w:line="189" w:lineRule="exact"/>
              <w:rPr>
                <w:sz w:val="20"/>
                <w:szCs w:val="20"/>
                <w:color w:val="auto"/>
              </w:rPr>
            </w:pPr>
            <w:r>
              <w:rPr>
                <w:rFonts w:ascii="Arial" w:cs="Arial" w:eastAsia="Arial" w:hAnsi="Arial"/>
                <w:sz w:val="17"/>
                <w:szCs w:val="17"/>
                <w:color w:val="auto"/>
              </w:rPr>
              <w:t>will be composed entirely of independent directors.</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000" w:type="dxa"/>
            <w:vAlign w:val="bottom"/>
          </w:tcPr>
          <w:p>
            <w:pPr>
              <w:spacing w:after="0"/>
              <w:rPr>
                <w:sz w:val="16"/>
                <w:szCs w:val="16"/>
                <w:color w:val="auto"/>
              </w:rPr>
            </w:pPr>
          </w:p>
        </w:tc>
        <w:tc>
          <w:tcPr>
            <w:tcW w:w="6100" w:type="dxa"/>
            <w:vAlign w:val="bottom"/>
            <w:tcBorders>
              <w:right w:val="single" w:sz="8" w:color="auto"/>
            </w:tcBorders>
          </w:tcPr>
          <w:p>
            <w:pPr>
              <w:ind w:left="1540"/>
              <w:spacing w:after="0" w:line="189" w:lineRule="exact"/>
              <w:rPr>
                <w:sz w:val="20"/>
                <w:szCs w:val="20"/>
                <w:color w:val="auto"/>
              </w:rPr>
            </w:pPr>
            <w:r>
              <w:rPr>
                <w:rFonts w:ascii="Arial" w:cs="Arial" w:eastAsia="Arial" w:hAnsi="Arial"/>
                <w:sz w:val="17"/>
                <w:szCs w:val="17"/>
                <w:color w:val="auto"/>
              </w:rPr>
              <w:t>Among its responsibilities, the audit committee will</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000" w:type="dxa"/>
            <w:vAlign w:val="bottom"/>
          </w:tcPr>
          <w:p>
            <w:pPr>
              <w:spacing w:after="0"/>
              <w:rPr>
                <w:sz w:val="16"/>
                <w:szCs w:val="16"/>
                <w:color w:val="auto"/>
              </w:rPr>
            </w:pPr>
          </w:p>
        </w:tc>
        <w:tc>
          <w:tcPr>
            <w:tcW w:w="6100" w:type="dxa"/>
            <w:vAlign w:val="bottom"/>
            <w:tcBorders>
              <w:right w:val="single" w:sz="8" w:color="auto"/>
            </w:tcBorders>
          </w:tcPr>
          <w:p>
            <w:pPr>
              <w:ind w:left="1540"/>
              <w:spacing w:after="0" w:line="189" w:lineRule="exact"/>
              <w:rPr>
                <w:sz w:val="20"/>
                <w:szCs w:val="20"/>
                <w:color w:val="auto"/>
              </w:rPr>
            </w:pPr>
            <w:r>
              <w:rPr>
                <w:rFonts w:ascii="Arial" w:cs="Arial" w:eastAsia="Arial" w:hAnsi="Arial"/>
                <w:sz w:val="17"/>
                <w:szCs w:val="17"/>
                <w:color w:val="auto"/>
              </w:rPr>
              <w:t>review on a quarterly basis all payments that were made</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000" w:type="dxa"/>
            <w:vAlign w:val="bottom"/>
          </w:tcPr>
          <w:p>
            <w:pPr>
              <w:spacing w:after="0"/>
              <w:rPr>
                <w:sz w:val="16"/>
                <w:szCs w:val="16"/>
                <w:color w:val="auto"/>
              </w:rPr>
            </w:pPr>
          </w:p>
        </w:tc>
        <w:tc>
          <w:tcPr>
            <w:tcW w:w="6100" w:type="dxa"/>
            <w:vAlign w:val="bottom"/>
            <w:tcBorders>
              <w:right w:val="single" w:sz="8" w:color="auto"/>
            </w:tcBorders>
          </w:tcPr>
          <w:p>
            <w:pPr>
              <w:ind w:left="1540"/>
              <w:spacing w:after="0" w:line="189" w:lineRule="exact"/>
              <w:rPr>
                <w:sz w:val="20"/>
                <w:szCs w:val="20"/>
                <w:color w:val="auto"/>
              </w:rPr>
            </w:pPr>
            <w:r>
              <w:rPr>
                <w:rFonts w:ascii="Arial" w:cs="Arial" w:eastAsia="Arial" w:hAnsi="Arial"/>
                <w:sz w:val="17"/>
                <w:szCs w:val="17"/>
                <w:color w:val="auto"/>
              </w:rPr>
              <w:t>by us to our sponsor, officers or directors, or their</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000" w:type="dxa"/>
            <w:vAlign w:val="bottom"/>
          </w:tcPr>
          <w:p>
            <w:pPr>
              <w:spacing w:after="0"/>
              <w:rPr>
                <w:sz w:val="16"/>
                <w:szCs w:val="16"/>
                <w:color w:val="auto"/>
              </w:rPr>
            </w:pPr>
          </w:p>
        </w:tc>
        <w:tc>
          <w:tcPr>
            <w:tcW w:w="6100" w:type="dxa"/>
            <w:vAlign w:val="bottom"/>
            <w:tcBorders>
              <w:right w:val="single" w:sz="8" w:color="auto"/>
            </w:tcBorders>
          </w:tcPr>
          <w:p>
            <w:pPr>
              <w:ind w:left="1540"/>
              <w:spacing w:after="0" w:line="189" w:lineRule="exact"/>
              <w:rPr>
                <w:sz w:val="20"/>
                <w:szCs w:val="20"/>
                <w:color w:val="auto"/>
              </w:rPr>
            </w:pPr>
            <w:r>
              <w:rPr>
                <w:rFonts w:ascii="Arial" w:cs="Arial" w:eastAsia="Arial" w:hAnsi="Arial"/>
                <w:sz w:val="17"/>
                <w:szCs w:val="17"/>
                <w:color w:val="auto"/>
              </w:rPr>
              <w:t>affiliates and monitor compliance with the other terms</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000" w:type="dxa"/>
            <w:vAlign w:val="bottom"/>
          </w:tcPr>
          <w:p>
            <w:pPr>
              <w:spacing w:after="0"/>
              <w:rPr>
                <w:sz w:val="16"/>
                <w:szCs w:val="16"/>
                <w:color w:val="auto"/>
              </w:rPr>
            </w:pPr>
          </w:p>
        </w:tc>
        <w:tc>
          <w:tcPr>
            <w:tcW w:w="6100" w:type="dxa"/>
            <w:vAlign w:val="bottom"/>
            <w:tcBorders>
              <w:right w:val="single" w:sz="8" w:color="auto"/>
            </w:tcBorders>
          </w:tcPr>
          <w:p>
            <w:pPr>
              <w:ind w:left="1540"/>
              <w:spacing w:after="0" w:line="189" w:lineRule="exact"/>
              <w:rPr>
                <w:sz w:val="20"/>
                <w:szCs w:val="20"/>
                <w:color w:val="auto"/>
              </w:rPr>
            </w:pPr>
            <w:r>
              <w:rPr>
                <w:rFonts w:ascii="Arial" w:cs="Arial" w:eastAsia="Arial" w:hAnsi="Arial"/>
                <w:sz w:val="17"/>
                <w:szCs w:val="17"/>
                <w:color w:val="auto"/>
              </w:rPr>
              <w:t>relating to this offering. If any noncompliance is</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000" w:type="dxa"/>
            <w:vAlign w:val="bottom"/>
          </w:tcPr>
          <w:p>
            <w:pPr>
              <w:spacing w:after="0"/>
              <w:rPr>
                <w:sz w:val="16"/>
                <w:szCs w:val="16"/>
                <w:color w:val="auto"/>
              </w:rPr>
            </w:pPr>
          </w:p>
        </w:tc>
        <w:tc>
          <w:tcPr>
            <w:tcW w:w="6100" w:type="dxa"/>
            <w:vAlign w:val="bottom"/>
            <w:tcBorders>
              <w:right w:val="single" w:sz="8" w:color="auto"/>
            </w:tcBorders>
          </w:tcPr>
          <w:p>
            <w:pPr>
              <w:ind w:left="1540"/>
              <w:spacing w:after="0" w:line="189" w:lineRule="exact"/>
              <w:rPr>
                <w:sz w:val="20"/>
                <w:szCs w:val="20"/>
                <w:color w:val="auto"/>
              </w:rPr>
            </w:pPr>
            <w:r>
              <w:rPr>
                <w:rFonts w:ascii="Arial" w:cs="Arial" w:eastAsia="Arial" w:hAnsi="Arial"/>
                <w:sz w:val="17"/>
                <w:szCs w:val="17"/>
                <w:color w:val="auto"/>
              </w:rPr>
              <w:t>identified, then the audit committee will be charged with</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000" w:type="dxa"/>
            <w:vAlign w:val="bottom"/>
          </w:tcPr>
          <w:p>
            <w:pPr>
              <w:spacing w:after="0"/>
              <w:rPr>
                <w:sz w:val="16"/>
                <w:szCs w:val="16"/>
                <w:color w:val="auto"/>
              </w:rPr>
            </w:pPr>
          </w:p>
        </w:tc>
        <w:tc>
          <w:tcPr>
            <w:tcW w:w="6100" w:type="dxa"/>
            <w:vAlign w:val="bottom"/>
            <w:tcBorders>
              <w:right w:val="single" w:sz="8" w:color="auto"/>
            </w:tcBorders>
          </w:tcPr>
          <w:p>
            <w:pPr>
              <w:ind w:left="1540"/>
              <w:spacing w:after="0" w:line="189" w:lineRule="exact"/>
              <w:rPr>
                <w:sz w:val="20"/>
                <w:szCs w:val="20"/>
                <w:color w:val="auto"/>
              </w:rPr>
            </w:pPr>
            <w:r>
              <w:rPr>
                <w:rFonts w:ascii="Arial" w:cs="Arial" w:eastAsia="Arial" w:hAnsi="Arial"/>
                <w:sz w:val="17"/>
                <w:szCs w:val="17"/>
                <w:color w:val="auto"/>
              </w:rPr>
              <w:t>the responsibility to promptly take all action necessary to</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000" w:type="dxa"/>
            <w:vAlign w:val="bottom"/>
          </w:tcPr>
          <w:p>
            <w:pPr>
              <w:spacing w:after="0"/>
              <w:rPr>
                <w:sz w:val="16"/>
                <w:szCs w:val="16"/>
                <w:color w:val="auto"/>
              </w:rPr>
            </w:pPr>
          </w:p>
        </w:tc>
        <w:tc>
          <w:tcPr>
            <w:tcW w:w="6100" w:type="dxa"/>
            <w:vAlign w:val="bottom"/>
            <w:tcBorders>
              <w:right w:val="single" w:sz="8" w:color="auto"/>
            </w:tcBorders>
          </w:tcPr>
          <w:p>
            <w:pPr>
              <w:ind w:left="1540"/>
              <w:spacing w:after="0" w:line="189" w:lineRule="exact"/>
              <w:rPr>
                <w:sz w:val="20"/>
                <w:szCs w:val="20"/>
                <w:color w:val="auto"/>
              </w:rPr>
            </w:pPr>
            <w:r>
              <w:rPr>
                <w:rFonts w:ascii="Arial" w:cs="Arial" w:eastAsia="Arial" w:hAnsi="Arial"/>
                <w:sz w:val="17"/>
                <w:szCs w:val="17"/>
                <w:color w:val="auto"/>
              </w:rPr>
              <w:t>rectify such noncompliance or otherwise to cause</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000" w:type="dxa"/>
            <w:vAlign w:val="bottom"/>
          </w:tcPr>
          <w:p>
            <w:pPr>
              <w:spacing w:after="0"/>
              <w:rPr>
                <w:sz w:val="16"/>
                <w:szCs w:val="16"/>
                <w:color w:val="auto"/>
              </w:rPr>
            </w:pPr>
          </w:p>
        </w:tc>
        <w:tc>
          <w:tcPr>
            <w:tcW w:w="6100" w:type="dxa"/>
            <w:vAlign w:val="bottom"/>
            <w:tcBorders>
              <w:right w:val="single" w:sz="8" w:color="auto"/>
            </w:tcBorders>
          </w:tcPr>
          <w:p>
            <w:pPr>
              <w:ind w:left="1540"/>
              <w:spacing w:after="0" w:line="189" w:lineRule="exact"/>
              <w:rPr>
                <w:sz w:val="20"/>
                <w:szCs w:val="20"/>
                <w:color w:val="auto"/>
              </w:rPr>
            </w:pPr>
            <w:r>
              <w:rPr>
                <w:rFonts w:ascii="Arial" w:cs="Arial" w:eastAsia="Arial" w:hAnsi="Arial"/>
                <w:sz w:val="17"/>
                <w:szCs w:val="17"/>
                <w:color w:val="auto"/>
              </w:rPr>
              <w:t>compliance with the terms of this offering. For more</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000" w:type="dxa"/>
            <w:vAlign w:val="bottom"/>
          </w:tcPr>
          <w:p>
            <w:pPr>
              <w:spacing w:after="0"/>
              <w:rPr>
                <w:sz w:val="16"/>
                <w:szCs w:val="16"/>
                <w:color w:val="auto"/>
              </w:rPr>
            </w:pPr>
          </w:p>
        </w:tc>
        <w:tc>
          <w:tcPr>
            <w:tcW w:w="6100" w:type="dxa"/>
            <w:vAlign w:val="bottom"/>
            <w:tcBorders>
              <w:right w:val="single" w:sz="8" w:color="auto"/>
            </w:tcBorders>
          </w:tcPr>
          <w:p>
            <w:pPr>
              <w:ind w:left="1540"/>
              <w:spacing w:after="0" w:line="189" w:lineRule="exact"/>
              <w:rPr>
                <w:sz w:val="20"/>
                <w:szCs w:val="20"/>
                <w:color w:val="auto"/>
              </w:rPr>
            </w:pPr>
            <w:r>
              <w:rPr>
                <w:rFonts w:ascii="Arial" w:cs="Arial" w:eastAsia="Arial" w:hAnsi="Arial"/>
                <w:sz w:val="17"/>
                <w:szCs w:val="17"/>
                <w:color w:val="auto"/>
              </w:rPr>
              <w:t>information, see the section entitled “Management —</w:t>
            </w:r>
          </w:p>
        </w:tc>
        <w:tc>
          <w:tcPr>
            <w:tcW w:w="94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3000" w:type="dxa"/>
            <w:vAlign w:val="bottom"/>
          </w:tcPr>
          <w:p>
            <w:pPr>
              <w:spacing w:after="0"/>
              <w:rPr>
                <w:sz w:val="16"/>
                <w:szCs w:val="16"/>
                <w:color w:val="auto"/>
              </w:rPr>
            </w:pPr>
          </w:p>
        </w:tc>
        <w:tc>
          <w:tcPr>
            <w:tcW w:w="6100" w:type="dxa"/>
            <w:vAlign w:val="bottom"/>
            <w:tcBorders>
              <w:right w:val="single" w:sz="8" w:color="auto"/>
            </w:tcBorders>
          </w:tcPr>
          <w:p>
            <w:pPr>
              <w:ind w:left="1540"/>
              <w:spacing w:after="0" w:line="189" w:lineRule="exact"/>
              <w:rPr>
                <w:sz w:val="20"/>
                <w:szCs w:val="20"/>
                <w:color w:val="auto"/>
              </w:rPr>
            </w:pPr>
            <w:r>
              <w:rPr>
                <w:rFonts w:ascii="Arial" w:cs="Arial" w:eastAsia="Arial" w:hAnsi="Arial"/>
                <w:sz w:val="17"/>
                <w:szCs w:val="17"/>
                <w:color w:val="auto"/>
              </w:rPr>
              <w:t>Committees of the Board of Directors — Audit</w:t>
            </w:r>
          </w:p>
        </w:tc>
        <w:tc>
          <w:tcPr>
            <w:tcW w:w="940" w:type="dxa"/>
            <w:vAlign w:val="bottom"/>
          </w:tcPr>
          <w:p>
            <w:pPr>
              <w:spacing w:after="0"/>
              <w:rPr>
                <w:sz w:val="16"/>
                <w:szCs w:val="16"/>
                <w:color w:val="auto"/>
              </w:rPr>
            </w:pPr>
          </w:p>
        </w:tc>
      </w:tr>
      <w:tr>
        <w:trPr>
          <w:trHeight w:val="205"/>
        </w:trPr>
        <w:tc>
          <w:tcPr>
            <w:tcW w:w="980" w:type="dxa"/>
            <w:vAlign w:val="bottom"/>
            <w:tcBorders>
              <w:right w:val="single" w:sz="8" w:color="auto"/>
            </w:tcBorders>
          </w:tcPr>
          <w:p>
            <w:pPr>
              <w:spacing w:after="0"/>
              <w:rPr>
                <w:sz w:val="17"/>
                <w:szCs w:val="17"/>
                <w:color w:val="auto"/>
              </w:rPr>
            </w:pPr>
          </w:p>
        </w:tc>
        <w:tc>
          <w:tcPr>
            <w:tcW w:w="3000" w:type="dxa"/>
            <w:vAlign w:val="bottom"/>
          </w:tcPr>
          <w:p>
            <w:pPr>
              <w:spacing w:after="0"/>
              <w:rPr>
                <w:sz w:val="17"/>
                <w:szCs w:val="17"/>
                <w:color w:val="auto"/>
              </w:rPr>
            </w:pPr>
          </w:p>
        </w:tc>
        <w:tc>
          <w:tcPr>
            <w:tcW w:w="6100" w:type="dxa"/>
            <w:vAlign w:val="bottom"/>
            <w:tcBorders>
              <w:right w:val="single" w:sz="8" w:color="auto"/>
            </w:tcBorders>
          </w:tcPr>
          <w:p>
            <w:pPr>
              <w:ind w:left="1540"/>
              <w:spacing w:after="0"/>
              <w:rPr>
                <w:sz w:val="20"/>
                <w:szCs w:val="20"/>
                <w:color w:val="auto"/>
              </w:rPr>
            </w:pPr>
            <w:r>
              <w:rPr>
                <w:rFonts w:ascii="Arial" w:cs="Arial" w:eastAsia="Arial" w:hAnsi="Arial"/>
                <w:sz w:val="17"/>
                <w:szCs w:val="17"/>
                <w:color w:val="auto"/>
              </w:rPr>
              <w:t>Committee.”</w:t>
            </w:r>
          </w:p>
        </w:tc>
        <w:tc>
          <w:tcPr>
            <w:tcW w:w="940" w:type="dxa"/>
            <w:vAlign w:val="bottom"/>
          </w:tcPr>
          <w:p>
            <w:pPr>
              <w:spacing w:after="0"/>
              <w:rPr>
                <w:sz w:val="17"/>
                <w:szCs w:val="17"/>
                <w:color w:val="auto"/>
              </w:rPr>
            </w:pPr>
          </w:p>
        </w:tc>
      </w:tr>
      <w:tr>
        <w:trPr>
          <w:trHeight w:val="203"/>
        </w:trPr>
        <w:tc>
          <w:tcPr>
            <w:tcW w:w="980" w:type="dxa"/>
            <w:vAlign w:val="bottom"/>
            <w:tcBorders>
              <w:right w:val="single" w:sz="8" w:color="auto"/>
            </w:tcBorders>
          </w:tcPr>
          <w:p>
            <w:pPr>
              <w:spacing w:after="0"/>
              <w:rPr>
                <w:sz w:val="17"/>
                <w:szCs w:val="17"/>
                <w:color w:val="auto"/>
              </w:rPr>
            </w:pPr>
          </w:p>
        </w:tc>
        <w:tc>
          <w:tcPr>
            <w:tcW w:w="3000" w:type="dxa"/>
            <w:vAlign w:val="bottom"/>
            <w:tcBorders>
              <w:bottom w:val="single" w:sz="8" w:color="auto"/>
            </w:tcBorders>
          </w:tcPr>
          <w:p>
            <w:pPr>
              <w:spacing w:after="0"/>
              <w:rPr>
                <w:sz w:val="17"/>
                <w:szCs w:val="17"/>
                <w:color w:val="auto"/>
              </w:rPr>
            </w:pPr>
          </w:p>
        </w:tc>
        <w:tc>
          <w:tcPr>
            <w:tcW w:w="6100" w:type="dxa"/>
            <w:vAlign w:val="bottom"/>
            <w:tcBorders>
              <w:bottom w:val="single" w:sz="8" w:color="auto"/>
              <w:right w:val="single" w:sz="8" w:color="auto"/>
            </w:tcBorders>
          </w:tcPr>
          <w:p>
            <w:pPr>
              <w:spacing w:after="0"/>
              <w:rPr>
                <w:sz w:val="17"/>
                <w:szCs w:val="17"/>
                <w:color w:val="auto"/>
              </w:rPr>
            </w:pPr>
          </w:p>
        </w:tc>
        <w:tc>
          <w:tcPr>
            <w:tcW w:w="940" w:type="dxa"/>
            <w:vAlign w:val="bottom"/>
          </w:tcPr>
          <w:p>
            <w:pPr>
              <w:spacing w:after="0"/>
              <w:rPr>
                <w:sz w:val="17"/>
                <w:szCs w:val="17"/>
                <w:color w:val="auto"/>
              </w:rPr>
            </w:pPr>
          </w:p>
        </w:tc>
      </w:tr>
      <w:tr>
        <w:trPr>
          <w:trHeight w:val="409"/>
        </w:trPr>
        <w:tc>
          <w:tcPr>
            <w:tcW w:w="9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100" w:type="dxa"/>
            <w:vAlign w:val="bottom"/>
          </w:tcPr>
          <w:p>
            <w:pPr>
              <w:ind w:left="1440"/>
              <w:spacing w:after="0"/>
              <w:rPr>
                <w:sz w:val="20"/>
                <w:szCs w:val="20"/>
                <w:color w:val="auto"/>
              </w:rPr>
            </w:pPr>
            <w:r>
              <w:rPr>
                <w:rFonts w:ascii="Arial" w:cs="Arial" w:eastAsia="Arial" w:hAnsi="Arial"/>
                <w:sz w:val="16"/>
                <w:szCs w:val="16"/>
                <w:color w:val="auto"/>
              </w:rPr>
              <w:t>26</w:t>
            </w:r>
          </w:p>
        </w:tc>
        <w:tc>
          <w:tcPr>
            <w:tcW w:w="940" w:type="dxa"/>
            <w:vAlign w:val="bottom"/>
          </w:tcPr>
          <w:p>
            <w:pPr>
              <w:spacing w:after="0"/>
              <w:rPr>
                <w:sz w:val="24"/>
                <w:szCs w:val="24"/>
                <w:color w:val="auto"/>
              </w:rPr>
            </w:pPr>
          </w:p>
        </w:tc>
      </w:tr>
      <w:tr>
        <w:trPr>
          <w:trHeight w:val="188"/>
        </w:trPr>
        <w:tc>
          <w:tcPr>
            <w:tcW w:w="9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tcPr>
          <w:p>
            <w:pPr>
              <w:spacing w:after="0"/>
              <w:rPr>
                <w:sz w:val="16"/>
                <w:szCs w:val="16"/>
                <w:color w:val="auto"/>
              </w:rPr>
            </w:pPr>
          </w:p>
        </w:tc>
        <w:tc>
          <w:tcPr>
            <w:tcW w:w="6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bl>
    <w:p>
      <w:pPr>
        <w:sectPr>
          <w:pgSz w:w="11900" w:h="16838" w:orient="portrait"/>
          <w:cols w:equalWidth="0" w:num="1">
            <w:col w:w="11020"/>
          </w:cols>
          <w:pgMar w:left="440" w:top="265" w:right="4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5790565" cy="17011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90565" cy="170116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RISKS</w:t>
      </w:r>
    </w:p>
    <w:p>
      <w:pPr>
        <w:spacing w:after="0" w:line="174" w:lineRule="exact"/>
        <w:rPr>
          <w:sz w:val="20"/>
          <w:szCs w:val="20"/>
          <w:color w:val="auto"/>
        </w:rPr>
      </w:pPr>
    </w:p>
    <w:p>
      <w:pPr>
        <w:ind w:left="240" w:right="259"/>
        <w:spacing w:after="0" w:line="234" w:lineRule="auto"/>
        <w:rPr>
          <w:sz w:val="20"/>
          <w:szCs w:val="20"/>
          <w:color w:val="auto"/>
        </w:rPr>
      </w:pPr>
      <w:r>
        <w:rPr>
          <w:rFonts w:ascii="Arial" w:cs="Arial" w:eastAsia="Arial" w:hAnsi="Arial"/>
          <w:sz w:val="17"/>
          <w:szCs w:val="17"/>
          <w:color w:val="auto"/>
        </w:rPr>
        <w:t>We are a newly formed company that has conducted no operations and has generated no revenues. Until we complete our initial business combination, we will have no operations and will generate no operating revenues. In making your decision whether to invest in our securities, you should take into account not only the background of our management team, but also the special risks we face as a blank check company. This offering is not being conducted in compliance with Rule 419 promulgated under the Securities Act. Accordingly, you will not be entitled to protections normally afforded to investors in Rule 419 blank check offerings. For additional information concerning how Rule 419 blank check offerings differ from this offering, please see “Proposed Business Comparison of This Offering to Those of Blank Check Companies Subject to Rule 419.” You should carefully consider these and the other risks set forth in the section entitled “Risk Factors” of this prospectus.</w:t>
      </w: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bookmarkStart w:id="30" w:name="page31"/>
    <w:bookmarkEnd w:id="30"/>
    <w:p>
      <w:pPr>
        <w:ind w:left="96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90170</wp:posOffset>
            </wp:positionV>
            <wp:extent cx="5790565" cy="26015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90565" cy="260159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FINANCIAL DATA</w:t>
      </w:r>
    </w:p>
    <w:p>
      <w:pPr>
        <w:spacing w:after="0" w:line="174" w:lineRule="exact"/>
        <w:rPr>
          <w:sz w:val="20"/>
          <w:szCs w:val="20"/>
          <w:color w:val="auto"/>
        </w:rPr>
      </w:pPr>
    </w:p>
    <w:p>
      <w:pPr>
        <w:ind w:left="1200" w:right="1340"/>
        <w:spacing w:after="0" w:line="238" w:lineRule="auto"/>
        <w:rPr>
          <w:sz w:val="20"/>
          <w:szCs w:val="20"/>
          <w:color w:val="auto"/>
        </w:rPr>
      </w:pPr>
      <w:r>
        <w:rPr>
          <w:rFonts w:ascii="Arial" w:cs="Arial" w:eastAsia="Arial" w:hAnsi="Arial"/>
          <w:sz w:val="17"/>
          <w:szCs w:val="17"/>
          <w:color w:val="auto"/>
        </w:rPr>
        <w:t>The following table summarizes the relevant financial data for our business and should be read with our financial statements, which are included in this prospectus. We have not had any significant operations to date, so only balance sheet data is presented.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2160" w:type="dxa"/>
            <w:vAlign w:val="bottom"/>
            <w:gridSpan w:val="4"/>
          </w:tcPr>
          <w:p>
            <w:pPr>
              <w:ind w:left="80"/>
              <w:spacing w:after="0"/>
              <w:rPr>
                <w:sz w:val="20"/>
                <w:szCs w:val="20"/>
                <w:color w:val="auto"/>
              </w:rPr>
            </w:pPr>
            <w:r>
              <w:rPr>
                <w:rFonts w:ascii="Arial" w:cs="Arial" w:eastAsia="Arial" w:hAnsi="Arial"/>
                <w:sz w:val="14"/>
                <w:szCs w:val="14"/>
                <w:b w:val="1"/>
                <w:bCs w:val="1"/>
                <w:color w:val="auto"/>
              </w:rPr>
              <w:t>April 2, 2020</w:t>
            </w:r>
          </w:p>
        </w:tc>
      </w:tr>
      <w:tr>
        <w:trPr>
          <w:trHeight w:val="80"/>
        </w:trPr>
        <w:tc>
          <w:tcPr>
            <w:tcW w:w="9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6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940" w:type="dxa"/>
            <w:vAlign w:val="bottom"/>
          </w:tcPr>
          <w:p>
            <w:pPr>
              <w:spacing w:after="0"/>
              <w:rPr>
                <w:sz w:val="6"/>
                <w:szCs w:val="6"/>
                <w:color w:val="auto"/>
              </w:rPr>
            </w:pPr>
          </w:p>
        </w:tc>
      </w:tr>
      <w:tr>
        <w:trPr>
          <w:trHeight w:val="324"/>
        </w:trPr>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Balance Sheet Data:</w:t>
            </w:r>
          </w:p>
        </w:tc>
        <w:tc>
          <w:tcPr>
            <w:tcW w:w="2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6"/>
        </w:trPr>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60" w:type="dxa"/>
            <w:vAlign w:val="bottom"/>
          </w:tcPr>
          <w:p>
            <w:pPr>
              <w:spacing w:after="0"/>
              <w:rPr>
                <w:sz w:val="20"/>
                <w:szCs w:val="20"/>
                <w:color w:val="auto"/>
              </w:rPr>
            </w:pPr>
            <w:r>
              <w:rPr>
                <w:rFonts w:ascii="Arial" w:cs="Arial" w:eastAsia="Arial" w:hAnsi="Arial"/>
                <w:sz w:val="17"/>
                <w:szCs w:val="17"/>
                <w:color w:val="auto"/>
              </w:rPr>
              <w:t>Working capital (deficiency)</w:t>
            </w:r>
          </w:p>
        </w:tc>
        <w:tc>
          <w:tcPr>
            <w:tcW w:w="280" w:type="dxa"/>
            <w:vAlign w:val="bottom"/>
          </w:tcPr>
          <w:p>
            <w:pPr>
              <w:ind w:left="160"/>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55"/>
              <w:spacing w:after="0"/>
              <w:rPr>
                <w:sz w:val="20"/>
                <w:szCs w:val="20"/>
                <w:color w:val="auto"/>
              </w:rPr>
            </w:pPr>
            <w:r>
              <w:rPr>
                <w:rFonts w:ascii="Arial" w:cs="Arial" w:eastAsia="Arial" w:hAnsi="Arial"/>
                <w:sz w:val="17"/>
                <w:szCs w:val="17"/>
                <w:color w:val="auto"/>
              </w:rPr>
              <w:t>(4,245)</w:t>
            </w: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58"/>
        </w:trPr>
        <w:tc>
          <w:tcPr>
            <w:tcW w:w="9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60" w:type="dxa"/>
            <w:vAlign w:val="bottom"/>
          </w:tcPr>
          <w:p>
            <w:pPr>
              <w:spacing w:after="0"/>
              <w:rPr>
                <w:sz w:val="5"/>
                <w:szCs w:val="5"/>
                <w:color w:val="auto"/>
              </w:rPr>
            </w:pPr>
          </w:p>
        </w:tc>
        <w:tc>
          <w:tcPr>
            <w:tcW w:w="980" w:type="dxa"/>
            <w:vAlign w:val="bottom"/>
            <w:gridSpan w:val="2"/>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tcPr>
          <w:p>
            <w:pPr>
              <w:spacing w:after="0"/>
              <w:rPr>
                <w:sz w:val="5"/>
                <w:szCs w:val="5"/>
                <w:color w:val="auto"/>
              </w:rPr>
            </w:pPr>
          </w:p>
        </w:tc>
      </w:tr>
      <w:tr>
        <w:trPr>
          <w:trHeight w:val="304"/>
        </w:trPr>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assets</w:t>
            </w:r>
          </w:p>
        </w:tc>
        <w:tc>
          <w:tcPr>
            <w:tcW w:w="9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$25,000</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6"/>
        </w:trPr>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60" w:type="dxa"/>
            <w:vAlign w:val="bottom"/>
          </w:tcPr>
          <w:p>
            <w:pPr>
              <w:spacing w:after="0"/>
              <w:rPr>
                <w:sz w:val="20"/>
                <w:szCs w:val="20"/>
                <w:color w:val="auto"/>
              </w:rPr>
            </w:pPr>
            <w:r>
              <w:rPr>
                <w:rFonts w:ascii="Arial" w:cs="Arial" w:eastAsia="Arial" w:hAnsi="Arial"/>
                <w:sz w:val="17"/>
                <w:szCs w:val="17"/>
                <w:color w:val="auto"/>
              </w:rPr>
              <w:t>Total liabilities</w:t>
            </w:r>
          </w:p>
        </w:tc>
        <w:tc>
          <w:tcPr>
            <w:tcW w:w="280" w:type="dxa"/>
            <w:vAlign w:val="bottom"/>
          </w:tcPr>
          <w:p>
            <w:pPr>
              <w:ind w:left="160"/>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115"/>
              <w:spacing w:after="0"/>
              <w:rPr>
                <w:sz w:val="20"/>
                <w:szCs w:val="20"/>
                <w:color w:val="auto"/>
              </w:rPr>
            </w:pPr>
            <w:r>
              <w:rPr>
                <w:rFonts w:ascii="Arial" w:cs="Arial" w:eastAsia="Arial" w:hAnsi="Arial"/>
                <w:sz w:val="17"/>
                <w:szCs w:val="17"/>
                <w:color w:val="auto"/>
              </w:rPr>
              <w:t>4,245</w:t>
            </w: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58"/>
        </w:trPr>
        <w:tc>
          <w:tcPr>
            <w:tcW w:w="9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80" w:type="dxa"/>
            <w:vAlign w:val="bottom"/>
            <w:gridSpan w:val="3"/>
          </w:tcPr>
          <w:p>
            <w:pPr>
              <w:spacing w:after="0"/>
              <w:rPr>
                <w:sz w:val="5"/>
                <w:szCs w:val="5"/>
                <w:color w:val="auto"/>
              </w:rPr>
            </w:pPr>
          </w:p>
        </w:tc>
      </w:tr>
      <w:tr>
        <w:trPr>
          <w:trHeight w:val="304"/>
        </w:trPr>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Value of Class A ordinary shares subject to possible redemption</w:t>
            </w:r>
          </w:p>
        </w:tc>
        <w:tc>
          <w:tcPr>
            <w:tcW w:w="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180" w:type="dxa"/>
            <w:vAlign w:val="bottom"/>
            <w:gridSpan w:val="2"/>
          </w:tcPr>
          <w:p>
            <w:pPr>
              <w:spacing w:after="0"/>
              <w:rPr>
                <w:sz w:val="24"/>
                <w:szCs w:val="24"/>
                <w:color w:val="auto"/>
              </w:rPr>
            </w:pPr>
          </w:p>
        </w:tc>
      </w:tr>
      <w:tr>
        <w:trPr>
          <w:trHeight w:val="257"/>
        </w:trPr>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Shareholder’s equity</w:t>
            </w:r>
          </w:p>
        </w:tc>
        <w:tc>
          <w:tcPr>
            <w:tcW w:w="980" w:type="dxa"/>
            <w:vAlign w:val="bottom"/>
            <w:tcBorders>
              <w:bottom w:val="single" w:sz="8" w:color="auto"/>
            </w:tcBorders>
            <w:gridSpan w:val="2"/>
          </w:tcPr>
          <w:p>
            <w:pPr>
              <w:ind w:left="160"/>
              <w:spacing w:after="0"/>
              <w:rPr>
                <w:sz w:val="20"/>
                <w:szCs w:val="20"/>
                <w:color w:val="auto"/>
              </w:rPr>
            </w:pPr>
            <w:r>
              <w:rPr>
                <w:rFonts w:ascii="Arial" w:cs="Arial" w:eastAsia="Arial" w:hAnsi="Arial"/>
                <w:sz w:val="17"/>
                <w:szCs w:val="17"/>
                <w:color w:val="auto"/>
              </w:rPr>
              <w:t>$20,755</w:t>
            </w: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06"/>
        </w:trPr>
        <w:tc>
          <w:tcPr>
            <w:tcW w:w="9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Pr>
          <w:p>
            <w:pPr>
              <w:spacing w:after="0"/>
              <w:rPr>
                <w:sz w:val="17"/>
                <w:szCs w:val="17"/>
                <w:color w:val="auto"/>
              </w:rPr>
            </w:pPr>
          </w:p>
        </w:tc>
      </w:tr>
      <w:tr>
        <w:trPr>
          <w:trHeight w:val="409"/>
        </w:trPr>
        <w:tc>
          <w:tcPr>
            <w:tcW w:w="8860" w:type="dxa"/>
            <w:vAlign w:val="bottom"/>
            <w:gridSpan w:val="3"/>
          </w:tcPr>
          <w:p>
            <w:pPr>
              <w:jc w:val="right"/>
              <w:ind w:right="3175"/>
              <w:spacing w:after="0"/>
              <w:rPr>
                <w:sz w:val="20"/>
                <w:szCs w:val="20"/>
                <w:color w:val="auto"/>
              </w:rPr>
            </w:pPr>
            <w:r>
              <w:rPr>
                <w:rFonts w:ascii="Arial" w:cs="Arial" w:eastAsia="Arial" w:hAnsi="Arial"/>
                <w:sz w:val="16"/>
                <w:szCs w:val="16"/>
                <w:color w:val="auto"/>
              </w:rPr>
              <w:t>28</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8"/>
        </w:trPr>
        <w:tc>
          <w:tcPr>
            <w:tcW w:w="9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bl>
    <w:p>
      <w:pPr>
        <w:sectPr>
          <w:pgSz w:w="11900" w:h="16838" w:orient="portrait"/>
          <w:cols w:equalWidth="0" w:num="1">
            <w:col w:w="11020"/>
          </w:cols>
          <w:pgMar w:left="440" w:top="265" w:right="4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70" w:lineRule="exact"/>
        <w:rPr>
          <w:sz w:val="20"/>
          <w:szCs w:val="20"/>
          <w:color w:val="auto"/>
        </w:rPr>
      </w:pPr>
    </w:p>
    <w:p>
      <w:pPr>
        <w:ind w:right="140"/>
        <w:spacing w:after="0"/>
        <w:rPr>
          <w:sz w:val="20"/>
          <w:szCs w:val="20"/>
          <w:color w:val="auto"/>
        </w:rPr>
      </w:pPr>
      <w:r>
        <w:rPr>
          <w:rFonts w:ascii="Arial" w:cs="Arial" w:eastAsia="Arial" w:hAnsi="Arial"/>
          <w:sz w:val="17"/>
          <w:szCs w:val="17"/>
          <w:i w:val="1"/>
          <w:iCs w:val="1"/>
          <w:color w:val="auto"/>
        </w:rPr>
        <w:t>An investment in our securities involves a high degree of risk. You should consider carefully all of the risks described below, together with the other information contained in this prospectus, before making a decision to invest in our Class A ordinary shares.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33"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b w:val="1"/>
          <w:bCs w:val="1"/>
          <w:color w:val="auto"/>
        </w:rPr>
        <w:t>We are a recently incorporated company with no operating history and no revenues, and you have no basis on which to evaluate our ability to achieve our business objective.</w:t>
      </w:r>
    </w:p>
    <w:p>
      <w:pPr>
        <w:spacing w:after="0" w:line="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are a recently incorporated company established under the laws of the Cayman Islands with no operating results, and we will not commence operations until obtaining funding through this offering. Because we lack an operating history, you have no basis upon which to evaluate our ability to achieve our business objective of completing our initial business combination with one or more target businesses. We have no plans, arrangements or understandings with any prospective target business concerning a business combination and may be unable to complete our initial business combination. If we fail to complete our initial business combination, we will never generate any operating revenues.</w:t>
      </w:r>
    </w:p>
    <w:p>
      <w:pPr>
        <w:spacing w:after="0" w:line="33" w:lineRule="exact"/>
        <w:rPr>
          <w:sz w:val="20"/>
          <w:szCs w:val="20"/>
          <w:color w:val="auto"/>
        </w:rPr>
      </w:pPr>
    </w:p>
    <w:p>
      <w:pPr>
        <w:ind w:right="700"/>
        <w:spacing w:after="0" w:line="267" w:lineRule="auto"/>
        <w:rPr>
          <w:sz w:val="20"/>
          <w:szCs w:val="20"/>
          <w:color w:val="auto"/>
        </w:rPr>
      </w:pPr>
      <w:r>
        <w:rPr>
          <w:rFonts w:ascii="Arial" w:cs="Arial" w:eastAsia="Arial" w:hAnsi="Arial"/>
          <w:sz w:val="17"/>
          <w:szCs w:val="17"/>
          <w:b w:val="1"/>
          <w:bCs w:val="1"/>
          <w:color w:val="auto"/>
        </w:rPr>
        <w:t>Past performance by our management team or their affiliates, including Perceptive Advisors and ARYA Sciences Acquisition Corp., may not be indicative of future performance of an investment in us.</w:t>
      </w:r>
    </w:p>
    <w:p>
      <w:pPr>
        <w:spacing w:after="0" w:line="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Information regarding performance by, or businesses associated with, our management team or their affiliates, including Perceptive Advisors and ARYA Sciences Acquisition Corp., is presented for informational purposes only. Any past experience of and performance by our management team or their affiliates, including Perceptive Advisors and ARYA Sciences Acquisition Corp., is not a guarantee either: (1) that we will be able to successfully identify a suitable candidate for our initial business combination; or (2) of any results with respect to any initial business combination we may consummate. You should not rely on the historical record of our management team, Perceptive Advisors or any of their affiliates’ or managed fund’s performance as indicative of the future performance of an investment in us or the returns we will, or are likely to, generate going forward. An investment in us is not an investment in Perceptive Advisors.</w:t>
      </w:r>
    </w:p>
    <w:p>
      <w:pPr>
        <w:spacing w:after="0" w:line="35"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b w:val="1"/>
          <w:bCs w:val="1"/>
          <w:color w:val="auto"/>
        </w:rPr>
        <w:t>Our shareholders may not be afforded an opportunity to vote on our proposed initial business combination, which means we may complete our initial business combination even though a majority of our shareholders do not support such a combination.</w:t>
      </w:r>
    </w:p>
    <w:p>
      <w:pPr>
        <w:spacing w:after="0" w:line="19"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We may not hold a shareholder vote to approve our initial business combination unless the business combination would require shareholder approval under applicable Cayman Islands law or stock exchange listing requirements or if we decide to hold a shareholder vote for business or other reasons. For instance, the Nasdaq rules currently allow us to engage in a tender offer in lieu of a shareholder meeting but would still require us to obtain shareholder approval if we were seeking to issue more than 20% of our issued and outstanding shares (excluding the private placement shares) to a target business as consideration in any business combination. Therefore, if we were structuring a business combination that required us to issue more than 20% of our issued and outstanding ordinary shares (excluding the private placement shares), we would seek shareholder approval of such business combination. However, except as required by applicable law or stock exchange rule, the decision as to whether we will seek shareholder approval of a proposed business combination or will allow shareholders to sell their shares to us in a tender offer will be made by us, solely in our discretion, and will be based on a variety of factors, such as the timing of the transaction and whether the terms of the transaction would otherwise require us to seek shareholder approval. Accordingly, we may consummate our initial business combination even if holders of a majority of the outstanding ordinary shares do not approve of the business combination we consummate. Please see the section entitled “Proposed Business — Shareholders May Not Have the Ability to Approve Our Initial Business Combination” for additional information.</w:t>
      </w:r>
    </w:p>
    <w:p>
      <w:pPr>
        <w:spacing w:after="0" w:line="36" w:lineRule="exact"/>
        <w:rPr>
          <w:sz w:val="20"/>
          <w:szCs w:val="20"/>
          <w:color w:val="auto"/>
        </w:rPr>
      </w:pPr>
    </w:p>
    <w:p>
      <w:pPr>
        <w:ind w:right="340"/>
        <w:spacing w:after="0" w:line="267" w:lineRule="auto"/>
        <w:rPr>
          <w:sz w:val="20"/>
          <w:szCs w:val="20"/>
          <w:color w:val="auto"/>
        </w:rPr>
      </w:pPr>
      <w:r>
        <w:rPr>
          <w:rFonts w:ascii="Arial" w:cs="Arial" w:eastAsia="Arial" w:hAnsi="Arial"/>
          <w:sz w:val="17"/>
          <w:szCs w:val="17"/>
          <w:b w:val="1"/>
          <w:bCs w:val="1"/>
          <w:color w:val="auto"/>
        </w:rPr>
        <w:t>Your only opportunity to affect the investment decision regarding a potential business combination may be limited to the exercise of your right to redeem your shares from us for cash.</w:t>
      </w:r>
    </w:p>
    <w:p>
      <w:pPr>
        <w:spacing w:after="0" w:line="4"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At the time of your investment in us, you will not be provided with an opportunity to evaluate the specific merits or risks of any target businesses. Since our board of directors may complete a business combination without seeking shareholder approval, public shareholders may not have the right or opportunity to vote on the business combination, unless we seek such shareholder approval. Accordingly,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shareholders in which we describe our initial business combination.</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19" w:lineRule="exact"/>
        <w:rPr>
          <w:sz w:val="20"/>
          <w:szCs w:val="20"/>
          <w:color w:val="auto"/>
        </w:rPr>
      </w:pPr>
    </w:p>
    <w:p>
      <w:pPr>
        <w:ind w:right="380"/>
        <w:spacing w:after="0" w:line="249" w:lineRule="auto"/>
        <w:rPr>
          <w:sz w:val="20"/>
          <w:szCs w:val="20"/>
          <w:color w:val="auto"/>
        </w:rPr>
      </w:pPr>
      <w:r>
        <w:rPr>
          <w:rFonts w:ascii="Arial" w:cs="Arial" w:eastAsia="Arial" w:hAnsi="Arial"/>
          <w:sz w:val="17"/>
          <w:szCs w:val="17"/>
          <w:b w:val="1"/>
          <w:bCs w:val="1"/>
          <w:color w:val="auto"/>
        </w:rPr>
        <w:t>If we seek shareholder approval of our initial business combination, our sponsor and members of our management team have agreed to vote in favor of such initial business combination, regardless of how our public shareholders vote.</w:t>
      </w:r>
    </w:p>
    <w:p>
      <w:pPr>
        <w:spacing w:after="0" w:line="19" w:lineRule="exact"/>
        <w:rPr>
          <w:sz w:val="20"/>
          <w:szCs w:val="20"/>
          <w:color w:val="auto"/>
        </w:rPr>
      </w:pPr>
    </w:p>
    <w:p>
      <w:pPr>
        <w:ind w:right="60"/>
        <w:spacing w:after="0" w:line="233" w:lineRule="auto"/>
        <w:rPr>
          <w:sz w:val="20"/>
          <w:szCs w:val="20"/>
          <w:color w:val="auto"/>
        </w:rPr>
      </w:pPr>
      <w:r>
        <w:rPr>
          <w:rFonts w:ascii="Arial" w:cs="Arial" w:eastAsia="Arial" w:hAnsi="Arial"/>
          <w:sz w:val="17"/>
          <w:szCs w:val="17"/>
          <w:color w:val="auto"/>
        </w:rPr>
        <w:t>Our sponsor will own, on an as-converted basis, 20% of our outstanding ordinary shares (excluding the private placement shares) immediately following the completion of this offering. Our sponsor and members of our management team also may from time to time purchase Class A ordinary shares prior to the completion of our initial business combination. Our amended and restated memorandum and articles of association will provide that, if we seek shareholder approval, we will complete our initial business combination only if a majority of the ordinary shares, represented in person or by proxy and entitled to vote thereon, voted at a shareholder meeting are voted in favor of the business combination. As a result, in addition to our initial shareholders’ founder shares and private placement shares, we would need 4,462,501, or 35.70%, of the 12,500,000 public shares sold in this offering to be voted in favor of an initial business combination in order to have our initial business combination approved (assuming all issued and outstanding shares are voted, the private placement shares to be issued to our sponsor are voted in favor of the transaction and the over-allotment option is not exercised). Accordingly, if we seek shareholder approval of our initial business combination, the agreement by our sponsor and our management team to vote in favor of our initial business combination will increase the likelihood that we will receive the requisite shareholder approval for such initial business combination.</w:t>
      </w:r>
    </w:p>
    <w:p>
      <w:pPr>
        <w:spacing w:after="0" w:line="37" w:lineRule="exact"/>
        <w:rPr>
          <w:sz w:val="20"/>
          <w:szCs w:val="20"/>
          <w:color w:val="auto"/>
        </w:rPr>
      </w:pPr>
    </w:p>
    <w:p>
      <w:pPr>
        <w:jc w:val="both"/>
        <w:ind w:right="680"/>
        <w:spacing w:after="0" w:line="249" w:lineRule="auto"/>
        <w:rPr>
          <w:sz w:val="20"/>
          <w:szCs w:val="20"/>
          <w:color w:val="auto"/>
        </w:rPr>
      </w:pPr>
      <w:r>
        <w:rPr>
          <w:rFonts w:ascii="Arial" w:cs="Arial" w:eastAsia="Arial" w:hAnsi="Arial"/>
          <w:sz w:val="17"/>
          <w:szCs w:val="17"/>
          <w:b w:val="1"/>
          <w:bCs w:val="1"/>
          <w:color w:val="auto"/>
        </w:rPr>
        <w:t>The ability of our public shareholders to redeem their shares for cash may make our financial condition unattractive to potential business combination targets, which may make it difficult for us to enter into a business combination with a target.</w:t>
      </w:r>
    </w:p>
    <w:p>
      <w:pPr>
        <w:spacing w:after="0" w:line="19"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We may seek to enter into a business combination transaction agreement with a prospective target that requires as a closing condition that we have a minimum net worth or a certain amount of cash. If too many public shareholders exercise their redemption rights, we would not be able to meet such closing condition and, as a result, would not be able to proceed with the business combination. Furthermore, in no event will we redeem our public shares in an amount that would cause our net tangible assets to be less than $5,000,001 (so that we do not then become subject to the SEC’s “penny stock” rules). Consequently, if accepting all properly submitted redemption requests would cause our net tangible assets to be less than $5,000,001 or such greater amount necessary to satisfy a closing condition as described above, we would not proceed with such redemption and the related business combination and may instead search for an alternate business combination. Prospective targets will be aware of these risks and, thus, may be reluctant to enter into a business combination transaction with us.</w:t>
      </w:r>
    </w:p>
    <w:p>
      <w:pPr>
        <w:spacing w:after="0" w:line="40" w:lineRule="exact"/>
        <w:rPr>
          <w:sz w:val="20"/>
          <w:szCs w:val="20"/>
          <w:color w:val="auto"/>
        </w:rPr>
      </w:pPr>
    </w:p>
    <w:p>
      <w:pPr>
        <w:ind w:right="520"/>
        <w:spacing w:after="0" w:line="249" w:lineRule="auto"/>
        <w:rPr>
          <w:sz w:val="20"/>
          <w:szCs w:val="20"/>
          <w:color w:val="auto"/>
        </w:rPr>
      </w:pPr>
      <w:r>
        <w:rPr>
          <w:rFonts w:ascii="Arial" w:cs="Arial" w:eastAsia="Arial" w:hAnsi="Arial"/>
          <w:sz w:val="17"/>
          <w:szCs w:val="17"/>
          <w:b w:val="1"/>
          <w:bCs w:val="1"/>
          <w:color w:val="auto"/>
        </w:rPr>
        <w:t>The ability of our public shareholders to exercise redemption rights with respect to a large number of our shares may not allow us to complete the most desirable business combination or optimize our capital structure.</w:t>
      </w:r>
    </w:p>
    <w:p>
      <w:pPr>
        <w:spacing w:after="0" w:line="19" w:lineRule="exact"/>
        <w:rPr>
          <w:sz w:val="20"/>
          <w:szCs w:val="20"/>
          <w:color w:val="auto"/>
        </w:rPr>
      </w:pPr>
    </w:p>
    <w:p>
      <w:pPr>
        <w:ind w:right="60"/>
        <w:spacing w:after="0" w:line="233" w:lineRule="auto"/>
        <w:rPr>
          <w:sz w:val="20"/>
          <w:szCs w:val="20"/>
          <w:color w:val="auto"/>
        </w:rPr>
      </w:pPr>
      <w:r>
        <w:rPr>
          <w:rFonts w:ascii="Arial" w:cs="Arial" w:eastAsia="Arial" w:hAnsi="Arial"/>
          <w:sz w:val="17"/>
          <w:szCs w:val="17"/>
          <w:color w:val="auto"/>
        </w:rPr>
        <w:t>At the time we enter into an agreement for our initial business combination, we will not know how many shareholders may exercise their redemption rights, and therefore will need to structure the transaction based on our expectations as to the number of shares that will be submitted for redemption. If a large number of shares are submitted for redemption, we may need to restructure the transaction to reserve a greater portion of the cash in the trust account or arrange for additional third party financing. Raising additional third party financing may involve dilutive equity issuances or the incurrence of indebtedness at higher than desirable levels. The above considerations may limit our ability to complete the most desirable business combination available to us or optimize our capital structure. The amount of the deferred underwriting commissions payable to the underwriters will not be adjusted for any shares that are redeemed in connection with an initial business combination. The per-share amount we will distribute to shareholders who properly exercise their redemption rights will not be reduced by the deferred underwriting commission and after such redemptions, the amount held in trust will continue to reflect our obligation to pay the entire deferred underwriting commissions.</w:t>
      </w:r>
    </w:p>
    <w:p>
      <w:pPr>
        <w:spacing w:after="0" w:line="38"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b w:val="1"/>
          <w:bCs w:val="1"/>
          <w:color w:val="auto"/>
        </w:rPr>
        <w:t>The ability of our public shareholders to exercise redemption rights with respect to a large number of our shares could increase the probability that our initial business combination would be unsuccessful and that you would have to wait for liquidation in order to redeem your shares.</w:t>
      </w:r>
    </w:p>
    <w:p>
      <w:pPr>
        <w:spacing w:after="0" w:line="19"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If our initial business combination agreement requires us to use a portion of the cash in the trust account to pay the purchase price, or requires us to have a minimum amount of cash at closing, the probability that our initial business combination would be unsuccessful is increased. If our initial business combination is unsuccessful, you would not receive your pro rata portion of the funds in the trust account until we liquidate the trust account. If you are in need of immediate liquidity, you could attempt to sell your shares in the open market; however, at such time our shares may trade at a discount to the pro rata amount per share in the trust account. In either situation, you may suffer a material loss on your investment or lose the benefit of funds expected in connection with our redemption until we liquidate or you are able to sell your shares in the open market.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19"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b w:val="1"/>
          <w:bCs w:val="1"/>
          <w:color w:val="auto"/>
        </w:rPr>
        <w:t>The requirement that we consummate an initial business combination within 24 months after the closing of this offering may give potential target businesses leverage over us in negotiating a business combination and may limit the time we have in which to conduct due diligence on potential business combination targets, in particular as we approach our dissolution deadline, which could undermine our ability to complete our initial business combination on terms that would produce value for our shareholders.</w:t>
      </w:r>
    </w:p>
    <w:p>
      <w:pPr>
        <w:spacing w:after="0" w:line="24"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Any potential target business with which we enter into negotiations concerning a business combination will be aware that we must consummate an initial business combination within 24 months from the closing of this offering. Consequently, such target business may obtain leverage over us in negotiating a business combination, knowing that if we do not complete our initial business combination within the required time period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35" w:lineRule="exact"/>
        <w:rPr>
          <w:sz w:val="20"/>
          <w:szCs w:val="20"/>
          <w:color w:val="auto"/>
        </w:rPr>
      </w:pPr>
    </w:p>
    <w:p>
      <w:pPr>
        <w:ind w:right="340"/>
        <w:spacing w:after="0" w:line="249" w:lineRule="auto"/>
        <w:rPr>
          <w:sz w:val="20"/>
          <w:szCs w:val="20"/>
          <w:color w:val="auto"/>
        </w:rPr>
      </w:pPr>
      <w:r>
        <w:rPr>
          <w:rFonts w:ascii="Arial" w:cs="Arial" w:eastAsia="Arial" w:hAnsi="Arial"/>
          <w:sz w:val="17"/>
          <w:szCs w:val="17"/>
          <w:b w:val="1"/>
          <w:bCs w:val="1"/>
          <w:color w:val="auto"/>
        </w:rPr>
        <w:t>Our search for a business combination, and any target business with which we ultimately consummate a business combination, may be materially adversely affected by the recent coronavirus (COVID-19) outbreak and the status of debt and equity markets.</w:t>
      </w:r>
    </w:p>
    <w:p>
      <w:pPr>
        <w:spacing w:after="0" w:line="19"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In December 2019, a novel strain of coronavirus was reported to have surfaced in Wuhan, China, which has and is continuing to spread throughout the world, including the United States. On January 30, 2020, the World Health Organization declared the outbreak of the coronavirus disease (COVID-19) a “Public Health Emergency of International Concern.” On January 31, 2020, U.S. Health and Human Services Secretary Alex M. Azar II declared a public health emergency for the United States to aid the U.S. healthcare community in responding to COVID-19, and on March 11, 2020 the World Health Organization characterized the outbreak as a “pandemic”. The COVID-19 outbreak has and a significant outbreak of other infectious diseases could result in a widespread health crisis that could adversely affect the economies and financial markets worldwide, and the business of any potential target business with which we consummate a business combination could be materially and adversely affected. Furthermore, we may be unable to complete a business combination if continued concerns relating to COVID-19 continue to restrict travel, limit the ability to have meetings with potential investors or the target company’s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target business with which we ultimately consummate a business combination, may be materially adversely affected.</w:t>
      </w:r>
    </w:p>
    <w:p>
      <w:pPr>
        <w:spacing w:after="0" w:line="162" w:lineRule="exact"/>
        <w:rPr>
          <w:sz w:val="20"/>
          <w:szCs w:val="20"/>
          <w:color w:val="auto"/>
        </w:rPr>
      </w:pPr>
    </w:p>
    <w:p>
      <w:pPr>
        <w:jc w:val="both"/>
        <w:ind w:right="200"/>
        <w:spacing w:after="0" w:line="238" w:lineRule="auto"/>
        <w:rPr>
          <w:sz w:val="20"/>
          <w:szCs w:val="20"/>
          <w:color w:val="auto"/>
        </w:rPr>
      </w:pPr>
      <w:r>
        <w:rPr>
          <w:rFonts w:ascii="Arial" w:cs="Arial" w:eastAsia="Arial" w:hAnsi="Arial"/>
          <w:sz w:val="17"/>
          <w:szCs w:val="17"/>
          <w:color w:val="auto"/>
        </w:rPr>
        <w:t>In addition, our ability to consummate a transaction may be dependent on the ability to raise equity and debt financing which may be impacted by COVID-19 and other events, including as a result of increased market volatility, decreased market liquidity and third-party financing being unavailable on terms acceptable to us or at all.</w:t>
      </w:r>
    </w:p>
    <w:p>
      <w:pPr>
        <w:spacing w:after="0" w:line="147"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Finally, the outbreak of COVID-19 may also have the effect of heightening many of the other risks described in this “Risk Factors” section, such as those related to the market for our securities and cross-border transactions.</w:t>
      </w:r>
    </w:p>
    <w:p>
      <w:pPr>
        <w:spacing w:after="0" w:line="43" w:lineRule="exact"/>
        <w:rPr>
          <w:sz w:val="20"/>
          <w:szCs w:val="20"/>
          <w:color w:val="auto"/>
        </w:rPr>
      </w:pPr>
    </w:p>
    <w:p>
      <w:pPr>
        <w:ind w:right="200"/>
        <w:spacing w:after="0" w:line="249" w:lineRule="auto"/>
        <w:rPr>
          <w:sz w:val="20"/>
          <w:szCs w:val="20"/>
          <w:color w:val="auto"/>
        </w:rPr>
      </w:pPr>
      <w:r>
        <w:rPr>
          <w:rFonts w:ascii="Arial" w:cs="Arial" w:eastAsia="Arial" w:hAnsi="Arial"/>
          <w:sz w:val="17"/>
          <w:szCs w:val="17"/>
          <w:b w:val="1"/>
          <w:bCs w:val="1"/>
          <w:color w:val="auto"/>
        </w:rPr>
        <w:t>We may not be able to consummate an initial business combination within 24 months after the closing of this offering, in which case we would cease all operations except for the purpose of winding up and we would redeem our public shares and liquidate.</w:t>
      </w:r>
    </w:p>
    <w:p>
      <w:pPr>
        <w:spacing w:after="0" w:line="6"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may not be able to find a suitable target business and consummate an initial business combination within 24 months after the closing of this offering. Our ability to complete our initial business combination may be negatively impacted by general market conditions, volatility in the capital and debt markets and the other risks described herein. For example, the outbreak of COVID-19 continues to grow both in the U.S. and globally and, while the extent of the impact of the outbreak on us will depend on future developments, it could limit our ability to complete our initial business combination, including as a result of increased market volatility, decreased market liquidity and third-party financing being unavailable on terms acceptable to us or at all. Additionally, the COVID-19 outbreak may negatively impact businesses we may seek to acquire.</w:t>
      </w:r>
    </w:p>
    <w:p>
      <w:pPr>
        <w:spacing w:after="0" w:line="163"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If we have not consummated an initial business combination within such applicable time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the requirements of other applicable law. Our amended and restated memorandum and articles of association will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 In either such case, our public shareholders may receive only $10.00 per public share, or less than $10.00 per public share, on the redemption of their shares. See “— If third parties bring claims against us, the proceeds held in the trust account could be reduced and the per-share redemption amount received by shareholders may be less than $10.00 per public share” and other risk factors herein.</w:t>
      </w:r>
    </w:p>
    <w:p>
      <w:pPr>
        <w:spacing w:after="0" w:line="51"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b w:val="1"/>
          <w:bCs w:val="1"/>
          <w:color w:val="auto"/>
        </w:rPr>
        <w:t>If we seek shareholder approval of our initial business combination, our sponsor, directors, executive officers, advisors and their affiliates may elect to purchase public shares, which may influence a vote on a proposed business combination and reduce the public “float” of our Class A ordinary shares.</w:t>
      </w:r>
    </w:p>
    <w:p>
      <w:pPr>
        <w:spacing w:after="0" w:line="6" w:lineRule="exact"/>
        <w:rPr>
          <w:sz w:val="20"/>
          <w:szCs w:val="20"/>
          <w:color w:val="auto"/>
        </w:rPr>
      </w:pPr>
    </w:p>
    <w:p>
      <w:pPr>
        <w:ind w:right="180"/>
        <w:spacing w:after="0" w:line="234"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sponsor, directors, executive officers, advisors or their affiliates may purchase public shares in privately negotiated transactions or in the open market either prior to or following the completion of our initial business combination, although they are under no obligation to do so. However, other than as expressly stated herein, they have no current commitments, plans or intentions to engage in such transactions and have not formulated any terms or conditions for any such transactions. None of the funds in the trust account will be used to purchase public shares in such transactions.</w:t>
      </w:r>
    </w:p>
    <w:p>
      <w:pPr>
        <w:spacing w:after="0" w:line="164"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In the event that our sponsor, directors, executive officers, advisors or their affiliates purchase shares in privately negotiated transactions from public shareholders who have already elected to exercise their redemption rights, such selling shareholders would be required to revoke their prior elections to redeem their shares. The purpose of any such transaction could be to (1) vote in favor of the business combination and thereby increase the likelihood of obtaining shareholder approval of the business combination or (2) satisfy a closing condition in an agreement with a target that requires us to have a minimum net worth or a certain amount of cash at the closing of our initial business combination, where it appears that such requirement would otherwise not be met. Any such purchases of our securities may result in the completion of our initial business combination that may not otherwise have been possible. In addition, if such purchases are made, the public “float” of our Class A ordinary shares may be reduced and the number of beneficial holders of our securities may be reduced, which may make it difficult to maintain or obtain the quotation, listing or trading of our securities on a national securities exchange. Any such purchases will be reported pursuant to Section 13 and Section 16 of the Exchange Act to the extent such purchasers are subject to such reporting requirements. See “Proposed Business — Permitted Purchases and Other Transactions with Respect to Our Securities” for a description of how our sponsor, directors, executive officers, advisors or their affiliates will select which shareholders to purchase securities from in any private transaction.</w:t>
      </w:r>
    </w:p>
    <w:p>
      <w:pPr>
        <w:spacing w:after="0" w:line="36"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b w:val="1"/>
          <w:bCs w:val="1"/>
          <w:color w:val="auto"/>
        </w:rPr>
        <w:t>If a shareholder fails to receive notice of our offer to redeem our public shares in connection with our initial business combination, or fails to comply with the procedures for tendering its shares, such shares may not be redeemed.</w:t>
      </w:r>
    </w:p>
    <w:p>
      <w:pPr>
        <w:spacing w:after="0" w:line="19"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We will comply with the proxy rules or tender offer rules, as applicable, when conducting redemptions in connection with our initial business combination. Despite our compliance with these rules, if a shareholder fails to receive our proxy solicitation or tender offer materials, as applicable, such shareholder may not become aware of the opportunity to redeem its shares. In addition, the proxy solicitation or tender offer materials, as applicable, that we will furnish to holders of our public shares in connection with our initial business combination will describe the various procedures that must be complied with in order to validly redeem or tender public shares. In the event that a shareholder fails to comply with these procedures, its shares may not be redeemed. See “Proposed Business — Effecting Our Initial Business Combination — Tendering Share Certificates in Connection with a Tender Offer or Redemption Rights.”</w:t>
      </w:r>
    </w:p>
    <w:p>
      <w:pPr>
        <w:spacing w:after="0" w:line="35" w:lineRule="exact"/>
        <w:rPr>
          <w:sz w:val="20"/>
          <w:szCs w:val="20"/>
          <w:color w:val="auto"/>
        </w:rPr>
      </w:pPr>
    </w:p>
    <w:p>
      <w:pPr>
        <w:jc w:val="both"/>
        <w:ind w:right="860"/>
        <w:spacing w:after="0" w:line="249" w:lineRule="auto"/>
        <w:rPr>
          <w:sz w:val="20"/>
          <w:szCs w:val="20"/>
          <w:color w:val="auto"/>
        </w:rPr>
      </w:pPr>
      <w:r>
        <w:rPr>
          <w:rFonts w:ascii="Arial" w:cs="Arial" w:eastAsia="Arial" w:hAnsi="Arial"/>
          <w:sz w:val="17"/>
          <w:szCs w:val="17"/>
          <w:b w:val="1"/>
          <w:bCs w:val="1"/>
          <w:color w:val="auto"/>
        </w:rPr>
        <w:t>You will not have any rights or interests in funds from the trust account, except under certain limited circumstances. Therefore, to liquidate your investment, you may be forced to sell your public shares, potentially at a loss.</w:t>
      </w:r>
    </w:p>
    <w:p>
      <w:pPr>
        <w:spacing w:after="0" w:line="19"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Our public shareholders will be entitled to receive funds from the trust account only upon the earlier to occur of: (i) our completion of an initial business combination, and then only in connection with those Class A ordinary shares that such</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shareholder properly elected to redeem, subject to the limitations described herein, (ii) the redemption of any public shares properly tendered in connection with a shareholder vote to amend our amended and restated memorandum and articles of association (A) to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 and</w:t>
      </w:r>
    </w:p>
    <w:p>
      <w:pPr>
        <w:ind w:firstLine="8"/>
        <w:spacing w:after="0" w:line="234" w:lineRule="auto"/>
        <w:tabs>
          <w:tab w:leader="none" w:pos="275"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redemption of our public shares if we have not consummated an initial business within 24 months from the closing of this offering, subject to applicable law and as further described herein. Public shareholders who redeem their Class A ordinary shares in connection with a shareholder vote described in clause (ii) in the preceding sentence shall not be entitled to funds from the trust account upon the subsequent completion of an initial business combination or liquidation if we have not consummated an initial business combination within 24 months from the closing of this offering, with respect to such Class A ordinary shares so redeemed. In no other circumstances will a shareholder have any right or interest of any kind to or in the trust account. Accordingly, to liquidate your investment, you may be forced to sell your public shares, potentially at a loss.</w:t>
      </w:r>
    </w:p>
    <w:p>
      <w:pPr>
        <w:spacing w:after="0" w:line="48" w:lineRule="exact"/>
        <w:rPr>
          <w:sz w:val="20"/>
          <w:szCs w:val="20"/>
          <w:color w:val="auto"/>
        </w:rPr>
      </w:pPr>
    </w:p>
    <w:p>
      <w:pPr>
        <w:ind w:right="420"/>
        <w:spacing w:after="0" w:line="260" w:lineRule="auto"/>
        <w:rPr>
          <w:sz w:val="20"/>
          <w:szCs w:val="20"/>
          <w:color w:val="auto"/>
        </w:rPr>
      </w:pPr>
      <w:r>
        <w:rPr>
          <w:rFonts w:ascii="Arial" w:cs="Arial" w:eastAsia="Arial" w:hAnsi="Arial"/>
          <w:sz w:val="17"/>
          <w:szCs w:val="17"/>
          <w:b w:val="1"/>
          <w:bCs w:val="1"/>
          <w:color w:val="auto"/>
        </w:rPr>
        <w:t>Nasdaq may delist our securities from trading on its exchange, which could limit investors’ ability to make transactions in our securities and subject us to additional trading restrictions.</w:t>
      </w:r>
    </w:p>
    <w:p>
      <w:pPr>
        <w:spacing w:after="0" w:line="1"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We intend to apply to have our shares listed on Nasdaq on the date of this prospectus. Although after giving effect to this offering we expect to meet, on a pro forma basis, the minimum initial listing standards set forth in Nasdaq’s listing standards, our securities may not be, or may not continue to be, listed on Nasdaq in the future or prior to the completion of our initial business combination. In order to continue listing our securities on Nasdaq prior to the completion of our initial business combination, we must maintain certain financial, distribution and share price levels. Generally, we must maintain a minimum amount in shareholders’ equity (generally $2,500,000) and a minimum number of holders of our securities (generally 300 public holders). Additionally, in connection with our initial business combination, we will be required to demonstrate compliance with Nasdaq’s initial listing requirements, which are more rigorous than Nasdaq’s continued listing requirements, in order to continue to maintain the listing of our securities on Nasdaq. For instance, the share price of our securities would generally be required to be at least $4.00 per share and our shareholders’ equity would generally be required to be at least $5,000,000 and we would be required to have a minimum of 300 round-lot holders (with at least 50% of such round lot holders holding securities with a market value of at least $2,500). We may not be able to meet those initial listing requirements at that time.</w:t>
      </w:r>
    </w:p>
    <w:p>
      <w:pPr>
        <w:spacing w:after="0" w:line="165" w:lineRule="exact"/>
        <w:rPr>
          <w:sz w:val="20"/>
          <w:szCs w:val="20"/>
          <w:color w:val="auto"/>
        </w:rPr>
      </w:pPr>
    </w:p>
    <w:p>
      <w:pPr>
        <w:ind w:right="240"/>
        <w:spacing w:after="0" w:line="238" w:lineRule="auto"/>
        <w:rPr>
          <w:sz w:val="20"/>
          <w:szCs w:val="20"/>
          <w:color w:val="auto"/>
        </w:rPr>
      </w:pPr>
      <w:r>
        <w:rPr>
          <w:rFonts w:ascii="Arial" w:cs="Arial" w:eastAsia="Arial" w:hAnsi="Arial"/>
          <w:sz w:val="17"/>
          <w:szCs w:val="17"/>
          <w:color w:val="auto"/>
        </w:rPr>
        <w:t>If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spacing w:after="0" w:line="9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 limited availability of market quotations for our securities;</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reduced liquidity for our securities;</w:t>
      </w:r>
    </w:p>
    <w:p>
      <w:pPr>
        <w:spacing w:after="0" w:line="102" w:lineRule="exact"/>
        <w:rPr>
          <w:sz w:val="20"/>
          <w:szCs w:val="20"/>
          <w:color w:val="auto"/>
        </w:rPr>
      </w:pPr>
    </w:p>
    <w:p>
      <w:pPr>
        <w:ind w:left="580" w:right="300"/>
        <w:spacing w:after="0" w:line="238" w:lineRule="auto"/>
        <w:rPr>
          <w:sz w:val="20"/>
          <w:szCs w:val="20"/>
          <w:color w:val="auto"/>
        </w:rPr>
      </w:pPr>
      <w:r>
        <w:rPr>
          <w:rFonts w:ascii="Arial" w:cs="Arial" w:eastAsia="Arial" w:hAnsi="Arial"/>
          <w:sz w:val="17"/>
          <w:szCs w:val="17"/>
          <w:color w:val="auto"/>
        </w:rPr>
        <w:t>a determination that our Class A ordinary shares are a “penny stock” which will require brokers trading in our Class A ordinary shares to adhere to more stringent rules and possibly result in a reduced level of trading activity in the secondary trading market for our securities;</w:t>
      </w:r>
    </w:p>
    <w:p>
      <w:pPr>
        <w:spacing w:after="0" w:line="9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 limited amount of news and analyst coverage; and</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 decreased ability to issue additional securities or obtain additional financing in the future.</w:t>
      </w:r>
    </w:p>
    <w:p>
      <w:pPr>
        <w:spacing w:after="0" w:line="169"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The National Securities Markets Improvement Act of 1996, which is a federal statute, prevents or preempts the states from regulating the sale of certain securities, which are referred to as “covered securities.” Because we expect that our Class A ordinary shares will be listed on Nasdaq, our Class A ordinary shares will qualify as covered securities under the statute. Although the states are preempted from regulating the sale of covered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threaten to use these powers, to hinder the sale of securities of blank check companies in their states. Further, if we were no longer listed on Nasdaq, our shares would not qualify as covered securities under the statute and we would be subject to regulation in each state in which we offer our shares.</w:t>
      </w:r>
    </w:p>
    <w:p>
      <w:pPr>
        <w:spacing w:after="0" w:line="46" w:lineRule="exact"/>
        <w:rPr>
          <w:sz w:val="20"/>
          <w:szCs w:val="20"/>
          <w:color w:val="auto"/>
        </w:rPr>
      </w:pPr>
    </w:p>
    <w:p>
      <w:pPr>
        <w:ind w:right="420"/>
        <w:spacing w:after="0" w:line="244" w:lineRule="auto"/>
        <w:rPr>
          <w:sz w:val="20"/>
          <w:szCs w:val="20"/>
          <w:color w:val="auto"/>
        </w:rPr>
      </w:pPr>
      <w:r>
        <w:rPr>
          <w:rFonts w:ascii="Arial" w:cs="Arial" w:eastAsia="Arial" w:hAnsi="Arial"/>
          <w:sz w:val="17"/>
          <w:szCs w:val="17"/>
          <w:b w:val="1"/>
          <w:bCs w:val="1"/>
          <w:color w:val="auto"/>
        </w:rPr>
        <w:t>Since only holders of our founder shares will have the right to vote on the election of directors prior to our initial business combination, Nasdaq may consider us to be a “controlled company” within the meaning of Nasdaq’s rules and, as a result, we may qualify for exemptions from certain corporate governance requirements that would otherwise provide protection to shareholders of other companies.</w:t>
      </w:r>
    </w:p>
    <w:p>
      <w:pPr>
        <w:spacing w:after="0" w:line="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After completion of this offering, only holders of our founder shares will have the right to vote on the election of directors. As a result, Nasdaq may consider us to be a “controlled company” within the meaning of Nasdaq’s corporate governance standards. Under Nasdaq corporate governance standards, a company of which more than 50% of the voting power for the election of directors is held by an individual, a group or another company is a “controlled company” and may elect not to comply with certain corporate governance requirements, including the requirements that:</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we have a board that includes a majority of “independent directors,” as defined under Nasdaq rules;</w:t>
      </w:r>
    </w:p>
    <w:p>
      <w:pPr>
        <w:spacing w:after="0" w:line="102" w:lineRule="exact"/>
        <w:rPr>
          <w:sz w:val="20"/>
          <w:szCs w:val="20"/>
          <w:color w:val="auto"/>
        </w:rPr>
      </w:pPr>
    </w:p>
    <w:p>
      <w:pPr>
        <w:ind w:left="580" w:right="480"/>
        <w:spacing w:after="0" w:line="243" w:lineRule="auto"/>
        <w:rPr>
          <w:sz w:val="20"/>
          <w:szCs w:val="20"/>
          <w:color w:val="auto"/>
        </w:rPr>
      </w:pPr>
      <w:r>
        <w:rPr>
          <w:rFonts w:ascii="Arial" w:cs="Arial" w:eastAsia="Arial" w:hAnsi="Arial"/>
          <w:sz w:val="17"/>
          <w:szCs w:val="17"/>
          <w:color w:val="auto"/>
        </w:rPr>
        <w:t>we have a compensation committee of our board that is comprised entirely of independent directors with a written charter addressing the committee’s purpose and responsibilities; and</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we have independent director oversight of our director nominations.</w:t>
      </w:r>
    </w:p>
    <w:p>
      <w:pPr>
        <w:spacing w:after="0" w:line="169" w:lineRule="exact"/>
        <w:rPr>
          <w:sz w:val="20"/>
          <w:szCs w:val="20"/>
          <w:color w:val="auto"/>
        </w:rPr>
      </w:pPr>
    </w:p>
    <w:p>
      <w:pPr>
        <w:ind w:right="440"/>
        <w:spacing w:after="0" w:line="236" w:lineRule="auto"/>
        <w:rPr>
          <w:sz w:val="20"/>
          <w:szCs w:val="20"/>
          <w:color w:val="auto"/>
        </w:rPr>
      </w:pPr>
      <w:r>
        <w:rPr>
          <w:rFonts w:ascii="Arial" w:cs="Arial" w:eastAsia="Arial" w:hAnsi="Arial"/>
          <w:sz w:val="17"/>
          <w:szCs w:val="17"/>
          <w:color w:val="auto"/>
        </w:rPr>
        <w:t>We do not intend to utilize these exemptions and intend to comply with the corporate governance requirements of Nasdaq, subject to applicable phase-in rules. However, if we determine in the future to utilize some or all of these exemptions, you will not have the same protections afforded to shareholders of companies that are subject to all of Nasdaq’s corporate governance requirements.</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You will not be entitled to protections normally afforded to investors of many other blank check companies.</w:t>
      </w:r>
    </w:p>
    <w:p>
      <w:pPr>
        <w:spacing w:after="0" w:line="41"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Since the net proceeds of this offering and the sale of the private placement shares are intended to be used to complete an initial business combination with a target business that has not been selected, we may be deemed to be a “blank check” company under the United States securities laws. However, because we will have net tangible assets in excess of $5,000,000 upon the completion of this offering and the sale of the private placement shares and will file a Current Report on Form 8-K,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our shares will be immediately tradable and we will have a longer period of time to complete our initial business combination than do companies subject to Rule 419. Moreover, if this offering were subject to Rule 419, that rule would prohibit the release of any interest earned on funds held in the trust account to us unless and until the funds in the trust account were released to us in connection with our completion of an initial business combination. For a more detailed comparison of our offering to offerings that comply with Rule 419, please see “Proposed Business — Comparison of This Offering to Those of Blank Check Companies Subject to Rule 419.”</w:t>
      </w:r>
    </w:p>
    <w:p>
      <w:pPr>
        <w:spacing w:after="0" w:line="51"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b w:val="1"/>
          <w:bCs w:val="1"/>
          <w:color w:val="auto"/>
        </w:rPr>
        <w:t>If we seek shareholder approval of our initial business combination and we do not conduct redemptions pursuant to the tender offer rules, and if you or a “group” of shareholders are deemed to hold in excess of 15% of our Class A ordinary shares, you will lose the ability to redeem all such shares in excess of 15% of our Class A ordinary shares.</w:t>
      </w:r>
    </w:p>
    <w:p>
      <w:pPr>
        <w:spacing w:after="0" w:line="8"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seeking redemption rights with respect to more than an aggregate of 15% of the shares sold in this offering, which we refer to as the “Excess Shares,” without our prior consent. However, we would not be restricting our shareholders’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15% and, in order to dispose of such shares, would be required to sell your shares in open market transactions, potentially at a loss.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19"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b w:val="1"/>
          <w:bCs w:val="1"/>
          <w:color w:val="auto"/>
        </w:rPr>
        <w:t>Because of our limited resources and the significant competition for business combination opportunities, it may be more difficult for us to complete our initial business combination. If we do not complete our initial business combination within the required time period, our public shareholders may receive only approximately $10.00 per public share, or less in certain circumstances, on the liquidation of our trust account.</w:t>
      </w:r>
    </w:p>
    <w:p>
      <w:pPr>
        <w:spacing w:after="0" w:line="22"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We expect to encounter intense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well-established and have extensive experience in identifying and effecting, directly or indirectly, acquisitions of companies operating in or providing services to various industries. Many of these competitors possess greater technical, human and other resources or more local industry knowledge than we do and our financial resources will be relatively limited when contrasted with those of many of these competitors. While we believe there are numerous target businesses we could potentially acquire with the net proceeds of this offering and the sale of the private placement shares,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we are obligated to offer holders of our public shares the right to redeem their shares for cash at the time of our initial business combination in conjunction with a shareholder vote or via a tender offer. Target companies will be aware that this may reduce the resources available to us for our initial business combination. Any of these obligations may place us at a competitive disadvantage in successfully negotiating a business combination. If we have not consummated our initial business combination within the required time period, our public shareholders may receive only approximately $10.00 per public share, or less in certain circumstances, on the liquidation of our trust account. See “— If third parties bring claims against us, the proceeds held in the trust account could be reduced and the per-share redemption amount received by shareholders may be less than $10.00 per public share” and other risk factors herein.</w:t>
      </w:r>
    </w:p>
    <w:p>
      <w:pPr>
        <w:spacing w:after="0" w:line="33"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b w:val="1"/>
          <w:bCs w:val="1"/>
          <w:color w:val="auto"/>
        </w:rPr>
        <w:t>If the net proceeds of this offering and the sale of the private placement shares not being held in the trust account are insufficient to allow us to operate for the 24 months following the closing of this offering, it could limit the amount available to fund our search for a target business or businesses and complete our initial business combination, and we will depend on loans from our sponsor or management team to fund our search and to complete our initial business combination.</w:t>
      </w:r>
    </w:p>
    <w:p>
      <w:pPr>
        <w:spacing w:after="0" w:line="24" w:lineRule="exact"/>
        <w:rPr>
          <w:sz w:val="20"/>
          <w:szCs w:val="20"/>
          <w:color w:val="auto"/>
        </w:rPr>
      </w:pPr>
    </w:p>
    <w:p>
      <w:pPr>
        <w:ind w:right="80"/>
        <w:spacing w:after="0" w:line="233" w:lineRule="auto"/>
        <w:rPr>
          <w:sz w:val="20"/>
          <w:szCs w:val="20"/>
          <w:color w:val="auto"/>
        </w:rPr>
      </w:pPr>
      <w:r>
        <w:rPr>
          <w:rFonts w:ascii="Arial" w:cs="Arial" w:eastAsia="Arial" w:hAnsi="Arial"/>
          <w:sz w:val="17"/>
          <w:szCs w:val="17"/>
          <w:color w:val="auto"/>
        </w:rPr>
        <w:t>Of the net proceeds of this offering and the sale of the private placement shares, only $1,000,000 will be available to us initially outside the trust account to fund our working capital requirements. We believe that, upon the closing of this offering, the funds available to us outside of the trust account, together with funds available from loans from our sponsor, members of our management team or any of their affiliates will be sufficient to allow us to operate for at least the 24 months following the closing of this offering; however, our estimate may not be accurate, and our sponsor, members of our management team or any of their affiliates are under no obligation to advance funds to us in such circumstances. Of the funds available to us, we expect to use a portion of the funds available to us to pay fees to consultants to assist us with our search for a target business. We could also use a portion of the funds as a down payment or to fund a “no-shop” provision (a provision in letters of intent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 letter of intent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w:t>
      </w:r>
    </w:p>
    <w:p>
      <w:pPr>
        <w:spacing w:after="0" w:line="165"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In the event that our offering expenses exceed our estimate of $1,000,000, we may fund such excess with funds not to be held in the trust account. In such case, unless funded by the proceeds of loans available from our sponsor, members of our management team or any of their affiliates,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 The amount held in the trust account will not be impacted as a result of such increase or decrease. If we are required to seek additional capital, we would need to borrow funds from our sponsor, members of our management team or any of their affiliates or other third parties to operate or may be forced to liquidate. Neither our sponsor, members of our management team nor any of their affiliates is under any obligation to advance funds to us in such circumstances. Any such advances may be repaid only from funds held outside the trust account or from funds released to us upon completion of our initial business combination. Up to $1,500,000 of such loans may be convertible into shares of the post-business combination entity at a price of $10.00 per share at the option of the lender. The shares would be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identical to the private placement shares. Prior to the completion of our initial business combination, we do not expect to seek loans from parties other than our sponsor, members of our management team or any of their affiliates as we do not believe third parties will be willing to loan such funds and provide a waiver against any and all rights to seek access to funds in our trust account. If we do not complete our initial business combination within the required time period because we do not have sufficient funds available to us, we will be forced to cease operations and liquidate the trust account. Consequently, our public shareholders may only receive an estimated $10.00 per public share, or possibly less, on our redemption of our public shares. See “— If third parties bring claims against us, the proceeds held in the trust account could be reduced and the per-share redemption amount received by shareholders may be less than $10.00 per public share” and other risk factors herein.</w:t>
      </w:r>
    </w:p>
    <w:p>
      <w:pPr>
        <w:spacing w:after="0" w:line="47" w:lineRule="exact"/>
        <w:rPr>
          <w:sz w:val="20"/>
          <w:szCs w:val="20"/>
          <w:color w:val="auto"/>
        </w:rPr>
      </w:pPr>
    </w:p>
    <w:p>
      <w:pPr>
        <w:jc w:val="both"/>
        <w:ind w:right="180"/>
        <w:spacing w:after="0" w:line="244" w:lineRule="auto"/>
        <w:rPr>
          <w:sz w:val="20"/>
          <w:szCs w:val="20"/>
          <w:color w:val="auto"/>
        </w:rPr>
      </w:pPr>
      <w:r>
        <w:rPr>
          <w:rFonts w:ascii="Arial" w:cs="Arial" w:eastAsia="Arial" w:hAnsi="Arial"/>
          <w:sz w:val="17"/>
          <w:szCs w:val="17"/>
          <w:b w:val="1"/>
          <w:bCs w:val="1"/>
          <w:color w:val="auto"/>
        </w:rPr>
        <w:t>Subsequent to our completion of our initial business combination, we may be required to take write-downs or write-offs, restructuring and impairment or other charges that could have a significant negative effect on our financial condition, results of operations and the share price of our securities, which could cause you to lose some or all of your investment.</w:t>
      </w:r>
    </w:p>
    <w:p>
      <w:pPr>
        <w:spacing w:after="0" w:line="8"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Even if we conduct due diligence on a target business with which we combine, this diligence may not surface all material issues with a particular target business. In addition, factors outside of the target business and outside of our control may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post-combination debt financing. Accordingly, any holders who choose to retain their securities following the business combination could suffer a reduction in the value of their securities. Such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49" w:lineRule="exact"/>
        <w:rPr>
          <w:sz w:val="20"/>
          <w:szCs w:val="20"/>
          <w:color w:val="auto"/>
        </w:rPr>
      </w:pPr>
    </w:p>
    <w:p>
      <w:pPr>
        <w:ind w:right="300"/>
        <w:spacing w:after="0" w:line="260" w:lineRule="auto"/>
        <w:rPr>
          <w:sz w:val="20"/>
          <w:szCs w:val="20"/>
          <w:color w:val="auto"/>
        </w:rPr>
      </w:pPr>
      <w:r>
        <w:rPr>
          <w:rFonts w:ascii="Arial" w:cs="Arial" w:eastAsia="Arial" w:hAnsi="Arial"/>
          <w:sz w:val="17"/>
          <w:szCs w:val="17"/>
          <w:b w:val="1"/>
          <w:bCs w:val="1"/>
          <w:color w:val="auto"/>
        </w:rPr>
        <w:t>If third parties bring claims against us, the proceeds held in the trust account could be reduced and the per-share redemption amount received by shareholders may be less than $10.00 per public share.</w:t>
      </w:r>
    </w:p>
    <w:p>
      <w:pPr>
        <w:spacing w:after="0" w:line="1"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Our placing of funds in the trust account may not protect those funds from third party claims against us. Although we will seek to have all vendors, service providers (excluding our independent registered public accounting firm), prospective target businesses and other entities with which we do business execute agreements with us waiving any right, title, interest or claim of any kind in or to any monies held in the trust account for the benefit of our public shareholders,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w:t>
      </w:r>
    </w:p>
    <w:p>
      <w:pPr>
        <w:spacing w:after="0" w:line="166"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have not consummated an initial business combination within 24 months from the closing of this offering, or upon the exercise of a redemption right in connection with our initial business combination, we will be required to provide for payment of claims of creditors that were not waived that may be brought against us within the 10 years following redemption. Accordingly, the per-share redemption amount received by public shareholders could be less than the $10.00 per public share initially held in the trust account, due to claims of such creditors. Pursuant to the letter</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 xml:space="preserve">agreement the form of which is filed as an exhibit to the registration statement of which this prospectus forms a part, our sponsor has agreed that it will be liable to us if and to the extent any claims by a third party (excluding our independent registered public accounting firm) for services rendered or products sold to us, or a prospective target business with which we have discussed entering into a transaction agreement, reduce the amounts in the trust account to below the lesser of (i) $10.00 per public share and (ii) the actual amount per share held in the trust account as of the date of the liquidation of the trust account if less than $10.00 per public share due to reductions in the value of the trust assets, in each case net of the interest that may be withdrawn to pay our tax obligations,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liability will not apply to any claims by a third party or prospective target business who executed a waiver of any and all rights to seek access to the trust account nor will it apply to any claims under our indemnity of the underwriters of this offering against certain liabilities, including liabilities under the Securities Act. Moreover, in the event that an executed waiver is deemed to be unenforceable against a third party, our sponsor will not be responsible to the extent of any liability for such third party claims. However, we have not asked our sponsor to reserve for such indemnification obligations, nor have we independently verified whether our sponsor has sufficient funds to satisfy its indemnity obligations and we believe that our sponsor’s only assets are securities of our company. Our sponsor may not be able to satisfy those obligations. None of our officers or directors will indemnify us for claims by third parties including, without limitation, claims by vendors and prospective target businesses.</w:t>
      </w:r>
    </w:p>
    <w:p>
      <w:pPr>
        <w:spacing w:after="0" w:line="49"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b w:val="1"/>
          <w:bCs w:val="1"/>
          <w:color w:val="auto"/>
        </w:rPr>
        <w:t>Our directors may decide not to enforce the indemnification obligations of our sponsor, resulting in a reduction in the amount of funds in the trust account available for distribution to our public shareholders.</w:t>
      </w:r>
    </w:p>
    <w:p>
      <w:pPr>
        <w:spacing w:after="0" w:line="1"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In the event that the proceeds in the trust account are reduced below the lesser of (i) $10.00 per public share and (ii) the actual amount per share held in the trust account as of the date of the liquidation of the trust account if less than $10.00 per public share due to reductions in the value of the trust assets, in each case net of the interest that may be withdrawn to pay our tax obligations,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our independent directors choose not to enforce these indemnification obligations, the amount of funds in the trust account available for distribution to our public shareholders may be reduced below $10.00 per public share.</w:t>
      </w:r>
    </w:p>
    <w:p>
      <w:pPr>
        <w:spacing w:after="0" w:line="53" w:lineRule="exact"/>
        <w:rPr>
          <w:sz w:val="20"/>
          <w:szCs w:val="20"/>
          <w:color w:val="auto"/>
        </w:rPr>
      </w:pPr>
    </w:p>
    <w:p>
      <w:pPr>
        <w:spacing w:after="0" w:line="249" w:lineRule="auto"/>
        <w:rPr>
          <w:sz w:val="20"/>
          <w:szCs w:val="20"/>
          <w:color w:val="auto"/>
        </w:rPr>
      </w:pPr>
      <w:r>
        <w:rPr>
          <w:rFonts w:ascii="Arial" w:cs="Arial" w:eastAsia="Arial" w:hAnsi="Arial"/>
          <w:sz w:val="17"/>
          <w:szCs w:val="17"/>
          <w:b w:val="1"/>
          <w:bCs w:val="1"/>
          <w:color w:val="auto"/>
        </w:rPr>
        <w:t>The securities in which we invest the funds held in the trust account could bear a negative rate of interest, which could reduce the value of the assets held in trust such that the per-share redemption amount received by public shareholders may be less than $10.00 per share.</w:t>
      </w:r>
    </w:p>
    <w:p>
      <w:pPr>
        <w:spacing w:after="0" w:line="6"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While short-term U.S. government treasury obligations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that we are unable to complete our initial business combination or make certain amendments to our amended and restated memorandum and articles of association, our public shareholders are entitled to receive their pro-rata share of the proceeds held in the trust account, plus any interest income, net of income taxes paid or payable (less, in the case we are unable to complete our initial business combination, $100,000 of interest to pay dissolution expenses). Negative interest rates could reduce the value of the assets held in trust such that the per-share redemption amount received by public shareholders may be less than $10.00 per share.</w:t>
      </w:r>
    </w:p>
    <w:p>
      <w:pPr>
        <w:spacing w:after="0" w:line="52"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b w:val="1"/>
          <w:bCs w:val="1"/>
          <w:color w:val="auto"/>
        </w:rPr>
        <w:t>If, after we distribute the proceeds in the trust account to our public shareholders, we file a bankruptcy petition or an involuntary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11"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If, after we distribute the proceeds in the trust account to our public shareholders, we file a bankruptcy petition or an involuntary bankruptcy petition is filed against us that is not dismissed, any distributions received by shareholders could be viewed under applicable debtor/creditor and/or bankruptcy laws as either a “preferential transfer” or a “fraudulent conveyance.” As a result, a bankruptcy court could seek to recover some or all amounts received by our shareholders.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In addition, our board of directors may be viewed as having breached its fiduciary duty to our creditors and/or having acted in bad faith, thereby exposing itself and us to claims of punitive damages, by paying public shareholders from the trust account prior to addressing the claims of creditors.</w:t>
      </w:r>
    </w:p>
    <w:p>
      <w:pPr>
        <w:spacing w:after="0" w:line="46"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b w:val="1"/>
          <w:bCs w:val="1"/>
          <w:color w:val="auto"/>
        </w:rPr>
        <w:t>If, before distributing the proceeds in the trust account to our public shareholders, we file a bankruptcy petition or an involuntary bankruptcy petition is filed against us that is not dismissed, the claims of creditors in such proceeding may have priority over the claims of our shareholders and the per -share amount that would otherwise be received by our shareholders in connection with our liquidation may be reduced.</w:t>
      </w:r>
    </w:p>
    <w:p>
      <w:pPr>
        <w:spacing w:after="0" w:line="8"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If, before distributing the proceeds in the trust account to our public shareholders,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the per-share amount that would otherwise be received by our shareholders in connection with our liquidation may be reduced.</w:t>
      </w:r>
    </w:p>
    <w:p>
      <w:pPr>
        <w:spacing w:after="0" w:line="47"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b w:val="1"/>
          <w:b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6" w:lineRule="exact"/>
        <w:rPr>
          <w:sz w:val="20"/>
          <w:szCs w:val="20"/>
          <w:color w:val="auto"/>
        </w:rPr>
      </w:pPr>
    </w:p>
    <w:p>
      <w:pPr>
        <w:ind w:right="300"/>
        <w:spacing w:after="0" w:line="243" w:lineRule="auto"/>
        <w:rPr>
          <w:sz w:val="20"/>
          <w:szCs w:val="20"/>
          <w:color w:val="auto"/>
        </w:rPr>
      </w:pPr>
      <w:r>
        <w:rPr>
          <w:rFonts w:ascii="Arial" w:cs="Arial" w:eastAsia="Arial" w:hAnsi="Arial"/>
          <w:sz w:val="17"/>
          <w:szCs w:val="17"/>
          <w:color w:val="auto"/>
        </w:rPr>
        <w:t>If we are deemed to be an investment company under the Investment Company Act, our activities may be restricted, including:</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restrictions on the nature of our investments; and</w:t>
      </w:r>
    </w:p>
    <w:p>
      <w:pPr>
        <w:spacing w:after="0" w:line="61" w:lineRule="exact"/>
        <w:rPr>
          <w:sz w:val="20"/>
          <w:szCs w:val="20"/>
          <w:color w:val="auto"/>
        </w:rPr>
      </w:pPr>
    </w:p>
    <w:p>
      <w:pPr>
        <w:ind w:left="580" w:right="640"/>
        <w:spacing w:after="0" w:line="243" w:lineRule="auto"/>
        <w:rPr>
          <w:sz w:val="20"/>
          <w:szCs w:val="20"/>
          <w:color w:val="auto"/>
        </w:rPr>
      </w:pPr>
      <w:r>
        <w:rPr>
          <w:rFonts w:ascii="Arial" w:cs="Arial" w:eastAsia="Arial" w:hAnsi="Arial"/>
          <w:sz w:val="17"/>
          <w:szCs w:val="17"/>
          <w:color w:val="auto"/>
        </w:rPr>
        <w:t>restrictions on the issuance of securities, each of which may make it difficult for us to complete our initial business combination.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In addition, we may have imposed upon us burdensome requirements, including:</w:t>
      </w:r>
    </w:p>
    <w:p>
      <w:pPr>
        <w:spacing w:after="0" w:line="6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registration as an investment company with the SEC;</w:t>
      </w:r>
    </w:p>
    <w:p>
      <w:pPr>
        <w:spacing w:after="0" w:line="75"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adoption of a specific form of corporate structure; and</w:t>
      </w:r>
    </w:p>
    <w:p>
      <w:pPr>
        <w:spacing w:after="0" w:line="61" w:lineRule="exact"/>
        <w:rPr>
          <w:sz w:val="20"/>
          <w:szCs w:val="20"/>
          <w:color w:val="auto"/>
        </w:rPr>
      </w:pPr>
    </w:p>
    <w:p>
      <w:pPr>
        <w:ind w:left="580" w:right="40"/>
        <w:spacing w:after="0" w:line="243" w:lineRule="auto"/>
        <w:rPr>
          <w:sz w:val="20"/>
          <w:szCs w:val="20"/>
          <w:color w:val="auto"/>
        </w:rPr>
      </w:pPr>
      <w:r>
        <w:rPr>
          <w:rFonts w:ascii="Arial" w:cs="Arial" w:eastAsia="Arial" w:hAnsi="Arial"/>
          <w:sz w:val="17"/>
          <w:szCs w:val="17"/>
          <w:color w:val="auto"/>
        </w:rPr>
        <w:t>reporting, record keeping, voting, proxy and disclosure requirements and other rules and regulations that we are currently not subject to.</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In order not to be regulated as an investment company under the Investment Company Act, unless we can qualify for an exclusion, we must ensure that we are engaged primarily in a business other than investing, reinvesting or trading of securities and that our activities do not include investing, reinvesting, owning, holding or trading “investment securities” constituting more than 40% of our assets (exclusive of U.S. government securities and cash items) on an unconsolidated basis. Our business will be to identify and complete a business combination and thereafter to operate the post-business combination business or assets for the long term. We do not plan to buy businesses or assets with a view to resale or profit from their resale. We do not plan to buy unrelated businesses or assets or to be a passive investor.</w:t>
      </w:r>
    </w:p>
    <w:p>
      <w:pPr>
        <w:spacing w:after="0" w:line="306"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This offering is not intended for persons who are seeking a return on investments in government securities or investment securities. The trust account is intended as a holding place for funds pending the earliest to occur of either: (i) the completion of our initial business combination; (ii) the redemption of any public shares properly tendered in connection with a shareholder vote to amend our amended and restated memorandum and articles of association (A) to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 and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20" w:firstLine="8"/>
        <w:spacing w:after="0" w:line="234" w:lineRule="auto"/>
        <w:tabs>
          <w:tab w:leader="none" w:pos="27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redemption of our public shares if we have not consummated an initial business within 24 months from the closing of this offering, subject to applicable law and as further described herein.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complete a business combination. If we do not complete our initial business combination within the required time period, our public shareholders may receive only approximately $10.00 per public share, or less in certain circumstances, on the liquidation of our trust account.</w:t>
      </w:r>
    </w:p>
    <w:p>
      <w:pPr>
        <w:spacing w:after="0" w:line="50"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b w:val="1"/>
          <w:b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6"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50" w:lineRule="exact"/>
        <w:rPr>
          <w:sz w:val="20"/>
          <w:szCs w:val="20"/>
          <w:color w:val="auto"/>
        </w:rPr>
      </w:pPr>
    </w:p>
    <w:p>
      <w:pPr>
        <w:ind w:right="320"/>
        <w:spacing w:after="0" w:line="249" w:lineRule="auto"/>
        <w:rPr>
          <w:sz w:val="20"/>
          <w:szCs w:val="20"/>
          <w:color w:val="auto"/>
        </w:rPr>
      </w:pPr>
      <w:r>
        <w:rPr>
          <w:rFonts w:ascii="Arial" w:cs="Arial" w:eastAsia="Arial" w:hAnsi="Arial"/>
          <w:sz w:val="17"/>
          <w:szCs w:val="17"/>
          <w:b w:val="1"/>
          <w:bCs w:val="1"/>
          <w:color w:val="auto"/>
        </w:rPr>
        <w:t>If we do not consummate an initial business combination within 24 months from the closing of this offering, our public shareholders may be forced to wait beyond such 24 months before redemption from our trust account.</w:t>
      </w:r>
    </w:p>
    <w:p>
      <w:pPr>
        <w:spacing w:after="0" w:line="6"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If we do not consummate an initial business combination within 24 months from the closing of this offering, the proceeds then on deposit in the trust account, including interest earned on the funds held in the trust account and not previously released to us to pay our income taxes, if any (less up to $100,000 of interest to pay dissolution expenses), will be used to fund the redemption of our public shares, as further described herein. Any redemption of public shareholders from the trust account will be effected automatically by function of our amended and restated memorandum and articles of association prior to any voluntary winding up. If we are required to wind up, liquidate the trust account and distribute such amount therein, pro rata, to our public shareholders, as part of any liquidation process, such winding up, liquidation and distribution must comply with the applicable provisions of the Companies Law. In that case, investors may be forced to wait beyond 24 months from the closing of this offering before the redemption proceeds of our trust account become available to them, and they receive the return of their pro rata portion of the proceeds from our trust account. We have no obligation to return funds to investors prior to the date of our redemption or liquidation unless, prior thereto, we consummate our initial business combination or amend certain provisions of our amended and restated memorandum and articles of association, and only then in cases where investors have sought to redeem their Class A ordinary shares. Only upon our redemption or any liquidation will public shareholders be entitled to distributions if we do not complete our initial business combination and do not amend certain provisions of our amended and restated memorandum and articles of association. Our amended and restated memorandum and articles of association will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spacing w:after="0" w:line="46" w:lineRule="exact"/>
        <w:rPr>
          <w:sz w:val="20"/>
          <w:szCs w:val="20"/>
          <w:color w:val="auto"/>
        </w:rPr>
      </w:pPr>
    </w:p>
    <w:p>
      <w:pPr>
        <w:spacing w:after="0" w:line="260" w:lineRule="auto"/>
        <w:rPr>
          <w:sz w:val="20"/>
          <w:szCs w:val="20"/>
          <w:color w:val="auto"/>
        </w:rPr>
      </w:pPr>
      <w:r>
        <w:rPr>
          <w:rFonts w:ascii="Arial" w:cs="Arial" w:eastAsia="Arial" w:hAnsi="Arial"/>
          <w:sz w:val="17"/>
          <w:szCs w:val="17"/>
          <w:b w:val="1"/>
          <w:bCs w:val="1"/>
          <w:color w:val="auto"/>
        </w:rPr>
        <w:t>Our shareholders may be held liable for claims by third parties against us to the extent of distributions received by them upon redemption of their shares.</w:t>
      </w:r>
    </w:p>
    <w:p>
      <w:pPr>
        <w:spacing w:after="0" w:line="1" w:lineRule="exact"/>
        <w:rPr>
          <w:sz w:val="20"/>
          <w:szCs w:val="20"/>
          <w:color w:val="auto"/>
        </w:rPr>
      </w:pPr>
    </w:p>
    <w:p>
      <w:pPr>
        <w:ind w:right="140"/>
        <w:spacing w:after="0" w:line="233" w:lineRule="auto"/>
        <w:rPr>
          <w:sz w:val="20"/>
          <w:szCs w:val="20"/>
          <w:color w:val="auto"/>
        </w:rPr>
      </w:pPr>
      <w:r>
        <w:rPr>
          <w:rFonts w:ascii="Arial" w:cs="Arial" w:eastAsia="Arial" w:hAnsi="Arial"/>
          <w:sz w:val="17"/>
          <w:szCs w:val="17"/>
          <w:color w:val="auto"/>
        </w:rPr>
        <w:t>If we are forced to enter into an insolvent liquidation, any distributions received by shareholders could be viewed as an unlawful payment if it was proved that immediately following the date on which the distribution was made, we were unable to pay our debts as they fall due in the ordinary course of business. As a result, a liquidator could seek to recover some or all amounts received by our shareholders. Furthermore, our directors may be viewed as having breached their fiduciary duties to us or our creditors and/or may have acted in bad faith, thereby exposing themselves and our company to claims, by paying public shareholders from the trust account prior to addressing the claims of creditors. Claims may be brought against us for these reasons. We and our directors and officers who knowingly and willfully authorized or permitted any distribution to be paid out of our share premium account while we were unable to pay our debts as they fall due in the ordinary course of business would be guilty of an offence and may be liable for a fine of $18,292.68 and imprisonment for five years in the Cayman Islands.</w:t>
      </w:r>
    </w:p>
    <w:p>
      <w:pPr>
        <w:spacing w:after="0" w:line="94" w:lineRule="exact"/>
        <w:rPr>
          <w:sz w:val="20"/>
          <w:szCs w:val="20"/>
          <w:color w:val="auto"/>
        </w:rPr>
      </w:pPr>
    </w:p>
    <w:p>
      <w:pPr>
        <w:ind w:right="620"/>
        <w:spacing w:after="0" w:line="267" w:lineRule="auto"/>
        <w:rPr>
          <w:sz w:val="20"/>
          <w:szCs w:val="20"/>
          <w:color w:val="auto"/>
        </w:rPr>
      </w:pPr>
      <w:r>
        <w:rPr>
          <w:rFonts w:ascii="Arial" w:cs="Arial" w:eastAsia="Arial" w:hAnsi="Arial"/>
          <w:sz w:val="17"/>
          <w:szCs w:val="17"/>
          <w:b w:val="1"/>
          <w:bCs w:val="1"/>
          <w:color w:val="auto"/>
        </w:rPr>
        <w:t>We may not hold an annual meeting of shareholders until after the consummation of our initial business combination.</w:t>
      </w:r>
    </w:p>
    <w:p>
      <w:pPr>
        <w:spacing w:after="0" w:line="4"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In accordance with Nasdaq corporate governance requirements, we are not required to hold an annual meeting until no later than one year after our first fiscal year end following our listing on Nasdaq. As an exempted company, there is no</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requirement under the Companies Law for us to hold annual or shareholder meetings to elect directors. Until we hold an annual meeting of shareholders, public shareholders may not be afforded the opportunity to elect directors and to discuss company affairs with management. Our board of directors is divided into three classes with only one class of directors being elected in each year and each class (except for those directors appointed prior to our first annual meeting of shareholders) serving a three-year term.</w:t>
      </w:r>
    </w:p>
    <w:p>
      <w:pPr>
        <w:spacing w:after="0" w:line="49" w:lineRule="exact"/>
        <w:rPr>
          <w:sz w:val="20"/>
          <w:szCs w:val="20"/>
          <w:color w:val="auto"/>
        </w:rPr>
      </w:pPr>
    </w:p>
    <w:p>
      <w:pPr>
        <w:ind w:right="180"/>
        <w:spacing w:after="0" w:line="260" w:lineRule="auto"/>
        <w:rPr>
          <w:sz w:val="20"/>
          <w:szCs w:val="20"/>
          <w:color w:val="auto"/>
        </w:rPr>
      </w:pPr>
      <w:r>
        <w:rPr>
          <w:rFonts w:ascii="Arial" w:cs="Arial" w:eastAsia="Arial" w:hAnsi="Arial"/>
          <w:sz w:val="17"/>
          <w:szCs w:val="17"/>
          <w:b w:val="1"/>
          <w:bCs w:val="1"/>
          <w:color w:val="auto"/>
        </w:rPr>
        <w:t>Holders of Class A ordinary shares will not be entitled to vote on any election of directors we hold prior to the completion of our initial business combination.</w:t>
      </w:r>
    </w:p>
    <w:p>
      <w:pPr>
        <w:spacing w:after="0" w:line="1"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Prior to the completion of our initial business combination, only holders of our founder shares will have the right to vote on the election of directors. Holders of our public shares will not be entitled to vote on the election of directors during such time. In addition, prior to the completion of an initial business combination, holders of a majority of our founder shares may remove a member of the board of directors for any reason. Accordingly, you may not have any say in the management of our company prior to the consummation of an initial business combination.</w:t>
      </w:r>
    </w:p>
    <w:p>
      <w:pPr>
        <w:spacing w:after="0" w:line="49" w:lineRule="exact"/>
        <w:rPr>
          <w:sz w:val="20"/>
          <w:szCs w:val="20"/>
          <w:color w:val="auto"/>
        </w:rPr>
      </w:pPr>
    </w:p>
    <w:p>
      <w:pPr>
        <w:jc w:val="both"/>
        <w:ind w:right="460"/>
        <w:spacing w:after="0" w:line="249" w:lineRule="auto"/>
        <w:rPr>
          <w:sz w:val="20"/>
          <w:szCs w:val="20"/>
          <w:color w:val="auto"/>
        </w:rPr>
      </w:pPr>
      <w:r>
        <w:rPr>
          <w:rFonts w:ascii="Arial" w:cs="Arial" w:eastAsia="Arial" w:hAnsi="Arial"/>
          <w:sz w:val="17"/>
          <w:szCs w:val="17"/>
          <w:b w:val="1"/>
          <w:bCs w:val="1"/>
          <w:color w:val="auto"/>
        </w:rPr>
        <w:t>The grant of registration rights to our initial shareholders may make it more difficult to complete our initial business combination, and the future exercise of such rights may adversely affect the market price of our Class A ordinary shares.</w:t>
      </w:r>
    </w:p>
    <w:p>
      <w:pPr>
        <w:spacing w:after="0" w:line="6"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Pursuant to an agreement to be entered into concurrently with the issuance and sale of the securities in this offering, our initial shareholders, and their permitted transferees can demand that we register the Class A ordinary shares into which founder shares are convertible and the private placement shares, including the private placement shares that may be issued upon conversion of working capital loans. The registration and availability of such a significant number of securities for trading in the public market may have an adverse effect on the market price of our Class A ordinary shares. In addition, the existence of the registration rights may make our initial business combination more costly or difficult to conclude. This is because the shareholders of the target business may increase the equity stake they seek in the combined entity or ask for more cash consideration to offset the negative impact on the market price of our securities that is expected when the securities owned by our initial shareholders or their permitted transferees are registered for resale.</w:t>
      </w:r>
    </w:p>
    <w:p>
      <w:pPr>
        <w:spacing w:after="0" w:line="53" w:lineRule="exact"/>
        <w:rPr>
          <w:sz w:val="20"/>
          <w:szCs w:val="20"/>
          <w:color w:val="auto"/>
        </w:rPr>
      </w:pPr>
    </w:p>
    <w:p>
      <w:pPr>
        <w:jc w:val="both"/>
        <w:ind w:right="480"/>
        <w:spacing w:after="0" w:line="249" w:lineRule="auto"/>
        <w:rPr>
          <w:sz w:val="20"/>
          <w:szCs w:val="20"/>
          <w:color w:val="auto"/>
        </w:rPr>
      </w:pPr>
      <w:r>
        <w:rPr>
          <w:rFonts w:ascii="Arial" w:cs="Arial" w:eastAsia="Arial" w:hAnsi="Arial"/>
          <w:sz w:val="17"/>
          <w:szCs w:val="17"/>
          <w:b w:val="1"/>
          <w:bCs w:val="1"/>
          <w:color w:val="auto"/>
        </w:rPr>
        <w:t>Because we are neither limited to evaluating a target business in a particular industry sector nor have we selected any specific target businesses with which to pursue our initial business combination, you will be unable to ascertain the merits or risks of any particular target business’s operations.</w:t>
      </w:r>
    </w:p>
    <w:p>
      <w:pPr>
        <w:spacing w:after="0" w:line="6"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We may pursue business combination opportunities in any sector, except that we will not, under our amended and restated memorandum and articles of association, be permitted to effectuate our initial business combination with another blank check company or similar company with nominal operations. Because we have not yet selected or approached any specific target business with respect to a business combination, there is no basis to evaluate the possible merits or risks of any particular target business’s operations, results of operations, cash flows, liquidity, financial condition or prospects. To the extent we complete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may not properly ascertain or assess all of the significant risk factors or that we will have adequate time to complete due diligence. Furthermore, some of these risks may be outside of our control and leave us with no ability to control or reduce the chances that those risks will adversely impact a target business. An investment in our Class A ordinary shares may not ultimately prove to be more favorable to investors than a direct investment, if such opportunity were available, in a business combination target. Accordingly, any holders who choose to retain their securities following our initial business combination could suffer a reduction in the value of their securities. Such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46"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b w:val="1"/>
          <w:bCs w:val="1"/>
          <w:color w:val="auto"/>
        </w:rPr>
        <w:t>Because we intend to seek a business combination with a target business in the healthcare industry, we expect our future operations to be subject to risks associated with this industry.</w:t>
      </w:r>
    </w:p>
    <w:p>
      <w:pPr>
        <w:spacing w:after="0" w:line="1" w:lineRule="exact"/>
        <w:rPr>
          <w:sz w:val="20"/>
          <w:szCs w:val="20"/>
          <w:color w:val="auto"/>
        </w:rPr>
      </w:pPr>
    </w:p>
    <w:p>
      <w:pPr>
        <w:ind w:right="400"/>
        <w:spacing w:after="0" w:line="243" w:lineRule="auto"/>
        <w:rPr>
          <w:sz w:val="20"/>
          <w:szCs w:val="20"/>
          <w:color w:val="auto"/>
        </w:rPr>
      </w:pPr>
      <w:r>
        <w:rPr>
          <w:rFonts w:ascii="Arial" w:cs="Arial" w:eastAsia="Arial" w:hAnsi="Arial"/>
          <w:sz w:val="17"/>
          <w:szCs w:val="17"/>
          <w:color w:val="auto"/>
        </w:rPr>
        <w:t>Because we intend to seek a business combination with a target business in the healthcare industry, we expect our future operations to be subject to risks associated with this industry.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Healthcare related companies are generally subject to greater governmental regulation than most other industries at the U.S. state and federal levels, and internationally. In recent years, both local and national governmental budgets have come under pressure to reduce spending and control healthcare costs, which could both adversely affect regulatory processes and public funding available for healthcare products, services and facilities. In March 2010, comprehensive healthcare reform legislation was enacted in the United States. These laws are intended to increase health insurance coverage through individual and employer mandates, subsidies offered to lower income individuals, tax credits available to smaller employers and broadening of Medicaid eligibility.</w:t>
      </w:r>
    </w:p>
    <w:p>
      <w:pPr>
        <w:spacing w:after="0" w:line="16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While one intent of healthcare reform is to expand health insurance coverage to more individuals, it may also involve additional regulatory mandates and other measures designed to constrain medical costs, including coverage and reimbursement for healthcare services. Healthcare reform has had a significant impact on the healthcare sector in the United States and consequently has the ability to affect companies within the healthcare industry. The ultimate effects of federal healthcare reform or any future legislation or regulation, or healthcare initiatives, if any, on the healthcare sector, whether implemented at the federal or state level or internationally, cannot be predicted with certainty and such reform, legislation, regulation or initiatives may adversely affect the performance of a potential business combination.</w:t>
      </w:r>
    </w:p>
    <w:p>
      <w:pPr>
        <w:spacing w:after="0" w:line="164" w:lineRule="exact"/>
        <w:rPr>
          <w:sz w:val="20"/>
          <w:szCs w:val="20"/>
          <w:color w:val="auto"/>
        </w:rPr>
      </w:pPr>
    </w:p>
    <w:p>
      <w:pPr>
        <w:ind w:right="180"/>
        <w:spacing w:after="0" w:line="233" w:lineRule="auto"/>
        <w:rPr>
          <w:sz w:val="20"/>
          <w:szCs w:val="20"/>
          <w:color w:val="auto"/>
        </w:rPr>
      </w:pPr>
      <w:r>
        <w:rPr>
          <w:rFonts w:ascii="Arial" w:cs="Arial" w:eastAsia="Arial" w:hAnsi="Arial"/>
          <w:sz w:val="17"/>
          <w:szCs w:val="17"/>
          <w:color w:val="auto"/>
        </w:rPr>
        <w:t>Changes in governmental policies may have a material effect on the demand for or costs of certain products and services. A healthcare related company must receive government approval before introducing new drugs and medical devices or procedures. This process may delay the introduction of these products and services to the marketplace, resulting in increased development costs, delayed cost recovery and loss of competitive advantage to the extent that rival companies have developed competing products or procedures, adversely affecting the company’s revenues and profitability. Failure to obtain governmental approval of a key drug or device or other regulatory action could have a material adverse effect on the business of a target company. Additionally, expansion of facilities by healthcare related providers is subject to “determinations of need” by the appropriate government authorities. This process not only increases the time and cost involved in these expansions, but also makes expansion plans uncertain, limiting the revenue and profitability growth potential of healthcare related facilities operators.</w:t>
      </w:r>
    </w:p>
    <w:p>
      <w:pPr>
        <w:spacing w:after="0" w:line="154"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Certain healthcare related companies depend on the exclusive rights or patents for the products they develop and distribute. Patents have a limited duration and, upon expiration, other companies may market substantially similar “generic” products that are typically sold at a lower price than the patented product, causing the original developer of the product to lose market share and/or reduce the price charged for the product, resulting in lower profits for the original developer. As a result, the expiration of patents may adversely affect the profitability of these companies. The profitability of healthcare related companies may also be affected, among other factors, by restrictions on government reimbursement for medical expenses, rising or falling costs of medical products and services, pricing pressure, an increased emphasis on outpatient services, a limited product offering, industry innovation, changes in technologies and other market developments. Finally, because the products and services of healthcare related companies affect the health and well-being of many individuals, these companies are especially susceptible to product liability lawsuits.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The healthcare industry spends heavily on research and development. Research findings (e.g., regarding side effects or comparative benefits of one or more particular treatments, services or products) and technological innovation (together with patent expirations) may make any particular treatment, service or product less attractive if previously unknown or underappreciated risks are revealed, or if a more effective, less costly or less risky solution is or becomes available. Any such development could have a material adverse effect on the companies that are target businesses for investment.</w:t>
      </w:r>
    </w:p>
    <w:p>
      <w:pPr>
        <w:spacing w:after="0" w:line="204" w:lineRule="exact"/>
        <w:rPr>
          <w:sz w:val="20"/>
          <w:szCs w:val="20"/>
          <w:color w:val="auto"/>
        </w:rPr>
      </w:pPr>
    </w:p>
    <w:p>
      <w:pPr>
        <w:ind w:right="680"/>
        <w:spacing w:after="0" w:line="267" w:lineRule="auto"/>
        <w:rPr>
          <w:sz w:val="20"/>
          <w:szCs w:val="20"/>
          <w:color w:val="auto"/>
        </w:rPr>
      </w:pPr>
      <w:r>
        <w:rPr>
          <w:rFonts w:ascii="Arial" w:cs="Arial" w:eastAsia="Arial" w:hAnsi="Arial"/>
          <w:sz w:val="17"/>
          <w:szCs w:val="17"/>
          <w:b w:val="1"/>
          <w:bCs w:val="1"/>
          <w:color w:val="auto"/>
        </w:rPr>
        <w:t>We may seek acquisition opportunities in industries or sectors which may or may not be outside of our management’s area of expertise.</w:t>
      </w:r>
    </w:p>
    <w:p>
      <w:pPr>
        <w:spacing w:after="0" w:line="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will consider a business combination outside of our management’s area of expertise if a business combination target is presented to us and we determine that such candidate offers an attractive acquisition opportunity for our company. Although our management will endeavor to evaluate the risks inherent in any particular business combination target, we may not adequately ascertain or assess all of the significant risk factors. We also cannot assure you that an investment in our Class A ordinary shares will not ultimately prove to be less favorable to investors in this offering than a direct investment, if an opportunity were available, in a business combination target. In the event we elect to pursue an acquisition outside of the areas of our management’s expertise, our management’s expertise may not be directly applicable to its evaluation or operation, and the information contained in this prospectus regarding the areas of our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management’s expertise would not be relevant to an understanding of the business that we elect to acquire. As a result, our management may not be able to adequately ascertain or assess all of the significant risk factors. Accordingly, any holders who choose to retain their securities following our initial business combination could suffer a reduction in the value of their securities. Such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48"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b w:val="1"/>
          <w:bCs w:val="1"/>
          <w:color w:val="auto"/>
        </w:rPr>
        <w:t>Although we have identified general criteria that we believe are important in evaluating prospective target businesses, we may enter into our initial business combination with a target that does not meet such criteria, and as a result, the target business with which we enter into our initial business combination may not have attributes entirely consistent with our general criteria.</w:t>
      </w:r>
    </w:p>
    <w:p>
      <w:pPr>
        <w:spacing w:after="0" w:line="8" w:lineRule="exact"/>
        <w:rPr>
          <w:sz w:val="20"/>
          <w:szCs w:val="20"/>
          <w:color w:val="auto"/>
        </w:rPr>
      </w:pPr>
    </w:p>
    <w:p>
      <w:pPr>
        <w:ind w:right="240"/>
        <w:spacing w:after="0" w:line="232" w:lineRule="auto"/>
        <w:rPr>
          <w:sz w:val="20"/>
          <w:szCs w:val="20"/>
          <w:color w:val="auto"/>
        </w:rPr>
      </w:pPr>
      <w:r>
        <w:rPr>
          <w:rFonts w:ascii="Arial" w:cs="Arial" w:eastAsia="Arial" w:hAnsi="Arial"/>
          <w:sz w:val="17"/>
          <w:szCs w:val="17"/>
          <w:color w:val="auto"/>
        </w:rPr>
        <w:t>Although we have identified general criteria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criteria, such combination may not be as successful as a combination with a business that does meet all of our general criteria. In addition, if we announce a prospective business combination with a target that does not meet our general criteria, a greater number of shareholders may exercise their redemption rights, which may make it difficult for us to meet any closing condition with a target business that requires us to have a minimum net worth or a certain amount of cash.</w:t>
      </w:r>
    </w:p>
    <w:p>
      <w:pPr>
        <w:ind w:right="60"/>
        <w:spacing w:after="0" w:line="235" w:lineRule="auto"/>
        <w:rPr>
          <w:sz w:val="20"/>
          <w:szCs w:val="20"/>
          <w:color w:val="auto"/>
        </w:rPr>
      </w:pPr>
      <w:r>
        <w:rPr>
          <w:rFonts w:ascii="Arial" w:cs="Arial" w:eastAsia="Arial" w:hAnsi="Arial"/>
          <w:sz w:val="17"/>
          <w:szCs w:val="17"/>
          <w:color w:val="auto"/>
        </w:rPr>
        <w:t>In addition, if shareholder approval of the transaction is required by applicable law or stock exchange rule, or we decide to obtain shareholder approval for business or other reasons, it may be more difficult for us to attain shareholder approval of our initial business combination if the target business does not meet our general criteria. If we do not complete our initial business combination within the required time period, our public shareholders may receive only approximately $10.00 per public share, or less in certain circumstances, on the liquidation of our trust account.</w:t>
      </w:r>
    </w:p>
    <w:p>
      <w:pPr>
        <w:spacing w:after="0" w:line="49" w:lineRule="exact"/>
        <w:rPr>
          <w:sz w:val="20"/>
          <w:szCs w:val="20"/>
          <w:color w:val="auto"/>
        </w:rPr>
      </w:pPr>
    </w:p>
    <w:p>
      <w:pPr>
        <w:jc w:val="both"/>
        <w:ind w:right="380"/>
        <w:spacing w:after="0" w:line="249" w:lineRule="auto"/>
        <w:rPr>
          <w:sz w:val="20"/>
          <w:szCs w:val="20"/>
          <w:color w:val="auto"/>
        </w:rPr>
      </w:pPr>
      <w:r>
        <w:rPr>
          <w:rFonts w:ascii="Arial" w:cs="Arial" w:eastAsia="Arial" w:hAnsi="Arial"/>
          <w:sz w:val="17"/>
          <w:szCs w:val="17"/>
          <w:b w:val="1"/>
          <w:bCs w:val="1"/>
          <w:color w:val="auto"/>
        </w:rPr>
        <w:t>We are not required to obtain an opinion from an independent accounting or investment banking firm, and consequently, you may have no assurance from an independent source that the price we are paying for the business is fair to our shareholders from a financial point of view.</w:t>
      </w:r>
    </w:p>
    <w:p>
      <w:pPr>
        <w:spacing w:after="0" w:line="6"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Unless we complete our initial business combination with an affiliated entity, we are not required to obtain an opinion from an independent accounting firm or independent investment banking firm which is a member of FINRA that the price we are paying is fair to our shareholders from a financial point of view. If no opinion is obtained, our shareholders will be relying on the judgment of our board of directors, who will determine fair market value based on standards generally accepted by the financial community. Such standards used will be disclosed in our proxy solicitation or tender offer materials, as applicable, related to our initial business combination.</w:t>
      </w:r>
    </w:p>
    <w:p>
      <w:pPr>
        <w:spacing w:after="0" w:line="47" w:lineRule="exact"/>
        <w:rPr>
          <w:sz w:val="20"/>
          <w:szCs w:val="20"/>
          <w:color w:val="auto"/>
        </w:rPr>
      </w:pPr>
    </w:p>
    <w:p>
      <w:pPr>
        <w:spacing w:after="0" w:line="239" w:lineRule="auto"/>
        <w:rPr>
          <w:sz w:val="20"/>
          <w:szCs w:val="20"/>
          <w:color w:val="auto"/>
        </w:rPr>
      </w:pPr>
      <w:r>
        <w:rPr>
          <w:rFonts w:ascii="Arial" w:cs="Arial" w:eastAsia="Arial" w:hAnsi="Arial"/>
          <w:sz w:val="17"/>
          <w:szCs w:val="17"/>
          <w:b w:val="1"/>
          <w:bCs w:val="1"/>
          <w:color w:val="auto"/>
        </w:rPr>
        <w:t>We may issue additional Class A ordinary shares or preference shares to complete our initial business combination or under an employee incentive plan after completion of our initial business combination. We may also issue Class A ordinary shares upon the conversion of the founder shares at a ratio greater than one-to-one at the time of our initial business combination as a result of the anti-dilution provisions contained in our amended and restated memorandum and articles of association. Any such issuances would dilute the interest of our shareholders and likely present other risks.</w:t>
      </w:r>
    </w:p>
    <w:p>
      <w:pPr>
        <w:spacing w:after="0" w:line="13"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Our amended and restated memorandum and articles of association will authorize the issuance of up to 479,000,000 Class A ordinary shares, par value $0.0001 per share, 20,000,000 Class B ordinary shares, par value $0.0001 per share, and 1,000,000 preference shares, par value $0.0001 per share. Immediately after this offering, there will be 466,050,000 and 16,875,000 (assuming in each case that the underwriters have not exercised their over-allotment option) authorized but unissued Class A ordinary shares and Class B ordinary shares, respectively, available for issuance which amount does not take into account shares issuable upon conversion of the Class B ordinary shares, if any. The Class B ordinary shares are automatically convertible into Class A ordinary shares at the time of our initial business combination as described herein and in our amended and restated memorandum and articles of association. Immediately after this offering, there will be no preference shares issued and outstanding.</w:t>
      </w:r>
    </w:p>
    <w:p>
      <w:pPr>
        <w:spacing w:after="0" w:line="161"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We may issue a substantial number of additional Class A ordinary shares or preference shares to complete our initial business combination or under an employee incentive plan after completion of our initial business combination. We may also issue Class A ordinary shares upon conversion of the Class B ordinary shares at a ratio greater than one-to-one at the time of our initial business combination as a result of the anti-dilution provisions as set forth herein. However, our amended and restated memorandum and articles of association will provide, among other things, that prior to the completion of our initial business combination, we may not issue additional shares that would entitle the holders thereof</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320"/>
        <w:spacing w:after="0" w:line="235" w:lineRule="auto"/>
        <w:rPr>
          <w:sz w:val="20"/>
          <w:szCs w:val="20"/>
          <w:color w:val="auto"/>
        </w:rPr>
      </w:pPr>
      <w:r>
        <w:rPr>
          <w:rFonts w:ascii="Arial" w:cs="Arial" w:eastAsia="Arial" w:hAnsi="Arial"/>
          <w:sz w:val="17"/>
          <w:szCs w:val="17"/>
          <w:color w:val="auto"/>
        </w:rPr>
        <w:t>to (i) receive funds from the trust account or (ii) vote on any initial business combination or on any other proposal presented to shareholders prior to or in connection with the completion of an initial business combination. These provisions of our amended and restated memorandum and articles of association, like all provisions of our amended and restated memorandum and articles of association, may be amended with a shareholder vote. The issuance of additional ordinary or preference shares:</w:t>
      </w:r>
    </w:p>
    <w:p>
      <w:pPr>
        <w:spacing w:after="0" w:line="96" w:lineRule="exact"/>
        <w:rPr>
          <w:sz w:val="20"/>
          <w:szCs w:val="20"/>
          <w:color w:val="auto"/>
        </w:rPr>
      </w:pPr>
    </w:p>
    <w:p>
      <w:pPr>
        <w:ind w:left="580" w:right="260"/>
        <w:spacing w:after="0" w:line="238" w:lineRule="auto"/>
        <w:rPr>
          <w:sz w:val="20"/>
          <w:szCs w:val="20"/>
          <w:color w:val="auto"/>
        </w:rPr>
      </w:pPr>
      <w:r>
        <w:rPr>
          <w:rFonts w:ascii="Arial" w:cs="Arial" w:eastAsia="Arial" w:hAnsi="Arial"/>
          <w:sz w:val="17"/>
          <w:szCs w:val="17"/>
          <w:color w:val="auto"/>
        </w:rPr>
        <w:t>may significantly dilute the equity interest of investors in this offering, which dilution would increase if the anti-dilution provisions in the Class B ordinary shares resulted in the issuance of Class A ordinary shares on a greater than one-to-one basis upon conversion of the Class B ordinary shares;</w:t>
      </w:r>
    </w:p>
    <w:p>
      <w:pPr>
        <w:spacing w:after="0" w:line="93" w:lineRule="exact"/>
        <w:rPr>
          <w:sz w:val="20"/>
          <w:szCs w:val="20"/>
          <w:color w:val="auto"/>
        </w:rPr>
      </w:pPr>
    </w:p>
    <w:p>
      <w:pPr>
        <w:ind w:left="580" w:right="420"/>
        <w:spacing w:after="0" w:line="243" w:lineRule="auto"/>
        <w:rPr>
          <w:sz w:val="20"/>
          <w:szCs w:val="20"/>
          <w:color w:val="auto"/>
        </w:rPr>
      </w:pPr>
      <w:r>
        <w:rPr>
          <w:rFonts w:ascii="Arial" w:cs="Arial" w:eastAsia="Arial" w:hAnsi="Arial"/>
          <w:sz w:val="17"/>
          <w:szCs w:val="17"/>
          <w:color w:val="auto"/>
        </w:rPr>
        <w:t>may subordinate the rights of holders of Class A ordinary shares if preference shares are issued with rights senior to those afforded our Class A ordinary shares;</w:t>
      </w:r>
    </w:p>
    <w:p>
      <w:pPr>
        <w:spacing w:after="0" w:line="90" w:lineRule="exact"/>
        <w:rPr>
          <w:sz w:val="20"/>
          <w:szCs w:val="20"/>
          <w:color w:val="auto"/>
        </w:rPr>
      </w:pPr>
    </w:p>
    <w:p>
      <w:pPr>
        <w:ind w:left="580" w:right="100"/>
        <w:spacing w:after="0" w:line="238" w:lineRule="auto"/>
        <w:rPr>
          <w:sz w:val="20"/>
          <w:szCs w:val="20"/>
          <w:color w:val="auto"/>
        </w:rPr>
      </w:pPr>
      <w:r>
        <w:rPr>
          <w:rFonts w:ascii="Arial" w:cs="Arial" w:eastAsia="Arial" w:hAnsi="Arial"/>
          <w:sz w:val="17"/>
          <w:szCs w:val="17"/>
          <w:color w:val="auto"/>
        </w:rPr>
        <w:t>could cause a change in control if a substantial number of our Class A ordinary shares are issued, which may affect, among other things, our ability to use our net operating loss carry forwards, if any, and could result in the resignation or removal of our present officers and directors;</w:t>
      </w:r>
    </w:p>
    <w:p>
      <w:pPr>
        <w:spacing w:after="0" w:line="93" w:lineRule="exact"/>
        <w:rPr>
          <w:sz w:val="20"/>
          <w:szCs w:val="20"/>
          <w:color w:val="auto"/>
        </w:rPr>
      </w:pPr>
    </w:p>
    <w:p>
      <w:pPr>
        <w:ind w:left="580" w:right="60"/>
        <w:spacing w:after="0" w:line="243" w:lineRule="auto"/>
        <w:rPr>
          <w:sz w:val="20"/>
          <w:szCs w:val="20"/>
          <w:color w:val="auto"/>
        </w:rPr>
      </w:pPr>
      <w:r>
        <w:rPr>
          <w:rFonts w:ascii="Arial" w:cs="Arial" w:eastAsia="Arial" w:hAnsi="Arial"/>
          <w:sz w:val="17"/>
          <w:szCs w:val="17"/>
          <w:color w:val="auto"/>
        </w:rPr>
        <w:t>may have the effect of delaying or preventing a change of control of us by diluting the share ownership or voting rights of a person seeking to obtain control of us; and</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may adversely affect prevailing market prices for our Class A ordinary shares.</w:t>
      </w:r>
    </w:p>
    <w:p>
      <w:pPr>
        <w:spacing w:after="0" w:line="55" w:lineRule="exact"/>
        <w:rPr>
          <w:sz w:val="20"/>
          <w:szCs w:val="20"/>
          <w:color w:val="auto"/>
        </w:rPr>
      </w:pPr>
    </w:p>
    <w:p>
      <w:pPr>
        <w:ind w:right="200"/>
        <w:spacing w:after="0" w:line="260" w:lineRule="auto"/>
        <w:rPr>
          <w:sz w:val="20"/>
          <w:szCs w:val="20"/>
          <w:color w:val="auto"/>
        </w:rPr>
      </w:pPr>
      <w:r>
        <w:rPr>
          <w:rFonts w:ascii="Arial" w:cs="Arial" w:eastAsia="Arial" w:hAnsi="Arial"/>
          <w:sz w:val="17"/>
          <w:szCs w:val="17"/>
          <w:b w:val="1"/>
          <w:bCs w:val="1"/>
          <w:color w:val="auto"/>
        </w:rPr>
        <w:t>Our initial shareholders may receive additional Class A ordinary shares if we issue shares to consummate an initial business combination.</w:t>
      </w:r>
    </w:p>
    <w:p>
      <w:pPr>
        <w:spacing w:after="0" w:line="1"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The founder shares will automatically convert into Class A ordinary shares on the first business day following the consummation of our initial business combination at a ratio such that the number of Class A ordinary shares issuable upon conversion of all founder shares will equal, in the aggregate, on an as-converted basis, 20% of the sum of (i) the total number of ordinary shares issued and outstanding (excluding the private placement shares) upon completion of this offering, plus (ii) the sum of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shares issued to our sponsor, members of our management team or any of their affiliates upon conversion of working capital loans. In no event will the Class B ordinary shares convert into Class A ordinary shares at a rate of less than one to one.</w:t>
      </w:r>
    </w:p>
    <w:p>
      <w:pPr>
        <w:spacing w:after="0" w:line="53"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b w:val="1"/>
          <w:bCs w:val="1"/>
          <w:color w:val="auto"/>
        </w:rPr>
        <w:t>Resources could be wasted in researching acquisitions that are not completed, which could materially adversely affect subsequent attempts to locate and acquire or merge with another business. If we do not complete our initial business combination within the required time period, our public shareholders may receive only approximately $10.00 per public share, or less in certain circumstances, on the liquidation of our trust account.</w:t>
      </w:r>
    </w:p>
    <w:p>
      <w:pPr>
        <w:spacing w:after="0" w:line="11"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do not complete our initial business combination within the required time period, our public shareholders may receive only approximately $10.00 per public share, or less in certain circumstances, on the liquidation of our trust account.</w:t>
      </w:r>
    </w:p>
    <w:p>
      <w:pPr>
        <w:spacing w:after="0" w:line="53"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b w:val="1"/>
          <w:bCs w:val="1"/>
          <w:color w:val="auto"/>
        </w:rPr>
        <w:t>We may be a passive foreign investment company, or “PFIC,” which could result in adverse U.S. federal income tax consequences to U.S. investors.</w:t>
      </w:r>
    </w:p>
    <w:p>
      <w:pPr>
        <w:spacing w:after="0" w:line="233" w:lineRule="auto"/>
        <w:rPr>
          <w:sz w:val="20"/>
          <w:szCs w:val="20"/>
          <w:color w:val="auto"/>
        </w:rPr>
      </w:pPr>
      <w:r>
        <w:rPr>
          <w:rFonts w:ascii="Arial" w:cs="Arial" w:eastAsia="Arial" w:hAnsi="Arial"/>
          <w:sz w:val="17"/>
          <w:szCs w:val="17"/>
          <w:color w:val="auto"/>
        </w:rPr>
        <w:t>If we are a PFIC for any taxable year (or portion thereof) that is included in the holding period of a U.S. Holder</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(as defined in the section of this prospectus captioned “Taxation — United States Federal Income Tax Considerations — General”) of our Class A ordinary shares, the U.S. Holder may be subject to adverse U.S. federal income tax consequences and may be subject to additional reporting requirements. Our PFIC status for our current and subsequent taxable years may depend on whether we qualify for the PFIC start-up exception (see the section of this prospectus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captioned “Taxation — United States Federal Income Tax Considerations — U.S. Holders — Passive Foreign Investment Company Rules”). Depending on the particular circumstances, the application of the start-up exception may be subject to uncertainty, and there cannot be any assurance that we will qualify for the start-up exception. Accordingly, there can be no assurances with respect to our status as a PFIC for our current taxable year or any subsequent taxable year. Our actual PFIC status for any taxable year, however, will not be determinable until after the end of such taxable year. Moreover, if we determine we are a PFIC for any taxable year, upon written request, we will endeavor to provide to a U.S. Holder such information as the Internal Revenue Service (“IRS”) may require, including a PFIC Annual Information Statement, in order to enable the U.S. Holder to make and maintain a “qualified electing fund” election, but there can be no assurance that we will timely provide such required information. We urge U.S. investors to consult their tax advisors regarding the possible application of the PFIC rules. For a more detailed discussion of the tax consequences of PFIC classification to U.S. Holders, see the section of this prospectus captioned “Taxation — United States Federal Income Tax Considerations — U.S. Holders — Passive Foreign Investment Company Rules.”</w:t>
      </w:r>
    </w:p>
    <w:p>
      <w:pPr>
        <w:spacing w:after="0" w:line="52" w:lineRule="exact"/>
        <w:rPr>
          <w:sz w:val="20"/>
          <w:szCs w:val="20"/>
          <w:color w:val="auto"/>
        </w:rPr>
      </w:pPr>
    </w:p>
    <w:p>
      <w:pPr>
        <w:ind w:right="400"/>
        <w:spacing w:after="0" w:line="260" w:lineRule="auto"/>
        <w:rPr>
          <w:sz w:val="20"/>
          <w:szCs w:val="20"/>
          <w:color w:val="auto"/>
        </w:rPr>
      </w:pPr>
      <w:r>
        <w:rPr>
          <w:rFonts w:ascii="Arial" w:cs="Arial" w:eastAsia="Arial" w:hAnsi="Arial"/>
          <w:sz w:val="17"/>
          <w:szCs w:val="17"/>
          <w:b w:val="1"/>
          <w:bCs w:val="1"/>
          <w:color w:val="auto"/>
        </w:rPr>
        <w:t>We may reincorporate in another jurisdiction in connection with our initial business combination and such reincorporation may result in taxes imposed on shareholders.</w:t>
      </w:r>
    </w:p>
    <w:p>
      <w:pPr>
        <w:spacing w:after="0" w:line="1" w:lineRule="exact"/>
        <w:rPr>
          <w:sz w:val="20"/>
          <w:szCs w:val="20"/>
          <w:color w:val="auto"/>
        </w:rPr>
      </w:pPr>
    </w:p>
    <w:p>
      <w:pPr>
        <w:ind w:right="280"/>
        <w:spacing w:after="0" w:line="235" w:lineRule="auto"/>
        <w:rPr>
          <w:sz w:val="20"/>
          <w:szCs w:val="20"/>
          <w:color w:val="auto"/>
        </w:rPr>
      </w:pPr>
      <w:r>
        <w:rPr>
          <w:rFonts w:ascii="Arial" w:cs="Arial" w:eastAsia="Arial" w:hAnsi="Arial"/>
          <w:sz w:val="17"/>
          <w:szCs w:val="17"/>
          <w:color w:val="auto"/>
        </w:rPr>
        <w:t>We may, in connection with our initial business combination and subject to requisite shareholder approval under the Companies Law, reincorporate in the jurisdiction in which the target company or business is located or in another jurisdiction. The transaction may require a shareholder to recognize taxable income in the jurisdiction in which the shareholder is a tax resident or in which its members are resident if it is a tax transparent entity. We do not intend to make any cash distributions to shareholders to pay such taxes. Shareholders may be subject to withholding taxes or other taxes with respect to their ownership of us after the reincorporation.</w:t>
      </w:r>
    </w:p>
    <w:p>
      <w:pPr>
        <w:spacing w:after="0" w:line="47" w:lineRule="exact"/>
        <w:rPr>
          <w:sz w:val="20"/>
          <w:szCs w:val="20"/>
          <w:color w:val="auto"/>
        </w:rPr>
      </w:pPr>
    </w:p>
    <w:p>
      <w:pPr>
        <w:jc w:val="both"/>
        <w:spacing w:after="0" w:line="249" w:lineRule="auto"/>
        <w:rPr>
          <w:sz w:val="20"/>
          <w:szCs w:val="20"/>
          <w:color w:val="auto"/>
        </w:rPr>
      </w:pPr>
      <w:r>
        <w:rPr>
          <w:rFonts w:ascii="Arial" w:cs="Arial" w:eastAsia="Arial" w:hAnsi="Arial"/>
          <w:sz w:val="17"/>
          <w:szCs w:val="17"/>
          <w:b w:val="1"/>
          <w:bCs w:val="1"/>
          <w:color w:val="auto"/>
        </w:rPr>
        <w:t>After our initial business combination, it is possible that a majority of our directors and officers will live outside the United States and all of our assets will be located outside the United States; therefore investors may not be able to enforce federal securities laws or their other legal rights.</w:t>
      </w:r>
    </w:p>
    <w:p>
      <w:pPr>
        <w:spacing w:after="0" w:line="6"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It is possible that after our initial business combination, a majority of our directors and officers will reside outside of the United States and all of our assets will be located outside of the United States. As a result, it may be difficult, or in some cases not possible, for investors in the United States to enforce their legal rights, to effect service of process upon all of our directors or officers or to enforce judgments of United States courts predicated upon civil liabilities and criminal penalties on our directors and officers under United States laws.</w:t>
      </w:r>
    </w:p>
    <w:p>
      <w:pPr>
        <w:spacing w:after="0" w:line="163"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In particular, there is uncertainty as to whether the courts of the Cayman Islands or any other applicable jurisdictions would recognize and enforce judgments of U.S. courts obtained against us or our directors or officers predicated upon the civil liability provisions of the securities laws of the United States or any state in the United States or entertain original actions brought in the Cayman Islands or any other applicable jurisdiction’s courts against us or our directors or officers predicated upon the securities laws of the United States or any state in the United States. For a more detailed discussion, see the section of this prospectus captioned “Description of Securities — Certain Differences in Corporate Law.”</w:t>
      </w:r>
    </w:p>
    <w:p>
      <w:pPr>
        <w:spacing w:after="0" w:line="90"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b w:val="1"/>
          <w:bCs w:val="1"/>
          <w:color w:val="auto"/>
        </w:rPr>
        <w:t>We are dependent upon our executive officers and directors and their loss could adversely affect our ability to operate.</w:t>
      </w:r>
    </w:p>
    <w:p>
      <w:pPr>
        <w:spacing w:after="0" w:line="1" w:lineRule="exact"/>
        <w:rPr>
          <w:sz w:val="20"/>
          <w:szCs w:val="20"/>
          <w:color w:val="auto"/>
        </w:rPr>
      </w:pPr>
    </w:p>
    <w:p>
      <w:pPr>
        <w:ind w:right="80"/>
        <w:spacing w:after="0" w:line="233" w:lineRule="auto"/>
        <w:rPr>
          <w:sz w:val="20"/>
          <w:szCs w:val="20"/>
          <w:color w:val="auto"/>
        </w:rPr>
      </w:pPr>
      <w:r>
        <w:rPr>
          <w:rFonts w:ascii="Arial" w:cs="Arial" w:eastAsia="Arial" w:hAnsi="Arial"/>
          <w:sz w:val="17"/>
          <w:szCs w:val="17"/>
          <w:color w:val="auto"/>
        </w:rPr>
        <w:t>Our operations are dependent upon a relatively small group of individuals and, in particular, our executive officers and directors. We believe that our success depends on the continued service of our officers and directors, at least until we have completed our initial business combination. In addition, our executive officers and directors are not required to commit any specified amount of time to our affairs and, accordingly, will have conflicts of interest in allocating their time among various business activities, including identifying potential business combinations and monitoring the related due diligence. In particular, certain of our officers and directors serve as an officer and/or director of ARYA Sciences Acquisition Corp II, which is a blank check company sponsored by an affiliate of Perceptive Advisors. We do not have an employment agreement with, or key-man insurance on the life of, any of our directors or executive officers. The unexpected loss of the services of one or more of our directors or executive officers could have a detrimental effect on us.</w:t>
      </w:r>
    </w:p>
    <w:p>
      <w:pPr>
        <w:spacing w:after="0" w:line="53"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b w:val="1"/>
          <w:bCs w:val="1"/>
          <w:color w:val="auto"/>
        </w:rPr>
        <w:t>Our ability to successfully effect our initial business combination and to be successful thereafter will be totally dependent upon the efforts of our key personnel, some of whom may join us following our initial business combination. The loss of key personnel could negatively impact the operations and profitability of our post-combination business.</w:t>
      </w:r>
    </w:p>
    <w:p>
      <w:pPr>
        <w:spacing w:after="0" w:line="8" w:lineRule="exact"/>
        <w:rPr>
          <w:sz w:val="20"/>
          <w:szCs w:val="20"/>
          <w:color w:val="auto"/>
        </w:rPr>
      </w:pPr>
    </w:p>
    <w:p>
      <w:pPr>
        <w:ind w:right="200"/>
        <w:spacing w:after="0" w:line="236" w:lineRule="auto"/>
        <w:rPr>
          <w:sz w:val="20"/>
          <w:szCs w:val="20"/>
          <w:color w:val="auto"/>
        </w:rPr>
      </w:pPr>
      <w:r>
        <w:rPr>
          <w:rFonts w:ascii="Arial" w:cs="Arial" w:eastAsia="Arial" w:hAnsi="Arial"/>
          <w:sz w:val="17"/>
          <w:szCs w:val="17"/>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or advisory positions following our initial business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combination, it is likely that some or all of the management of the target business will remain in place. While we intend to closely scrutinize any individuals we engage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w:t>
      </w:r>
    </w:p>
    <w:p>
      <w:pPr>
        <w:spacing w:after="0" w:line="49" w:lineRule="exact"/>
        <w:rPr>
          <w:sz w:val="20"/>
          <w:szCs w:val="20"/>
          <w:color w:val="auto"/>
        </w:rPr>
      </w:pPr>
    </w:p>
    <w:p>
      <w:pPr>
        <w:ind w:right="180"/>
        <w:spacing w:after="0" w:line="241" w:lineRule="auto"/>
        <w:rPr>
          <w:sz w:val="20"/>
          <w:szCs w:val="20"/>
          <w:color w:val="auto"/>
        </w:rPr>
      </w:pPr>
      <w:r>
        <w:rPr>
          <w:rFonts w:ascii="Arial" w:cs="Arial" w:eastAsia="Arial" w:hAnsi="Arial"/>
          <w:sz w:val="17"/>
          <w:szCs w:val="17"/>
          <w:b w:val="1"/>
          <w:bCs w:val="1"/>
          <w:color w:val="auto"/>
        </w:rPr>
        <w:t>Our key personnel may negotiate employment or consulting agreements with a target business in connection with a particular business combination, and a particular business combination may be conditioned on the retention or resignation of such key personnel.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11" w:lineRule="exact"/>
        <w:rPr>
          <w:sz w:val="20"/>
          <w:szCs w:val="20"/>
          <w:color w:val="auto"/>
        </w:rPr>
      </w:pPr>
    </w:p>
    <w:p>
      <w:pPr>
        <w:ind w:right="40"/>
        <w:spacing w:after="0" w:line="232" w:lineRule="auto"/>
        <w:rPr>
          <w:sz w:val="20"/>
          <w:szCs w:val="20"/>
          <w:color w:val="auto"/>
        </w:rPr>
      </w:pPr>
      <w:r>
        <w:rPr>
          <w:rFonts w:ascii="Arial" w:cs="Arial" w:eastAsia="Arial" w:hAnsi="Arial"/>
          <w:sz w:val="17"/>
          <w:szCs w:val="17"/>
          <w:color w:val="auto"/>
        </w:rPr>
        <w:t>Our key personnel may be able to remain with our company after the completion of our initial business combination only if they are able to negotiate employment or consulting agreements in connection with the business combination.</w:t>
      </w:r>
    </w:p>
    <w:p>
      <w:pPr>
        <w:ind w:right="60"/>
        <w:spacing w:after="0" w:line="234" w:lineRule="auto"/>
        <w:rPr>
          <w:sz w:val="20"/>
          <w:szCs w:val="20"/>
          <w:color w:val="auto"/>
        </w:rPr>
      </w:pPr>
      <w:r>
        <w:rPr>
          <w:rFonts w:ascii="Arial" w:cs="Arial" w:eastAsia="Arial" w:hAnsi="Arial"/>
          <w:sz w:val="17"/>
          <w:szCs w:val="17"/>
          <w:color w:val="auto"/>
        </w:rPr>
        <w:t>Such negotiations would take place simultaneously with the negotiation of the business combination and could provide for such individuals to receive compensation in the form of cash payments and/or our securities for services they would render to us after the completion of the business combination. Such negotiations also could make such key personnel’s retention or resignation a condition to any such agreement. The personal and financial interests of such individuals may influence their motivation in identifying and selecting a target business. In addition, pursuant to an agreement to be entered into on or prior to the closing of this offering, our sponsor, upon and following consummation of an initial business combination, will be entitled to nominate three individuals for election to our board of directors, as long as the sponsor holds any securities covered by the registration and shareholder rights agreement, which is described under the section of this prospectus entitled “Description of Securities — Registration and Shareholder Rights.”</w:t>
      </w:r>
    </w:p>
    <w:p>
      <w:pPr>
        <w:spacing w:after="0" w:line="47"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b w:val="1"/>
          <w:bCs w:val="1"/>
          <w:color w:val="auto"/>
        </w:rPr>
        <w:t>We may have a limited ability to assess the management of a prospective target business and, as a result, may affect our initial business combination with a target business whose management may not have the skills, qualifications or abilities to manage a public company.</w:t>
      </w:r>
    </w:p>
    <w:p>
      <w:pPr>
        <w:spacing w:after="0" w:line="6" w:lineRule="exact"/>
        <w:rPr>
          <w:sz w:val="20"/>
          <w:szCs w:val="20"/>
          <w:color w:val="auto"/>
        </w:rPr>
      </w:pPr>
    </w:p>
    <w:p>
      <w:pPr>
        <w:ind w:right="400"/>
        <w:spacing w:after="0" w:line="232" w:lineRule="auto"/>
        <w:rPr>
          <w:sz w:val="20"/>
          <w:szCs w:val="20"/>
          <w:color w:val="auto"/>
        </w:rPr>
      </w:pPr>
      <w:r>
        <w:rPr>
          <w:rFonts w:ascii="Arial" w:cs="Arial" w:eastAsia="Arial" w:hAnsi="Arial"/>
          <w:sz w:val="17"/>
          <w:szCs w:val="17"/>
          <w:color w:val="auto"/>
        </w:rPr>
        <w:t>When evaluating the desirability of effecting our initial business combination with a prospective target business, our ability to assess the target business’s management may be limited due to a lack of time, resources or information.</w:t>
      </w:r>
    </w:p>
    <w:p>
      <w:pPr>
        <w:ind w:right="40"/>
        <w:spacing w:after="0" w:line="235" w:lineRule="auto"/>
        <w:rPr>
          <w:sz w:val="20"/>
          <w:szCs w:val="20"/>
          <w:color w:val="auto"/>
        </w:rPr>
      </w:pPr>
      <w:r>
        <w:rPr>
          <w:rFonts w:ascii="Arial" w:cs="Arial" w:eastAsia="Arial" w:hAnsi="Arial"/>
          <w:sz w:val="17"/>
          <w:szCs w:val="17"/>
          <w:color w:val="auto"/>
        </w:rPr>
        <w:t>Our assessment of the capabilities of the target business’s management, therefore, may prove to be incorrect and such management may lack the skills, qualifications or abilities we suspected. Should the target business’s management not possess the skills, qualifications or abilities necessary to manage a public company, the operations and profitability of the post-combination business may be negatively impacted. Accordingly, any holders who choose to retain their securities following our initial business combination could suffer a reduction in the value of their securities. Such holders are unlikely to have a remedy for such reduction in value.</w:t>
      </w:r>
    </w:p>
    <w:p>
      <w:pPr>
        <w:spacing w:after="0" w:line="47" w:lineRule="exact"/>
        <w:rPr>
          <w:sz w:val="20"/>
          <w:szCs w:val="20"/>
          <w:color w:val="auto"/>
        </w:rPr>
      </w:pPr>
    </w:p>
    <w:p>
      <w:pPr>
        <w:spacing w:after="0" w:line="249" w:lineRule="auto"/>
        <w:rPr>
          <w:sz w:val="20"/>
          <w:szCs w:val="20"/>
          <w:color w:val="auto"/>
        </w:rPr>
      </w:pPr>
      <w:r>
        <w:rPr>
          <w:rFonts w:ascii="Arial" w:cs="Arial" w:eastAsia="Arial" w:hAnsi="Arial"/>
          <w:sz w:val="17"/>
          <w:szCs w:val="17"/>
          <w:b w:val="1"/>
          <w:bCs w:val="1"/>
          <w:color w:val="auto"/>
        </w:rPr>
        <w:t>The officers and directors of an acquisition candidate may resign upon completion of our initial business combination. The loss of a business combination target’s key personnel could negatively impact the operations and profitability of our post-combination business.</w:t>
      </w:r>
    </w:p>
    <w:p>
      <w:pPr>
        <w:spacing w:after="0" w:line="6"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w:t>
      </w:r>
    </w:p>
    <w:p>
      <w:pPr>
        <w:spacing w:after="0" w:line="48"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b w:val="1"/>
          <w:bCs w:val="1"/>
          <w:color w:val="auto"/>
        </w:rPr>
        <w:t>Our executive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6"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may be entitled to substantial compensation, and our executive officers are not obligated to contribute any specific number of hours per week to our affairs. In particular, certain of our officers and directors serve as an officer and/or director of ARYA Sciences Acquisition Corp II, which is a blank check company sponsored by an affiliate of Perceptive Advisors. Our independent directors also serve as officers and board members for other entities. If our executive officers’ and directors’ other business affairs require them to devote substantial amounts of time to such affairs in excess of their current commitment levels, it could limit their ability to devote time to our affairs which may have a negative impact on our</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220"/>
        <w:spacing w:after="0" w:line="243" w:lineRule="auto"/>
        <w:rPr>
          <w:sz w:val="20"/>
          <w:szCs w:val="20"/>
          <w:color w:val="auto"/>
        </w:rPr>
      </w:pPr>
      <w:r>
        <w:rPr>
          <w:rFonts w:ascii="Arial" w:cs="Arial" w:eastAsia="Arial" w:hAnsi="Arial"/>
          <w:sz w:val="17"/>
          <w:szCs w:val="17"/>
          <w:color w:val="auto"/>
        </w:rPr>
        <w:t>ability to complete our initial business combination. For a complete discussion of our executive officers’ and directors’ other business affairs, please see “Management — Officers, Directors and Director Nominees.”</w:t>
      </w:r>
    </w:p>
    <w:p>
      <w:pPr>
        <w:spacing w:after="0" w:line="43" w:lineRule="exact"/>
        <w:rPr>
          <w:sz w:val="20"/>
          <w:szCs w:val="20"/>
          <w:color w:val="auto"/>
        </w:rPr>
      </w:pPr>
    </w:p>
    <w:p>
      <w:pPr>
        <w:ind w:right="200"/>
        <w:spacing w:after="0" w:line="249" w:lineRule="auto"/>
        <w:rPr>
          <w:sz w:val="20"/>
          <w:szCs w:val="20"/>
          <w:color w:val="auto"/>
        </w:rPr>
      </w:pPr>
      <w:r>
        <w:rPr>
          <w:rFonts w:ascii="Arial" w:cs="Arial" w:eastAsia="Arial" w:hAnsi="Arial"/>
          <w:sz w:val="17"/>
          <w:szCs w:val="17"/>
          <w:b w:val="1"/>
          <w:bCs w:val="1"/>
          <w:color w:val="auto"/>
        </w:rPr>
        <w:t>Our officers and directors presently have, and any of them in the future may have additional, fiduciary or contractual obligations to other entities, including another blank check company, and, accordingly, may have conflicts of interest in determining to which entity a particular business opportunity should be presented.</w:t>
      </w:r>
    </w:p>
    <w:p>
      <w:pPr>
        <w:spacing w:after="0" w:line="6"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Following the completion of this offering and until we consummate our initial business combination, we intend to engage in the business of identifying and combining with one or more businesses. Each of our officers and directors presently has, and any of them in the future may have, additional fiduciary or contractual obligations to other entities pursuant to which such officer or director is or will be required to present a business combination opportunity to such entity, including ARYA Sciences Acquisition Corp II, subject to his or her fiduciary duties under Cayman Islands law. Accordingly, they may have conflicts of interest in determining to which entity a particular business opportunity should be presented. These conflicts may not be resolved in our favor and a potential target business may be presented to another entity prior to its presentation to us, subject to their fiduciary duties under Cayman Islands law.</w:t>
      </w:r>
    </w:p>
    <w:p>
      <w:pPr>
        <w:spacing w:after="0" w:line="163"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In addition, our founders and our directors and officers, Perceptive Advisors, or its affiliates may in the future become affiliated with other blank check companies that may have acquisition objectives that are similar to ours. Accordingly, they may have conflicts of interest in determining to which entity a particular business opportunity should be presented. These conflicts may not be resolved in our favor and a potential target business may be presented to such other blank check companies, including ARYA Sciences Acquisition Corp II, prior to its presentation to us, subject to our officers’ and directors’ fiduciary duties under Cayman Islands law. Our amended and restated memorandum and articles of association will provide that we renounce our interest in any business combination opportunity offered to any director or officer unless such opportunity is expressly offered to such person solely in his or her capacity as a director or officer of the company and it is an opportunity that we are able to complete on a reasonable basis.</w:t>
      </w:r>
    </w:p>
    <w:p>
      <w:pPr>
        <w:spacing w:after="0" w:line="161" w:lineRule="exact"/>
        <w:rPr>
          <w:sz w:val="20"/>
          <w:szCs w:val="20"/>
          <w:color w:val="auto"/>
        </w:rPr>
      </w:pPr>
    </w:p>
    <w:p>
      <w:pPr>
        <w:ind w:right="420"/>
        <w:spacing w:after="0" w:line="238" w:lineRule="auto"/>
        <w:rPr>
          <w:sz w:val="20"/>
          <w:szCs w:val="20"/>
          <w:color w:val="auto"/>
        </w:rPr>
      </w:pPr>
      <w:r>
        <w:rPr>
          <w:rFonts w:ascii="Arial" w:cs="Arial" w:eastAsia="Arial" w:hAnsi="Arial"/>
          <w:sz w:val="17"/>
          <w:szCs w:val="17"/>
          <w:color w:val="auto"/>
        </w:rPr>
        <w:t>For a complete discussion of our executive officers’ and directors’ business affiliations and the potential conflicts of interest that you should be aware of, please see “Management — Officers, Directors and Director Nominees,” “Management — Conflicts of Interest” and “Certain Relationships and Related Party Transactions.”</w:t>
      </w:r>
    </w:p>
    <w:p>
      <w:pPr>
        <w:spacing w:after="0" w:line="33" w:lineRule="exact"/>
        <w:rPr>
          <w:sz w:val="20"/>
          <w:szCs w:val="20"/>
          <w:color w:val="auto"/>
        </w:rPr>
      </w:pPr>
    </w:p>
    <w:p>
      <w:pPr>
        <w:ind w:right="800"/>
        <w:spacing w:after="0" w:line="267" w:lineRule="auto"/>
        <w:rPr>
          <w:sz w:val="20"/>
          <w:szCs w:val="20"/>
          <w:color w:val="auto"/>
        </w:rPr>
      </w:pPr>
      <w:r>
        <w:rPr>
          <w:rFonts w:ascii="Arial" w:cs="Arial" w:eastAsia="Arial" w:hAnsi="Arial"/>
          <w:sz w:val="17"/>
          <w:szCs w:val="17"/>
          <w:b w:val="1"/>
          <w:bCs w:val="1"/>
          <w:color w:val="auto"/>
        </w:rPr>
        <w:t>Our executive officers, directors, security holders and their respective affiliates may have competitive pecuniary interests that conflict with our interests.</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We have not adopted a policy that expressly prohibits our directors, executive officers, security holders or affiliates from having a direct or indirect pecuniary or financial interest in any investment to be acquired or disposed of by us or in any transaction to which we are a party or have an interest. In fact, we may enter into a business combination with a target business that is affiliated with our sponsor, our directors or executive officers, although we do not intend to do so. Nor do we have a policy that expressly prohibits any such persons from engaging for their own account in business activities of the types conducted by us. Accordingly, such persons or entities may have a conflict between their interests and ours.</w:t>
      </w:r>
    </w:p>
    <w:p>
      <w:pPr>
        <w:spacing w:after="0" w:line="312"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The personal and financial interests of our directors and officers may influence their motivation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shareholders’ best interest. If this were the case, it would be a breach of their fiduciary duties to us as a matter of Cayman Islands law and we or our shareholders might have a claim against such individuals for infringing on our shareholders’ rights. See the section titled “Description of Securities — Certain Differences in Corporate Law — Shareholders’ Suits” for further information on the ability to bring such claims. However, we might not ultimately be successful in any claim we may make against them for such reason.</w:t>
      </w:r>
    </w:p>
    <w:p>
      <w:pPr>
        <w:spacing w:after="0" w:line="47"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b w:val="1"/>
          <w:bCs w:val="1"/>
          <w:color w:val="auto"/>
        </w:rPr>
        <w:t>We may engage in a business combination with one or more target businesses that have relationships with entities that may be affiliated with our sponsor, executive officers, directors or initial shareholders which may raise potential conflicts of interest.</w:t>
      </w:r>
    </w:p>
    <w:p>
      <w:pPr>
        <w:spacing w:after="0" w:line="6"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In light of the involvement of our sponsor, executive officers and directors with other entities, we may decide to acquire one or more businesses affiliated with our sponsor, executive officers, directors or initial shareholders. Our directors also serve as officers and board members for other entities, including, without limitation, those described under “Management — Conflicts of Interest.” Our sponsor and our officers and directors may sponsor or form other special purpose acquisition companies similar to ours or may pursue other business or investment ventures during the period in which we are seeking an initial business combination. Such entities may compete with us for business combination</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opportunities. Our sponsor, officers and directors are not currently aware of any specific opportunities for us to complete our initial business combination with any entities with which they are affiliated, and there have been no substantive discussions concerning a business combination with any such entity or entities. Although we will not be specifically focusing on, or targeting, any transaction with any affiliated entities, we would pursue such a transaction if we determined that such affiliated entity met our criteria for a business combination as set forth in “Proposed Business — Effecting Our Initial Business Combination — Evaluation of a Target Business and Structuring of Our Initial Business Combination” and such transaction was approved by a majority of our independent and disinterested directors. Despite our agreement to obtain an opinion from an independent investment banking firm which is a member of FINRA or an independent valuation or accounting firm regarding the fairness to our company from a financial point of view of a business combination with one or more domestic or international businesses affiliated with our sponsor, executive officers, directors or initial shareholders, potential conflicts of interest still may exist and, as a result, the terms of the business combination may not be as advantageous to our public shareholders as they would be absent any conflicts of interest.</w:t>
      </w:r>
    </w:p>
    <w:p>
      <w:pPr>
        <w:spacing w:after="0" w:line="51"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b w:val="1"/>
          <w:bCs w:val="1"/>
          <w:color w:val="auto"/>
        </w:rPr>
        <w:t>Since our sponsor, executive officers and directors will lose their entire investment in us if our initial business combination is not completed (other than with respect to public shares they may acquire during or after this offering), a conflict of interest may arise in determining whether a particular business combination target is appropriate for our initial business combination.</w:t>
      </w:r>
    </w:p>
    <w:p>
      <w:pPr>
        <w:spacing w:after="0" w:line="8" w:lineRule="exact"/>
        <w:rPr>
          <w:sz w:val="20"/>
          <w:szCs w:val="20"/>
          <w:color w:val="auto"/>
        </w:rPr>
      </w:pPr>
    </w:p>
    <w:p>
      <w:pPr>
        <w:ind w:right="160"/>
        <w:spacing w:after="0" w:line="232" w:lineRule="auto"/>
        <w:rPr>
          <w:sz w:val="20"/>
          <w:szCs w:val="20"/>
          <w:color w:val="auto"/>
        </w:rPr>
      </w:pPr>
      <w:r>
        <w:rPr>
          <w:rFonts w:ascii="Arial" w:cs="Arial" w:eastAsia="Arial" w:hAnsi="Arial"/>
          <w:sz w:val="17"/>
          <w:szCs w:val="17"/>
          <w:color w:val="auto"/>
        </w:rPr>
        <w:t>On April 2, 2020 we issued to our sponsor 3,593,750 founder shares in exchange for a capital contribution of $25,000, or approximately $0.007 per share. In July 2020, our sponsor transferred 30,000 founder shares to each of</w:t>
      </w:r>
    </w:p>
    <w:p>
      <w:pPr>
        <w:spacing w:after="0" w:line="233" w:lineRule="auto"/>
        <w:rPr>
          <w:sz w:val="20"/>
          <w:szCs w:val="20"/>
          <w:color w:val="auto"/>
        </w:rPr>
      </w:pPr>
      <w:r>
        <w:rPr>
          <w:rFonts w:ascii="Arial" w:cs="Arial" w:eastAsia="Arial" w:hAnsi="Arial"/>
          <w:sz w:val="17"/>
          <w:szCs w:val="17"/>
          <w:color w:val="auto"/>
        </w:rPr>
        <w:t>Messrs. , and Wider. Such shares will not be subject to forfeiture in the event the underwriters’ over-allotment option is not exercised. Prior to the initial investment in the company of $25,000 by the sponsor, the company had no assets, tangible or intangible. The per share price of the founder shares was determined by dividing the amount contributed to the company by the number of founder shares issued. The founder shares and private placement shares will be worthless if we do not complete an initial business combination. In addition, our sponsor has committed, pursuant to a written agreement, to purchase 450,000 private placement shares (or 487,500 private placement shares if the underwriters’ over-allotment option is exercised in full), at a price of $10.00 per share ($4,500,000 in the aggregate or $4,875,000 if the underwriters’ over-allotment option is exercised in full), in a private placement that will close simultaneously with the closing of this offering. The personal and financial interests of our executive officers and directors may influence their motivation in identifying and selecting a target business combination, completing an initial business combination and influencing the operation of the business following the initial business combination. This risk may become more acute as the 24-month anniversary of the closing of this offering nears, which is the deadline for our consummation of an initial business combination.</w:t>
      </w:r>
    </w:p>
    <w:p>
      <w:pPr>
        <w:spacing w:after="0" w:line="51" w:lineRule="exact"/>
        <w:rPr>
          <w:sz w:val="20"/>
          <w:szCs w:val="20"/>
          <w:color w:val="auto"/>
        </w:rPr>
      </w:pPr>
    </w:p>
    <w:p>
      <w:pPr>
        <w:jc w:val="both"/>
        <w:ind w:right="320"/>
        <w:spacing w:after="0" w:line="249" w:lineRule="auto"/>
        <w:rPr>
          <w:sz w:val="20"/>
          <w:szCs w:val="20"/>
          <w:color w:val="auto"/>
        </w:rPr>
      </w:pPr>
      <w:r>
        <w:rPr>
          <w:rFonts w:ascii="Arial" w:cs="Arial" w:eastAsia="Arial" w:hAnsi="Arial"/>
          <w:sz w:val="17"/>
          <w:szCs w:val="17"/>
          <w:b w:val="1"/>
          <w:bCs w:val="1"/>
          <w:color w:val="auto"/>
        </w:rPr>
        <w:t>We may issue notes or other debt, or otherwise incur substantial debt, to complete a business combination, which may adversely affect our leverage and financial condition and thus negatively impact the value of our shareholders’ investment in us.</w:t>
      </w:r>
    </w:p>
    <w:p>
      <w:pPr>
        <w:spacing w:after="0" w:line="6"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Although we have no commitments as of the date of this prospectus to issue any notes or other debt, or to otherwise incur debt following this offering, we may choose to incur substantial debt to complete our initial business combination. We and our officers have agreed that we will not incur any indebtedness unless we have obtained from the lender a waiver of any right, title, interest or claim of any kind in or to the monies held in the trust account. As such, no issuance of debt will affect the per share amount available for redemption from the trust account. Nevertheless, the incurrence of debt could have a variety of negative effects, including:</w:t>
      </w:r>
    </w:p>
    <w:p>
      <w:pPr>
        <w:spacing w:after="0" w:line="94" w:lineRule="exact"/>
        <w:rPr>
          <w:sz w:val="20"/>
          <w:szCs w:val="20"/>
          <w:color w:val="auto"/>
        </w:rPr>
      </w:pPr>
    </w:p>
    <w:p>
      <w:pPr>
        <w:ind w:left="580" w:right="700"/>
        <w:spacing w:after="0" w:line="243" w:lineRule="auto"/>
        <w:rPr>
          <w:sz w:val="20"/>
          <w:szCs w:val="20"/>
          <w:color w:val="auto"/>
        </w:rPr>
      </w:pPr>
      <w:r>
        <w:rPr>
          <w:rFonts w:ascii="Arial" w:cs="Arial" w:eastAsia="Arial" w:hAnsi="Arial"/>
          <w:sz w:val="17"/>
          <w:szCs w:val="17"/>
          <w:color w:val="auto"/>
        </w:rPr>
        <w:t>default and foreclosure on our assets if our operating revenues after an initial business combination are insufficient to repay our debt obligations;</w:t>
      </w:r>
    </w:p>
    <w:p>
      <w:pPr>
        <w:spacing w:after="0" w:line="90" w:lineRule="exact"/>
        <w:rPr>
          <w:sz w:val="20"/>
          <w:szCs w:val="20"/>
          <w:color w:val="auto"/>
        </w:rPr>
      </w:pPr>
    </w:p>
    <w:p>
      <w:pPr>
        <w:jc w:val="both"/>
        <w:ind w:left="580" w:right="300"/>
        <w:spacing w:after="0" w:line="238" w:lineRule="auto"/>
        <w:rPr>
          <w:sz w:val="20"/>
          <w:szCs w:val="20"/>
          <w:color w:val="auto"/>
        </w:rPr>
      </w:pPr>
      <w:r>
        <w:rPr>
          <w:rFonts w:ascii="Arial" w:cs="Arial" w:eastAsia="Arial" w:hAnsi="Arial"/>
          <w:sz w:val="17"/>
          <w:szCs w:val="17"/>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9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our immediate payment of all principal and accrued interest, if any, if the debt is payable on demand;</w:t>
      </w:r>
    </w:p>
    <w:p>
      <w:pPr>
        <w:spacing w:after="0" w:line="102" w:lineRule="exact"/>
        <w:rPr>
          <w:sz w:val="20"/>
          <w:szCs w:val="20"/>
          <w:color w:val="auto"/>
        </w:rPr>
      </w:pPr>
    </w:p>
    <w:p>
      <w:pPr>
        <w:ind w:left="580" w:right="20"/>
        <w:spacing w:after="0" w:line="243" w:lineRule="auto"/>
        <w:rPr>
          <w:sz w:val="20"/>
          <w:szCs w:val="20"/>
          <w:color w:val="auto"/>
        </w:rPr>
      </w:pPr>
      <w:r>
        <w:rPr>
          <w:rFonts w:ascii="Arial" w:cs="Arial" w:eastAsia="Arial" w:hAnsi="Arial"/>
          <w:sz w:val="17"/>
          <w:szCs w:val="17"/>
          <w:color w:val="auto"/>
        </w:rPr>
        <w:t>our inability to obtain necessary additional financing if the debt contains covenants restricting our ability to obtain such financing while the debt is outstanding;</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our inability to pay dividends on our Class A ordinary shares;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jc w:val="both"/>
        <w:ind w:left="580" w:right="80"/>
        <w:spacing w:after="0" w:line="238" w:lineRule="auto"/>
        <w:rPr>
          <w:sz w:val="20"/>
          <w:szCs w:val="20"/>
          <w:color w:val="auto"/>
        </w:rPr>
      </w:pPr>
      <w:r>
        <w:rPr>
          <w:rFonts w:ascii="Arial" w:cs="Arial" w:eastAsia="Arial" w:hAnsi="Arial"/>
          <w:sz w:val="17"/>
          <w:szCs w:val="17"/>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spacing w:after="0" w:line="93" w:lineRule="exact"/>
        <w:rPr>
          <w:sz w:val="20"/>
          <w:szCs w:val="20"/>
          <w:color w:val="auto"/>
        </w:rPr>
      </w:pPr>
    </w:p>
    <w:p>
      <w:pPr>
        <w:ind w:left="580" w:right="200"/>
        <w:spacing w:after="0" w:line="243" w:lineRule="auto"/>
        <w:rPr>
          <w:sz w:val="20"/>
          <w:szCs w:val="20"/>
          <w:color w:val="auto"/>
        </w:rPr>
      </w:pPr>
      <w:r>
        <w:rPr>
          <w:rFonts w:ascii="Arial" w:cs="Arial" w:eastAsia="Arial" w:hAnsi="Arial"/>
          <w:sz w:val="17"/>
          <w:szCs w:val="17"/>
          <w:color w:val="auto"/>
        </w:rPr>
        <w:t>limitations on our flexibility in planning for and reacting to changes in our business and in the industry in which we operate;</w:t>
      </w:r>
    </w:p>
    <w:p>
      <w:pPr>
        <w:spacing w:after="0" w:line="90" w:lineRule="exact"/>
        <w:rPr>
          <w:sz w:val="20"/>
          <w:szCs w:val="20"/>
          <w:color w:val="auto"/>
        </w:rPr>
      </w:pPr>
    </w:p>
    <w:p>
      <w:pPr>
        <w:ind w:left="580" w:right="600"/>
        <w:spacing w:after="0" w:line="243" w:lineRule="auto"/>
        <w:rPr>
          <w:sz w:val="20"/>
          <w:szCs w:val="20"/>
          <w:color w:val="auto"/>
        </w:rPr>
      </w:pPr>
      <w:r>
        <w:rPr>
          <w:rFonts w:ascii="Arial" w:cs="Arial" w:eastAsia="Arial" w:hAnsi="Arial"/>
          <w:sz w:val="17"/>
          <w:szCs w:val="17"/>
          <w:color w:val="auto"/>
        </w:rPr>
        <w:t>increased vulnerability to adverse changes in general economic, industry and competitive conditions and adverse changes in government regulation; and</w:t>
      </w:r>
    </w:p>
    <w:p>
      <w:pPr>
        <w:spacing w:after="0" w:line="90" w:lineRule="exact"/>
        <w:rPr>
          <w:sz w:val="20"/>
          <w:szCs w:val="20"/>
          <w:color w:val="auto"/>
        </w:rPr>
      </w:pPr>
    </w:p>
    <w:p>
      <w:pPr>
        <w:ind w:left="580" w:right="200"/>
        <w:spacing w:after="0" w:line="238" w:lineRule="auto"/>
        <w:rPr>
          <w:sz w:val="20"/>
          <w:szCs w:val="20"/>
          <w:color w:val="auto"/>
        </w:rPr>
      </w:pPr>
      <w:r>
        <w:rPr>
          <w:rFonts w:ascii="Arial" w:cs="Arial" w:eastAsia="Arial" w:hAnsi="Arial"/>
          <w:sz w:val="17"/>
          <w:szCs w:val="17"/>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46"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b w:val="1"/>
          <w:bCs w:val="1"/>
          <w:color w:val="auto"/>
        </w:rPr>
        <w:t>We may only be able to complete one business combination with the proceeds of this offering and the sale of the private placement shares, which will cause us to be solely dependent on a single business which may have a limited number of products or services. This lack of diversification may negatively impact our operations and profitability.</w:t>
      </w:r>
    </w:p>
    <w:p>
      <w:pPr>
        <w:spacing w:after="0" w:line="8"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net proceeds from this offering and the sale of the private placement shares will provide us with up to $121,625,000 (or $139,718,750 if the underwriters’ over-allotment option is exercised in full) that we may use to complete our initial business combination (after taking into account the $4,375,000, or $5,031,250 if the over-allotment option is exercised in full, of deferred underwriting commissions being held in the trust account and the estimated expenses of this offering).</w:t>
      </w:r>
    </w:p>
    <w:p>
      <w:pPr>
        <w:spacing w:after="0" w:line="163" w:lineRule="exact"/>
        <w:rPr>
          <w:sz w:val="20"/>
          <w:szCs w:val="20"/>
          <w:color w:val="auto"/>
        </w:rPr>
      </w:pPr>
    </w:p>
    <w:p>
      <w:pPr>
        <w:ind w:right="120"/>
        <w:spacing w:after="0" w:line="233" w:lineRule="auto"/>
        <w:rPr>
          <w:sz w:val="20"/>
          <w:szCs w:val="20"/>
          <w:color w:val="auto"/>
        </w:rPr>
      </w:pPr>
      <w:r>
        <w:rPr>
          <w:rFonts w:ascii="Arial" w:cs="Arial" w:eastAsia="Arial" w:hAnsi="Arial"/>
          <w:sz w:val="17"/>
          <w:szCs w:val="17"/>
          <w:color w:val="auto"/>
        </w:rPr>
        <w:t>We may effectuate our initial business combination with a single target business or multiple 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10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solely dependent upon the performance of a single business, property or asset; or</w:t>
      </w:r>
    </w:p>
    <w:p>
      <w:pPr>
        <w:spacing w:after="0" w:line="102" w:lineRule="exact"/>
        <w:rPr>
          <w:sz w:val="20"/>
          <w:szCs w:val="20"/>
          <w:color w:val="auto"/>
        </w:rPr>
      </w:pPr>
    </w:p>
    <w:p>
      <w:pPr>
        <w:ind w:left="580" w:right="100"/>
        <w:spacing w:after="0" w:line="243" w:lineRule="auto"/>
        <w:rPr>
          <w:sz w:val="20"/>
          <w:szCs w:val="20"/>
          <w:color w:val="auto"/>
        </w:rPr>
      </w:pPr>
      <w:r>
        <w:rPr>
          <w:rFonts w:ascii="Arial" w:cs="Arial" w:eastAsia="Arial" w:hAnsi="Arial"/>
          <w:sz w:val="17"/>
          <w:szCs w:val="17"/>
          <w:color w:val="auto"/>
        </w:rPr>
        <w:t>dependent upon the development or market acceptance of a single or limited number of products, processes or services.</w:t>
      </w:r>
    </w:p>
    <w:p>
      <w:pPr>
        <w:spacing w:after="0" w:line="158" w:lineRule="exact"/>
        <w:rPr>
          <w:sz w:val="20"/>
          <w:szCs w:val="20"/>
          <w:color w:val="auto"/>
        </w:rPr>
      </w:pPr>
    </w:p>
    <w:p>
      <w:pPr>
        <w:jc w:val="both"/>
        <w:ind w:right="200"/>
        <w:spacing w:after="0" w:line="238" w:lineRule="auto"/>
        <w:rPr>
          <w:sz w:val="20"/>
          <w:szCs w:val="20"/>
          <w:color w:val="auto"/>
        </w:rPr>
      </w:pPr>
      <w:r>
        <w:rPr>
          <w:rFonts w:ascii="Arial" w:cs="Arial" w:eastAsia="Arial" w:hAnsi="Arial"/>
          <w:sz w:val="17"/>
          <w:szCs w:val="17"/>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33" w:lineRule="exact"/>
        <w:rPr>
          <w:sz w:val="20"/>
          <w:szCs w:val="20"/>
          <w:color w:val="auto"/>
        </w:rPr>
      </w:pPr>
    </w:p>
    <w:p>
      <w:pPr>
        <w:jc w:val="both"/>
        <w:ind w:right="180"/>
        <w:spacing w:after="0" w:line="249" w:lineRule="auto"/>
        <w:rPr>
          <w:sz w:val="20"/>
          <w:szCs w:val="20"/>
          <w:color w:val="auto"/>
        </w:rPr>
      </w:pPr>
      <w:r>
        <w:rPr>
          <w:rFonts w:ascii="Arial" w:cs="Arial" w:eastAsia="Arial" w:hAnsi="Arial"/>
          <w:sz w:val="17"/>
          <w:szCs w:val="17"/>
          <w:b w:val="1"/>
          <w:b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19"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With multiple business combinations, we could also face additional risks, including additional burdens and costs with respect to possible multiple negotiations and due diligence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19" w:lineRule="exact"/>
        <w:rPr>
          <w:sz w:val="20"/>
          <w:szCs w:val="20"/>
          <w:color w:val="auto"/>
        </w:rPr>
      </w:pPr>
    </w:p>
    <w:p>
      <w:pPr>
        <w:spacing w:after="0" w:line="249" w:lineRule="auto"/>
        <w:rPr>
          <w:sz w:val="20"/>
          <w:szCs w:val="20"/>
          <w:color w:val="auto"/>
        </w:rPr>
      </w:pPr>
      <w:r>
        <w:rPr>
          <w:rFonts w:ascii="Arial" w:cs="Arial" w:eastAsia="Arial" w:hAnsi="Arial"/>
          <w:sz w:val="17"/>
          <w:szCs w:val="17"/>
          <w:b w:val="1"/>
          <w:bCs w:val="1"/>
          <w:color w:val="auto"/>
        </w:rPr>
        <w:t>We may attempt to complete our initial business combination with a private company about which little information is available, which may result in a business combination with a company that is not as profitable as we suspected, if at all.</w:t>
      </w:r>
    </w:p>
    <w:p>
      <w:pPr>
        <w:spacing w:after="0" w:line="19"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In pursuing our acquisition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 business combination with a company that is not as profitable as we suspected, if at all.</w:t>
      </w:r>
    </w:p>
    <w:p>
      <w:pPr>
        <w:spacing w:after="0" w:line="35" w:lineRule="exact"/>
        <w:rPr>
          <w:sz w:val="20"/>
          <w:szCs w:val="20"/>
          <w:color w:val="auto"/>
        </w:rPr>
      </w:pPr>
    </w:p>
    <w:p>
      <w:pPr>
        <w:ind w:right="540"/>
        <w:spacing w:after="0" w:line="249" w:lineRule="auto"/>
        <w:rPr>
          <w:sz w:val="20"/>
          <w:szCs w:val="20"/>
          <w:color w:val="auto"/>
        </w:rPr>
      </w:pPr>
      <w:r>
        <w:rPr>
          <w:rFonts w:ascii="Arial" w:cs="Arial" w:eastAsia="Arial" w:hAnsi="Arial"/>
          <w:sz w:val="17"/>
          <w:szCs w:val="17"/>
          <w:b w:val="1"/>
          <w:bCs w:val="1"/>
          <w:color w:val="auto"/>
        </w:rPr>
        <w:t>Our management may not be able to maintain control of a target business after our initial business combination. Upon the loss of control of a target business, new management may not possess the skills, qualifications or abilities necessary to profitably operate such business.</w:t>
      </w:r>
    </w:p>
    <w:p>
      <w:pPr>
        <w:spacing w:after="0" w:line="19" w:lineRule="exact"/>
        <w:rPr>
          <w:sz w:val="20"/>
          <w:szCs w:val="20"/>
          <w:color w:val="auto"/>
        </w:rPr>
      </w:pPr>
    </w:p>
    <w:p>
      <w:pPr>
        <w:ind w:right="80"/>
        <w:spacing w:after="0" w:line="233" w:lineRule="auto"/>
        <w:rPr>
          <w:sz w:val="20"/>
          <w:szCs w:val="20"/>
          <w:color w:val="auto"/>
        </w:rPr>
      </w:pPr>
      <w:r>
        <w:rPr>
          <w:rFonts w:ascii="Arial" w:cs="Arial" w:eastAsia="Arial" w:hAnsi="Arial"/>
          <w:sz w:val="17"/>
          <w:szCs w:val="17"/>
          <w:color w:val="auto"/>
        </w:rPr>
        <w:t>We may structure our initial business combination so that the post-business combination company in which our public shareholders own shares will own less than 100% of the equity interests or assets of a target business, but we will only complete such business combination if the post-business combination company owns or acquires 50% or more of the outstanding voting securities of the target or otherwise acquires a controlling interest in the target business sufficient for us not to be required to register as an investment company under the Investment Company Act. We will not consider any transaction that does not meet such criteria. Even if the post-business combination company owns 50% or more of the voting securities of the target, our shareholders prior to the completion of our initial business combination may collectively own a minority interest in the post-business combination company, depending on valuations ascribed to the target and us in the business combination. For example, we could pursue a transaction in which we issue a substantial number of new Class A ordinary shares in exchange for all of the outstanding capital stock of a target. In this case, we would acquire a 100% interest in the target. However, as a result of the issuance of a substantial number of new Class A ordinary shares, our shareholders immediately prior to such transaction could own less than a majority of our outstanding Class A ordinary shares subsequent to such transaction. In addition, other minority shareholders may subsequently combine their holdings resulting in a single person or group obtaining a larger share of the company’s shares than we initially acquired. Accordingly, this may make it more likely that our management will not be able to maintain control of the target business.</w:t>
      </w:r>
    </w:p>
    <w:p>
      <w:pPr>
        <w:spacing w:after="0" w:line="35" w:lineRule="exact"/>
        <w:rPr>
          <w:sz w:val="20"/>
          <w:szCs w:val="20"/>
          <w:color w:val="auto"/>
        </w:rPr>
      </w:pPr>
    </w:p>
    <w:p>
      <w:pPr>
        <w:ind w:right="420"/>
        <w:spacing w:after="0" w:line="267" w:lineRule="auto"/>
        <w:rPr>
          <w:sz w:val="20"/>
          <w:szCs w:val="20"/>
          <w:color w:val="auto"/>
        </w:rPr>
      </w:pPr>
      <w:r>
        <w:rPr>
          <w:rFonts w:ascii="Arial" w:cs="Arial" w:eastAsia="Arial" w:hAnsi="Arial"/>
          <w:sz w:val="17"/>
          <w:szCs w:val="17"/>
          <w:b w:val="1"/>
          <w:bCs w:val="1"/>
          <w:color w:val="auto"/>
        </w:rPr>
        <w:t>We may seek business combination opportunities with a high degree of complexity that require significant operational improvements, which could delay or prevent us from achieving our desired results.</w:t>
      </w:r>
    </w:p>
    <w:p>
      <w:pPr>
        <w:spacing w:after="0" w:line="4"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We may seek business combination opportunities with large, highly complex companies that we believe would benefit from operational improvements. While we intend to implement such improvements, to the extent that our efforts are delayed or we are unable to achieve the desired improvements, the business combination may not be as successful as we anticipate.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To the extent we complete our initial business combination with a large complex business or entity with a complex operating structure, we may also be affected by numerous risks inherent in the operations of the business with which we combine, which could delay or prevent us from implementing our strategy. Although our management team will endeavor to evaluate the risks inherent in a particular target business and its operations, we may not be able to properly ascertain or assess all of the significant risk factors until we complete our business combination. If we are not able to achieve our desired operational improvements, or the improvements take longer to implement than anticipated, we may not achieve the gains that we anticipate. Furthermore, some of these risks and complexities may be outside of our control and leave us with no ability to control or reduce the chances that those risks and complexities will adversely impact a target business. Such combination may not be as successful as a combination with a smaller, less complex organization.</w:t>
      </w:r>
    </w:p>
    <w:p>
      <w:pPr>
        <w:spacing w:after="0" w:line="178"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b w:val="1"/>
          <w:bCs w:val="1"/>
          <w:color w:val="auto"/>
        </w:rPr>
        <w:t>We do not have a specified maximum redemption threshold. The absence of such a redemption threshold may make it possible for us to complete our initial business combination with which a substantial majority of our shareholders do not agree.</w:t>
      </w:r>
    </w:p>
    <w:p>
      <w:pPr>
        <w:spacing w:after="0" w:line="19"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Our amended and restated memorandum and articles of association will not provide a specified maximum redemption threshold, except that in no event will we redeem our public shares in an amount that would cause our net tangible assets to be less than $5,000,001 (so that we do not then become subject to the SEC’s “penny stock” rules). As a result, we may be able to complete our initial business combination even though a substantial majority of our public shareholders do not agree with the transaction and have redeemed their shares or, if we seek shareholder approval of our initial business combination and do not conduct redemptions in connection with our initial business combination pursuant to the tender offer rules, have entered into privately negotiated agreements to sell their shares to our sponsor, officers, directors, advisors or any of their affiliates. In the event the aggregate cash consideration we would be required to pay for all Class A ordinary shares that are validly submitted for redemption plus any amount required to satisfy cash conditions pursuant to the terms of the proposed business combination exceed the aggregate amount of cash available to</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219"/>
        <w:spacing w:after="0" w:line="243" w:lineRule="auto"/>
        <w:rPr>
          <w:sz w:val="20"/>
          <w:szCs w:val="20"/>
          <w:color w:val="auto"/>
        </w:rPr>
      </w:pPr>
      <w:r>
        <w:rPr>
          <w:rFonts w:ascii="Arial" w:cs="Arial" w:eastAsia="Arial" w:hAnsi="Arial"/>
          <w:sz w:val="17"/>
          <w:szCs w:val="17"/>
          <w:color w:val="auto"/>
        </w:rPr>
        <w:t>us, we will not complete the business combination or redeem any shares, all Class A ordinary shares submitted for redemption will be returned to the holders thereof, and we instead may search for an alternate business combination.</w:t>
      </w:r>
    </w:p>
    <w:p>
      <w:pPr>
        <w:spacing w:after="0" w:line="43" w:lineRule="exact"/>
        <w:rPr>
          <w:sz w:val="20"/>
          <w:szCs w:val="20"/>
          <w:color w:val="auto"/>
        </w:rPr>
      </w:pPr>
    </w:p>
    <w:p>
      <w:pPr>
        <w:ind w:right="59"/>
        <w:spacing w:after="0" w:line="244" w:lineRule="auto"/>
        <w:rPr>
          <w:sz w:val="20"/>
          <w:szCs w:val="20"/>
          <w:color w:val="auto"/>
        </w:rPr>
      </w:pPr>
      <w:r>
        <w:rPr>
          <w:rFonts w:ascii="Arial" w:cs="Arial" w:eastAsia="Arial" w:hAnsi="Arial"/>
          <w:sz w:val="17"/>
          <w:szCs w:val="17"/>
          <w:b w:val="1"/>
          <w:bCs w:val="1"/>
          <w:color w:val="auto"/>
        </w:rPr>
        <w:t>In order to effectuate an initial business combination, blank check companies have, in the recent past, amended various provisions of their charters and other governing instruments. We may seek to amend our amended and restated memorandum and articles of association or governing instruments in a manner that will make it easier for us to complete our initial business combination that our shareholders may not support.</w:t>
      </w:r>
    </w:p>
    <w:p>
      <w:pPr>
        <w:spacing w:after="0" w:line="8" w:lineRule="exact"/>
        <w:rPr>
          <w:sz w:val="20"/>
          <w:szCs w:val="20"/>
          <w:color w:val="auto"/>
        </w:rPr>
      </w:pPr>
    </w:p>
    <w:p>
      <w:pPr>
        <w:ind w:right="39"/>
        <w:spacing w:after="0" w:line="233" w:lineRule="auto"/>
        <w:rPr>
          <w:sz w:val="20"/>
          <w:szCs w:val="20"/>
          <w:color w:val="auto"/>
        </w:rPr>
      </w:pPr>
      <w:r>
        <w:rPr>
          <w:rFonts w:ascii="Arial" w:cs="Arial" w:eastAsia="Arial" w:hAnsi="Arial"/>
          <w:sz w:val="17"/>
          <w:szCs w:val="17"/>
          <w:color w:val="auto"/>
        </w:rPr>
        <w:t>In order to effectuate a business combination, blank check companies have, in the recent past, amended various provisions of their charters and governing instruments. For example, blank check companies have amended the definition of business combination, increased redemption thresholds, and extended the time to consummate a business combination. Amending our amended and restated memorandum and articles of association will require at least a special resolution of our shareholders as a matter of Cayman Islands law, meaning the approval of holders of at least two-thirds of our ordinary shares who attend and vote at a shareholder meeting of the company. In addition, our amended and restated memorandum and articles of association will require us to provide our public shareholders with the opportunity to redeem their public shares for cash if we propose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 To the extent any of such amendments would be deemed to fundamentally change the nature of the securities offered through this registration statement, we would register, or seek an exemption from registration for, the affected securities.</w:t>
      </w:r>
    </w:p>
    <w:p>
      <w:pPr>
        <w:spacing w:after="0" w:line="49" w:lineRule="exact"/>
        <w:rPr>
          <w:sz w:val="20"/>
          <w:szCs w:val="20"/>
          <w:color w:val="auto"/>
        </w:rPr>
      </w:pPr>
    </w:p>
    <w:p>
      <w:pPr>
        <w:ind w:right="59"/>
        <w:spacing w:after="0" w:line="238" w:lineRule="auto"/>
        <w:rPr>
          <w:sz w:val="20"/>
          <w:szCs w:val="20"/>
          <w:color w:val="auto"/>
        </w:rPr>
      </w:pPr>
      <w:r>
        <w:rPr>
          <w:rFonts w:ascii="Arial" w:cs="Arial" w:eastAsia="Arial" w:hAnsi="Arial"/>
          <w:sz w:val="17"/>
          <w:szCs w:val="17"/>
          <w:b w:val="1"/>
          <w:bCs w:val="1"/>
          <w:color w:val="auto"/>
        </w:rPr>
        <w:t>The provisions of our amended and restated memorandum and articles of association that relate to our pre-business combination activity (and corresponding provisions of the agreement governing the release of funds from our trust account) may be amended with the approval of a special resolution which requires the approval of the holders of at least two-thirds of our ordinary shares who attend and vote at a shareholder meeting of the company, which is a lower amendment threshold than that of some other blank check companies. It may be easier for us, therefore, to amend our amended and restated memorandum and articles of association to facilitate the completion of an initial business combination that some of our shareholders may not support.</w:t>
      </w:r>
    </w:p>
    <w:p>
      <w:pPr>
        <w:spacing w:after="0" w:line="13" w:lineRule="exact"/>
        <w:rPr>
          <w:sz w:val="20"/>
          <w:szCs w:val="20"/>
          <w:color w:val="auto"/>
        </w:rPr>
      </w:pPr>
    </w:p>
    <w:p>
      <w:pPr>
        <w:ind w:right="19"/>
        <w:spacing w:after="0" w:line="232" w:lineRule="auto"/>
        <w:rPr>
          <w:sz w:val="20"/>
          <w:szCs w:val="20"/>
          <w:color w:val="auto"/>
        </w:rPr>
      </w:pPr>
      <w:r>
        <w:rPr>
          <w:rFonts w:ascii="Arial" w:cs="Arial" w:eastAsia="Arial" w:hAnsi="Arial"/>
          <w:sz w:val="17"/>
          <w:szCs w:val="17"/>
          <w:color w:val="auto"/>
        </w:rPr>
        <w:t xml:space="preserve">Some other blank check companies have a provision in their charter which prohibits the amendment of certain of its provisions, including those which relate to a company’s pre-business combination activity, without approval by a certain percentage of the company’s shareholders. In those companies, amendment of these provisions typically requires approval by between 90% and 100% of the company’s shareholders. Our amended and restated memorandum and articles of association will provide that any of its provisions related to pre-business combination activity (including the requirement to deposit proceeds of this offering and the sale of the private placement shares into the trust account and not release such amounts except in specified circumstances, and to provide redemption rights to public shareholders as described herein) may be amended if approved by special resolution, meaning holders of at least two-thirds of our ordinary shares who attend and vote at a shareholder meeting of the company, and corresponding provisions of the trust agreement governing the release of funds from our trust account may be amended if approved by holders of at least 65% of our ordinary shares;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provisions of our amended and restated memorandum and articles of association governing the appointment or removal of directors prior to our initial business combination may only be amended by a special resolution passed by holders representing at least two-thirds of our outstanding Class B ordinary shares. Our initial shareholders, and their permitted transferees, if any, who will collectively beneficially own, on an as-converted basis, 20% of our Class A ordinary shares upon the closing of this offering (excluding the private placement shares and assuming they do not purchase any shares in this offering), will participate in any vote to amend our amended and restated memorandum and articles of association and/or trust agreement and will have the discretion to vote in any manner they choose. As a result, we may be able to amend the provisions of our amended and restated memorandum and articles of association which govern our pre-business combination behavior more easily than some other blank check companies, and this may increase our ability to complete a business combination with which you do not agree. Our shareholders may pursue remedies against us for any breach of our amended and restated memorandum and articles of association.</w:t>
      </w:r>
    </w:p>
    <w:p>
      <w:pPr>
        <w:spacing w:after="0" w:line="176" w:lineRule="exact"/>
        <w:rPr>
          <w:sz w:val="20"/>
          <w:szCs w:val="20"/>
          <w:color w:val="auto"/>
        </w:rPr>
      </w:pPr>
    </w:p>
    <w:p>
      <w:pPr>
        <w:ind w:right="39"/>
        <w:spacing w:after="0" w:line="236" w:lineRule="auto"/>
        <w:rPr>
          <w:sz w:val="20"/>
          <w:szCs w:val="20"/>
          <w:color w:val="auto"/>
        </w:rPr>
      </w:pPr>
      <w:r>
        <w:rPr>
          <w:rFonts w:ascii="Arial" w:cs="Arial" w:eastAsia="Arial" w:hAnsi="Arial"/>
          <w:sz w:val="17"/>
          <w:szCs w:val="17"/>
          <w:color w:val="auto"/>
        </w:rPr>
        <w:t>Our sponsor, executive officers, directors and director nominees have agreed, pursuant to a written agreement with us, that they will not propose any amendment to our amended and restated memorandum and articles of association (A) that would modify the substance or timing of our obligation to provide holders of our Class A ordinary shares the right to have</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60"/>
        <w:spacing w:after="0" w:line="233" w:lineRule="auto"/>
        <w:rPr>
          <w:sz w:val="20"/>
          <w:szCs w:val="20"/>
          <w:color w:val="auto"/>
        </w:rPr>
      </w:pPr>
      <w:r>
        <w:rPr>
          <w:rFonts w:ascii="Arial" w:cs="Arial" w:eastAsia="Arial" w:hAnsi="Arial"/>
          <w:sz w:val="17"/>
          <w:szCs w:val="17"/>
          <w:color w:val="auto"/>
        </w:rPr>
        <w:t>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 unless we provide our public shareholders with the opportunity to redeem their Class A ordinary shares upon approval of any such amendment at a per-share price, payable in cash, equal to the aggregate amount then on deposit in the trust account, including interest earned on the funds held in the trust account and not previously released to us to pay our income taxes, if any, divided by the number of the then-outstanding public shares. Our shareholders are not parties to, or third-party beneficiaries of, this agreement and, as a result, will not have the ability to pursue remedies against our sponsor, executive officers, directors or director nominees for any breach of this agreement. As a result, in the event of a breach, our shareholders would need to pursue a shareholder derivative action, subject to applicable law.</w:t>
      </w:r>
    </w:p>
    <w:p>
      <w:pPr>
        <w:spacing w:after="0" w:line="53"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b w:val="1"/>
          <w:bCs w:val="1"/>
          <w:color w:val="auto"/>
        </w:rPr>
        <w:t>We may be unable to obtain additional financing to complete our initial business combination or to fund the operations and growth of a target business, which could compel us to restructure or abandon a particular business combination. If we are unable to complete our initial business combination, our public shareholders may receive only approximately $10.00 per public share, or less in certain circumstances, on the liquidation of our trust account.</w:t>
      </w:r>
    </w:p>
    <w:p>
      <w:pPr>
        <w:spacing w:after="0" w:line="11"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Although we believe that the net proceeds of this offering and the sale of the private placement shares will be sufficient to allow us to complete our initial business combination, because we have not yet selected any prospective target business we cannot ascertain the capital requirements for any particular transaction. If the net proceeds of this offering and the sale of the private placement shares prove to be insufficient, either because of the size of our initial business combination, the depletion of the available net proceeds in search of a target business, the obligation to redeem for cash a significant number of shares from shareholders who elect redemption in connection with our initial business combination or the terms of negotiated transactions to purchase shares in connection with our initial business combination, we may be required to seek additional financing or to abandon the proposed business combination. Such financing may not be available on acceptable terms, if at all. The current economic environment may make difficult for companies to obtain acquisition financing.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If we do not complete our initial business combination within the required time period, our public shareholders may receive only approximately $10.00 per public share, or less in certain circumstances, on the liquidation of our trust account.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shareholders is required to provide any financing to us in connection with or after our initial business combination.</w:t>
      </w:r>
    </w:p>
    <w:p>
      <w:pPr>
        <w:spacing w:after="0" w:line="47" w:lineRule="exact"/>
        <w:rPr>
          <w:sz w:val="20"/>
          <w:szCs w:val="20"/>
          <w:color w:val="auto"/>
        </w:rPr>
      </w:pPr>
    </w:p>
    <w:p>
      <w:pPr>
        <w:ind w:right="560"/>
        <w:spacing w:after="0" w:line="260" w:lineRule="auto"/>
        <w:rPr>
          <w:sz w:val="20"/>
          <w:szCs w:val="20"/>
          <w:color w:val="auto"/>
        </w:rPr>
      </w:pPr>
      <w:r>
        <w:rPr>
          <w:rFonts w:ascii="Arial" w:cs="Arial" w:eastAsia="Arial" w:hAnsi="Arial"/>
          <w:sz w:val="17"/>
          <w:szCs w:val="17"/>
          <w:b w:val="1"/>
          <w:bCs w:val="1"/>
          <w:color w:val="auto"/>
        </w:rPr>
        <w:t>Our initial shareholders control a substantial interest in us and thus may exert a substantial influence on actions requiring a shareholder vote, potentially in a manner that you do not support.</w:t>
      </w:r>
    </w:p>
    <w:p>
      <w:pPr>
        <w:spacing w:after="0" w:line="1"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Upon the closing of this offering, our initial shareholders will own, on an as-converted basis, 20% of our issued and outstanding ordinary shares (excluding the private placement shares and assuming they do not purchase any shares in this offering). Accordingly, they may exert a substantial influence on actions requiring a shareholder vote, potentially in a manner that you do not support, including amendments to our amended and restated memorandum and articles of association. If our initial shareholders purchase any shares in this offering or if our initial shareholders purchase any additional Class A ordinary shares in the aftermarket or in privately negotiated transactions, this would increase their control. Neither our sponsor nor, to our knowledge, any of our officers or directors, have any current intention to purchase additional securities, other than as disclosed in this prospectus. Factors that would be considered in making such additional purchases would include consideration of the current trading price of our Class A ordinary shares. In addition, our board of directors, whose members were elected by our sponsor, is and will be divided into three classes, each of which will generally serve for a term of three years with only one class of directors being elected in each year. We may not hold an annual meeting of shareholders to elect new directors prior to the completion of our initial business combination, in which case all of the current directors will continue in office until at least the completion of the business combination. If there is an annual meeting, as a consequence of our “staggered” board of directors, only a minority of the board of directors will be considered for election and our sponsor, because of its ownership position, will control the outcome, as only holders of our Class B ordinary shares will have the right to vote on the election of directors and to remove directors prior to our initial business combination. Accordingly, our sponsor will continue to exert control at least until the completion of our initial business combination. In addition, we have agreed not to enter into a definitive agreement regarding an initial business combination without the prior consent of our sponsor.</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19" w:lineRule="exact"/>
        <w:rPr>
          <w:sz w:val="20"/>
          <w:szCs w:val="20"/>
          <w:color w:val="auto"/>
        </w:rPr>
      </w:pPr>
    </w:p>
    <w:p>
      <w:pPr>
        <w:ind w:right="680"/>
        <w:spacing w:after="0" w:line="267" w:lineRule="auto"/>
        <w:rPr>
          <w:sz w:val="20"/>
          <w:szCs w:val="20"/>
          <w:color w:val="auto"/>
        </w:rPr>
      </w:pPr>
      <w:r>
        <w:rPr>
          <w:rFonts w:ascii="Arial" w:cs="Arial" w:eastAsia="Arial" w:hAnsi="Arial"/>
          <w:sz w:val="17"/>
          <w:szCs w:val="17"/>
          <w:b w:val="1"/>
          <w:bCs w:val="1"/>
          <w:color w:val="auto"/>
        </w:rPr>
        <w:t>Our sponsor contributed $25,000, or approximately $0.007 per founder share, and, accordingly, you will experience immediate and substantial dilution from the purchase of our Class A ordinary shares.</w:t>
      </w:r>
    </w:p>
    <w:p>
      <w:pPr>
        <w:spacing w:after="0" w:line="4"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The difference between the public offering price per share and the pro forma net tangible book value per Class A ordinary share after this offering constitutes the dilution to you and the other investors in this offering. Our sponsor acquired the founder shares at a nominal price, significantly contributing to this dilution. Upon the closing of this offering, you and the other public shareholders will incur an immediate and substantial dilution of approximately 88.7% (or $8.87 per share, assuming no exercise of the underwriters’ over-allotment option), the difference between the pro forma net tangible book value per share of $1.13 and the initial offering price of $10.00 per share. This dilution would increase to the extent that the anti-dilution provisions of the founder shares result in the issuance of Class A ordinary shares on a greater than one-to-one basis upon conversion of the founder shares at the time of our initial business combination and would become exacerbated to the extent that public shareholders seek redemptions from the trust for their public shares. In addition, because of the anti-dilution protection in the founder shares, any equity or equity-linked securities issued in connection with our initial business combination would be disproportionately dilutive to our Class A ordinary shares.</w:t>
      </w:r>
    </w:p>
    <w:p>
      <w:pPr>
        <w:spacing w:after="0" w:line="38"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b w:val="1"/>
          <w:bCs w:val="1"/>
          <w:color w:val="auto"/>
        </w:rPr>
        <w:t>The determination of the offering price of our Class A ordinary shares and the size of this offering is more arbitrary than the pricing of securities and size of an offering of an operating company in a particular industry. You may have less assurance, therefore, that the offering price of our Class A ordinary shares properly reflects the value of such shares than you would have in a typical offering of an operating company.</w:t>
      </w:r>
    </w:p>
    <w:p>
      <w:pPr>
        <w:spacing w:after="0" w:line="22"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Prior to this offering there has been no public market for any of our securities. The public offering price of the Class A ordinary shares was negotiated between us and the underwriters. In determining the size of this offering, management held customary organizational meetings with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Class A ordinary shares include:</w:t>
      </w:r>
    </w:p>
    <w:p>
      <w:pPr>
        <w:spacing w:after="0" w:line="94" w:lineRule="exact"/>
        <w:rPr>
          <w:sz w:val="20"/>
          <w:szCs w:val="20"/>
          <w:color w:val="auto"/>
        </w:rPr>
      </w:pPr>
    </w:p>
    <w:p>
      <w:pPr>
        <w:ind w:left="580" w:right="700"/>
        <w:spacing w:after="0" w:line="364" w:lineRule="auto"/>
        <w:rPr>
          <w:sz w:val="20"/>
          <w:szCs w:val="20"/>
          <w:color w:val="auto"/>
        </w:rPr>
      </w:pPr>
      <w:r>
        <w:rPr>
          <w:rFonts w:ascii="Arial" w:cs="Arial" w:eastAsia="Arial" w:hAnsi="Arial"/>
          <w:sz w:val="17"/>
          <w:szCs w:val="17"/>
          <w:color w:val="auto"/>
        </w:rPr>
        <w:t>the history and prospects of companies whose principal business is the acquisition of other companies; prior offerings of those companies;</w:t>
      </w:r>
    </w:p>
    <w:p>
      <w:pPr>
        <w:spacing w:after="0" w:line="1" w:lineRule="exact"/>
        <w:rPr>
          <w:sz w:val="20"/>
          <w:szCs w:val="20"/>
          <w:color w:val="auto"/>
        </w:rPr>
      </w:pPr>
    </w:p>
    <w:p>
      <w:pPr>
        <w:ind w:left="580" w:right="3200"/>
        <w:spacing w:after="0" w:line="364" w:lineRule="auto"/>
        <w:rPr>
          <w:sz w:val="20"/>
          <w:szCs w:val="20"/>
          <w:color w:val="auto"/>
        </w:rPr>
      </w:pPr>
      <w:r>
        <w:rPr>
          <w:rFonts w:ascii="Arial" w:cs="Arial" w:eastAsia="Arial" w:hAnsi="Arial"/>
          <w:sz w:val="17"/>
          <w:szCs w:val="17"/>
          <w:color w:val="auto"/>
        </w:rPr>
        <w:t>our prospects for acquiring an operating business at attractive values; a review of debt-to-equity ratios in leveraged transactions; our capital structure;</w:t>
      </w:r>
    </w:p>
    <w:p>
      <w:pPr>
        <w:spacing w:after="0" w:line="2" w:lineRule="exact"/>
        <w:rPr>
          <w:sz w:val="20"/>
          <w:szCs w:val="20"/>
          <w:color w:val="auto"/>
        </w:rPr>
      </w:pPr>
    </w:p>
    <w:p>
      <w:pPr>
        <w:ind w:left="580" w:right="1520"/>
        <w:spacing w:after="0" w:line="370" w:lineRule="auto"/>
        <w:rPr>
          <w:sz w:val="20"/>
          <w:szCs w:val="20"/>
          <w:color w:val="auto"/>
        </w:rPr>
      </w:pPr>
      <w:r>
        <w:rPr>
          <w:rFonts w:ascii="Arial" w:cs="Arial" w:eastAsia="Arial" w:hAnsi="Arial"/>
          <w:sz w:val="17"/>
          <w:szCs w:val="17"/>
          <w:color w:val="auto"/>
        </w:rPr>
        <w:t>an assessment of our management and their experience in identifying operating companies; general conditions of the securities markets at the time of this offering; and other factors as were deemed relevant.</w:t>
      </w:r>
    </w:p>
    <w:p>
      <w:pPr>
        <w:spacing w:after="0" w:line="54" w:lineRule="exact"/>
        <w:rPr>
          <w:sz w:val="20"/>
          <w:szCs w:val="20"/>
          <w:color w:val="auto"/>
        </w:rPr>
      </w:pPr>
    </w:p>
    <w:p>
      <w:pPr>
        <w:ind w:right="280"/>
        <w:spacing w:after="0" w:line="243" w:lineRule="auto"/>
        <w:rPr>
          <w:sz w:val="20"/>
          <w:szCs w:val="20"/>
          <w:color w:val="auto"/>
        </w:rPr>
      </w:pPr>
      <w:r>
        <w:rPr>
          <w:rFonts w:ascii="Arial" w:cs="Arial" w:eastAsia="Arial" w:hAnsi="Arial"/>
          <w:sz w:val="17"/>
          <w:szCs w:val="17"/>
          <w:color w:val="auto"/>
        </w:rPr>
        <w:t>Although these factors were considered, the determination of our offering price is more arbitrary than the pricing of securities of an operating company in a particular industry since we have no historical operations or financial results.</w:t>
      </w:r>
    </w:p>
    <w:p>
      <w:pPr>
        <w:spacing w:after="0" w:line="30" w:lineRule="exact"/>
        <w:rPr>
          <w:sz w:val="20"/>
          <w:szCs w:val="20"/>
          <w:color w:val="auto"/>
        </w:rPr>
      </w:pPr>
    </w:p>
    <w:p>
      <w:pPr>
        <w:ind w:right="260"/>
        <w:spacing w:after="0" w:line="267" w:lineRule="auto"/>
        <w:rPr>
          <w:sz w:val="20"/>
          <w:szCs w:val="20"/>
          <w:color w:val="auto"/>
        </w:rPr>
      </w:pPr>
      <w:r>
        <w:rPr>
          <w:rFonts w:ascii="Arial" w:cs="Arial" w:eastAsia="Arial" w:hAnsi="Arial"/>
          <w:sz w:val="17"/>
          <w:szCs w:val="17"/>
          <w:b w:val="1"/>
          <w:bCs w:val="1"/>
          <w:color w:val="auto"/>
        </w:rPr>
        <w:t>There is currently no market for our securities and a market for our securities may not develop, which would adversely affect the liquidity and price of our securities.</w:t>
      </w:r>
    </w:p>
    <w:p>
      <w:pPr>
        <w:spacing w:after="0" w:line="4"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There is currently no market for our securities. Shareholders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including as a result of the COVID-19 outbreak. Furthermore, an active trading market for our securities may never develop or, if developed, it may not be sustained. You may be unable to sell your securities unless a market can be established and sustained.</w:t>
      </w:r>
    </w:p>
    <w:p>
      <w:pPr>
        <w:spacing w:after="0" w:line="33" w:lineRule="exact"/>
        <w:rPr>
          <w:sz w:val="20"/>
          <w:szCs w:val="20"/>
          <w:color w:val="auto"/>
        </w:rPr>
      </w:pPr>
    </w:p>
    <w:p>
      <w:pPr>
        <w:spacing w:after="0" w:line="267" w:lineRule="auto"/>
        <w:rPr>
          <w:sz w:val="20"/>
          <w:szCs w:val="20"/>
          <w:color w:val="auto"/>
        </w:rPr>
      </w:pPr>
      <w:r>
        <w:rPr>
          <w:rFonts w:ascii="Arial" w:cs="Arial" w:eastAsia="Arial" w:hAnsi="Arial"/>
          <w:sz w:val="17"/>
          <w:szCs w:val="17"/>
          <w:b w:val="1"/>
          <w:bCs w:val="1"/>
          <w:color w:val="auto"/>
        </w:rPr>
        <w:t>Because we must furnish our shareholders with target business financial statements, we may lose the ability to complete an otherwise advantageous initial business combination with some prospective target businesses.</w:t>
      </w:r>
    </w:p>
    <w:p>
      <w:pPr>
        <w:spacing w:after="0" w:line="4"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The federal proxy rules require that a proxy statement with respect to a vote on our proposed business combination include historical and/or pro forma financial statement disclosure.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or GAAP, or international financial reporting standards as issued by</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the International Accounting Standards Board, or IFRS, depending on the circumstances and the historical financial statements may be required to be audited in accordance with the standards of the Public Company Accounting Oversight Board (United States), or PCAOB. These financial statement requirements may limit the pool of potential target businesses we may acquire because some targets may be unable to provide such statements in time for us to disclose such statements in accordance with federal proxy rules and complete our initial business combination within 24 months from the closing of this offering.</w:t>
      </w:r>
    </w:p>
    <w:p>
      <w:pPr>
        <w:spacing w:after="0" w:line="47" w:lineRule="exact"/>
        <w:rPr>
          <w:sz w:val="20"/>
          <w:szCs w:val="20"/>
          <w:color w:val="auto"/>
        </w:rPr>
      </w:pPr>
    </w:p>
    <w:p>
      <w:pPr>
        <w:ind w:right="340"/>
        <w:spacing w:after="0" w:line="244" w:lineRule="auto"/>
        <w:rPr>
          <w:sz w:val="20"/>
          <w:szCs w:val="20"/>
          <w:color w:val="auto"/>
        </w:rPr>
      </w:pPr>
      <w:r>
        <w:rPr>
          <w:rFonts w:ascii="Arial" w:cs="Arial" w:eastAsia="Arial" w:hAnsi="Arial"/>
          <w:sz w:val="17"/>
          <w:szCs w:val="17"/>
          <w:b w:val="1"/>
          <w:b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8"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Class A ordinary shares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65"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7"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$250 million as of the prior June 30, or (2) our annual revenues exceeded $100 million during such completed fiscal year and the market value of our ordinary shares held by non-affiliates exceeds $700 million as of the prior June 30. To the extent we take advantage of such reduced disclosure obligations, it may also make comparison of our financial statements with other public companies difficult or impossible.</w:t>
      </w:r>
    </w:p>
    <w:p>
      <w:pPr>
        <w:spacing w:after="0" w:line="35" w:lineRule="exact"/>
        <w:rPr>
          <w:sz w:val="20"/>
          <w:szCs w:val="20"/>
          <w:color w:val="auto"/>
        </w:rPr>
      </w:pPr>
    </w:p>
    <w:p>
      <w:pPr>
        <w:ind w:right="400"/>
        <w:spacing w:after="0" w:line="249" w:lineRule="auto"/>
        <w:rPr>
          <w:sz w:val="20"/>
          <w:szCs w:val="20"/>
          <w:color w:val="auto"/>
        </w:rPr>
      </w:pPr>
      <w:r>
        <w:rPr>
          <w:rFonts w:ascii="Arial" w:cs="Arial" w:eastAsia="Arial" w:hAnsi="Arial"/>
          <w:sz w:val="17"/>
          <w:szCs w:val="17"/>
          <w:b w:val="1"/>
          <w:bCs w:val="1"/>
          <w:color w:val="auto"/>
        </w:rPr>
        <w:t>Compliance obligations under the Sarbanes-Oxley Act may make it more difficult for us to effectuate a business combination, require substantial financial and management resources, and increase the time and costs of completing an acquisition.</w:t>
      </w:r>
    </w:p>
    <w:p>
      <w:pPr>
        <w:spacing w:after="0" w:line="19" w:lineRule="exact"/>
        <w:rPr>
          <w:sz w:val="20"/>
          <w:szCs w:val="20"/>
          <w:color w:val="auto"/>
        </w:rPr>
      </w:pPr>
    </w:p>
    <w:p>
      <w:pPr>
        <w:ind w:right="20"/>
        <w:spacing w:after="0"/>
        <w:rPr>
          <w:sz w:val="20"/>
          <w:szCs w:val="20"/>
          <w:color w:val="auto"/>
        </w:rPr>
      </w:pPr>
      <w:r>
        <w:rPr>
          <w:rFonts w:ascii="Arial" w:cs="Arial" w:eastAsia="Arial" w:hAnsi="Arial"/>
          <w:sz w:val="17"/>
          <w:szCs w:val="17"/>
          <w:color w:val="auto"/>
        </w:rPr>
        <w:t>Section 404 of the Sarbanes-Oxley Act requires that we evaluate and report on our system of internal controls beginning with our Annual Report on Form 10-K for the year ending December 31, 2021.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acquisition.</w:t>
      </w:r>
    </w:p>
    <w:p>
      <w:pPr>
        <w:spacing w:after="0" w:line="48"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b w:val="1"/>
          <w:bCs w:val="1"/>
          <w:color w:val="auto"/>
        </w:rPr>
        <w:t>Because we are incorporated under the laws of the Cayman Islands, you may face difficulties in protecting your interests, and your ability to protect your rights through the U.S. federal courts may be limited.</w:t>
      </w:r>
    </w:p>
    <w:p>
      <w:pPr>
        <w:spacing w:after="0" w:line="1" w:lineRule="exact"/>
        <w:rPr>
          <w:sz w:val="20"/>
          <w:szCs w:val="20"/>
          <w:color w:val="auto"/>
        </w:rPr>
      </w:pPr>
    </w:p>
    <w:p>
      <w:pPr>
        <w:ind w:right="340"/>
        <w:spacing w:after="0" w:line="238" w:lineRule="auto"/>
        <w:rPr>
          <w:sz w:val="20"/>
          <w:szCs w:val="20"/>
          <w:color w:val="auto"/>
        </w:rPr>
      </w:pPr>
      <w:r>
        <w:rPr>
          <w:rFonts w:ascii="Arial" w:cs="Arial" w:eastAsia="Arial" w:hAnsi="Arial"/>
          <w:sz w:val="17"/>
          <w:szCs w:val="17"/>
          <w:color w:val="auto"/>
        </w:rPr>
        <w:t>We are an exempted company incorporated under the laws of the Cayman Islands. As a result, it may be difficult for investors to effect service of process within the United States upon our directors or executive officers, or enforce judgments obtained in the United States courts against our directors or officers.</w:t>
      </w:r>
    </w:p>
    <w:p>
      <w:pPr>
        <w:spacing w:after="0" w:line="161"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Our corporate affairs and the rights of shareholders will be governed by our amended and restated memorandum and articles of association, the Companies Law (as the same may be supplemented or amended from time to time) and the common law of the Cayman Islands. We will also be subject to the federal securities laws of the United States.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 For a more detailed discussion of the principal differences between the provisions of the Companies Law applicable to us and, for example, the laws applicable to companies incorporated in the United States and their shareholders, see the section of this prospectus captioned “Description of Securities — Certain Differences in Corporate Law.”</w:t>
      </w:r>
    </w:p>
    <w:p>
      <w:pPr>
        <w:spacing w:after="0" w:line="16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Shareholders of Cayman Islands exempted companies like the Company have no general rights under Cayman Islands law to inspect corporate records or to obtain copies of the register of members of these companies. Our directors have discretion under our amended and restated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48"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 xml:space="preserve">We have been advised by our Cayman Islands legal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64"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As a result of all of the above, public shareholders may have more difficulty in protecting their interests in the face of actions taken by management, members of the board of directors or controlling shareholders than they would as public shareholders of a United States company.</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19"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b w:val="1"/>
          <w:bCs w:val="1"/>
          <w:color w:val="auto"/>
        </w:rPr>
        <w:t>Provisions in our amended and restated memorandum and articles of association may inhibit a takeover of us, which could limit the price investors might be willing to pay in the future for our Class A ordinary shares and could entrench management.</w:t>
      </w:r>
    </w:p>
    <w:p>
      <w:pPr>
        <w:spacing w:after="0" w:line="19"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Our amended and restated memorandum and articles of association will contain provisions that may discourage unsolicited takeover proposals that shareholders may consider to be in their best interests. These provisions will include a staggered board of directors, the ability of the board of directors to designate the terms of and issue new series of preference shares, and the fact that prior to the completion of our initial business combination only holders of our Class B ordinary shares, which have been issued to our sponsor, are entitled to vote on the election of directors, which may make more difficult the removal of management and may discourage transactions that otherwise could involve payment of a premium over prevailing market prices for our securities.</w:t>
      </w:r>
    </w:p>
    <w:p>
      <w:pPr>
        <w:spacing w:after="0" w:line="36" w:lineRule="exact"/>
        <w:rPr>
          <w:sz w:val="20"/>
          <w:szCs w:val="20"/>
          <w:color w:val="auto"/>
        </w:rPr>
      </w:pPr>
    </w:p>
    <w:p>
      <w:pPr>
        <w:ind w:right="780"/>
        <w:spacing w:after="0" w:line="267" w:lineRule="auto"/>
        <w:rPr>
          <w:sz w:val="20"/>
          <w:szCs w:val="20"/>
          <w:color w:val="auto"/>
        </w:rPr>
      </w:pPr>
      <w:r>
        <w:rPr>
          <w:rFonts w:ascii="Arial" w:cs="Arial" w:eastAsia="Arial" w:hAnsi="Arial"/>
          <w:sz w:val="17"/>
          <w:szCs w:val="17"/>
          <w:b w:val="1"/>
          <w:bCs w:val="1"/>
          <w:color w:val="auto"/>
        </w:rPr>
        <w:t>Cyber incidents or attacks directed at us could result in information theft, data corruption, operational disruption and/or financial loss.</w:t>
      </w:r>
    </w:p>
    <w:p>
      <w:pPr>
        <w:spacing w:after="0" w:line="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Associated with Acquiring and Operating a Business in Foreign Countries</w:t>
      </w:r>
    </w:p>
    <w:p>
      <w:pPr>
        <w:spacing w:after="0" w:line="75"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b w:val="1"/>
          <w:bCs w:val="1"/>
          <w:color w:val="auto"/>
        </w:rPr>
        <w:t>If we pursue a target company with operations or opportunities outside of the United States for our initial business combination, we may face additional burdens in connection with investigating, agreeing to and completing such initial business combination, and if we effect such initial business combination, we would be subject to a variety of additional risks that may negatively impact our operations.</w:t>
      </w:r>
    </w:p>
    <w:p>
      <w:pPr>
        <w:spacing w:after="0" w:line="8"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If we pursue a target a company with operations or opportunities outside of the United States for our initial business combination, we would be subject to risks associated with cross-border business combinations, including in connection with investigating, agreeing to and completing our initial business combination, conducting due diligence in a foreign jurisdiction, having such transaction approved by any local governments, regulators or agencies and changes in the purchase price based on fluctuations in foreign exchange rates.</w:t>
      </w:r>
    </w:p>
    <w:p>
      <w:pPr>
        <w:spacing w:after="0" w:line="163"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If we effect our initial business combination with such a company, we would be subject to any special considerations or risks associated with companies operating in an international setting, including any of the following:</w:t>
      </w:r>
    </w:p>
    <w:p>
      <w:pPr>
        <w:spacing w:after="0" w:line="90" w:lineRule="exact"/>
        <w:rPr>
          <w:sz w:val="20"/>
          <w:szCs w:val="20"/>
          <w:color w:val="auto"/>
        </w:rPr>
      </w:pPr>
    </w:p>
    <w:p>
      <w:pPr>
        <w:ind w:left="580" w:right="2680"/>
        <w:spacing w:after="0" w:line="364" w:lineRule="auto"/>
        <w:rPr>
          <w:sz w:val="20"/>
          <w:szCs w:val="20"/>
          <w:color w:val="auto"/>
        </w:rPr>
      </w:pPr>
      <w:r>
        <w:rPr>
          <w:rFonts w:ascii="Arial" w:cs="Arial" w:eastAsia="Arial" w:hAnsi="Arial"/>
          <w:sz w:val="17"/>
          <w:szCs w:val="17"/>
          <w:color w:val="auto"/>
        </w:rPr>
        <w:t>costs and difficulties inherent in managing cross-border business operations; rules and regulations regarding currency redemption; complex corporate withholding taxes on individuals;</w:t>
      </w:r>
    </w:p>
    <w:p>
      <w:pPr>
        <w:spacing w:after="0" w:line="2" w:lineRule="exact"/>
        <w:rPr>
          <w:sz w:val="20"/>
          <w:szCs w:val="20"/>
          <w:color w:val="auto"/>
        </w:rPr>
      </w:pPr>
    </w:p>
    <w:p>
      <w:pPr>
        <w:ind w:left="580" w:right="2180"/>
        <w:spacing w:after="0" w:line="413" w:lineRule="auto"/>
        <w:rPr>
          <w:sz w:val="20"/>
          <w:szCs w:val="20"/>
          <w:color w:val="auto"/>
        </w:rPr>
      </w:pPr>
      <w:r>
        <w:rPr>
          <w:rFonts w:ascii="Arial" w:cs="Arial" w:eastAsia="Arial" w:hAnsi="Arial"/>
          <w:sz w:val="17"/>
          <w:szCs w:val="17"/>
          <w:color w:val="auto"/>
        </w:rPr>
        <w:t>laws governing the manner in which future business combinations may be effected; exchange listing and/or delisting requirements; tariffs and trade barriers;</w:t>
      </w:r>
    </w:p>
    <w:p>
      <w:pPr>
        <w:spacing w:after="0" w:line="21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regulations related to customs and import/export matters;</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local or regional economic policies and market conditions;</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unexpected changes in regulatory requirements;</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longer payment cycles;</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tax issues, such as tax law changes and variations in tax laws as compared to the United States;</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currency fluctuations and exchange controls;</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rates of inflation;</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challenges in collecting accounts receivable;</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cultural and language differences;</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employment regulations;</w:t>
      </w:r>
    </w:p>
    <w:p>
      <w:pPr>
        <w:spacing w:after="0" w:line="102" w:lineRule="exact"/>
        <w:rPr>
          <w:sz w:val="20"/>
          <w:szCs w:val="20"/>
          <w:color w:val="auto"/>
        </w:rPr>
      </w:pPr>
    </w:p>
    <w:p>
      <w:pPr>
        <w:ind w:left="580" w:right="3840"/>
        <w:spacing w:after="0" w:line="364" w:lineRule="auto"/>
        <w:rPr>
          <w:sz w:val="20"/>
          <w:szCs w:val="20"/>
          <w:color w:val="auto"/>
        </w:rPr>
      </w:pPr>
      <w:r>
        <w:rPr>
          <w:rFonts w:ascii="Arial" w:cs="Arial" w:eastAsia="Arial" w:hAnsi="Arial"/>
          <w:sz w:val="17"/>
          <w:szCs w:val="17"/>
          <w:color w:val="auto"/>
        </w:rPr>
        <w:t>underdeveloped or unpredictable legal or regulatory systems; corruption;</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protection of intellectual property;</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social unrest, crime, strikes, riots and civil disturbances;</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regime changes and political upheaval;</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terrorist attacks, natural disasters and wars; and</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deterioration of political relations with the United States.</w:t>
      </w:r>
    </w:p>
    <w:p>
      <w:pPr>
        <w:spacing w:after="0" w:line="169" w:lineRule="exact"/>
        <w:rPr>
          <w:sz w:val="20"/>
          <w:szCs w:val="20"/>
          <w:color w:val="auto"/>
        </w:rPr>
      </w:pPr>
    </w:p>
    <w:p>
      <w:pPr>
        <w:ind w:right="200"/>
        <w:spacing w:after="0" w:line="238" w:lineRule="auto"/>
        <w:rPr>
          <w:sz w:val="20"/>
          <w:szCs w:val="20"/>
          <w:color w:val="auto"/>
        </w:rPr>
      </w:pPr>
      <w:r>
        <w:rPr>
          <w:rFonts w:ascii="Arial" w:cs="Arial" w:eastAsia="Arial" w:hAnsi="Arial"/>
          <w:sz w:val="17"/>
          <w:szCs w:val="17"/>
          <w:color w:val="auto"/>
        </w:rPr>
        <w:t>We may not be able to adequately address these additional risks. If we were unable to do so, we may be unable to complete such initial business combination, or, if we complete such combination, our operations might suffer, either of which may adversely impact our business, financial condition and results of operations.</w:t>
      </w:r>
    </w:p>
    <w:p>
      <w:pPr>
        <w:spacing w:after="0" w:line="33"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b w:val="1"/>
          <w:bCs w:val="1"/>
          <w:color w:val="auto"/>
        </w:rPr>
        <w:t>If our management following our initial business combination is unfamiliar with United States securities laws, they may have to expend time and resources becoming familiar with such laws, which could lead to various regulatory issues.</w:t>
      </w:r>
    </w:p>
    <w:p>
      <w:pPr>
        <w:spacing w:after="0" w:line="19"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Following our initial business combination, our management may resign from their positions as officers or directors of the company and the management of the target business at the time of the business combination will remain in place. Management of the target business may not be familiar with United States securities laws. If new management is unfamiliar with United States securities laws, they may have to expend time and resources becoming familiar with such laws. This could be expensive and time-consuming and could lead to various regulatory issues which may adversely affect our operations.</w:t>
      </w:r>
    </w:p>
    <w:p>
      <w:pPr>
        <w:spacing w:after="0" w:line="33"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b w:val="1"/>
          <w:bCs w:val="1"/>
          <w:color w:val="auto"/>
        </w:rPr>
        <w:t>After our initial business combination, substantially all of our assets may be located in a foreign country and substantially all of our revenue may be derived from our operations in such country. Accordingly, our results of operations and prospects will be subject, to a significant extent, to the economic, political and social conditions and government policies, developments and conditions in the country in which we operate.</w:t>
      </w:r>
    </w:p>
    <w:p>
      <w:pPr>
        <w:spacing w:after="0" w:line="22"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economic, political and social conditions, as well as government policies, of the country in which our operations are located could affect our business. Economic growth could be uneven, both geographically and among various sectors of the economy and such growth may not be sustained in the future. If in the future such country’s economy experiences a downturn or grows at a slower rate than expected, there may be less demand for spending in certain industries.</w:t>
      </w:r>
    </w:p>
    <w:p>
      <w:pPr>
        <w:ind w:right="40"/>
        <w:spacing w:after="0" w:line="238" w:lineRule="auto"/>
        <w:rPr>
          <w:sz w:val="20"/>
          <w:szCs w:val="20"/>
          <w:color w:val="auto"/>
        </w:rPr>
      </w:pPr>
      <w:r>
        <w:rPr>
          <w:rFonts w:ascii="Arial" w:cs="Arial" w:eastAsia="Arial" w:hAnsi="Arial"/>
          <w:sz w:val="17"/>
          <w:szCs w:val="17"/>
          <w:color w:val="auto"/>
        </w:rPr>
        <w:t>A decrease in demand for spending in certain industries could materially and adversely affect our ability to find an attractive target business with which to consummate our initial business combination and if we effect our initial business combination, the ability of that target business to become profitable.</w:t>
      </w:r>
    </w:p>
    <w:p>
      <w:pPr>
        <w:spacing w:after="0" w:line="33" w:lineRule="exact"/>
        <w:rPr>
          <w:sz w:val="20"/>
          <w:szCs w:val="20"/>
          <w:color w:val="auto"/>
        </w:rPr>
      </w:pPr>
    </w:p>
    <w:p>
      <w:pPr>
        <w:ind w:right="660"/>
        <w:spacing w:after="0" w:line="267" w:lineRule="auto"/>
        <w:rPr>
          <w:sz w:val="20"/>
          <w:szCs w:val="20"/>
          <w:color w:val="auto"/>
        </w:rPr>
      </w:pPr>
      <w:r>
        <w:rPr>
          <w:rFonts w:ascii="Arial" w:cs="Arial" w:eastAsia="Arial" w:hAnsi="Arial"/>
          <w:sz w:val="17"/>
          <w:szCs w:val="17"/>
          <w:b w:val="1"/>
          <w:bCs w:val="1"/>
          <w:color w:val="auto"/>
        </w:rPr>
        <w:t>Exchange rate fluctuations and currency policies may cause a target business’ ability to succeed in the international markets to be diminished.</w:t>
      </w:r>
    </w:p>
    <w:p>
      <w:pPr>
        <w:spacing w:after="0" w:line="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In the event we acquire a non-U.S. target, all revenues and income would likely be received in a foreign currency, and the dollar equivalent of our net assets and distributions, if any, could be adversely affected by reductions in the value of the local currency. The value of the currencies in our target regions fluctuate and are affected by, among other things, changes in political and economic conditions. Any change in the relative value of such currency against our reporting currency may affect the attractiveness of any target business or, following consummation of our initial business combination, our financial condition and results of operations. Additionally, if a currency appreciates in value against the dollar prior to the consummation of our initial business combination, the cost of a target business as measured in dollars will increase, which may make it less likely that we are able to consummate such transaction.</w:t>
      </w:r>
    </w:p>
    <w:p>
      <w:pPr>
        <w:spacing w:after="0" w:line="35"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b w:val="1"/>
          <w:bCs w:val="1"/>
          <w:color w:val="auto"/>
        </w:rPr>
        <w:t>We may reincorporate in another jurisdiction in connection with our initial business combination, and the laws of such jurisdiction may govern some or all of our future material agreements and we may not be able to enforce our legal rights.</w:t>
      </w:r>
    </w:p>
    <w:p>
      <w:pPr>
        <w:spacing w:after="0" w:line="19"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In connection with our initial business combination, we may relocate the home jurisdiction of our business from the Cayman Islands to another jurisdiction. If we determine to do this, the laws of such jurisdiction may govern some or all of our future material agreements. The system of laws and the enforcement of existing laws in such jurisdiction may not be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19"/>
        <w:spacing w:after="0" w:line="243" w:lineRule="auto"/>
        <w:rPr>
          <w:sz w:val="20"/>
          <w:szCs w:val="20"/>
          <w:color w:val="auto"/>
        </w:rPr>
      </w:pPr>
      <w:r>
        <w:rPr>
          <w:rFonts w:ascii="Arial" w:cs="Arial" w:eastAsia="Arial" w:hAnsi="Arial"/>
          <w:sz w:val="17"/>
          <w:szCs w:val="17"/>
          <w:color w:val="auto"/>
        </w:rPr>
        <w:t>as certain in implementation and interpretation as in the United States. The inability to enforce or obtain a remedy under any of our future agreements could result in a significant loss of business, business opportunities or capital.</w:t>
      </w:r>
    </w:p>
    <w:p>
      <w:pPr>
        <w:spacing w:after="0" w:line="43" w:lineRule="exact"/>
        <w:rPr>
          <w:sz w:val="20"/>
          <w:szCs w:val="20"/>
          <w:color w:val="auto"/>
        </w:rPr>
      </w:pPr>
    </w:p>
    <w:p>
      <w:pPr>
        <w:ind w:right="19"/>
        <w:spacing w:after="0" w:line="260" w:lineRule="auto"/>
        <w:rPr>
          <w:sz w:val="20"/>
          <w:szCs w:val="20"/>
          <w:color w:val="auto"/>
        </w:rPr>
      </w:pPr>
      <w:r>
        <w:rPr>
          <w:rFonts w:ascii="Arial" w:cs="Arial" w:eastAsia="Arial" w:hAnsi="Arial"/>
          <w:sz w:val="17"/>
          <w:szCs w:val="17"/>
          <w:b w:val="1"/>
          <w:bCs w:val="1"/>
          <w:color w:val="auto"/>
        </w:rPr>
        <w:t>We are subject to changing law and regulations regarding regulatory matters, corporate governance and public disclosure that have increased both our costs and the risk of non-compliance.</w:t>
      </w:r>
    </w:p>
    <w:p>
      <w:pPr>
        <w:spacing w:after="0" w:line="1" w:lineRule="exact"/>
        <w:rPr>
          <w:sz w:val="20"/>
          <w:szCs w:val="20"/>
          <w:color w:val="auto"/>
        </w:rPr>
      </w:pPr>
    </w:p>
    <w:p>
      <w:pPr>
        <w:ind w:right="39"/>
        <w:spacing w:after="0" w:line="235" w:lineRule="auto"/>
        <w:rPr>
          <w:sz w:val="20"/>
          <w:szCs w:val="20"/>
          <w:color w:val="auto"/>
        </w:rPr>
      </w:pPr>
      <w:r>
        <w:rPr>
          <w:rFonts w:ascii="Arial" w:cs="Arial" w:eastAsia="Arial" w:hAnsi="Arial"/>
          <w:sz w:val="17"/>
          <w:szCs w:val="17"/>
          <w:color w:val="auto"/>
        </w:rPr>
        <w:t>We are subject to rules and regulations by various governing bodies, including, for example, the SEC, which are charged with the protection of investors and the oversight of companies whose securities are publicly traded, and to new and evolving regulatory measures under applicable law. Our efforts to comply with new and changing laws and regulations have resulted in and are likely to continue to result in, increased general and administrative expenses and a diversion of management time and attention from seeking a business combination target.</w:t>
      </w:r>
    </w:p>
    <w:p>
      <w:pPr>
        <w:spacing w:after="0" w:line="163" w:lineRule="exact"/>
        <w:rPr>
          <w:sz w:val="20"/>
          <w:szCs w:val="20"/>
          <w:color w:val="auto"/>
        </w:rPr>
      </w:pPr>
    </w:p>
    <w:p>
      <w:pPr>
        <w:ind w:right="59"/>
        <w:spacing w:after="0" w:line="235" w:lineRule="auto"/>
        <w:rPr>
          <w:sz w:val="20"/>
          <w:szCs w:val="20"/>
          <w:color w:val="auto"/>
        </w:rPr>
      </w:pPr>
      <w:r>
        <w:rPr>
          <w:rFonts w:ascii="Arial" w:cs="Arial" w:eastAsia="Arial" w:hAnsi="Arial"/>
          <w:sz w:val="17"/>
          <w:szCs w:val="17"/>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88"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Some of the statements contained in this prospectus may constitute “forward-looking statements” for purposes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 “may,” “might,” “plan,” “possible,” “potential,” “predict,” “project,” “should,” “would” and similar expressions may identify forward-looking statements, but the absence of these words does not mean that a statement is not forward-looking. Forward-looking statements in this prospectus may include, for example, statements about:</w:t>
      </w:r>
    </w:p>
    <w:p>
      <w:pPr>
        <w:spacing w:after="0" w:line="94" w:lineRule="exact"/>
        <w:rPr>
          <w:sz w:val="20"/>
          <w:szCs w:val="20"/>
          <w:color w:val="auto"/>
        </w:rPr>
      </w:pPr>
    </w:p>
    <w:p>
      <w:pPr>
        <w:ind w:left="580" w:right="3580"/>
        <w:spacing w:after="0" w:line="364" w:lineRule="auto"/>
        <w:rPr>
          <w:sz w:val="20"/>
          <w:szCs w:val="20"/>
          <w:color w:val="auto"/>
        </w:rPr>
      </w:pPr>
      <w:r>
        <w:rPr>
          <w:rFonts w:ascii="Arial" w:cs="Arial" w:eastAsia="Arial" w:hAnsi="Arial"/>
          <w:sz w:val="17"/>
          <w:szCs w:val="17"/>
          <w:color w:val="auto"/>
        </w:rPr>
        <w:t>our ability to select an appropriate target business or businesses; our ability to complete our initial business combination;</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our expectations around the performance of a prospective target business or businesses;</w:t>
      </w:r>
    </w:p>
    <w:p>
      <w:pPr>
        <w:spacing w:after="0" w:line="102" w:lineRule="exact"/>
        <w:rPr>
          <w:sz w:val="20"/>
          <w:szCs w:val="20"/>
          <w:color w:val="auto"/>
        </w:rPr>
      </w:pPr>
    </w:p>
    <w:p>
      <w:pPr>
        <w:ind w:left="580" w:right="160"/>
        <w:spacing w:after="0" w:line="243" w:lineRule="auto"/>
        <w:rPr>
          <w:sz w:val="20"/>
          <w:szCs w:val="20"/>
          <w:color w:val="auto"/>
        </w:rPr>
      </w:pPr>
      <w:r>
        <w:rPr>
          <w:rFonts w:ascii="Arial" w:cs="Arial" w:eastAsia="Arial" w:hAnsi="Arial"/>
          <w:sz w:val="17"/>
          <w:szCs w:val="17"/>
          <w:color w:val="auto"/>
        </w:rPr>
        <w:t>our success in retaining or recruiting, or changes required in, our officers, key employees or directors following our initial business combination;</w:t>
      </w:r>
    </w:p>
    <w:p>
      <w:pPr>
        <w:spacing w:after="0" w:line="90" w:lineRule="exact"/>
        <w:rPr>
          <w:sz w:val="20"/>
          <w:szCs w:val="20"/>
          <w:color w:val="auto"/>
        </w:rPr>
      </w:pPr>
    </w:p>
    <w:p>
      <w:pPr>
        <w:ind w:left="580" w:right="60"/>
        <w:spacing w:after="0" w:line="243" w:lineRule="auto"/>
        <w:rPr>
          <w:sz w:val="20"/>
          <w:szCs w:val="20"/>
          <w:color w:val="auto"/>
        </w:rPr>
      </w:pPr>
      <w:r>
        <w:rPr>
          <w:rFonts w:ascii="Arial" w:cs="Arial" w:eastAsia="Arial" w:hAnsi="Arial"/>
          <w:sz w:val="17"/>
          <w:szCs w:val="17"/>
          <w:color w:val="auto"/>
        </w:rPr>
        <w:t>our officers and directors allocating their time to other businesses and potentially having conflicts of interest with our business or in approving our initial business combination;</w:t>
      </w:r>
    </w:p>
    <w:p>
      <w:pPr>
        <w:spacing w:after="0" w:line="90" w:lineRule="exact"/>
        <w:rPr>
          <w:sz w:val="20"/>
          <w:szCs w:val="20"/>
          <w:color w:val="auto"/>
        </w:rPr>
      </w:pPr>
    </w:p>
    <w:p>
      <w:pPr>
        <w:ind w:left="580" w:right="1460"/>
        <w:spacing w:after="0" w:line="364" w:lineRule="auto"/>
        <w:rPr>
          <w:sz w:val="20"/>
          <w:szCs w:val="20"/>
          <w:color w:val="auto"/>
        </w:rPr>
      </w:pPr>
      <w:r>
        <w:rPr>
          <w:rFonts w:ascii="Arial" w:cs="Arial" w:eastAsia="Arial" w:hAnsi="Arial"/>
          <w:sz w:val="17"/>
          <w:szCs w:val="17"/>
          <w:color w:val="auto"/>
        </w:rPr>
        <w:t>our potential ability to obtain additional financing to complete our initial business combination; our pool of prospective target businesses;</w:t>
      </w:r>
    </w:p>
    <w:p>
      <w:pPr>
        <w:spacing w:after="0" w:line="1" w:lineRule="exact"/>
        <w:rPr>
          <w:sz w:val="20"/>
          <w:szCs w:val="20"/>
          <w:color w:val="auto"/>
        </w:rPr>
      </w:pPr>
    </w:p>
    <w:p>
      <w:pPr>
        <w:ind w:left="580" w:right="600"/>
        <w:spacing w:after="0" w:line="243" w:lineRule="auto"/>
        <w:rPr>
          <w:sz w:val="20"/>
          <w:szCs w:val="20"/>
          <w:color w:val="auto"/>
        </w:rPr>
      </w:pPr>
      <w:r>
        <w:rPr>
          <w:rFonts w:ascii="Arial" w:cs="Arial" w:eastAsia="Arial" w:hAnsi="Arial"/>
          <w:sz w:val="17"/>
          <w:szCs w:val="17"/>
          <w:color w:val="auto"/>
        </w:rPr>
        <w:t>our ability to consummate an initial business combination due to the uncertainty resulting from the recent COVID-19 pandemic;</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ability of our officers and directors to generate a number of potential business combination opportunities;</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our public securities’ potential liquidity and trading;</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lack of a market for our securities;</w:t>
      </w:r>
    </w:p>
    <w:p>
      <w:pPr>
        <w:spacing w:after="0" w:line="102" w:lineRule="exact"/>
        <w:rPr>
          <w:sz w:val="20"/>
          <w:szCs w:val="20"/>
          <w:color w:val="auto"/>
        </w:rPr>
      </w:pPr>
    </w:p>
    <w:p>
      <w:pPr>
        <w:ind w:left="580" w:right="360"/>
        <w:spacing w:after="0" w:line="243" w:lineRule="auto"/>
        <w:rPr>
          <w:sz w:val="20"/>
          <w:szCs w:val="20"/>
          <w:color w:val="auto"/>
        </w:rPr>
      </w:pPr>
      <w:r>
        <w:rPr>
          <w:rFonts w:ascii="Arial" w:cs="Arial" w:eastAsia="Arial" w:hAnsi="Arial"/>
          <w:sz w:val="17"/>
          <w:szCs w:val="17"/>
          <w:color w:val="auto"/>
        </w:rPr>
        <w:t>the use of proceeds not held in the trust account or available to us from interest income on the trust account balance;</w:t>
      </w:r>
    </w:p>
    <w:p>
      <w:pPr>
        <w:spacing w:after="0" w:line="90" w:lineRule="exact"/>
        <w:rPr>
          <w:sz w:val="20"/>
          <w:szCs w:val="20"/>
          <w:color w:val="auto"/>
        </w:rPr>
      </w:pPr>
    </w:p>
    <w:p>
      <w:pPr>
        <w:ind w:left="580" w:right="3800"/>
        <w:spacing w:after="0" w:line="375" w:lineRule="auto"/>
        <w:rPr>
          <w:sz w:val="20"/>
          <w:szCs w:val="20"/>
          <w:color w:val="auto"/>
        </w:rPr>
      </w:pPr>
      <w:r>
        <w:rPr>
          <w:rFonts w:ascii="Arial" w:cs="Arial" w:eastAsia="Arial" w:hAnsi="Arial"/>
          <w:sz w:val="17"/>
          <w:szCs w:val="17"/>
          <w:color w:val="auto"/>
        </w:rPr>
        <w:t>the trust account not being subject to claims of third parties; or our financial performance following this offering.</w:t>
      </w:r>
    </w:p>
    <w:p>
      <w:pPr>
        <w:spacing w:after="0" w:line="51"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88" w:lineRule="exact"/>
        <w:rPr>
          <w:sz w:val="20"/>
          <w:szCs w:val="20"/>
          <w:color w:val="auto"/>
        </w:rPr>
      </w:pPr>
    </w:p>
    <w:p>
      <w:pPr>
        <w:jc w:val="both"/>
        <w:ind w:right="220"/>
        <w:spacing w:after="0" w:line="238" w:lineRule="auto"/>
        <w:rPr>
          <w:sz w:val="20"/>
          <w:szCs w:val="20"/>
          <w:color w:val="auto"/>
        </w:rPr>
      </w:pPr>
      <w:r>
        <w:rPr>
          <w:rFonts w:ascii="Arial" w:cs="Arial" w:eastAsia="Arial" w:hAnsi="Arial"/>
          <w:sz w:val="17"/>
          <w:szCs w:val="17"/>
          <w:color w:val="auto"/>
        </w:rPr>
        <w:t>We are offering 12,500,000 Class A ordinary shares at an offering price of $10.00 per share. We estimate that the net proceeds of this offering, together with the funds we will receive from the sale of the private placement shares, will be used as set forth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57607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WITHOUT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9"/>
              </w:rPr>
              <w:t>OVER-</w:t>
            </w:r>
          </w:p>
        </w:tc>
        <w:tc>
          <w:tcPr>
            <w:tcW w:w="0" w:type="dxa"/>
            <w:vAlign w:val="bottom"/>
          </w:tcPr>
          <w:p>
            <w:pPr>
              <w:spacing w:after="0"/>
              <w:rPr>
                <w:sz w:val="1"/>
                <w:szCs w:val="1"/>
                <w:color w:val="auto"/>
              </w:rPr>
            </w:pPr>
          </w:p>
        </w:tc>
      </w:tr>
      <w:tr>
        <w:trPr>
          <w:trHeight w:val="162"/>
        </w:trPr>
        <w:tc>
          <w:tcPr>
            <w:tcW w:w="6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9"/>
              </w:rPr>
              <w:t>OVER-</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ALLOTMENT</w:t>
            </w:r>
          </w:p>
        </w:tc>
        <w:tc>
          <w:tcPr>
            <w:tcW w:w="0" w:type="dxa"/>
            <w:vAlign w:val="bottom"/>
          </w:tcPr>
          <w:p>
            <w:pPr>
              <w:spacing w:after="0"/>
              <w:rPr>
                <w:sz w:val="1"/>
                <w:szCs w:val="1"/>
                <w:color w:val="auto"/>
              </w:rPr>
            </w:pPr>
          </w:p>
        </w:tc>
      </w:tr>
      <w:tr>
        <w:trPr>
          <w:trHeight w:val="162"/>
        </w:trPr>
        <w:tc>
          <w:tcPr>
            <w:tcW w:w="6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ALLOTMENT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90"/>
        </w:trPr>
        <w:tc>
          <w:tcPr>
            <w:tcW w:w="6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OPTION</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EXERCISED</w:t>
            </w:r>
          </w:p>
        </w:tc>
        <w:tc>
          <w:tcPr>
            <w:tcW w:w="0" w:type="dxa"/>
            <w:vAlign w:val="bottom"/>
          </w:tcPr>
          <w:p>
            <w:pPr>
              <w:spacing w:after="0"/>
              <w:rPr>
                <w:sz w:val="1"/>
                <w:szCs w:val="1"/>
                <w:color w:val="auto"/>
              </w:rPr>
            </w:pPr>
          </w:p>
        </w:tc>
      </w:tr>
      <w:tr>
        <w:trPr>
          <w:trHeight w:val="53"/>
        </w:trPr>
        <w:tc>
          <w:tcPr>
            <w:tcW w:w="63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63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380" w:type="dxa"/>
            <w:vAlign w:val="bottom"/>
          </w:tcPr>
          <w:p>
            <w:pPr>
              <w:spacing w:after="0"/>
              <w:rPr>
                <w:sz w:val="20"/>
                <w:szCs w:val="20"/>
                <w:color w:val="auto"/>
              </w:rPr>
            </w:pPr>
            <w:r>
              <w:rPr>
                <w:rFonts w:ascii="Arial" w:cs="Arial" w:eastAsia="Arial" w:hAnsi="Arial"/>
                <w:sz w:val="17"/>
                <w:szCs w:val="17"/>
                <w:b w:val="1"/>
                <w:bCs w:val="1"/>
                <w:color w:val="auto"/>
              </w:rPr>
              <w:t>Gross proceeds</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63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80" w:type="dxa"/>
            <w:vAlign w:val="bottom"/>
            <w:shd w:val="clear" w:color="auto" w:fill="CCEEFF"/>
          </w:tcPr>
          <w:p>
            <w:pPr>
              <w:spacing w:after="0" w:line="270" w:lineRule="exact"/>
              <w:rPr>
                <w:sz w:val="20"/>
                <w:szCs w:val="20"/>
                <w:color w:val="auto"/>
              </w:rPr>
            </w:pPr>
            <w:r>
              <w:rPr>
                <w:rFonts w:ascii="Arial" w:cs="Arial" w:eastAsia="Arial" w:hAnsi="Arial"/>
                <w:sz w:val="17"/>
                <w:szCs w:val="17"/>
                <w:color w:val="auto"/>
              </w:rPr>
              <w:t>Gross proceeds from Class A ordinary shares offered to public</w:t>
            </w:r>
            <w:r>
              <w:rPr>
                <w:rFonts w:ascii="Arial" w:cs="Arial" w:eastAsia="Arial" w:hAnsi="Arial"/>
                <w:sz w:val="28"/>
                <w:szCs w:val="28"/>
                <w:color w:val="auto"/>
                <w:vertAlign w:val="superscript"/>
              </w:rPr>
              <w:t>(1)</w:t>
            </w:r>
          </w:p>
        </w:tc>
        <w:tc>
          <w:tcPr>
            <w:tcW w:w="106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99"/>
              </w:rPr>
              <w:t>$125,000,000</w:t>
            </w: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w w:val="99"/>
              </w:rPr>
              <w:t>$143,750,000</w:t>
            </w: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6380" w:type="dxa"/>
            <w:vAlign w:val="bottom"/>
          </w:tcPr>
          <w:p>
            <w:pPr>
              <w:spacing w:after="0"/>
              <w:rPr>
                <w:sz w:val="20"/>
                <w:szCs w:val="20"/>
                <w:color w:val="auto"/>
              </w:rPr>
            </w:pPr>
            <w:r>
              <w:rPr>
                <w:rFonts w:ascii="Arial" w:cs="Arial" w:eastAsia="Arial" w:hAnsi="Arial"/>
                <w:sz w:val="17"/>
                <w:szCs w:val="17"/>
                <w:color w:val="auto"/>
              </w:rPr>
              <w:t>Gross proceeds from sale of the private placement shares offered in a private</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6380" w:type="dxa"/>
            <w:vAlign w:val="bottom"/>
          </w:tcPr>
          <w:p>
            <w:pPr>
              <w:ind w:left="180"/>
              <w:spacing w:after="0"/>
              <w:rPr>
                <w:sz w:val="20"/>
                <w:szCs w:val="20"/>
                <w:color w:val="auto"/>
              </w:rPr>
            </w:pPr>
            <w:r>
              <w:rPr>
                <w:rFonts w:ascii="Arial" w:cs="Arial" w:eastAsia="Arial" w:hAnsi="Arial"/>
                <w:sz w:val="17"/>
                <w:szCs w:val="17"/>
                <w:color w:val="auto"/>
              </w:rPr>
              <w:t>placement to the sponsor</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20"/>
              <w:spacing w:after="0"/>
              <w:rPr>
                <w:sz w:val="20"/>
                <w:szCs w:val="20"/>
                <w:color w:val="auto"/>
              </w:rPr>
            </w:pPr>
            <w:r>
              <w:rPr>
                <w:rFonts w:ascii="Arial" w:cs="Arial" w:eastAsia="Arial" w:hAnsi="Arial"/>
                <w:sz w:val="17"/>
                <w:szCs w:val="17"/>
                <w:color w:val="auto"/>
              </w:rPr>
              <w:t>4,500,000</w:t>
            </w:r>
          </w:p>
        </w:tc>
        <w:tc>
          <w:tcPr>
            <w:tcW w:w="200" w:type="dxa"/>
            <w:vAlign w:val="bottom"/>
          </w:tcPr>
          <w:p>
            <w:pPr>
              <w:spacing w:after="0"/>
              <w:rPr>
                <w:sz w:val="16"/>
                <w:szCs w:val="16"/>
                <w:color w:val="auto"/>
              </w:rPr>
            </w:pPr>
          </w:p>
        </w:tc>
        <w:tc>
          <w:tcPr>
            <w:tcW w:w="28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20"/>
              <w:spacing w:after="0"/>
              <w:rPr>
                <w:sz w:val="20"/>
                <w:szCs w:val="20"/>
                <w:color w:val="auto"/>
              </w:rPr>
            </w:pPr>
            <w:r>
              <w:rPr>
                <w:rFonts w:ascii="Arial" w:cs="Arial" w:eastAsia="Arial" w:hAnsi="Arial"/>
                <w:sz w:val="17"/>
                <w:szCs w:val="17"/>
                <w:color w:val="auto"/>
              </w:rPr>
              <w:t>4,875,000</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638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Total gross proceeds</w:t>
            </w:r>
          </w:p>
        </w:tc>
        <w:tc>
          <w:tcPr>
            <w:tcW w:w="1060" w:type="dxa"/>
            <w:vAlign w:val="bottom"/>
            <w:gridSpan w:val="3"/>
            <w:shd w:val="clear" w:color="auto" w:fill="CCEEFF"/>
          </w:tcPr>
          <w:p>
            <w:pPr>
              <w:spacing w:after="0"/>
              <w:rPr>
                <w:sz w:val="20"/>
                <w:szCs w:val="20"/>
                <w:color w:val="auto"/>
              </w:rPr>
            </w:pPr>
            <w:r>
              <w:rPr>
                <w:rFonts w:ascii="Arial" w:cs="Arial" w:eastAsia="Arial" w:hAnsi="Arial"/>
                <w:sz w:val="17"/>
                <w:szCs w:val="17"/>
                <w:u w:val="single" w:color="auto"/>
                <w:color w:val="auto"/>
                <w:w w:val="99"/>
              </w:rPr>
              <w:t>$</w:t>
            </w:r>
            <w:r>
              <w:rPr>
                <w:rFonts w:ascii="Arial" w:cs="Arial" w:eastAsia="Arial" w:hAnsi="Arial"/>
                <w:sz w:val="17"/>
                <w:szCs w:val="17"/>
                <w:color w:val="auto"/>
                <w:w w:val="99"/>
              </w:rPr>
              <w:t>129,500,000</w:t>
            </w: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0" w:type="dxa"/>
            <w:vAlign w:val="bottom"/>
            <w:gridSpan w:val="4"/>
            <w:shd w:val="clear" w:color="auto" w:fill="CCEEFF"/>
          </w:tcPr>
          <w:p>
            <w:pPr>
              <w:ind w:left="140"/>
              <w:spacing w:after="0"/>
              <w:rPr>
                <w:sz w:val="20"/>
                <w:szCs w:val="20"/>
                <w:color w:val="auto"/>
              </w:rPr>
            </w:pPr>
            <w:r>
              <w:rPr>
                <w:rFonts w:ascii="Arial" w:cs="Arial" w:eastAsia="Arial" w:hAnsi="Arial"/>
                <w:sz w:val="17"/>
                <w:szCs w:val="17"/>
                <w:u w:val="single" w:color="auto"/>
                <w:color w:val="auto"/>
                <w:w w:val="99"/>
              </w:rPr>
              <w:t>$</w:t>
            </w:r>
            <w:r>
              <w:rPr>
                <w:rFonts w:ascii="Arial" w:cs="Arial" w:eastAsia="Arial" w:hAnsi="Arial"/>
                <w:sz w:val="17"/>
                <w:szCs w:val="17"/>
                <w:color w:val="auto"/>
                <w:w w:val="99"/>
              </w:rPr>
              <w:t>148,625,000</w:t>
            </w: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638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90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90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6380" w:type="dxa"/>
            <w:vAlign w:val="bottom"/>
          </w:tcPr>
          <w:p>
            <w:pPr>
              <w:spacing w:after="0" w:line="310" w:lineRule="exact"/>
              <w:rPr>
                <w:sz w:val="20"/>
                <w:szCs w:val="20"/>
                <w:color w:val="auto"/>
              </w:rPr>
            </w:pPr>
            <w:r>
              <w:rPr>
                <w:rFonts w:ascii="Arial" w:cs="Arial" w:eastAsia="Arial" w:hAnsi="Arial"/>
                <w:sz w:val="17"/>
                <w:szCs w:val="17"/>
                <w:b w:val="1"/>
                <w:bCs w:val="1"/>
                <w:color w:val="auto"/>
              </w:rPr>
              <w:t>Estimated Offering expenses</w:t>
            </w:r>
            <w:r>
              <w:rPr>
                <w:rFonts w:ascii="Arial" w:cs="Arial" w:eastAsia="Arial" w:hAnsi="Arial"/>
                <w:sz w:val="28"/>
                <w:szCs w:val="28"/>
                <w:b w:val="1"/>
                <w:bCs w:val="1"/>
                <w:color w:val="auto"/>
                <w:vertAlign w:val="superscript"/>
              </w:rPr>
              <w:t>(2)</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Underwriting commissions (2.0% of gross proceeds from shares offered to public,</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380" w:type="dxa"/>
            <w:vAlign w:val="bottom"/>
            <w:shd w:val="clear" w:color="auto" w:fill="CCEEFF"/>
          </w:tcPr>
          <w:p>
            <w:pPr>
              <w:ind w:left="180"/>
              <w:spacing w:after="0" w:line="237" w:lineRule="exact"/>
              <w:rPr>
                <w:sz w:val="20"/>
                <w:szCs w:val="20"/>
                <w:color w:val="auto"/>
              </w:rPr>
            </w:pPr>
            <w:r>
              <w:rPr>
                <w:rFonts w:ascii="Arial" w:cs="Arial" w:eastAsia="Arial" w:hAnsi="Arial"/>
                <w:sz w:val="17"/>
                <w:szCs w:val="17"/>
                <w:color w:val="auto"/>
              </w:rPr>
              <w:t>excluding deferred portion)</w:t>
            </w:r>
            <w:r>
              <w:rPr>
                <w:rFonts w:ascii="Arial" w:cs="Arial" w:eastAsia="Arial" w:hAnsi="Arial"/>
                <w:sz w:val="27"/>
                <w:szCs w:val="27"/>
                <w:color w:val="auto"/>
                <w:vertAlign w:val="superscript"/>
              </w:rPr>
              <w:t>(3)</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2,500,000</w:t>
            </w:r>
          </w:p>
        </w:tc>
        <w:tc>
          <w:tcPr>
            <w:tcW w:w="2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2,875,000</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380" w:type="dxa"/>
            <w:vAlign w:val="bottom"/>
          </w:tcPr>
          <w:p>
            <w:pPr>
              <w:spacing w:after="0"/>
              <w:rPr>
                <w:sz w:val="20"/>
                <w:szCs w:val="20"/>
                <w:color w:val="auto"/>
              </w:rPr>
            </w:pPr>
            <w:r>
              <w:rPr>
                <w:rFonts w:ascii="Arial" w:cs="Arial" w:eastAsia="Arial" w:hAnsi="Arial"/>
                <w:sz w:val="17"/>
                <w:szCs w:val="17"/>
                <w:color w:val="auto"/>
              </w:rPr>
              <w:t>Legal fees and expenses</w:t>
            </w:r>
          </w:p>
        </w:tc>
        <w:tc>
          <w:tcPr>
            <w:tcW w:w="14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7"/>
                <w:szCs w:val="17"/>
                <w:color w:val="auto"/>
              </w:rPr>
              <w:t>325,000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7"/>
                <w:szCs w:val="17"/>
                <w:color w:val="auto"/>
              </w:rPr>
              <w:t>325,000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6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Printing and engraving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30,000</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30,000</w:t>
            </w:r>
          </w:p>
        </w:tc>
        <w:tc>
          <w:tcPr>
            <w:tcW w:w="0" w:type="dxa"/>
            <w:vAlign w:val="bottom"/>
          </w:tcPr>
          <w:p>
            <w:pPr>
              <w:spacing w:after="0"/>
              <w:rPr>
                <w:sz w:val="1"/>
                <w:szCs w:val="1"/>
                <w:color w:val="auto"/>
              </w:rPr>
            </w:pPr>
          </w:p>
        </w:tc>
      </w:tr>
      <w:tr>
        <w:trPr>
          <w:trHeight w:val="239"/>
        </w:trPr>
        <w:tc>
          <w:tcPr>
            <w:tcW w:w="6380" w:type="dxa"/>
            <w:vAlign w:val="bottom"/>
          </w:tcPr>
          <w:p>
            <w:pPr>
              <w:spacing w:after="0"/>
              <w:rPr>
                <w:sz w:val="20"/>
                <w:szCs w:val="20"/>
                <w:color w:val="auto"/>
              </w:rPr>
            </w:pPr>
            <w:r>
              <w:rPr>
                <w:rFonts w:ascii="Arial" w:cs="Arial" w:eastAsia="Arial" w:hAnsi="Arial"/>
                <w:sz w:val="17"/>
                <w:szCs w:val="17"/>
                <w:color w:val="auto"/>
              </w:rPr>
              <w:t>Accounting fees and expenses</w:t>
            </w:r>
          </w:p>
        </w:tc>
        <w:tc>
          <w:tcPr>
            <w:tcW w:w="140" w:type="dxa"/>
            <w:vAlign w:val="bottom"/>
          </w:tcPr>
          <w:p>
            <w:pPr>
              <w:spacing w:after="0"/>
              <w:rPr>
                <w:sz w:val="20"/>
                <w:szCs w:val="20"/>
                <w:color w:val="auto"/>
              </w:rPr>
            </w:pPr>
          </w:p>
        </w:tc>
        <w:tc>
          <w:tcPr>
            <w:tcW w:w="1140" w:type="dxa"/>
            <w:vAlign w:val="bottom"/>
            <w:gridSpan w:val="4"/>
          </w:tcPr>
          <w:p>
            <w:pPr>
              <w:jc w:val="right"/>
              <w:ind w:right="200"/>
              <w:spacing w:after="0"/>
              <w:rPr>
                <w:sz w:val="20"/>
                <w:szCs w:val="20"/>
                <w:color w:val="auto"/>
              </w:rPr>
            </w:pPr>
            <w:r>
              <w:rPr>
                <w:rFonts w:ascii="Arial" w:cs="Arial" w:eastAsia="Arial" w:hAnsi="Arial"/>
                <w:sz w:val="17"/>
                <w:szCs w:val="17"/>
                <w:color w:val="auto"/>
              </w:rPr>
              <w:t>60,000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4"/>
          </w:tcPr>
          <w:p>
            <w:pPr>
              <w:jc w:val="right"/>
              <w:ind w:right="200"/>
              <w:spacing w:after="0"/>
              <w:rPr>
                <w:sz w:val="20"/>
                <w:szCs w:val="20"/>
                <w:color w:val="auto"/>
              </w:rPr>
            </w:pPr>
            <w:r>
              <w:rPr>
                <w:rFonts w:ascii="Arial" w:cs="Arial" w:eastAsia="Arial" w:hAnsi="Arial"/>
                <w:sz w:val="17"/>
                <w:szCs w:val="17"/>
                <w:color w:val="auto"/>
              </w:rPr>
              <w:t>60,000</w:t>
            </w:r>
          </w:p>
        </w:tc>
        <w:tc>
          <w:tcPr>
            <w:tcW w:w="0" w:type="dxa"/>
            <w:vAlign w:val="bottom"/>
          </w:tcPr>
          <w:p>
            <w:pPr>
              <w:spacing w:after="0"/>
              <w:rPr>
                <w:sz w:val="1"/>
                <w:szCs w:val="1"/>
                <w:color w:val="auto"/>
              </w:rPr>
            </w:pPr>
          </w:p>
        </w:tc>
      </w:tr>
      <w:tr>
        <w:trPr>
          <w:trHeight w:val="31"/>
        </w:trPr>
        <w:tc>
          <w:tcPr>
            <w:tcW w:w="6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SEC/FINRA Expenses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40,722</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40,722</w:t>
            </w:r>
          </w:p>
        </w:tc>
        <w:tc>
          <w:tcPr>
            <w:tcW w:w="0" w:type="dxa"/>
            <w:vAlign w:val="bottom"/>
          </w:tcPr>
          <w:p>
            <w:pPr>
              <w:spacing w:after="0"/>
              <w:rPr>
                <w:sz w:val="1"/>
                <w:szCs w:val="1"/>
                <w:color w:val="auto"/>
              </w:rPr>
            </w:pPr>
          </w:p>
        </w:tc>
      </w:tr>
      <w:tr>
        <w:trPr>
          <w:trHeight w:val="239"/>
        </w:trPr>
        <w:tc>
          <w:tcPr>
            <w:tcW w:w="6380" w:type="dxa"/>
            <w:vAlign w:val="bottom"/>
          </w:tcPr>
          <w:p>
            <w:pPr>
              <w:spacing w:after="0"/>
              <w:rPr>
                <w:sz w:val="20"/>
                <w:szCs w:val="20"/>
                <w:color w:val="auto"/>
              </w:rPr>
            </w:pPr>
            <w:r>
              <w:rPr>
                <w:rFonts w:ascii="Arial" w:cs="Arial" w:eastAsia="Arial" w:hAnsi="Arial"/>
                <w:sz w:val="17"/>
                <w:szCs w:val="17"/>
                <w:color w:val="auto"/>
              </w:rPr>
              <w:t>Travel and road show</w:t>
            </w:r>
          </w:p>
        </w:tc>
        <w:tc>
          <w:tcPr>
            <w:tcW w:w="140" w:type="dxa"/>
            <w:vAlign w:val="bottom"/>
          </w:tcPr>
          <w:p>
            <w:pPr>
              <w:spacing w:after="0"/>
              <w:rPr>
                <w:sz w:val="20"/>
                <w:szCs w:val="20"/>
                <w:color w:val="auto"/>
              </w:rPr>
            </w:pPr>
          </w:p>
        </w:tc>
        <w:tc>
          <w:tcPr>
            <w:tcW w:w="1140" w:type="dxa"/>
            <w:vAlign w:val="bottom"/>
            <w:gridSpan w:val="4"/>
          </w:tcPr>
          <w:p>
            <w:pPr>
              <w:jc w:val="right"/>
              <w:ind w:right="200"/>
              <w:spacing w:after="0"/>
              <w:rPr>
                <w:sz w:val="20"/>
                <w:szCs w:val="20"/>
                <w:color w:val="auto"/>
              </w:rPr>
            </w:pPr>
            <w:r>
              <w:rPr>
                <w:rFonts w:ascii="Arial" w:cs="Arial" w:eastAsia="Arial" w:hAnsi="Arial"/>
                <w:sz w:val="17"/>
                <w:szCs w:val="17"/>
                <w:color w:val="auto"/>
              </w:rPr>
              <w:t>20,000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4"/>
          </w:tcPr>
          <w:p>
            <w:pPr>
              <w:jc w:val="right"/>
              <w:ind w:right="200"/>
              <w:spacing w:after="0"/>
              <w:rPr>
                <w:sz w:val="20"/>
                <w:szCs w:val="20"/>
                <w:color w:val="auto"/>
              </w:rPr>
            </w:pPr>
            <w:r>
              <w:rPr>
                <w:rFonts w:ascii="Arial" w:cs="Arial" w:eastAsia="Arial" w:hAnsi="Arial"/>
                <w:sz w:val="17"/>
                <w:szCs w:val="17"/>
                <w:color w:val="auto"/>
              </w:rPr>
              <w:t>20,000</w:t>
            </w:r>
          </w:p>
        </w:tc>
        <w:tc>
          <w:tcPr>
            <w:tcW w:w="0" w:type="dxa"/>
            <w:vAlign w:val="bottom"/>
          </w:tcPr>
          <w:p>
            <w:pPr>
              <w:spacing w:after="0"/>
              <w:rPr>
                <w:sz w:val="1"/>
                <w:szCs w:val="1"/>
                <w:color w:val="auto"/>
              </w:rPr>
            </w:pPr>
          </w:p>
        </w:tc>
      </w:tr>
      <w:tr>
        <w:trPr>
          <w:trHeight w:val="31"/>
        </w:trPr>
        <w:tc>
          <w:tcPr>
            <w:tcW w:w="6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Nasdaq listing and filing fees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55,000</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55,000</w:t>
            </w:r>
          </w:p>
        </w:tc>
        <w:tc>
          <w:tcPr>
            <w:tcW w:w="0" w:type="dxa"/>
            <w:vAlign w:val="bottom"/>
          </w:tcPr>
          <w:p>
            <w:pPr>
              <w:spacing w:after="0"/>
              <w:rPr>
                <w:sz w:val="1"/>
                <w:szCs w:val="1"/>
                <w:color w:val="auto"/>
              </w:rPr>
            </w:pPr>
          </w:p>
        </w:tc>
      </w:tr>
      <w:tr>
        <w:trPr>
          <w:trHeight w:val="239"/>
        </w:trPr>
        <w:tc>
          <w:tcPr>
            <w:tcW w:w="6380" w:type="dxa"/>
            <w:vAlign w:val="bottom"/>
          </w:tcPr>
          <w:p>
            <w:pPr>
              <w:spacing w:after="0"/>
              <w:rPr>
                <w:sz w:val="20"/>
                <w:szCs w:val="20"/>
                <w:color w:val="auto"/>
              </w:rPr>
            </w:pPr>
            <w:r>
              <w:rPr>
                <w:rFonts w:ascii="Arial" w:cs="Arial" w:eastAsia="Arial" w:hAnsi="Arial"/>
                <w:sz w:val="17"/>
                <w:szCs w:val="17"/>
                <w:color w:val="auto"/>
              </w:rPr>
              <w:t>Director &amp; Officer liability insurance premiums</w:t>
            </w:r>
          </w:p>
        </w:tc>
        <w:tc>
          <w:tcPr>
            <w:tcW w:w="14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7"/>
                <w:szCs w:val="17"/>
                <w:color w:val="auto"/>
              </w:rPr>
              <w:t>125,000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7"/>
                <w:szCs w:val="17"/>
                <w:color w:val="auto"/>
              </w:rPr>
              <w:t>125,000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6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Miscellaneous</w:t>
            </w:r>
          </w:p>
        </w:tc>
        <w:tc>
          <w:tcPr>
            <w:tcW w:w="1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344,278</w:t>
            </w:r>
          </w:p>
        </w:tc>
        <w:tc>
          <w:tcPr>
            <w:tcW w:w="2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344,278</w:t>
            </w:r>
          </w:p>
        </w:tc>
        <w:tc>
          <w:tcPr>
            <w:tcW w:w="2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38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Total estimated offering expenses (excluding underwriting commissions)</w:t>
            </w:r>
          </w:p>
        </w:tc>
        <w:tc>
          <w:tcPr>
            <w:tcW w:w="14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CCEEFF"/>
            </w:tcBorders>
            <w:gridSpan w:val="3"/>
          </w:tcPr>
          <w:p>
            <w:pPr>
              <w:jc w:val="right"/>
              <w:ind w:right="20"/>
              <w:spacing w:after="0"/>
              <w:rPr>
                <w:sz w:val="20"/>
                <w:szCs w:val="20"/>
                <w:color w:val="auto"/>
              </w:rPr>
            </w:pPr>
            <w:r>
              <w:rPr>
                <w:rFonts w:ascii="Arial" w:cs="Arial" w:eastAsia="Arial" w:hAnsi="Arial"/>
                <w:sz w:val="17"/>
                <w:szCs w:val="17"/>
                <w:color w:val="auto"/>
              </w:rPr>
              <w:t>1,000,000</w:t>
            </w:r>
          </w:p>
        </w:tc>
        <w:tc>
          <w:tcPr>
            <w:tcW w:w="20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gridSpan w:val="2"/>
          </w:tcPr>
          <w:p>
            <w:pPr>
              <w:ind w:left="140"/>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CCEEFF"/>
            </w:tcBorders>
            <w:gridSpan w:val="3"/>
          </w:tcPr>
          <w:p>
            <w:pPr>
              <w:jc w:val="right"/>
              <w:ind w:right="20"/>
              <w:spacing w:after="0"/>
              <w:rPr>
                <w:sz w:val="20"/>
                <w:szCs w:val="20"/>
                <w:color w:val="auto"/>
              </w:rPr>
            </w:pPr>
            <w:r>
              <w:rPr>
                <w:rFonts w:ascii="Arial" w:cs="Arial" w:eastAsia="Arial" w:hAnsi="Arial"/>
                <w:sz w:val="17"/>
                <w:szCs w:val="17"/>
                <w:color w:val="auto"/>
              </w:rPr>
              <w:t>1,000,000</w:t>
            </w:r>
          </w:p>
        </w:tc>
        <w:tc>
          <w:tcPr>
            <w:tcW w:w="20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638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Proceeds after estimated offering expenses</w:t>
            </w:r>
          </w:p>
        </w:tc>
        <w:tc>
          <w:tcPr>
            <w:tcW w:w="1060" w:type="dxa"/>
            <w:vAlign w:val="bottom"/>
            <w:gridSpan w:val="3"/>
            <w:shd w:val="clear" w:color="auto" w:fill="CCEEFF"/>
          </w:tcPr>
          <w:p>
            <w:pPr>
              <w:spacing w:after="0"/>
              <w:rPr>
                <w:sz w:val="20"/>
                <w:szCs w:val="20"/>
                <w:color w:val="auto"/>
              </w:rPr>
            </w:pPr>
            <w:r>
              <w:rPr>
                <w:rFonts w:ascii="Arial" w:cs="Arial" w:eastAsia="Arial" w:hAnsi="Arial"/>
                <w:sz w:val="17"/>
                <w:szCs w:val="17"/>
                <w:u w:val="single" w:color="auto"/>
                <w:color w:val="auto"/>
                <w:w w:val="99"/>
              </w:rPr>
              <w:t>$</w:t>
            </w:r>
            <w:r>
              <w:rPr>
                <w:rFonts w:ascii="Arial" w:cs="Arial" w:eastAsia="Arial" w:hAnsi="Arial"/>
                <w:sz w:val="17"/>
                <w:szCs w:val="17"/>
                <w:color w:val="auto"/>
                <w:w w:val="99"/>
              </w:rPr>
              <w:t>126,000,000</w:t>
            </w: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0" w:type="dxa"/>
            <w:vAlign w:val="bottom"/>
            <w:gridSpan w:val="4"/>
            <w:shd w:val="clear" w:color="auto" w:fill="CCEEFF"/>
          </w:tcPr>
          <w:p>
            <w:pPr>
              <w:ind w:left="140"/>
              <w:spacing w:after="0"/>
              <w:rPr>
                <w:sz w:val="20"/>
                <w:szCs w:val="20"/>
                <w:color w:val="auto"/>
              </w:rPr>
            </w:pPr>
            <w:r>
              <w:rPr>
                <w:rFonts w:ascii="Arial" w:cs="Arial" w:eastAsia="Arial" w:hAnsi="Arial"/>
                <w:sz w:val="17"/>
                <w:szCs w:val="17"/>
                <w:u w:val="single" w:color="auto"/>
                <w:color w:val="auto"/>
                <w:w w:val="99"/>
              </w:rPr>
              <w:t>$</w:t>
            </w:r>
            <w:r>
              <w:rPr>
                <w:rFonts w:ascii="Arial" w:cs="Arial" w:eastAsia="Arial" w:hAnsi="Arial"/>
                <w:sz w:val="17"/>
                <w:szCs w:val="17"/>
                <w:color w:val="auto"/>
                <w:w w:val="99"/>
              </w:rPr>
              <w:t>144,750,000</w:t>
            </w: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638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90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90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6380" w:type="dxa"/>
            <w:vAlign w:val="bottom"/>
          </w:tcPr>
          <w:p>
            <w:pPr>
              <w:spacing w:after="0" w:line="310" w:lineRule="exact"/>
              <w:rPr>
                <w:sz w:val="20"/>
                <w:szCs w:val="20"/>
                <w:color w:val="auto"/>
              </w:rPr>
            </w:pPr>
            <w:r>
              <w:rPr>
                <w:rFonts w:ascii="Arial" w:cs="Arial" w:eastAsia="Arial" w:hAnsi="Arial"/>
                <w:sz w:val="17"/>
                <w:szCs w:val="17"/>
                <w:color w:val="auto"/>
              </w:rPr>
              <w:t>Held in trust account</w:t>
            </w:r>
            <w:r>
              <w:rPr>
                <w:rFonts w:ascii="Arial" w:cs="Arial" w:eastAsia="Arial" w:hAnsi="Arial"/>
                <w:sz w:val="28"/>
                <w:szCs w:val="28"/>
                <w:color w:val="auto"/>
                <w:vertAlign w:val="superscript"/>
              </w:rPr>
              <w:t>(3)</w:t>
            </w:r>
          </w:p>
        </w:tc>
        <w:tc>
          <w:tcPr>
            <w:tcW w:w="1060" w:type="dxa"/>
            <w:vAlign w:val="bottom"/>
            <w:gridSpan w:val="3"/>
          </w:tcPr>
          <w:p>
            <w:pPr>
              <w:spacing w:after="0"/>
              <w:rPr>
                <w:sz w:val="20"/>
                <w:szCs w:val="20"/>
                <w:color w:val="auto"/>
              </w:rPr>
            </w:pPr>
            <w:r>
              <w:rPr>
                <w:rFonts w:ascii="Arial" w:cs="Arial" w:eastAsia="Arial" w:hAnsi="Arial"/>
                <w:sz w:val="17"/>
                <w:szCs w:val="17"/>
                <w:color w:val="auto"/>
                <w:w w:val="99"/>
              </w:rPr>
              <w:t>$125,000,000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4"/>
          </w:tcPr>
          <w:p>
            <w:pPr>
              <w:ind w:left="140"/>
              <w:spacing w:after="0"/>
              <w:rPr>
                <w:sz w:val="20"/>
                <w:szCs w:val="20"/>
                <w:color w:val="auto"/>
              </w:rPr>
            </w:pPr>
            <w:r>
              <w:rPr>
                <w:rFonts w:ascii="Arial" w:cs="Arial" w:eastAsia="Arial" w:hAnsi="Arial"/>
                <w:sz w:val="17"/>
                <w:szCs w:val="17"/>
                <w:color w:val="auto"/>
                <w:w w:val="99"/>
              </w:rPr>
              <w:t>$143,750,000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 of public offering size</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100%</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30"/>
        </w:trPr>
        <w:tc>
          <w:tcPr>
            <w:tcW w:w="6380" w:type="dxa"/>
            <w:vAlign w:val="bottom"/>
            <w:vMerge w:val="restart"/>
          </w:tcPr>
          <w:p>
            <w:pPr>
              <w:spacing w:after="0"/>
              <w:rPr>
                <w:sz w:val="20"/>
                <w:szCs w:val="20"/>
                <w:color w:val="auto"/>
              </w:rPr>
            </w:pPr>
            <w:r>
              <w:rPr>
                <w:rFonts w:ascii="Arial" w:cs="Arial" w:eastAsia="Arial" w:hAnsi="Arial"/>
                <w:sz w:val="17"/>
                <w:szCs w:val="17"/>
                <w:color w:val="auto"/>
              </w:rPr>
              <w:t>Not held in trust account</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20"/>
              <w:spacing w:after="0"/>
              <w:rPr>
                <w:sz w:val="20"/>
                <w:szCs w:val="20"/>
                <w:color w:val="auto"/>
              </w:rPr>
            </w:pPr>
            <w:r>
              <w:rPr>
                <w:rFonts w:ascii="Arial" w:cs="Arial" w:eastAsia="Arial" w:hAnsi="Arial"/>
                <w:sz w:val="17"/>
                <w:szCs w:val="17"/>
                <w:color w:val="auto"/>
              </w:rPr>
              <w:t>1,000,000</w:t>
            </w:r>
          </w:p>
        </w:tc>
        <w:tc>
          <w:tcPr>
            <w:tcW w:w="200" w:type="dxa"/>
            <w:vAlign w:val="bottom"/>
          </w:tcPr>
          <w:p>
            <w:pPr>
              <w:spacing w:after="0"/>
              <w:rPr>
                <w:sz w:val="19"/>
                <w:szCs w:val="19"/>
                <w:color w:val="auto"/>
              </w:rPr>
            </w:pPr>
          </w:p>
        </w:tc>
        <w:tc>
          <w:tcPr>
            <w:tcW w:w="28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20"/>
              <w:spacing w:after="0"/>
              <w:rPr>
                <w:sz w:val="20"/>
                <w:szCs w:val="20"/>
                <w:color w:val="auto"/>
              </w:rPr>
            </w:pPr>
            <w:r>
              <w:rPr>
                <w:rFonts w:ascii="Arial" w:cs="Arial" w:eastAsia="Arial" w:hAnsi="Arial"/>
                <w:sz w:val="17"/>
                <w:szCs w:val="17"/>
                <w:color w:val="auto"/>
              </w:rPr>
              <w:t>1,000,000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
        </w:trPr>
        <w:tc>
          <w:tcPr>
            <w:tcW w:w="63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-4036695</wp:posOffset>
            </wp:positionV>
            <wp:extent cx="857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-4036695</wp:posOffset>
            </wp:positionV>
            <wp:extent cx="431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use of the $1,000,000 of net proceeds not held in the trust account.</w:t>
      </w:r>
      <w:r>
        <w:rPr>
          <w:rFonts w:ascii="Arial" w:cs="Arial" w:eastAsia="Arial" w:hAnsi="Arial"/>
          <w:sz w:val="28"/>
          <w:szCs w:val="28"/>
          <w:color w:val="auto"/>
          <w:vertAlign w:val="superscript"/>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57607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 OF</w:t>
            </w:r>
          </w:p>
        </w:tc>
      </w:tr>
      <w:tr>
        <w:trPr>
          <w:trHeight w:val="190"/>
        </w:trPr>
        <w:tc>
          <w:tcPr>
            <w:tcW w:w="6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gridSpan w:val="4"/>
          </w:tcPr>
          <w:p>
            <w:pPr>
              <w:ind w:left="1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4"/>
              </w:rPr>
              <w:t>TOTAL</w:t>
            </w:r>
          </w:p>
        </w:tc>
      </w:tr>
      <w:tr>
        <w:trPr>
          <w:trHeight w:val="53"/>
        </w:trPr>
        <w:tc>
          <w:tcPr>
            <w:tcW w:w="662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r>
      <w:tr>
        <w:trPr>
          <w:trHeight w:val="229"/>
        </w:trPr>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Legal, accounting, due diligence, travel, and other expenses in connection with any</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37"/>
        </w:trPr>
        <w:tc>
          <w:tcPr>
            <w:tcW w:w="6620" w:type="dxa"/>
            <w:vAlign w:val="bottom"/>
            <w:shd w:val="clear" w:color="auto" w:fill="CCEEFF"/>
          </w:tcPr>
          <w:p>
            <w:pPr>
              <w:ind w:left="180"/>
              <w:spacing w:after="0" w:line="237" w:lineRule="exact"/>
              <w:rPr>
                <w:sz w:val="20"/>
                <w:szCs w:val="20"/>
                <w:color w:val="auto"/>
              </w:rPr>
            </w:pPr>
            <w:r>
              <w:rPr>
                <w:rFonts w:ascii="Arial" w:cs="Arial" w:eastAsia="Arial" w:hAnsi="Arial"/>
                <w:sz w:val="17"/>
                <w:szCs w:val="17"/>
                <w:color w:val="auto"/>
              </w:rPr>
              <w:t>business combination</w:t>
            </w:r>
            <w:r>
              <w:rPr>
                <w:rFonts w:ascii="Arial" w:cs="Arial" w:eastAsia="Arial" w:hAnsi="Arial"/>
                <w:sz w:val="27"/>
                <w:szCs w:val="27"/>
                <w:color w:val="auto"/>
                <w:vertAlign w:val="superscript"/>
              </w:rPr>
              <w:t>(6)</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350,000</w:t>
            </w:r>
          </w:p>
        </w:tc>
        <w:tc>
          <w:tcPr>
            <w:tcW w:w="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35.0%</w:t>
            </w:r>
          </w:p>
        </w:tc>
      </w:tr>
      <w:tr>
        <w:trPr>
          <w:trHeight w:val="239"/>
        </w:trPr>
        <w:tc>
          <w:tcPr>
            <w:tcW w:w="6620" w:type="dxa"/>
            <w:vAlign w:val="bottom"/>
          </w:tcPr>
          <w:p>
            <w:pPr>
              <w:spacing w:after="0"/>
              <w:rPr>
                <w:sz w:val="20"/>
                <w:szCs w:val="20"/>
                <w:color w:val="auto"/>
              </w:rPr>
            </w:pPr>
            <w:r>
              <w:rPr>
                <w:rFonts w:ascii="Arial" w:cs="Arial" w:eastAsia="Arial" w:hAnsi="Arial"/>
                <w:sz w:val="17"/>
                <w:szCs w:val="17"/>
                <w:color w:val="auto"/>
              </w:rPr>
              <w:t>Legal and accounting fees related to regulatory reporting obligations</w:t>
            </w: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150,000</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7"/>
                <w:szCs w:val="17"/>
                <w:color w:val="auto"/>
              </w:rPr>
              <w:t>15.0%</w:t>
            </w:r>
          </w:p>
        </w:tc>
      </w:tr>
      <w:tr>
        <w:trPr>
          <w:trHeight w:val="31"/>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23"/>
        </w:trPr>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Consulting, travel and miscellaneous expenses incurred during search for initial</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16"/>
        </w:trPr>
        <w:tc>
          <w:tcPr>
            <w:tcW w:w="6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business combination target</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10.0%</w:t>
            </w:r>
          </w:p>
        </w:tc>
      </w:tr>
      <w:tr>
        <w:trPr>
          <w:trHeight w:val="239"/>
        </w:trPr>
        <w:tc>
          <w:tcPr>
            <w:tcW w:w="6620" w:type="dxa"/>
            <w:vAlign w:val="bottom"/>
          </w:tcPr>
          <w:p>
            <w:pPr>
              <w:spacing w:after="0"/>
              <w:rPr>
                <w:sz w:val="20"/>
                <w:szCs w:val="20"/>
                <w:color w:val="auto"/>
              </w:rPr>
            </w:pPr>
            <w:r>
              <w:rPr>
                <w:rFonts w:ascii="Arial" w:cs="Arial" w:eastAsia="Arial" w:hAnsi="Arial"/>
                <w:sz w:val="17"/>
                <w:szCs w:val="17"/>
                <w:color w:val="auto"/>
              </w:rPr>
              <w:t>Payment for office space, administrative and support services</w:t>
            </w: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240,000</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7"/>
                <w:szCs w:val="17"/>
                <w:color w:val="auto"/>
              </w:rPr>
              <w:t>24.0%</w:t>
            </w:r>
          </w:p>
        </w:tc>
      </w:tr>
      <w:tr>
        <w:trPr>
          <w:trHeight w:val="31"/>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Nasdaq continued listing fees</w:t>
            </w:r>
          </w:p>
        </w:tc>
        <w:tc>
          <w:tcPr>
            <w:tcW w:w="12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55,000</w:t>
            </w:r>
          </w:p>
        </w:tc>
        <w:tc>
          <w:tcPr>
            <w:tcW w:w="4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5.5%</w:t>
            </w:r>
          </w:p>
        </w:tc>
      </w:tr>
      <w:tr>
        <w:trPr>
          <w:trHeight w:val="229"/>
        </w:trPr>
        <w:tc>
          <w:tcPr>
            <w:tcW w:w="6620" w:type="dxa"/>
            <w:vAlign w:val="bottom"/>
          </w:tcPr>
          <w:p>
            <w:pPr>
              <w:spacing w:after="0"/>
              <w:rPr>
                <w:sz w:val="20"/>
                <w:szCs w:val="20"/>
                <w:color w:val="auto"/>
              </w:rPr>
            </w:pPr>
            <w:r>
              <w:rPr>
                <w:rFonts w:ascii="Arial" w:cs="Arial" w:eastAsia="Arial" w:hAnsi="Arial"/>
                <w:sz w:val="17"/>
                <w:szCs w:val="17"/>
                <w:color w:val="auto"/>
              </w:rPr>
              <w:t>Working capital to cover miscellaneous expenses and reserves</w:t>
            </w: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105,000</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7"/>
                <w:szCs w:val="17"/>
                <w:color w:val="auto"/>
              </w:rPr>
              <w:t>10.5%</w:t>
            </w:r>
          </w:p>
        </w:tc>
      </w:tr>
      <w:tr>
        <w:trPr>
          <w:trHeight w:val="48"/>
        </w:trPr>
        <w:tc>
          <w:tcPr>
            <w:tcW w:w="6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r>
      <w:tr>
        <w:trPr>
          <w:trHeight w:val="365"/>
        </w:trPr>
        <w:tc>
          <w:tcPr>
            <w:tcW w:w="6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12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1,000,000</w:t>
            </w:r>
          </w:p>
        </w:tc>
        <w:tc>
          <w:tcPr>
            <w:tcW w:w="6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-1542415</wp:posOffset>
            </wp:positionV>
            <wp:extent cx="29146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-1542415</wp:posOffset>
            </wp:positionV>
            <wp:extent cx="14605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28" w:lineRule="exact"/>
        <w:rPr>
          <w:sz w:val="20"/>
          <w:szCs w:val="20"/>
          <w:color w:val="auto"/>
        </w:rPr>
      </w:pPr>
    </w:p>
    <w:p>
      <w:pPr>
        <w:ind w:left="360" w:right="340" w:hanging="352"/>
        <w:spacing w:after="0" w:line="230" w:lineRule="auto"/>
        <w:tabs>
          <w:tab w:leader="none" w:pos="36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Includes amounts payable to public shareholders who properly redeem their shares in connection with our successful completion of our initial business combination.</w:t>
      </w:r>
    </w:p>
    <w:p>
      <w:pPr>
        <w:spacing w:after="0" w:line="37" w:lineRule="exact"/>
        <w:rPr>
          <w:rFonts w:ascii="Arial" w:cs="Arial" w:eastAsia="Arial" w:hAnsi="Arial"/>
          <w:sz w:val="13"/>
          <w:szCs w:val="13"/>
          <w:color w:val="auto"/>
        </w:rPr>
      </w:pPr>
    </w:p>
    <w:p>
      <w:pPr>
        <w:ind w:left="360" w:right="20" w:hanging="352"/>
        <w:spacing w:after="0" w:line="221" w:lineRule="auto"/>
        <w:tabs>
          <w:tab w:leader="none" w:pos="36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 addition, a portion of the offering expenses have been paid from the proceeds of loans from our sponsor of up to $300,000 as described in this prospectus. To date, we have borrowed approximately $82,000 under the promissory note with our sponsor. These loans will be repaid upon completion of this offering out of the $1,000,000 of offering proceeds that has been allocated for the payment of offering expenses (other than underwriting commissions) and not to be held in the trust account. In the event that offering expenses are less than set forth in this table, any such amounts will be used for post-closing working capital expenses. In the event that the offering expenses are more than as set forth in this table, we may fund such excess with funds not held in the trust account.</w:t>
      </w:r>
    </w:p>
    <w:p>
      <w:pPr>
        <w:spacing w:after="0" w:line="38" w:lineRule="exact"/>
        <w:rPr>
          <w:rFonts w:ascii="Arial" w:cs="Arial" w:eastAsia="Arial" w:hAnsi="Arial"/>
          <w:sz w:val="13"/>
          <w:szCs w:val="13"/>
          <w:color w:val="auto"/>
        </w:rPr>
      </w:pPr>
    </w:p>
    <w:p>
      <w:pPr>
        <w:jc w:val="both"/>
        <w:ind w:left="360" w:right="120" w:hanging="352"/>
        <w:spacing w:after="0" w:line="246" w:lineRule="auto"/>
        <w:tabs>
          <w:tab w:leader="none" w:pos="36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underwriters have agreed to defer underwriting commissions of 3.5% of the gross proceeds of this offering. Upon and concurrently with the completion of our initial business combination, $4,375,000, which constitutes the underwriters’ deferred commissions (or $5,031,250 if the underwriters’ over-allotment option is exercised in full) will be paid to the underwriters from the funds held in the trust account. See “Underwriting.” The remaining funds, less amounts</w:t>
      </w:r>
    </w:p>
    <w:p>
      <w:pPr>
        <w:sectPr>
          <w:pgSz w:w="11900" w:h="16838" w:orient="portrait"/>
          <w:cols w:equalWidth="0" w:num="1">
            <w:col w:w="9080"/>
          </w:cols>
          <w:pgMar w:left="1400" w:top="265" w:right="1419" w:bottom="1440" w:gutter="0" w:footer="0" w:header="0"/>
        </w:sect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type w:val="continuous"/>
        </w:sectPr>
      </w:pPr>
    </w:p>
    <w:bookmarkStart w:id="62" w:name="page63"/>
    <w:bookmarkEnd w:id="6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left="360" w:right="20"/>
        <w:spacing w:after="0" w:line="223" w:lineRule="auto"/>
        <w:rPr>
          <w:sz w:val="20"/>
          <w:szCs w:val="20"/>
          <w:color w:val="auto"/>
        </w:rPr>
      </w:pPr>
      <w:r>
        <w:rPr>
          <w:rFonts w:ascii="Arial" w:cs="Arial" w:eastAsia="Arial" w:hAnsi="Arial"/>
          <w:sz w:val="13"/>
          <w:szCs w:val="13"/>
          <w:color w:val="auto"/>
        </w:rPr>
        <w:t>released to the trustee to pay redeeming shareholders, will be released to us and can be used to pay all or a portion of the purchase price of the business or businesses with which our initial business combination occurs or for general corporate purposes, including payment of principal or interest on indebtedness incurred in connection with our initial business combination, to fund the purchases of other companies or for working capital. The underwriters will not be entitled to any interest accrued on the deferred underwriting discounts and commissions.</w:t>
      </w:r>
    </w:p>
    <w:p>
      <w:pPr>
        <w:spacing w:after="0" w:line="38" w:lineRule="exact"/>
        <w:rPr>
          <w:sz w:val="20"/>
          <w:szCs w:val="20"/>
          <w:color w:val="auto"/>
        </w:rPr>
      </w:pPr>
    </w:p>
    <w:p>
      <w:pPr>
        <w:ind w:left="360" w:right="140" w:hanging="352"/>
        <w:spacing w:after="0" w:line="237" w:lineRule="auto"/>
        <w:tabs>
          <w:tab w:leader="none" w:pos="3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These expenses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such business combination. In the event we identify a business combination target in a specific industry subject to specific regulations, we may incur additional expenses associated with legal due diligence and the engagement of special legal counsel. In addition, our staffing needs may vary and as a result, we may engage a number of consultants to assist with legal and financial due diligence. We do not anticipate any change in our intended use of proceeds, other than fluctuations among the current categories of allocated expenses, which fluctuations, to the extent they exceed current estimates for any specific category of expenses, would not be available for our expenses. The amount in the table above does not include interest available to us from the trust account. 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Assuming an interest rate of 0.1% per year, we estimate the interest earned on the trust account will be approximately $125,000 per year; however, we can provide no assurances regarding this amount.</w:t>
      </w:r>
    </w:p>
    <w:p>
      <w:pPr>
        <w:spacing w:after="0" w:line="40" w:lineRule="exact"/>
        <w:rPr>
          <w:rFonts w:ascii="Arial" w:cs="Arial" w:eastAsia="Arial" w:hAnsi="Arial"/>
          <w:sz w:val="12"/>
          <w:szCs w:val="12"/>
          <w:color w:val="auto"/>
        </w:rPr>
      </w:pPr>
    </w:p>
    <w:p>
      <w:pPr>
        <w:ind w:left="360" w:hanging="352"/>
        <w:spacing w:after="0"/>
        <w:tabs>
          <w:tab w:leader="none" w:pos="3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Assumes no exercise of the underwriters’ over-allotment option.</w:t>
      </w:r>
    </w:p>
    <w:p>
      <w:pPr>
        <w:spacing w:after="0" w:line="39" w:lineRule="exact"/>
        <w:rPr>
          <w:rFonts w:ascii="Arial" w:cs="Arial" w:eastAsia="Arial" w:hAnsi="Arial"/>
          <w:sz w:val="13"/>
          <w:szCs w:val="13"/>
          <w:color w:val="auto"/>
        </w:rPr>
      </w:pPr>
    </w:p>
    <w:p>
      <w:pPr>
        <w:ind w:left="360" w:right="20" w:hanging="352"/>
        <w:spacing w:after="0" w:line="230" w:lineRule="auto"/>
        <w:tabs>
          <w:tab w:leader="none" w:pos="3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Includes estimated amounts that may also be used in connection with our initial business combination to fund a “no shop” provision and commitment fees for financing.</w:t>
      </w:r>
    </w:p>
    <w:p>
      <w:pPr>
        <w:spacing w:after="0" w:line="159"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The rules of Nasdaq provide that at least 90% of the gross proceeds from this offering and the sale of the private placement shares be deposited in a trust account. Of the $129,500,000 in proceeds we receive from this offering and the sale of the private placement shares described in this prospectus, or $148,625,000 if the underwriters’ over-allotment option is exercised in full, $125,000,000 ($10.00 per share), or $143,750,000 if the underwriters’ over-allotment option is exercised in full ($10.00 per share), will be deposited into a trust account located in the United States with Continental Stock Transfer &amp; Trust Company acting as trustee, and $4,500,000, or up to $4,875,000 if the underwriters’ over-allotment option is exercised in full, will be used to pay expenses in connection with the closing of this offering (including the portion of the underwriting commissions payable upon closing of this offering) and for working capital following this offering. We will not be permitted to withdraw any of the principal or interest held in the trust account, except with respect to interest earned on the funds held in the trust account that may be released to us to pay our income taxes, if any, until the earliest of (i) the completion of our initial business combination, (ii) the redemption of our public shares if we have not consummated an initial business combination within 24 months from the closing of this offering, subject to applicable law, and (iii) the redemption of our public shares properly submitted in connection with a shareholder vote to approve an amendment to our amended and restated memorandum and articles of association</w:t>
      </w:r>
    </w:p>
    <w:p>
      <w:pPr>
        <w:spacing w:after="0" w:line="1" w:lineRule="exact"/>
        <w:rPr>
          <w:sz w:val="20"/>
          <w:szCs w:val="20"/>
          <w:color w:val="auto"/>
        </w:rPr>
      </w:pPr>
    </w:p>
    <w:p>
      <w:pPr>
        <w:ind w:right="60" w:firstLine="8"/>
        <w:spacing w:after="0" w:line="232" w:lineRule="auto"/>
        <w:tabs>
          <w:tab w:leader="none" w:pos="275"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w:t>
      </w:r>
    </w:p>
    <w:p>
      <w:pPr>
        <w:ind w:right="120" w:firstLine="8"/>
        <w:spacing w:after="0" w:line="238" w:lineRule="auto"/>
        <w:tabs>
          <w:tab w:leader="none" w:pos="275" w:val="left"/>
        </w:tabs>
        <w:numPr>
          <w:ilvl w:val="0"/>
          <w:numId w:val="11"/>
        </w:numPr>
        <w:rPr>
          <w:rFonts w:ascii="Arial" w:cs="Arial" w:eastAsia="Arial" w:hAnsi="Arial"/>
          <w:sz w:val="17"/>
          <w:szCs w:val="17"/>
          <w:color w:val="auto"/>
        </w:rPr>
      </w:pPr>
      <w:r>
        <w:rPr>
          <w:rFonts w:ascii="Arial" w:cs="Arial" w:eastAsia="Arial" w:hAnsi="Arial"/>
          <w:sz w:val="17"/>
          <w:szCs w:val="17"/>
          <w:color w:val="auto"/>
        </w:rPr>
        <w:t>with respect to any other provision relating to the rights of holders of our Class A ordinary shares. Based on current interest rates, we expect that interest income earned on the trust account (if any) will be sufficient to pay our income taxes.</w:t>
      </w:r>
    </w:p>
    <w:p>
      <w:pPr>
        <w:spacing w:after="0" w:line="161"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The net proceeds held in the trust account may be used as consideration to pay the sellers of a target business with which we ultimately complete our initial business combination. If our initial business combination is paid for using equity or debt, or not all of the funds released from the trust account are used for payment of the consideration in connection with our initial business combination or used for redemptions of our Class A ordinary shares, we may apply the balance of the cash released from the trust account for general corporate purposes, including for maintenance or expansion of operations of the post-business combination company, the payment of principal or interest due on indebtedness incurred in completing our initial business combination, to fund the purchase of other companies or for working capital. There is no limitation on our ability to raise funds privately or through loans in connection with our initial business combination.</w:t>
      </w:r>
    </w:p>
    <w:p>
      <w:pPr>
        <w:spacing w:after="0" w:line="148" w:lineRule="exact"/>
        <w:rPr>
          <w:sz w:val="20"/>
          <w:szCs w:val="20"/>
          <w:color w:val="auto"/>
        </w:rPr>
      </w:pPr>
    </w:p>
    <w:p>
      <w:pPr>
        <w:ind w:right="120"/>
        <w:spacing w:after="0" w:line="232" w:lineRule="auto"/>
        <w:rPr>
          <w:sz w:val="20"/>
          <w:szCs w:val="20"/>
          <w:color w:val="auto"/>
        </w:rPr>
      </w:pPr>
      <w:r>
        <w:rPr>
          <w:rFonts w:ascii="Arial" w:cs="Arial" w:eastAsia="Arial" w:hAnsi="Arial"/>
          <w:sz w:val="17"/>
          <w:szCs w:val="17"/>
          <w:color w:val="auto"/>
        </w:rPr>
        <w:t>We believe that amounts not held in trust, together with funds available to us from loans from our sponsor, members of our management team or any of their affiliates will be sufficient to pay the costs and expenses to which such proceeds are allocated. However, if our estimate of the costs of undertaking in-depth due diligence and negotiating a business combination is less than the actual amount necessary to do so, we may be required to raise additional capital,</w:t>
      </w:r>
    </w:p>
    <w:p>
      <w:pPr>
        <w:ind w:right="40"/>
        <w:spacing w:after="0" w:line="236" w:lineRule="auto"/>
        <w:rPr>
          <w:sz w:val="20"/>
          <w:szCs w:val="20"/>
          <w:color w:val="auto"/>
        </w:rPr>
      </w:pPr>
      <w:r>
        <w:rPr>
          <w:rFonts w:ascii="Arial" w:cs="Arial" w:eastAsia="Arial" w:hAnsi="Arial"/>
          <w:sz w:val="17"/>
          <w:szCs w:val="17"/>
          <w:color w:val="auto"/>
        </w:rPr>
        <w:t>the amount, availability and cost of which is currently unascertainable. If we are required to seek additional capital, we could seek such additional capital through loans or additional investments from our sponsor, members of our management team or any of their affiliates, but such persons are not under any obligation to advance funds to, or invest in, us.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jc w:val="both"/>
        <w:ind w:right="340"/>
        <w:spacing w:after="0" w:line="238" w:lineRule="auto"/>
        <w:rPr>
          <w:sz w:val="20"/>
          <w:szCs w:val="20"/>
          <w:color w:val="auto"/>
        </w:rPr>
      </w:pPr>
      <w:r>
        <w:rPr>
          <w:rFonts w:ascii="Arial" w:cs="Arial" w:eastAsia="Arial" w:hAnsi="Arial"/>
          <w:sz w:val="17"/>
          <w:szCs w:val="17"/>
          <w:color w:val="auto"/>
        </w:rPr>
        <w:t>We will reimburse our sponsor for office space, secretarial and administrative services provided to members of our management team, in the amount of $10,000 per month. Upon completion of our initial business combination or our liquidation, we will cease paying these monthly fees.</w:t>
      </w:r>
    </w:p>
    <w:p>
      <w:pPr>
        <w:spacing w:after="0" w:line="161"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Our sponsor has agreed to loan us up to $300,000 to be used for a portion of the expenses of this offering. To date, we have borrowed approximately $82,000 under the promissory note with our sponsor. These loans are non-interest bearing, unsecured and are due at the earlier of December 31, 2020 and the closing of this offering. The loans will be repaid upon the closing of this offering out of the $1,000,000 of offering proceeds that has been allocated to the payment of offering expenses.</w:t>
      </w:r>
    </w:p>
    <w:p>
      <w:pPr>
        <w:spacing w:after="0" w:line="163"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may repay such loaned amounts out of the proceeds of the trust account released to us. Otherwise, such loans would be repaid only out of funds held outside the trust account. In the event that our initial business combination does not close, we may use a portion of the working capital held outside the trust account to repay such loaned amounts but no proceeds from our trust account would be used to repay such loaned amounts. Up to $1,500,000 of such loans may be convertible into shares of the post-business combination company at a price of $10.00 per share at the option of the lender. The shares would be identical to the private placement shares. Except as set forth above, the terms of such loans, if any, have not been determined and no written agreements exist with respect to such loans. Prior to the completion of our initial business combination, we do not expect to seek loans from parties other than our sponsor, members of our management team or any of their affiliates as we do not believe third parties will be willing to loan such funds and provide a waiver against any and all rights to seek access to funds in our trust account.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DIVIDEND POLICY</w:t>
      </w:r>
    </w:p>
    <w:p>
      <w:pPr>
        <w:spacing w:after="0" w:line="188" w:lineRule="exact"/>
        <w:rPr>
          <w:sz w:val="20"/>
          <w:szCs w:val="20"/>
          <w:color w:val="auto"/>
        </w:rPr>
      </w:pPr>
    </w:p>
    <w:p>
      <w:pPr>
        <w:ind w:right="59"/>
        <w:spacing w:after="0" w:line="233" w:lineRule="auto"/>
        <w:rPr>
          <w:sz w:val="20"/>
          <w:szCs w:val="20"/>
          <w:color w:val="auto"/>
        </w:rPr>
      </w:pPr>
      <w:r>
        <w:rPr>
          <w:rFonts w:ascii="Arial" w:cs="Arial" w:eastAsia="Arial" w:hAnsi="Arial"/>
          <w:sz w:val="17"/>
          <w:szCs w:val="17"/>
          <w:color w:val="auto"/>
        </w:rPr>
        <w:t>We have not paid any cash dividends on our ordinary shares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and we will only pay such dividend out of our profits or share premium (subject to solvency requirements) as permitted under Cayman Islands law. If we increase the size of this offering, we will effect a share capitalization or other appropriate mechanism immediately prior to the consummation of this offering in such amount as to maintain the number of founder shares, on an as-converted basis, at 20% of our issued and outstanding ordinary shares (excluding the private placement shares) upon the consummation of this offering. Further, if we incur any indebtedness in connection with a business combination, our ability to declare dividends may be limited by restrictive covenants we may agree to in connection therewith.</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8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difference between the public offering price per Class A ordinary share and the pro forma net tangible book value per Class A ordinary share after this offering constitutes the dilution to investors in this offering. Net tangible book value per share is determined by dividing our net tangible book value, which is our total tangible assets less total liabilities (including the value of Class A ordinary shares which may be redeemed for cash), by the number of outstanding Class A ordinary shares.</w:t>
      </w:r>
    </w:p>
    <w:p>
      <w:pPr>
        <w:spacing w:after="0" w:line="163" w:lineRule="exact"/>
        <w:rPr>
          <w:sz w:val="20"/>
          <w:szCs w:val="20"/>
          <w:color w:val="auto"/>
        </w:rPr>
      </w:pPr>
    </w:p>
    <w:p>
      <w:pPr>
        <w:ind w:right="20"/>
        <w:spacing w:after="0"/>
        <w:rPr>
          <w:sz w:val="20"/>
          <w:szCs w:val="20"/>
          <w:color w:val="auto"/>
        </w:rPr>
      </w:pPr>
      <w:r>
        <w:rPr>
          <w:rFonts w:ascii="Arial" w:cs="Arial" w:eastAsia="Arial" w:hAnsi="Arial"/>
          <w:sz w:val="17"/>
          <w:szCs w:val="17"/>
          <w:color w:val="auto"/>
        </w:rPr>
        <w:t>At April 2, 2020, our net tangible book deficit was $(4,245), or approximately $(0.00) per ordinary share. After giving effect to the sale of 12,500,000 Class A ordinary shares we are offering with this prospectus (or 14,375,000 Class A ordinary shares if the underwriters’ over-allotment option is exercised in full), the sale of the private placement shares and the deduction of underwriting commissions and estimated expenses of this offering, our pro forma net tangible book value at April 2, 2020 would have been $5,000,005, or $1.13 per share (or $5,000,005, or $1.00 per share, if the underwriters’ over-allotment option is exercised in full), representing an immediate increase in net tangible book value (as decreased by the value of 11,664,575 Class A ordinary shares that may be redeemed for cash, or 13,473,950 Class A ordinary shares if the underwriters’ over-allotment option is exercised in full) of $1.13 per share (or $1.00 if the underwriters’ over-allotment option is exercised in full) to our sponsor as of the date of this prospectus and an immediate dilution to public shareholders from this offering of $10.00 per public share. Total dilution to public shareholders from this offering will be $8.87 per share (or $9.00 if the underwriters’ over-allotment option is exercised in full).</w:t>
      </w: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illustrates the dilution to the public shareholders on a per-share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57607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Without Over-</w:t>
            </w:r>
          </w:p>
        </w:tc>
        <w:tc>
          <w:tcPr>
            <w:tcW w:w="20" w:type="dxa"/>
            <w:vAlign w:val="bottom"/>
          </w:tcPr>
          <w:p>
            <w:pPr>
              <w:spacing w:after="0"/>
              <w:rPr>
                <w:sz w:val="14"/>
                <w:szCs w:val="14"/>
                <w:color w:val="auto"/>
              </w:rPr>
            </w:pPr>
          </w:p>
        </w:tc>
        <w:tc>
          <w:tcPr>
            <w:tcW w:w="13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rPr>
              <w:t>With Over-</w:t>
            </w:r>
          </w:p>
        </w:tc>
      </w:tr>
      <w:tr>
        <w:trPr>
          <w:trHeight w:val="190"/>
        </w:trPr>
        <w:tc>
          <w:tcPr>
            <w:tcW w:w="6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allotment</w:t>
            </w:r>
          </w:p>
        </w:tc>
        <w:tc>
          <w:tcPr>
            <w:tcW w:w="20" w:type="dxa"/>
            <w:vAlign w:val="bottom"/>
          </w:tcPr>
          <w:p>
            <w:pPr>
              <w:spacing w:after="0"/>
              <w:rPr>
                <w:sz w:val="16"/>
                <w:szCs w:val="16"/>
                <w:color w:val="auto"/>
              </w:rPr>
            </w:pPr>
          </w:p>
        </w:tc>
        <w:tc>
          <w:tcPr>
            <w:tcW w:w="13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rPr>
              <w:t>allotment</w:t>
            </w:r>
          </w:p>
        </w:tc>
      </w:tr>
      <w:tr>
        <w:trPr>
          <w:trHeight w:val="79"/>
        </w:trPr>
        <w:tc>
          <w:tcPr>
            <w:tcW w:w="6100" w:type="dxa"/>
            <w:vAlign w:val="bottom"/>
            <w:tcBorders>
              <w:bottom w:val="single" w:sz="8" w:color="CCEEFF"/>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r>
      <w:tr>
        <w:trPr>
          <w:trHeight w:val="325"/>
        </w:trPr>
        <w:tc>
          <w:tcPr>
            <w:tcW w:w="6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Public offering price</w:t>
            </w:r>
          </w:p>
        </w:tc>
        <w:tc>
          <w:tcPr>
            <w:tcW w:w="13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r>
      <w:tr>
        <w:trPr>
          <w:trHeight w:val="266"/>
        </w:trPr>
        <w:tc>
          <w:tcPr>
            <w:tcW w:w="6100" w:type="dxa"/>
            <w:vAlign w:val="bottom"/>
          </w:tcPr>
          <w:p>
            <w:pPr>
              <w:spacing w:after="0"/>
              <w:rPr>
                <w:sz w:val="20"/>
                <w:szCs w:val="20"/>
                <w:color w:val="auto"/>
              </w:rPr>
            </w:pPr>
            <w:r>
              <w:rPr>
                <w:rFonts w:ascii="Arial" w:cs="Arial" w:eastAsia="Arial" w:hAnsi="Arial"/>
                <w:sz w:val="17"/>
                <w:szCs w:val="17"/>
                <w:color w:val="auto"/>
              </w:rPr>
              <w:t>Net tangible book deficit before this offering</w:t>
            </w:r>
          </w:p>
        </w:tc>
        <w:tc>
          <w:tcPr>
            <w:tcW w:w="780" w:type="dxa"/>
            <w:vAlign w:val="bottom"/>
            <w:gridSpan w:val="3"/>
          </w:tcPr>
          <w:p>
            <w:pPr>
              <w:jc w:val="right"/>
              <w:ind w:right="260"/>
              <w:spacing w:after="0"/>
              <w:rPr>
                <w:sz w:val="20"/>
                <w:szCs w:val="20"/>
                <w:color w:val="auto"/>
              </w:rPr>
            </w:pPr>
            <w:r>
              <w:rPr>
                <w:rFonts w:ascii="Arial" w:cs="Arial" w:eastAsia="Arial" w:hAnsi="Arial"/>
                <w:sz w:val="17"/>
                <w:szCs w:val="17"/>
                <w:color w:val="auto"/>
              </w:rPr>
              <w:t>(0.00)</w:t>
            </w: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7"/>
                <w:szCs w:val="17"/>
                <w:color w:val="auto"/>
              </w:rPr>
              <w:t>(0.00)</w:t>
            </w: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58"/>
        </w:trPr>
        <w:tc>
          <w:tcPr>
            <w:tcW w:w="610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r>
      <w:tr>
        <w:trPr>
          <w:trHeight w:val="268"/>
        </w:trPr>
        <w:tc>
          <w:tcPr>
            <w:tcW w:w="6100" w:type="dxa"/>
            <w:vAlign w:val="bottom"/>
            <w:shd w:val="clear" w:color="auto" w:fill="CCEEFF"/>
          </w:tcPr>
          <w:p>
            <w:pPr>
              <w:spacing w:after="0"/>
              <w:rPr>
                <w:sz w:val="20"/>
                <w:szCs w:val="20"/>
                <w:color w:val="auto"/>
              </w:rPr>
            </w:pPr>
            <w:r>
              <w:rPr>
                <w:rFonts w:ascii="Arial" w:cs="Arial" w:eastAsia="Arial" w:hAnsi="Arial"/>
                <w:sz w:val="17"/>
                <w:szCs w:val="17"/>
                <w:color w:val="auto"/>
              </w:rPr>
              <w:t>Increase attributable to public stockholders</w:t>
            </w:r>
          </w:p>
        </w:tc>
        <w:tc>
          <w:tcPr>
            <w:tcW w:w="78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1.13</w:t>
            </w:r>
          </w:p>
        </w:tc>
        <w:tc>
          <w:tcPr>
            <w:tcW w:w="5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r>
      <w:tr>
        <w:trPr>
          <w:trHeight w:val="63"/>
        </w:trPr>
        <w:tc>
          <w:tcPr>
            <w:tcW w:w="6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auto"/>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r>
      <w:tr>
        <w:trPr>
          <w:trHeight w:val="277"/>
        </w:trPr>
        <w:tc>
          <w:tcPr>
            <w:tcW w:w="6100" w:type="dxa"/>
            <w:vAlign w:val="bottom"/>
          </w:tcPr>
          <w:p>
            <w:pPr>
              <w:spacing w:after="0"/>
              <w:rPr>
                <w:sz w:val="20"/>
                <w:szCs w:val="20"/>
                <w:color w:val="auto"/>
              </w:rPr>
            </w:pPr>
            <w:r>
              <w:rPr>
                <w:rFonts w:ascii="Arial" w:cs="Arial" w:eastAsia="Arial" w:hAnsi="Arial"/>
                <w:sz w:val="17"/>
                <w:szCs w:val="17"/>
                <w:color w:val="auto"/>
              </w:rPr>
              <w:t>Pro forma net tangible book value after this offering and the sale of the private</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7"/>
        </w:trPr>
        <w:tc>
          <w:tcPr>
            <w:tcW w:w="6100" w:type="dxa"/>
            <w:vAlign w:val="bottom"/>
          </w:tcPr>
          <w:p>
            <w:pPr>
              <w:ind w:left="180"/>
              <w:spacing w:after="0"/>
              <w:rPr>
                <w:sz w:val="20"/>
                <w:szCs w:val="20"/>
                <w:color w:val="auto"/>
              </w:rPr>
            </w:pPr>
            <w:r>
              <w:rPr>
                <w:rFonts w:ascii="Arial" w:cs="Arial" w:eastAsia="Arial" w:hAnsi="Arial"/>
                <w:sz w:val="17"/>
                <w:szCs w:val="17"/>
                <w:color w:val="auto"/>
              </w:rPr>
              <w:t>placement shares</w:t>
            </w:r>
          </w:p>
        </w:tc>
        <w:tc>
          <w:tcPr>
            <w:tcW w:w="1460" w:type="dxa"/>
            <w:vAlign w:val="bottom"/>
            <w:gridSpan w:val="5"/>
          </w:tcPr>
          <w:p>
            <w:pPr>
              <w:ind w:left="980"/>
              <w:spacing w:after="0"/>
              <w:rPr>
                <w:sz w:val="20"/>
                <w:szCs w:val="20"/>
                <w:color w:val="auto"/>
              </w:rPr>
            </w:pPr>
            <w:r>
              <w:rPr>
                <w:rFonts w:ascii="Arial" w:cs="Arial" w:eastAsia="Arial" w:hAnsi="Arial"/>
                <w:sz w:val="17"/>
                <w:szCs w:val="17"/>
                <w:color w:val="auto"/>
              </w:rPr>
              <w:t>1.13</w:t>
            </w:r>
          </w:p>
        </w:tc>
        <w:tc>
          <w:tcPr>
            <w:tcW w:w="160" w:type="dxa"/>
            <w:vAlign w:val="bottom"/>
          </w:tcPr>
          <w:p>
            <w:pPr>
              <w:spacing w:after="0"/>
              <w:rPr>
                <w:sz w:val="17"/>
                <w:szCs w:val="17"/>
                <w:color w:val="auto"/>
              </w:rPr>
            </w:pPr>
          </w:p>
        </w:tc>
        <w:tc>
          <w:tcPr>
            <w:tcW w:w="1200" w:type="dxa"/>
            <w:vAlign w:val="bottom"/>
            <w:gridSpan w:val="5"/>
          </w:tcPr>
          <w:p>
            <w:pPr>
              <w:ind w:left="860"/>
              <w:spacing w:after="0"/>
              <w:rPr>
                <w:sz w:val="20"/>
                <w:szCs w:val="20"/>
                <w:color w:val="auto"/>
              </w:rPr>
            </w:pPr>
            <w:r>
              <w:rPr>
                <w:rFonts w:ascii="Arial" w:cs="Arial" w:eastAsia="Arial" w:hAnsi="Arial"/>
                <w:sz w:val="17"/>
                <w:szCs w:val="17"/>
                <w:color w:val="auto"/>
                <w:w w:val="96"/>
              </w:rPr>
              <w:t>1.00</w:t>
            </w:r>
          </w:p>
        </w:tc>
        <w:tc>
          <w:tcPr>
            <w:tcW w:w="160" w:type="dxa"/>
            <w:vAlign w:val="bottom"/>
          </w:tcPr>
          <w:p>
            <w:pPr>
              <w:spacing w:after="0"/>
              <w:rPr>
                <w:sz w:val="17"/>
                <w:szCs w:val="17"/>
                <w:color w:val="auto"/>
              </w:rPr>
            </w:pPr>
          </w:p>
        </w:tc>
      </w:tr>
      <w:tr>
        <w:trPr>
          <w:trHeight w:val="63"/>
        </w:trPr>
        <w:tc>
          <w:tcPr>
            <w:tcW w:w="610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r>
      <w:tr>
        <w:trPr>
          <w:trHeight w:val="324"/>
        </w:trPr>
        <w:tc>
          <w:tcPr>
            <w:tcW w:w="6100" w:type="dxa"/>
            <w:vAlign w:val="bottom"/>
            <w:shd w:val="clear" w:color="auto" w:fill="CCEEFF"/>
          </w:tcPr>
          <w:p>
            <w:pPr>
              <w:spacing w:after="0"/>
              <w:rPr>
                <w:sz w:val="20"/>
                <w:szCs w:val="20"/>
                <w:color w:val="auto"/>
              </w:rPr>
            </w:pPr>
            <w:r>
              <w:rPr>
                <w:rFonts w:ascii="Arial" w:cs="Arial" w:eastAsia="Arial" w:hAnsi="Arial"/>
                <w:sz w:val="17"/>
                <w:szCs w:val="17"/>
                <w:color w:val="auto"/>
              </w:rPr>
              <w:t>Dilution to public shareholders</w:t>
            </w:r>
          </w:p>
        </w:tc>
        <w:tc>
          <w:tcPr>
            <w:tcW w:w="13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$ 8.87</w:t>
            </w: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$ 9.00</w:t>
            </w: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115"/>
        </w:trPr>
        <w:tc>
          <w:tcPr>
            <w:tcW w:w="6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r>
      <w:tr>
        <w:trPr>
          <w:trHeight w:val="297"/>
        </w:trPr>
        <w:tc>
          <w:tcPr>
            <w:tcW w:w="61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Percentage of dilution to public shareholders</w:t>
            </w:r>
          </w:p>
        </w:tc>
        <w:tc>
          <w:tcPr>
            <w:tcW w:w="1460" w:type="dxa"/>
            <w:vAlign w:val="bottom"/>
            <w:tcBorders>
              <w:bottom w:val="single" w:sz="8" w:color="auto"/>
            </w:tcBorders>
            <w:gridSpan w:val="5"/>
          </w:tcPr>
          <w:p>
            <w:pPr>
              <w:ind w:left="980"/>
              <w:spacing w:after="0"/>
              <w:rPr>
                <w:sz w:val="20"/>
                <w:szCs w:val="20"/>
                <w:color w:val="auto"/>
              </w:rPr>
            </w:pPr>
            <w:r>
              <w:rPr>
                <w:rFonts w:ascii="Arial" w:cs="Arial" w:eastAsia="Arial" w:hAnsi="Arial"/>
                <w:sz w:val="17"/>
                <w:szCs w:val="17"/>
                <w:color w:val="auto"/>
                <w:w w:val="95"/>
              </w:rPr>
              <w:t>88.7%</w:t>
            </w: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6"/>
          </w:tcPr>
          <w:p>
            <w:pPr>
              <w:ind w:left="860"/>
              <w:spacing w:after="0"/>
              <w:rPr>
                <w:sz w:val="20"/>
                <w:szCs w:val="20"/>
                <w:color w:val="auto"/>
              </w:rPr>
            </w:pPr>
            <w:r>
              <w:rPr>
                <w:rFonts w:ascii="Arial" w:cs="Arial" w:eastAsia="Arial" w:hAnsi="Arial"/>
                <w:sz w:val="17"/>
                <w:szCs w:val="17"/>
                <w:color w:val="auto"/>
                <w:w w:val="99"/>
              </w:rPr>
              <w:t>90.0%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-1508125</wp:posOffset>
            </wp:positionV>
            <wp:extent cx="10287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-1508125</wp:posOffset>
            </wp:positionV>
            <wp:extent cx="514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49"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For purposes of presentation, we have reduced our pro forma net tangible book value after this offering (assuming no exercise of the underwriters’ over-allotment option) by $116,645,750 because holders of up to approximately 90.1% of our public shares may redeem their shares for a pro rata share of the aggregate amount then on deposit in the trust account at a per share redemption price equal to the amount in the trust account as set forth in our tender offer or proxy materials (initially anticipated to be the aggregate amount held in trust two business days prior to the commencement of our tender offer or shareholders meeting, including interest earned on the funds held in the trust account and not previously released to us to pay our income taxes, if any, divided by the number of the then-outstanding public shares).</w:t>
      </w:r>
    </w:p>
    <w:p>
      <w:pPr>
        <w:spacing w:after="0" w:line="164" w:lineRule="exact"/>
        <w:rPr>
          <w:sz w:val="20"/>
          <w:szCs w:val="20"/>
          <w:color w:val="auto"/>
        </w:rPr>
      </w:pPr>
    </w:p>
    <w:p>
      <w:pPr>
        <w:ind w:right="160"/>
        <w:spacing w:after="0" w:line="243" w:lineRule="auto"/>
        <w:rPr>
          <w:sz w:val="20"/>
          <w:szCs w:val="20"/>
          <w:color w:val="auto"/>
        </w:rPr>
      </w:pPr>
      <w:r>
        <w:rPr>
          <w:rFonts w:ascii="Arial" w:cs="Arial" w:eastAsia="Arial" w:hAnsi="Arial"/>
          <w:sz w:val="17"/>
          <w:szCs w:val="17"/>
          <w:color w:val="auto"/>
        </w:rPr>
        <w:t>The following table sets forth information with respect to our initial shareholders, who hold our Class B ordinary shares and the private placement shares, and the public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57607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00" w:type="dxa"/>
            <w:vAlign w:val="bottom"/>
            <w:gridSpan w:val="7"/>
          </w:tcPr>
          <w:p>
            <w:pPr>
              <w:ind w:left="240"/>
              <w:spacing w:after="0"/>
              <w:rPr>
                <w:sz w:val="20"/>
                <w:szCs w:val="20"/>
                <w:color w:val="auto"/>
              </w:rPr>
            </w:pPr>
            <w:r>
              <w:rPr>
                <w:rFonts w:ascii="Arial" w:cs="Arial" w:eastAsia="Arial" w:hAnsi="Arial"/>
                <w:sz w:val="14"/>
                <w:szCs w:val="14"/>
                <w:b w:val="1"/>
                <w:bCs w:val="1"/>
                <w:color w:val="auto"/>
              </w:rPr>
              <w:t>SHARES PURCHASED</w:t>
            </w:r>
          </w:p>
        </w:tc>
        <w:tc>
          <w:tcPr>
            <w:tcW w:w="80" w:type="dxa"/>
            <w:vAlign w:val="bottom"/>
          </w:tcPr>
          <w:p>
            <w:pPr>
              <w:spacing w:after="0"/>
              <w:rPr>
                <w:sz w:val="17"/>
                <w:szCs w:val="17"/>
                <w:color w:val="auto"/>
              </w:rPr>
            </w:pPr>
          </w:p>
        </w:tc>
        <w:tc>
          <w:tcPr>
            <w:tcW w:w="224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rPr>
              <w:t>TOTAL CONSIDERATION</w:t>
            </w:r>
          </w:p>
        </w:tc>
        <w:tc>
          <w:tcPr>
            <w:tcW w:w="200" w:type="dxa"/>
            <w:vAlign w:val="bottom"/>
          </w:tcPr>
          <w:p>
            <w:pPr>
              <w:spacing w:after="0"/>
              <w:rPr>
                <w:sz w:val="17"/>
                <w:szCs w:val="17"/>
                <w:color w:val="auto"/>
              </w:rPr>
            </w:pP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67"/>
        </w:trPr>
        <w:tc>
          <w:tcPr>
            <w:tcW w:w="328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7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75"/>
        </w:trPr>
        <w:tc>
          <w:tcPr>
            <w:tcW w:w="3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tcPr>
          <w:p>
            <w:pPr>
              <w:ind w:left="120"/>
              <w:spacing w:after="0"/>
              <w:rPr>
                <w:sz w:val="20"/>
                <w:szCs w:val="20"/>
                <w:color w:val="auto"/>
              </w:rPr>
            </w:pPr>
            <w:r>
              <w:rPr>
                <w:rFonts w:ascii="Arial" w:cs="Arial" w:eastAsia="Arial" w:hAnsi="Arial"/>
                <w:sz w:val="14"/>
                <w:szCs w:val="14"/>
                <w:b w:val="1"/>
                <w:bCs w:val="1"/>
                <w:color w:val="auto"/>
              </w:rPr>
              <w:t>NUMBER</w:t>
            </w: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PERCENTAGE</w:t>
            </w:r>
          </w:p>
        </w:tc>
        <w:tc>
          <w:tcPr>
            <w:tcW w:w="80" w:type="dxa"/>
            <w:vAlign w:val="bottom"/>
          </w:tcPr>
          <w:p>
            <w:pPr>
              <w:spacing w:after="0"/>
              <w:rPr>
                <w:sz w:val="16"/>
                <w:szCs w:val="16"/>
                <w:color w:val="auto"/>
              </w:rPr>
            </w:pPr>
          </w:p>
        </w:tc>
        <w:tc>
          <w:tcPr>
            <w:tcW w:w="1240" w:type="dxa"/>
            <w:vAlign w:val="bottom"/>
            <w:gridSpan w:val="3"/>
          </w:tcPr>
          <w:p>
            <w:pPr>
              <w:ind w:left="160"/>
              <w:spacing w:after="0"/>
              <w:rPr>
                <w:sz w:val="20"/>
                <w:szCs w:val="20"/>
                <w:color w:val="auto"/>
              </w:rPr>
            </w:pPr>
            <w:r>
              <w:rPr>
                <w:rFonts w:ascii="Arial" w:cs="Arial" w:eastAsia="Arial" w:hAnsi="Arial"/>
                <w:sz w:val="14"/>
                <w:szCs w:val="14"/>
                <w:b w:val="1"/>
                <w:bCs w:val="1"/>
                <w:color w:val="auto"/>
              </w:rPr>
              <w:t>AMOUNT</w:t>
            </w: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PERCENTAGE</w:t>
            </w:r>
          </w:p>
        </w:tc>
        <w:tc>
          <w:tcPr>
            <w:tcW w:w="200" w:type="dxa"/>
            <w:vAlign w:val="bottom"/>
          </w:tcPr>
          <w:p>
            <w:pPr>
              <w:spacing w:after="0"/>
              <w:rPr>
                <w:sz w:val="16"/>
                <w:szCs w:val="16"/>
                <w:color w:val="auto"/>
              </w:rPr>
            </w:pPr>
          </w:p>
        </w:tc>
        <w:tc>
          <w:tcPr>
            <w:tcW w:w="9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80"/>
        </w:trPr>
        <w:tc>
          <w:tcPr>
            <w:tcW w:w="3280" w:type="dxa"/>
            <w:vAlign w:val="bottom"/>
            <w:tcBorders>
              <w:bottom w:val="single" w:sz="8" w:color="CCEEFF"/>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45"/>
        </w:trPr>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Class B Ordinary Shares</w:t>
            </w:r>
            <w:r>
              <w:rPr>
                <w:rFonts w:ascii="Arial" w:cs="Arial" w:eastAsia="Arial" w:hAnsi="Arial"/>
                <w:sz w:val="28"/>
                <w:szCs w:val="28"/>
                <w:color w:val="auto"/>
                <w:vertAlign w:val="superscript"/>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3,125,000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19.44%</w:t>
            </w: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25,000</w:t>
            </w:r>
          </w:p>
        </w:tc>
        <w:tc>
          <w:tcPr>
            <w:tcW w:w="180" w:type="dxa"/>
            <w:vAlign w:val="bottom"/>
            <w:shd w:val="clear" w:color="auto" w:fill="CCEEFF"/>
          </w:tcPr>
          <w:p>
            <w:pPr>
              <w:spacing w:after="0"/>
              <w:rPr>
                <w:sz w:val="24"/>
                <w:szCs w:val="24"/>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0.02%</w:t>
            </w:r>
          </w:p>
        </w:tc>
        <w:tc>
          <w:tcPr>
            <w:tcW w:w="900" w:type="dxa"/>
            <w:vAlign w:val="bottom"/>
            <w:gridSpan w:val="3"/>
            <w:shd w:val="clear" w:color="auto" w:fill="CCEEFF"/>
          </w:tcPr>
          <w:p>
            <w:pPr>
              <w:jc w:val="center"/>
              <w:ind w:left="295"/>
              <w:spacing w:after="0"/>
              <w:rPr>
                <w:sz w:val="20"/>
                <w:szCs w:val="20"/>
                <w:color w:val="auto"/>
              </w:rPr>
            </w:pPr>
            <w:r>
              <w:rPr>
                <w:rFonts w:ascii="Arial" w:cs="Arial" w:eastAsia="Arial" w:hAnsi="Arial"/>
                <w:sz w:val="17"/>
                <w:szCs w:val="17"/>
                <w:color w:val="auto"/>
                <w:w w:val="99"/>
              </w:rPr>
              <w:t>$0.008</w:t>
            </w:r>
          </w:p>
        </w:tc>
        <w:tc>
          <w:tcPr>
            <w:tcW w:w="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3280" w:type="dxa"/>
            <w:vAlign w:val="bottom"/>
          </w:tcPr>
          <w:p>
            <w:pPr>
              <w:spacing w:after="0"/>
              <w:rPr>
                <w:sz w:val="20"/>
                <w:szCs w:val="20"/>
                <w:color w:val="auto"/>
              </w:rPr>
            </w:pPr>
            <w:r>
              <w:rPr>
                <w:rFonts w:ascii="Arial" w:cs="Arial" w:eastAsia="Arial" w:hAnsi="Arial"/>
                <w:sz w:val="17"/>
                <w:szCs w:val="17"/>
                <w:color w:val="auto"/>
              </w:rPr>
              <w:t>Private Placement Shareholders</w:t>
            </w:r>
          </w:p>
        </w:tc>
        <w:tc>
          <w:tcPr>
            <w:tcW w:w="80" w:type="dxa"/>
            <w:vAlign w:val="bottom"/>
          </w:tcPr>
          <w:p>
            <w:pPr>
              <w:spacing w:after="0"/>
              <w:rPr>
                <w:sz w:val="23"/>
                <w:szCs w:val="23"/>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450,000</w:t>
            </w:r>
          </w:p>
        </w:tc>
        <w:tc>
          <w:tcPr>
            <w:tcW w:w="160" w:type="dxa"/>
            <w:vAlign w:val="bottom"/>
          </w:tcPr>
          <w:p>
            <w:pPr>
              <w:spacing w:after="0"/>
              <w:rPr>
                <w:sz w:val="23"/>
                <w:szCs w:val="23"/>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7"/>
                <w:szCs w:val="17"/>
                <w:color w:val="auto"/>
              </w:rPr>
              <w:t>2.80%</w:t>
            </w: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4,500,000</w:t>
            </w:r>
          </w:p>
        </w:tc>
        <w:tc>
          <w:tcPr>
            <w:tcW w:w="180" w:type="dxa"/>
            <w:vAlign w:val="bottom"/>
          </w:tcPr>
          <w:p>
            <w:pPr>
              <w:spacing w:after="0"/>
              <w:rPr>
                <w:sz w:val="23"/>
                <w:szCs w:val="23"/>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7"/>
                <w:szCs w:val="17"/>
                <w:color w:val="auto"/>
              </w:rPr>
              <w:t>3.47%</w:t>
            </w:r>
          </w:p>
        </w:tc>
        <w:tc>
          <w:tcPr>
            <w:tcW w:w="900" w:type="dxa"/>
            <w:vAlign w:val="bottom"/>
            <w:gridSpan w:val="3"/>
          </w:tcPr>
          <w:p>
            <w:pPr>
              <w:jc w:val="center"/>
              <w:ind w:left="295"/>
              <w:spacing w:after="0"/>
              <w:rPr>
                <w:sz w:val="20"/>
                <w:szCs w:val="20"/>
                <w:color w:val="auto"/>
              </w:rPr>
            </w:pPr>
            <w:r>
              <w:rPr>
                <w:rFonts w:ascii="Arial" w:cs="Arial" w:eastAsia="Arial" w:hAnsi="Arial"/>
                <w:sz w:val="17"/>
                <w:szCs w:val="17"/>
                <w:color w:val="auto"/>
                <w:w w:val="99"/>
              </w:rPr>
              <w:t>$10.00</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3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Public Shareholders</w:t>
            </w:r>
          </w:p>
        </w:tc>
        <w:tc>
          <w:tcPr>
            <w:tcW w:w="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12,500,000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77.76%</w:t>
            </w: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125,000,000</w:t>
            </w:r>
          </w:p>
        </w:tc>
        <w:tc>
          <w:tcPr>
            <w:tcW w:w="180" w:type="dxa"/>
            <w:vAlign w:val="bottom"/>
            <w:shd w:val="clear" w:color="auto" w:fill="CCEEFF"/>
          </w:tcPr>
          <w:p>
            <w:pPr>
              <w:spacing w:after="0"/>
              <w:rPr>
                <w:sz w:val="23"/>
                <w:szCs w:val="23"/>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96.51%</w:t>
            </w:r>
          </w:p>
        </w:tc>
        <w:tc>
          <w:tcPr>
            <w:tcW w:w="900" w:type="dxa"/>
            <w:vAlign w:val="bottom"/>
            <w:gridSpan w:val="3"/>
            <w:shd w:val="clear" w:color="auto" w:fill="CCEEFF"/>
          </w:tcPr>
          <w:p>
            <w:pPr>
              <w:jc w:val="center"/>
              <w:ind w:left="295"/>
              <w:spacing w:after="0"/>
              <w:rPr>
                <w:sz w:val="20"/>
                <w:szCs w:val="20"/>
                <w:color w:val="auto"/>
              </w:rPr>
            </w:pPr>
            <w:r>
              <w:rPr>
                <w:rFonts w:ascii="Arial" w:cs="Arial" w:eastAsia="Arial" w:hAnsi="Arial"/>
                <w:sz w:val="17"/>
                <w:szCs w:val="17"/>
                <w:u w:val="single" w:color="auto"/>
                <w:color w:val="auto"/>
                <w:w w:val="99"/>
              </w:rPr>
              <w:t>$</w:t>
            </w:r>
            <w:r>
              <w:rPr>
                <w:rFonts w:ascii="Arial" w:cs="Arial" w:eastAsia="Arial" w:hAnsi="Arial"/>
                <w:sz w:val="17"/>
                <w:szCs w:val="17"/>
                <w:color w:val="auto"/>
                <w:w w:val="99"/>
              </w:rPr>
              <w:t>10.00</w:t>
            </w:r>
          </w:p>
        </w:tc>
        <w:tc>
          <w:tcPr>
            <w:tcW w:w="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3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86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96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328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97"/>
              </w:rPr>
              <w:t>$</w:t>
            </w:r>
            <w:r>
              <w:rPr>
                <w:rFonts w:ascii="Arial" w:cs="Arial" w:eastAsia="Arial" w:hAnsi="Arial"/>
                <w:sz w:val="17"/>
                <w:szCs w:val="17"/>
                <w:color w:val="auto"/>
                <w:w w:val="97"/>
              </w:rPr>
              <w:t>16,075,000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7"/>
                <w:szCs w:val="17"/>
                <w:color w:val="auto"/>
              </w:rPr>
              <w:t>100.00%</w:t>
            </w:r>
          </w:p>
        </w:tc>
        <w:tc>
          <w:tcPr>
            <w:tcW w:w="180" w:type="dxa"/>
            <w:vAlign w:val="bottom"/>
          </w:tcPr>
          <w:p>
            <w:pPr>
              <w:spacing w:after="0"/>
              <w:rPr>
                <w:sz w:val="24"/>
                <w:szCs w:val="24"/>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7"/>
                <w:szCs w:val="17"/>
                <w:u w:val="single" w:color="auto"/>
                <w:color w:val="auto"/>
                <w:w w:val="98"/>
              </w:rPr>
              <w:t>$</w:t>
            </w:r>
            <w:r>
              <w:rPr>
                <w:rFonts w:ascii="Arial" w:cs="Arial" w:eastAsia="Arial" w:hAnsi="Arial"/>
                <w:sz w:val="17"/>
                <w:szCs w:val="17"/>
                <w:color w:val="auto"/>
                <w:w w:val="98"/>
              </w:rPr>
              <w:t>129,525,000</w:t>
            </w:r>
          </w:p>
        </w:tc>
        <w:tc>
          <w:tcPr>
            <w:tcW w:w="180" w:type="dxa"/>
            <w:vAlign w:val="bottom"/>
          </w:tcPr>
          <w:p>
            <w:pPr>
              <w:spacing w:after="0"/>
              <w:rPr>
                <w:sz w:val="24"/>
                <w:szCs w:val="24"/>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7"/>
                <w:szCs w:val="17"/>
                <w:color w:val="auto"/>
              </w:rPr>
              <w:t>100.00%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
        </w:trPr>
        <w:tc>
          <w:tcPr>
            <w:tcW w:w="3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-916305</wp:posOffset>
            </wp:positionV>
            <wp:extent cx="1200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-916305</wp:posOffset>
            </wp:positionV>
            <wp:extent cx="1111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-916305</wp:posOffset>
            </wp:positionV>
            <wp:extent cx="1028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-916305</wp:posOffset>
            </wp:positionV>
            <wp:extent cx="514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-916305</wp:posOffset>
            </wp:positionV>
            <wp:extent cx="1200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8"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Assumes no exercise of the underwriters’ over-allotment option and the corresponding forfeiture of 468,750 Class B ordinary shares held by our sponsor.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The pro forma net tangible book value per share after this offering (assuming that the underwriters do not exercise their over-allotment option) is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57607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Without</w:t>
            </w:r>
          </w:p>
        </w:tc>
        <w:tc>
          <w:tcPr>
            <w:tcW w:w="10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With</w:t>
            </w:r>
          </w:p>
        </w:tc>
      </w:tr>
      <w:tr>
        <w:trPr>
          <w:trHeight w:val="190"/>
        </w:trPr>
        <w:tc>
          <w:tcPr>
            <w:tcW w:w="6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rPr>
              <w:t>Over-allotment</w:t>
            </w:r>
          </w:p>
        </w:tc>
        <w:tc>
          <w:tcPr>
            <w:tcW w:w="10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Over-allotment</w:t>
            </w:r>
          </w:p>
        </w:tc>
      </w:tr>
      <w:tr>
        <w:trPr>
          <w:trHeight w:val="80"/>
        </w:trPr>
        <w:tc>
          <w:tcPr>
            <w:tcW w:w="646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r>
      <w:tr>
        <w:trPr>
          <w:trHeight w:val="324"/>
        </w:trPr>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Numerator:</w:t>
            </w: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r>
      <w:tr>
        <w:trPr>
          <w:trHeight w:val="266"/>
        </w:trPr>
        <w:tc>
          <w:tcPr>
            <w:tcW w:w="6460" w:type="dxa"/>
            <w:vAlign w:val="bottom"/>
          </w:tcPr>
          <w:p>
            <w:pPr>
              <w:spacing w:after="0"/>
              <w:rPr>
                <w:sz w:val="20"/>
                <w:szCs w:val="20"/>
                <w:color w:val="auto"/>
              </w:rPr>
            </w:pPr>
            <w:r>
              <w:rPr>
                <w:rFonts w:ascii="Arial" w:cs="Arial" w:eastAsia="Arial" w:hAnsi="Arial"/>
                <w:sz w:val="17"/>
                <w:szCs w:val="17"/>
                <w:color w:val="auto"/>
              </w:rPr>
              <w:t>Net tangible book deficit before this offering</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3"/>
          </w:tcPr>
          <w:p>
            <w:pPr>
              <w:jc w:val="right"/>
              <w:ind w:right="20"/>
              <w:spacing w:after="0"/>
              <w:rPr>
                <w:sz w:val="20"/>
                <w:szCs w:val="20"/>
                <w:color w:val="auto"/>
              </w:rPr>
            </w:pPr>
            <w:r>
              <w:rPr>
                <w:rFonts w:ascii="Arial" w:cs="Arial" w:eastAsia="Arial" w:hAnsi="Arial"/>
                <w:sz w:val="17"/>
                <w:szCs w:val="17"/>
                <w:color w:val="auto"/>
              </w:rPr>
              <w:t>(4,245)</w:t>
            </w:r>
          </w:p>
        </w:tc>
        <w:tc>
          <w:tcPr>
            <w:tcW w:w="18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20"/>
              <w:spacing w:after="0"/>
              <w:rPr>
                <w:sz w:val="20"/>
                <w:szCs w:val="20"/>
                <w:color w:val="auto"/>
              </w:rPr>
            </w:pPr>
            <w:r>
              <w:rPr>
                <w:rFonts w:ascii="Arial" w:cs="Arial" w:eastAsia="Arial" w:hAnsi="Arial"/>
                <w:sz w:val="17"/>
                <w:szCs w:val="17"/>
                <w:color w:val="auto"/>
              </w:rPr>
              <w:t>(4,245)</w:t>
            </w:r>
          </w:p>
        </w:tc>
      </w:tr>
      <w:tr>
        <w:trPr>
          <w:trHeight w:val="58"/>
        </w:trPr>
        <w:tc>
          <w:tcPr>
            <w:tcW w:w="6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324"/>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Net proceeds from this offering and sale of the private placement shares</w:t>
            </w:r>
            <w:r>
              <w:rPr>
                <w:rFonts w:ascii="Arial" w:cs="Arial" w:eastAsia="Arial" w:hAnsi="Arial"/>
                <w:sz w:val="28"/>
                <w:szCs w:val="28"/>
                <w:color w:val="auto"/>
                <w:vertAlign w:val="superscript"/>
              </w:rPr>
              <w:t>(1)</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126,000,000</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144,750,000</w:t>
            </w:r>
          </w:p>
        </w:tc>
        <w:tc>
          <w:tcPr>
            <w:tcW w:w="100" w:type="dxa"/>
            <w:vAlign w:val="bottom"/>
            <w:shd w:val="clear" w:color="auto" w:fill="CCEEFF"/>
          </w:tcPr>
          <w:p>
            <w:pPr>
              <w:spacing w:after="0"/>
              <w:rPr>
                <w:sz w:val="24"/>
                <w:szCs w:val="24"/>
                <w:color w:val="auto"/>
              </w:rPr>
            </w:pPr>
          </w:p>
        </w:tc>
      </w:tr>
      <w:tr>
        <w:trPr>
          <w:trHeight w:val="266"/>
        </w:trPr>
        <w:tc>
          <w:tcPr>
            <w:tcW w:w="6460" w:type="dxa"/>
            <w:vAlign w:val="bottom"/>
          </w:tcPr>
          <w:p>
            <w:pPr>
              <w:spacing w:after="0"/>
              <w:rPr>
                <w:sz w:val="20"/>
                <w:szCs w:val="20"/>
                <w:color w:val="auto"/>
              </w:rPr>
            </w:pPr>
            <w:r>
              <w:rPr>
                <w:rFonts w:ascii="Arial" w:cs="Arial" w:eastAsia="Arial" w:hAnsi="Arial"/>
                <w:sz w:val="17"/>
                <w:szCs w:val="17"/>
                <w:color w:val="auto"/>
              </w:rPr>
              <w:t>Plus: Offering costs paid in advance, excluded from tangible book value</w:t>
            </w:r>
          </w:p>
        </w:tc>
        <w:tc>
          <w:tcPr>
            <w:tcW w:w="100" w:type="dxa"/>
            <w:vAlign w:val="bottom"/>
          </w:tcPr>
          <w:p>
            <w:pPr>
              <w:spacing w:after="0"/>
              <w:rPr>
                <w:sz w:val="23"/>
                <w:szCs w:val="23"/>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7"/>
                <w:szCs w:val="17"/>
                <w:color w:val="auto"/>
              </w:rPr>
              <w:t>25,000</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25,000</w:t>
            </w:r>
          </w:p>
        </w:tc>
      </w:tr>
      <w:tr>
        <w:trPr>
          <w:trHeight w:val="58"/>
        </w:trPr>
        <w:tc>
          <w:tcPr>
            <w:tcW w:w="6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304"/>
        </w:trPr>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Less: Deferred underwriting commissions</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(4,375,000)</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(5,031,250)</w:t>
            </w:r>
          </w:p>
        </w:tc>
      </w:tr>
      <w:tr>
        <w:trPr>
          <w:trHeight w:val="257"/>
        </w:trPr>
        <w:tc>
          <w:tcPr>
            <w:tcW w:w="6460" w:type="dxa"/>
            <w:vAlign w:val="bottom"/>
          </w:tcPr>
          <w:p>
            <w:pPr>
              <w:spacing w:after="0" w:line="257" w:lineRule="exact"/>
              <w:rPr>
                <w:sz w:val="20"/>
                <w:szCs w:val="20"/>
                <w:color w:val="auto"/>
              </w:rPr>
            </w:pPr>
            <w:r>
              <w:rPr>
                <w:rFonts w:ascii="Arial" w:cs="Arial" w:eastAsia="Arial" w:hAnsi="Arial"/>
                <w:sz w:val="17"/>
                <w:szCs w:val="17"/>
                <w:color w:val="auto"/>
              </w:rPr>
              <w:t>Less: Proceeds held in trust subject to redemption</w:t>
            </w:r>
            <w:r>
              <w:rPr>
                <w:rFonts w:ascii="Arial" w:cs="Arial" w:eastAsia="Arial" w:hAnsi="Arial"/>
                <w:sz w:val="28"/>
                <w:szCs w:val="28"/>
                <w:color w:val="auto"/>
                <w:vertAlign w:val="superscript"/>
              </w:rPr>
              <w:t>(2)</w:t>
            </w:r>
          </w:p>
        </w:tc>
        <w:tc>
          <w:tcPr>
            <w:tcW w:w="100" w:type="dxa"/>
            <w:vAlign w:val="bottom"/>
          </w:tcPr>
          <w:p>
            <w:pPr>
              <w:spacing w:after="0"/>
              <w:rPr>
                <w:sz w:val="22"/>
                <w:szCs w:val="22"/>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7"/>
                <w:szCs w:val="17"/>
                <w:color w:val="auto"/>
                <w:w w:val="98"/>
              </w:rPr>
              <w:t>(116,645,750)</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(134,739,500)</w:t>
            </w:r>
          </w:p>
        </w:tc>
      </w:tr>
      <w:tr>
        <w:trPr>
          <w:trHeight w:val="74"/>
        </w:trPr>
        <w:tc>
          <w:tcPr>
            <w:tcW w:w="64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00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0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324"/>
        </w:trPr>
        <w:tc>
          <w:tcPr>
            <w:tcW w:w="646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5,000,005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5,000,005</w:t>
            </w:r>
          </w:p>
        </w:tc>
        <w:tc>
          <w:tcPr>
            <w:tcW w:w="100" w:type="dxa"/>
            <w:vAlign w:val="bottom"/>
            <w:shd w:val="clear" w:color="auto" w:fill="CCEEFF"/>
          </w:tcPr>
          <w:p>
            <w:pPr>
              <w:spacing w:after="0"/>
              <w:rPr>
                <w:sz w:val="24"/>
                <w:szCs w:val="24"/>
                <w:color w:val="auto"/>
              </w:rPr>
            </w:pPr>
          </w:p>
        </w:tc>
      </w:tr>
      <w:tr>
        <w:trPr>
          <w:trHeight w:val="115"/>
        </w:trPr>
        <w:tc>
          <w:tcPr>
            <w:tcW w:w="64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r>
      <w:tr>
        <w:trPr>
          <w:trHeight w:val="307"/>
        </w:trPr>
        <w:tc>
          <w:tcPr>
            <w:tcW w:w="6460" w:type="dxa"/>
            <w:vAlign w:val="bottom"/>
          </w:tcPr>
          <w:p>
            <w:pPr>
              <w:spacing w:after="0"/>
              <w:rPr>
                <w:sz w:val="20"/>
                <w:szCs w:val="20"/>
                <w:color w:val="auto"/>
              </w:rPr>
            </w:pPr>
            <w:r>
              <w:rPr>
                <w:rFonts w:ascii="Arial" w:cs="Arial" w:eastAsia="Arial" w:hAnsi="Arial"/>
                <w:sz w:val="17"/>
                <w:szCs w:val="17"/>
                <w:b w:val="1"/>
                <w:bCs w:val="1"/>
                <w:color w:val="auto"/>
              </w:rPr>
              <w:t>Denominator:</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8"/>
        </w:trPr>
        <w:tc>
          <w:tcPr>
            <w:tcW w:w="6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304"/>
        </w:trPr>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Ordinary shares outstanding prior to this offering</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3,593,750</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3,593,750</w:t>
            </w:r>
          </w:p>
        </w:tc>
      </w:tr>
      <w:tr>
        <w:trPr>
          <w:trHeight w:val="266"/>
        </w:trPr>
        <w:tc>
          <w:tcPr>
            <w:tcW w:w="6460" w:type="dxa"/>
            <w:vAlign w:val="bottom"/>
          </w:tcPr>
          <w:p>
            <w:pPr>
              <w:spacing w:after="0"/>
              <w:rPr>
                <w:sz w:val="20"/>
                <w:szCs w:val="20"/>
                <w:color w:val="auto"/>
              </w:rPr>
            </w:pPr>
            <w:r>
              <w:rPr>
                <w:rFonts w:ascii="Arial" w:cs="Arial" w:eastAsia="Arial" w:hAnsi="Arial"/>
                <w:sz w:val="17"/>
                <w:szCs w:val="17"/>
                <w:color w:val="auto"/>
              </w:rPr>
              <w:t>Ordinary shares forfeited if over-allotment is not exercised</w:t>
            </w:r>
          </w:p>
        </w:tc>
        <w:tc>
          <w:tcPr>
            <w:tcW w:w="100" w:type="dxa"/>
            <w:vAlign w:val="bottom"/>
          </w:tcPr>
          <w:p>
            <w:pPr>
              <w:spacing w:after="0"/>
              <w:rPr>
                <w:sz w:val="23"/>
                <w:szCs w:val="23"/>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7"/>
                <w:szCs w:val="17"/>
                <w:color w:val="auto"/>
              </w:rPr>
              <w:t>(468,750)</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r>
      <w:tr>
        <w:trPr>
          <w:trHeight w:val="58"/>
        </w:trPr>
        <w:tc>
          <w:tcPr>
            <w:tcW w:w="6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304"/>
        </w:trPr>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Ordinary shares offered and sale of private placement shares</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12,950,000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14,862,500</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57"/>
        </w:trPr>
        <w:tc>
          <w:tcPr>
            <w:tcW w:w="6460" w:type="dxa"/>
            <w:vAlign w:val="bottom"/>
          </w:tcPr>
          <w:p>
            <w:pPr>
              <w:spacing w:after="0"/>
              <w:rPr>
                <w:sz w:val="20"/>
                <w:szCs w:val="20"/>
                <w:color w:val="auto"/>
              </w:rPr>
            </w:pPr>
            <w:r>
              <w:rPr>
                <w:rFonts w:ascii="Arial" w:cs="Arial" w:eastAsia="Arial" w:hAnsi="Arial"/>
                <w:sz w:val="17"/>
                <w:szCs w:val="17"/>
                <w:color w:val="auto"/>
              </w:rPr>
              <w:t>Less: Ordinary shares subject to redemption</w:t>
            </w:r>
          </w:p>
        </w:tc>
        <w:tc>
          <w:tcPr>
            <w:tcW w:w="100" w:type="dxa"/>
            <w:vAlign w:val="bottom"/>
          </w:tcPr>
          <w:p>
            <w:pPr>
              <w:spacing w:after="0"/>
              <w:rPr>
                <w:sz w:val="22"/>
                <w:szCs w:val="22"/>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7"/>
                <w:szCs w:val="17"/>
                <w:color w:val="auto"/>
              </w:rPr>
              <w:t>(11,664,575)</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(13,473,950)</w:t>
            </w:r>
          </w:p>
        </w:tc>
      </w:tr>
      <w:tr>
        <w:trPr>
          <w:trHeight w:val="74"/>
        </w:trPr>
        <w:tc>
          <w:tcPr>
            <w:tcW w:w="64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00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0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392"/>
        </w:trPr>
        <w:tc>
          <w:tcPr>
            <w:tcW w:w="646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4,410,425</w:t>
            </w:r>
          </w:p>
        </w:tc>
        <w:tc>
          <w:tcPr>
            <w:tcW w:w="1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4,982,300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-2896870</wp:posOffset>
            </wp:positionV>
            <wp:extent cx="1200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-2896870</wp:posOffset>
            </wp:positionV>
            <wp:extent cx="603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 w:lineRule="exact"/>
        <w:rPr>
          <w:sz w:val="20"/>
          <w:szCs w:val="20"/>
          <w:color w:val="auto"/>
        </w:rPr>
      </w:pPr>
    </w:p>
    <w:p>
      <w:pPr>
        <w:ind w:left="360" w:right="460" w:hanging="352"/>
        <w:spacing w:after="0" w:line="230" w:lineRule="auto"/>
        <w:tabs>
          <w:tab w:leader="none" w:pos="3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Expenses applied against gross proceeds include offering expenses of $1,000,000 and underwriting commissions of $2,500,000 or $2,875,000 if the underwriters exercise their over-allotment option (excluding deferred underwriting fees). See “Use of Proceeds.”</w:t>
      </w:r>
    </w:p>
    <w:p>
      <w:pPr>
        <w:spacing w:after="0" w:line="37" w:lineRule="exact"/>
        <w:rPr>
          <w:rFonts w:ascii="Arial" w:cs="Arial" w:eastAsia="Arial" w:hAnsi="Arial"/>
          <w:sz w:val="13"/>
          <w:szCs w:val="13"/>
          <w:color w:val="auto"/>
        </w:rPr>
      </w:pPr>
    </w:p>
    <w:p>
      <w:pPr>
        <w:ind w:left="360" w:right="160" w:hanging="352"/>
        <w:spacing w:after="0" w:line="221" w:lineRule="auto"/>
        <w:tabs>
          <w:tab w:leader="none" w:pos="3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If we seek shareholder approval of our initial business combination and we do not conduct redemptions in connection with our initial business combination pursuant to the tender offer rules, our sponsor, directors, executive officers, advisors or their affiliates may purchase public shares in privately negotiated transactions or in the open market either prior to or following the completion of our initial business combination. In the event of any such purchases of our shares prior to the completion of our initial business combination, the number of Class A ordinary shares subject to redemption will be reduced by the amount of any such purchases, increasing the pro forma net tangible book value per share. See “Proposed Business — Effecting Our Initial Business Combination — Permitted Purchases and Other Transactions with Respect to Our Securities.”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88"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The following table sets forth our capitalization at April 2, 2020, and as adjusted to give effect to the filing of our amended and restated memorandum and articles of association, the sale of our Class A ordinary shares in this offering and the private placement shares and the application of the estimated net proceeds derived from the sale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57607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gridSpan w:val="7"/>
          </w:tcPr>
          <w:p>
            <w:pPr>
              <w:jc w:val="right"/>
              <w:ind w:right="700"/>
              <w:spacing w:after="0"/>
              <w:rPr>
                <w:sz w:val="20"/>
                <w:szCs w:val="20"/>
                <w:color w:val="auto"/>
              </w:rPr>
            </w:pPr>
            <w:r>
              <w:rPr>
                <w:rFonts w:ascii="Arial" w:cs="Arial" w:eastAsia="Arial" w:hAnsi="Arial"/>
                <w:sz w:val="14"/>
                <w:szCs w:val="14"/>
                <w:b w:val="1"/>
                <w:bCs w:val="1"/>
                <w:color w:val="auto"/>
              </w:rPr>
              <w:t>April 2, 2020</w:t>
            </w:r>
          </w:p>
        </w:tc>
        <w:tc>
          <w:tcPr>
            <w:tcW w:w="0" w:type="dxa"/>
            <w:vAlign w:val="bottom"/>
          </w:tcPr>
          <w:p>
            <w:pPr>
              <w:spacing w:after="0"/>
              <w:rPr>
                <w:sz w:val="1"/>
                <w:szCs w:val="1"/>
                <w:color w:val="auto"/>
              </w:rPr>
            </w:pPr>
          </w:p>
        </w:tc>
      </w:tr>
      <w:tr>
        <w:trPr>
          <w:trHeight w:val="79"/>
        </w:trPr>
        <w:tc>
          <w:tcPr>
            <w:tcW w:w="6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gridSpan w:val="2"/>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6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gridSpan w:val="4"/>
          </w:tcPr>
          <w:p>
            <w:pPr>
              <w:ind w:left="40"/>
              <w:spacing w:after="0"/>
              <w:rPr>
                <w:sz w:val="20"/>
                <w:szCs w:val="20"/>
                <w:color w:val="auto"/>
              </w:rPr>
            </w:pPr>
            <w:r>
              <w:rPr>
                <w:rFonts w:ascii="Arial" w:cs="Arial" w:eastAsia="Arial" w:hAnsi="Arial"/>
                <w:sz w:val="14"/>
                <w:szCs w:val="14"/>
                <w:b w:val="1"/>
                <w:bCs w:val="1"/>
                <w:color w:val="auto"/>
              </w:rPr>
              <w:t>Actual</w:t>
            </w:r>
          </w:p>
        </w:tc>
        <w:tc>
          <w:tcPr>
            <w:tcW w:w="380" w:type="dxa"/>
            <w:vAlign w:val="bottom"/>
          </w:tcPr>
          <w:p>
            <w:pPr>
              <w:spacing w:after="0"/>
              <w:rPr>
                <w:sz w:val="23"/>
                <w:szCs w:val="23"/>
                <w:color w:val="auto"/>
              </w:rPr>
            </w:pPr>
          </w:p>
        </w:tc>
        <w:tc>
          <w:tcPr>
            <w:tcW w:w="1180" w:type="dxa"/>
            <w:vAlign w:val="bottom"/>
            <w:gridSpan w:val="6"/>
          </w:tcPr>
          <w:p>
            <w:pPr>
              <w:jc w:val="center"/>
              <w:spacing w:after="0"/>
              <w:rPr>
                <w:sz w:val="20"/>
                <w:szCs w:val="20"/>
                <w:color w:val="auto"/>
              </w:rPr>
            </w:pPr>
            <w:r>
              <w:rPr>
                <w:rFonts w:ascii="Arial" w:cs="Arial" w:eastAsia="Arial" w:hAnsi="Arial"/>
                <w:sz w:val="14"/>
                <w:szCs w:val="14"/>
                <w:b w:val="1"/>
                <w:bCs w:val="1"/>
                <w:color w:val="auto"/>
              </w:rPr>
              <w:t>As Adjusted (1)</w:t>
            </w:r>
          </w:p>
        </w:tc>
        <w:tc>
          <w:tcPr>
            <w:tcW w:w="0" w:type="dxa"/>
            <w:vAlign w:val="bottom"/>
          </w:tcPr>
          <w:p>
            <w:pPr>
              <w:spacing w:after="0"/>
              <w:rPr>
                <w:sz w:val="1"/>
                <w:szCs w:val="1"/>
                <w:color w:val="auto"/>
              </w:rPr>
            </w:pPr>
          </w:p>
        </w:tc>
      </w:tr>
      <w:tr>
        <w:trPr>
          <w:trHeight w:val="80"/>
        </w:trPr>
        <w:tc>
          <w:tcPr>
            <w:tcW w:w="6600" w:type="dxa"/>
            <w:vAlign w:val="bottom"/>
            <w:tcBorders>
              <w:bottom w:val="single" w:sz="8" w:color="CCEEFF"/>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8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44"/>
        </w:trPr>
        <w:tc>
          <w:tcPr>
            <w:tcW w:w="6600" w:type="dxa"/>
            <w:vAlign w:val="bottom"/>
            <w:shd w:val="clear" w:color="auto" w:fill="CCEEFF"/>
          </w:tcPr>
          <w:p>
            <w:pPr>
              <w:spacing w:after="0"/>
              <w:rPr>
                <w:sz w:val="20"/>
                <w:szCs w:val="20"/>
                <w:color w:val="auto"/>
              </w:rPr>
            </w:pPr>
            <w:r>
              <w:rPr>
                <w:rFonts w:ascii="Arial" w:cs="Arial" w:eastAsia="Arial" w:hAnsi="Arial"/>
                <w:sz w:val="17"/>
                <w:szCs w:val="17"/>
                <w:color w:val="auto"/>
              </w:rPr>
              <w:t>Note payable - related party</w:t>
            </w:r>
            <w:r>
              <w:rPr>
                <w:rFonts w:ascii="Arial" w:cs="Arial" w:eastAsia="Arial" w:hAnsi="Arial"/>
                <w:sz w:val="28"/>
                <w:szCs w:val="28"/>
                <w:color w:val="auto"/>
                <w:vertAlign w:val="superscript"/>
              </w:rPr>
              <w:t>(2)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w w:val="84"/>
              </w:rPr>
              <w:t>$</w:t>
            </w:r>
          </w:p>
        </w:tc>
        <w:tc>
          <w:tcPr>
            <w:tcW w:w="1080" w:type="dxa"/>
            <w:vAlign w:val="bottom"/>
            <w:gridSpan w:val="5"/>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7"/>
        </w:trPr>
        <w:tc>
          <w:tcPr>
            <w:tcW w:w="6600" w:type="dxa"/>
            <w:vAlign w:val="bottom"/>
          </w:tcPr>
          <w:p>
            <w:pPr>
              <w:spacing w:after="0" w:line="257" w:lineRule="exact"/>
              <w:rPr>
                <w:sz w:val="20"/>
                <w:szCs w:val="20"/>
                <w:color w:val="auto"/>
              </w:rPr>
            </w:pPr>
            <w:r>
              <w:rPr>
                <w:rFonts w:ascii="Arial" w:cs="Arial" w:eastAsia="Arial" w:hAnsi="Arial"/>
                <w:sz w:val="17"/>
                <w:szCs w:val="17"/>
                <w:color w:val="auto"/>
              </w:rPr>
              <w:t>Deferred underwriting commissions</w:t>
            </w:r>
            <w:r>
              <w:rPr>
                <w:rFonts w:ascii="Arial" w:cs="Arial" w:eastAsia="Arial" w:hAnsi="Arial"/>
                <w:sz w:val="28"/>
                <w:szCs w:val="28"/>
                <w:color w:val="auto"/>
                <w:vertAlign w:val="superscript"/>
              </w:rPr>
              <w:t>(3)</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7"/>
                <w:szCs w:val="17"/>
                <w:color w:val="auto"/>
              </w:rPr>
              <w:t>4,375,000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4"/>
        </w:trPr>
        <w:tc>
          <w:tcPr>
            <w:tcW w:w="6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94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6600" w:type="dxa"/>
            <w:vAlign w:val="bottom"/>
            <w:shd w:val="clear" w:color="auto" w:fill="CCEEFF"/>
          </w:tcPr>
          <w:p>
            <w:pPr>
              <w:spacing w:after="0"/>
              <w:rPr>
                <w:sz w:val="20"/>
                <w:szCs w:val="20"/>
                <w:color w:val="auto"/>
              </w:rPr>
            </w:pPr>
            <w:r>
              <w:rPr>
                <w:rFonts w:ascii="Arial" w:cs="Arial" w:eastAsia="Arial" w:hAnsi="Arial"/>
                <w:sz w:val="17"/>
                <w:szCs w:val="17"/>
                <w:color w:val="auto"/>
              </w:rPr>
              <w:t>Class A ordinary shares, $0.0001 par value, 479,000,000 shares authorized; -0- and</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600" w:type="dxa"/>
            <w:vAlign w:val="bottom"/>
            <w:shd w:val="clear" w:color="auto" w:fill="CCEEFF"/>
          </w:tcPr>
          <w:p>
            <w:pPr>
              <w:ind w:left="180"/>
              <w:spacing w:after="0" w:line="189" w:lineRule="exact"/>
              <w:rPr>
                <w:sz w:val="20"/>
                <w:szCs w:val="20"/>
                <w:color w:val="auto"/>
              </w:rPr>
            </w:pPr>
            <w:r>
              <w:rPr>
                <w:rFonts w:ascii="Arial" w:cs="Arial" w:eastAsia="Arial" w:hAnsi="Arial"/>
                <w:sz w:val="17"/>
                <w:szCs w:val="17"/>
                <w:color w:val="auto"/>
              </w:rPr>
              <w:t>11,664,575 shares are subject to possible redemption, actual and as adjusted,</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respectively</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w w:val="99"/>
              </w:rPr>
              <w:t>116,645,750</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600" w:type="dxa"/>
            <w:vAlign w:val="bottom"/>
          </w:tcPr>
          <w:p>
            <w:pPr>
              <w:spacing w:after="0"/>
              <w:rPr>
                <w:sz w:val="20"/>
                <w:szCs w:val="20"/>
                <w:color w:val="auto"/>
              </w:rPr>
            </w:pPr>
            <w:r>
              <w:rPr>
                <w:rFonts w:ascii="Arial" w:cs="Arial" w:eastAsia="Arial" w:hAnsi="Arial"/>
                <w:sz w:val="17"/>
                <w:szCs w:val="17"/>
                <w:color w:val="auto"/>
              </w:rPr>
              <w:t>Preference shares, $0.0001 par value; 1,000,000 shares authorized; none issued</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6600" w:type="dxa"/>
            <w:vAlign w:val="bottom"/>
          </w:tcPr>
          <w:p>
            <w:pPr>
              <w:ind w:left="180"/>
              <w:spacing w:after="0"/>
              <w:rPr>
                <w:sz w:val="20"/>
                <w:szCs w:val="20"/>
                <w:color w:val="auto"/>
              </w:rPr>
            </w:pPr>
            <w:r>
              <w:rPr>
                <w:rFonts w:ascii="Arial" w:cs="Arial" w:eastAsia="Arial" w:hAnsi="Arial"/>
                <w:sz w:val="17"/>
                <w:szCs w:val="17"/>
                <w:color w:val="auto"/>
              </w:rPr>
              <w:t>and outstanding, actual and as adjusted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5"/>
          </w:tcPr>
          <w:p>
            <w:pPr>
              <w:jc w:val="right"/>
              <w:ind w:right="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58"/>
        </w:trPr>
        <w:tc>
          <w:tcPr>
            <w:tcW w:w="6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600" w:type="dxa"/>
            <w:vAlign w:val="bottom"/>
            <w:shd w:val="clear" w:color="auto" w:fill="CCEEFF"/>
          </w:tcPr>
          <w:p>
            <w:pPr>
              <w:spacing w:after="0"/>
              <w:rPr>
                <w:sz w:val="20"/>
                <w:szCs w:val="20"/>
                <w:color w:val="auto"/>
              </w:rPr>
            </w:pPr>
            <w:r>
              <w:rPr>
                <w:rFonts w:ascii="Arial" w:cs="Arial" w:eastAsia="Arial" w:hAnsi="Arial"/>
                <w:sz w:val="17"/>
                <w:szCs w:val="17"/>
                <w:color w:val="auto"/>
              </w:rPr>
              <w:t>Class A ordinary shares, $0.0001 par value, 479,000,000 shares authorized; -0- and</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6600" w:type="dxa"/>
            <w:vAlign w:val="bottom"/>
            <w:shd w:val="clear" w:color="auto" w:fill="CCEEFF"/>
          </w:tcPr>
          <w:p>
            <w:pPr>
              <w:ind w:left="180"/>
              <w:spacing w:after="0" w:line="188" w:lineRule="exact"/>
              <w:rPr>
                <w:sz w:val="20"/>
                <w:szCs w:val="20"/>
                <w:color w:val="auto"/>
              </w:rPr>
            </w:pPr>
            <w:r>
              <w:rPr>
                <w:rFonts w:ascii="Arial" w:cs="Arial" w:eastAsia="Arial" w:hAnsi="Arial"/>
                <w:sz w:val="17"/>
                <w:szCs w:val="17"/>
                <w:color w:val="auto"/>
              </w:rPr>
              <w:t>1,285,425 shares issued and outstanding (excluding -0- and 11,664,575 shares</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600" w:type="dxa"/>
            <w:vAlign w:val="bottom"/>
            <w:shd w:val="clear" w:color="auto" w:fill="CCEEFF"/>
          </w:tcPr>
          <w:p>
            <w:pPr>
              <w:ind w:left="180"/>
              <w:spacing w:after="0" w:line="263" w:lineRule="exact"/>
              <w:rPr>
                <w:sz w:val="20"/>
                <w:szCs w:val="20"/>
                <w:color w:val="auto"/>
              </w:rPr>
            </w:pPr>
            <w:r>
              <w:rPr>
                <w:rFonts w:ascii="Arial" w:cs="Arial" w:eastAsia="Arial" w:hAnsi="Arial"/>
                <w:sz w:val="17"/>
                <w:szCs w:val="17"/>
                <w:color w:val="auto"/>
              </w:rPr>
              <w:t>subject to possible redemption), actual and as adjusted, respectively</w:t>
            </w:r>
            <w:r>
              <w:rPr>
                <w:rFonts w:ascii="Arial" w:cs="Arial" w:eastAsia="Arial" w:hAnsi="Arial"/>
                <w:sz w:val="28"/>
                <w:szCs w:val="28"/>
                <w:color w:val="auto"/>
                <w:vertAlign w:val="superscript"/>
              </w:rPr>
              <w:t>(4)</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gridSpan w:val="5"/>
            <w:shd w:val="clear" w:color="auto" w:fill="CCEEFF"/>
          </w:tcPr>
          <w:p>
            <w:pPr>
              <w:jc w:val="right"/>
              <w:ind w:right="60"/>
              <w:spacing w:after="0"/>
              <w:rPr>
                <w:sz w:val="20"/>
                <w:szCs w:val="20"/>
                <w:color w:val="auto"/>
              </w:rPr>
            </w:pPr>
            <w:r>
              <w:rPr>
                <w:rFonts w:ascii="Arial" w:cs="Arial" w:eastAsia="Arial" w:hAnsi="Arial"/>
                <w:sz w:val="17"/>
                <w:szCs w:val="17"/>
                <w:color w:val="auto"/>
              </w:rPr>
              <w:t>129</w:t>
            </w:r>
          </w:p>
        </w:tc>
        <w:tc>
          <w:tcPr>
            <w:tcW w:w="0" w:type="dxa"/>
            <w:vAlign w:val="bottom"/>
          </w:tcPr>
          <w:p>
            <w:pPr>
              <w:spacing w:after="0"/>
              <w:rPr>
                <w:sz w:val="1"/>
                <w:szCs w:val="1"/>
                <w:color w:val="auto"/>
              </w:rPr>
            </w:pPr>
          </w:p>
        </w:tc>
      </w:tr>
      <w:tr>
        <w:trPr>
          <w:trHeight w:val="250"/>
        </w:trPr>
        <w:tc>
          <w:tcPr>
            <w:tcW w:w="6600" w:type="dxa"/>
            <w:vAlign w:val="bottom"/>
          </w:tcPr>
          <w:p>
            <w:pPr>
              <w:spacing w:after="0"/>
              <w:rPr>
                <w:sz w:val="20"/>
                <w:szCs w:val="20"/>
                <w:color w:val="auto"/>
              </w:rPr>
            </w:pPr>
            <w:r>
              <w:rPr>
                <w:rFonts w:ascii="Arial" w:cs="Arial" w:eastAsia="Arial" w:hAnsi="Arial"/>
                <w:sz w:val="17"/>
                <w:szCs w:val="17"/>
                <w:color w:val="auto"/>
              </w:rPr>
              <w:t>Class B ordinary shares, $0.0001 par value, 20,000,000 shares authorized,</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6600" w:type="dxa"/>
            <w:vAlign w:val="bottom"/>
          </w:tcPr>
          <w:p>
            <w:pPr>
              <w:ind w:left="180"/>
              <w:spacing w:after="0" w:line="189" w:lineRule="exact"/>
              <w:rPr>
                <w:sz w:val="20"/>
                <w:szCs w:val="20"/>
                <w:color w:val="auto"/>
              </w:rPr>
            </w:pPr>
            <w:r>
              <w:rPr>
                <w:rFonts w:ascii="Arial" w:cs="Arial" w:eastAsia="Arial" w:hAnsi="Arial"/>
                <w:sz w:val="17"/>
                <w:szCs w:val="17"/>
                <w:color w:val="auto"/>
              </w:rPr>
              <w:t>3,593,750 and 3,125,000 shares issued and outstanding, actual and as adjusted,</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600" w:type="dxa"/>
            <w:vAlign w:val="bottom"/>
          </w:tcPr>
          <w:p>
            <w:pPr>
              <w:ind w:left="180"/>
              <w:spacing w:after="0"/>
              <w:rPr>
                <w:sz w:val="20"/>
                <w:szCs w:val="20"/>
                <w:color w:val="auto"/>
              </w:rPr>
            </w:pPr>
            <w:r>
              <w:rPr>
                <w:rFonts w:ascii="Arial" w:cs="Arial" w:eastAsia="Arial" w:hAnsi="Arial"/>
                <w:sz w:val="17"/>
                <w:szCs w:val="17"/>
                <w:color w:val="auto"/>
              </w:rPr>
              <w:t>respectively</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7"/>
                <w:szCs w:val="17"/>
                <w:color w:val="auto"/>
              </w:rPr>
              <w:t>359</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5"/>
          </w:tcPr>
          <w:p>
            <w:pPr>
              <w:jc w:val="right"/>
              <w:ind w:right="60"/>
              <w:spacing w:after="0"/>
              <w:rPr>
                <w:sz w:val="20"/>
                <w:szCs w:val="20"/>
                <w:color w:val="auto"/>
              </w:rPr>
            </w:pPr>
            <w:r>
              <w:rPr>
                <w:rFonts w:ascii="Arial" w:cs="Arial" w:eastAsia="Arial" w:hAnsi="Arial"/>
                <w:sz w:val="17"/>
                <w:szCs w:val="17"/>
                <w:color w:val="auto"/>
              </w:rPr>
              <w:t>313</w:t>
            </w:r>
          </w:p>
        </w:tc>
        <w:tc>
          <w:tcPr>
            <w:tcW w:w="0" w:type="dxa"/>
            <w:vAlign w:val="bottom"/>
          </w:tcPr>
          <w:p>
            <w:pPr>
              <w:spacing w:after="0"/>
              <w:rPr>
                <w:sz w:val="1"/>
                <w:szCs w:val="1"/>
                <w:color w:val="auto"/>
              </w:rPr>
            </w:pPr>
          </w:p>
        </w:tc>
      </w:tr>
      <w:tr>
        <w:trPr>
          <w:trHeight w:val="58"/>
        </w:trPr>
        <w:tc>
          <w:tcPr>
            <w:tcW w:w="6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Additional paid-in capital</w:t>
            </w: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6"/>
              </w:rPr>
              <w:t>24,641</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5,003,808</w:t>
            </w:r>
          </w:p>
        </w:tc>
        <w:tc>
          <w:tcPr>
            <w:tcW w:w="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600" w:type="dxa"/>
            <w:vAlign w:val="bottom"/>
          </w:tcPr>
          <w:p>
            <w:pPr>
              <w:spacing w:after="0"/>
              <w:rPr>
                <w:sz w:val="20"/>
                <w:szCs w:val="20"/>
                <w:color w:val="auto"/>
              </w:rPr>
            </w:pPr>
            <w:r>
              <w:rPr>
                <w:rFonts w:ascii="Arial" w:cs="Arial" w:eastAsia="Arial" w:hAnsi="Arial"/>
                <w:sz w:val="17"/>
                <w:szCs w:val="17"/>
                <w:color w:val="auto"/>
              </w:rPr>
              <w:t>Accumulated deficit</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4"/>
          </w:tcPr>
          <w:p>
            <w:pPr>
              <w:ind w:left="60"/>
              <w:spacing w:after="0"/>
              <w:rPr>
                <w:sz w:val="20"/>
                <w:szCs w:val="20"/>
                <w:color w:val="auto"/>
              </w:rPr>
            </w:pPr>
            <w:r>
              <w:rPr>
                <w:rFonts w:ascii="Arial" w:cs="Arial" w:eastAsia="Arial" w:hAnsi="Arial"/>
                <w:sz w:val="17"/>
                <w:szCs w:val="17"/>
                <w:color w:val="auto"/>
                <w:w w:val="96"/>
              </w:rPr>
              <w:t>(4,245)</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5"/>
          </w:tcPr>
          <w:p>
            <w:pPr>
              <w:jc w:val="right"/>
              <w:ind w:right="20"/>
              <w:spacing w:after="0"/>
              <w:rPr>
                <w:sz w:val="20"/>
                <w:szCs w:val="20"/>
                <w:color w:val="auto"/>
              </w:rPr>
            </w:pPr>
            <w:r>
              <w:rPr>
                <w:rFonts w:ascii="Arial" w:cs="Arial" w:eastAsia="Arial" w:hAnsi="Arial"/>
                <w:sz w:val="17"/>
                <w:szCs w:val="17"/>
                <w:color w:val="auto"/>
              </w:rPr>
              <w:t>(4,245)</w:t>
            </w:r>
          </w:p>
        </w:tc>
        <w:tc>
          <w:tcPr>
            <w:tcW w:w="0" w:type="dxa"/>
            <w:vAlign w:val="bottom"/>
          </w:tcPr>
          <w:p>
            <w:pPr>
              <w:spacing w:after="0"/>
              <w:rPr>
                <w:sz w:val="1"/>
                <w:szCs w:val="1"/>
                <w:color w:val="auto"/>
              </w:rPr>
            </w:pPr>
          </w:p>
        </w:tc>
      </w:tr>
      <w:tr>
        <w:trPr>
          <w:trHeight w:val="75"/>
        </w:trPr>
        <w:tc>
          <w:tcPr>
            <w:tcW w:w="6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94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6600" w:type="dxa"/>
            <w:vAlign w:val="bottom"/>
            <w:shd w:val="clear" w:color="auto" w:fill="CCEEFF"/>
          </w:tcPr>
          <w:p>
            <w:pPr>
              <w:spacing w:after="0"/>
              <w:rPr>
                <w:sz w:val="20"/>
                <w:szCs w:val="20"/>
                <w:color w:val="auto"/>
              </w:rPr>
            </w:pPr>
            <w:r>
              <w:rPr>
                <w:rFonts w:ascii="Arial" w:cs="Arial" w:eastAsia="Arial" w:hAnsi="Arial"/>
                <w:sz w:val="17"/>
                <w:szCs w:val="17"/>
                <w:color w:val="auto"/>
              </w:rPr>
              <w:t>Total shareholders’ equity</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20,755</w:t>
            </w: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w w:val="84"/>
              </w:rPr>
              <w:t>$</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5,000,005</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66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94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6600" w:type="dxa"/>
            <w:vAlign w:val="bottom"/>
            <w:vMerge w:val="restart"/>
          </w:tcPr>
          <w:p>
            <w:pPr>
              <w:spacing w:after="0"/>
              <w:rPr>
                <w:sz w:val="20"/>
                <w:szCs w:val="20"/>
                <w:color w:val="auto"/>
              </w:rPr>
            </w:pPr>
            <w:r>
              <w:rPr>
                <w:rFonts w:ascii="Arial" w:cs="Arial" w:eastAsia="Arial" w:hAnsi="Arial"/>
                <w:sz w:val="17"/>
                <w:szCs w:val="17"/>
                <w:color w:val="auto"/>
              </w:rPr>
              <w:t>Total capitalization</w:t>
            </w:r>
          </w:p>
        </w:tc>
        <w:tc>
          <w:tcPr>
            <w:tcW w:w="840" w:type="dxa"/>
            <w:vAlign w:val="bottom"/>
            <w:gridSpan w:val="3"/>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20,755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gridSpan w:val="4"/>
          </w:tcPr>
          <w:p>
            <w:pPr>
              <w:ind w:left="380"/>
              <w:spacing w:after="0"/>
              <w:rPr>
                <w:sz w:val="20"/>
                <w:szCs w:val="20"/>
                <w:color w:val="auto"/>
              </w:rPr>
            </w:pPr>
            <w:r>
              <w:rPr>
                <w:rFonts w:ascii="Arial" w:cs="Arial" w:eastAsia="Arial" w:hAnsi="Arial"/>
                <w:sz w:val="17"/>
                <w:szCs w:val="17"/>
                <w:u w:val="single" w:color="auto"/>
                <w:color w:val="auto"/>
                <w:w w:val="99"/>
              </w:rPr>
              <w:t>$</w:t>
            </w:r>
            <w:r>
              <w:rPr>
                <w:rFonts w:ascii="Arial" w:cs="Arial" w:eastAsia="Arial" w:hAnsi="Arial"/>
                <w:sz w:val="17"/>
                <w:szCs w:val="17"/>
                <w:color w:val="auto"/>
                <w:w w:val="99"/>
              </w:rPr>
              <w:t>126,020,755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
        </w:trPr>
        <w:tc>
          <w:tcPr>
            <w:tcW w:w="66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-3059430</wp:posOffset>
            </wp:positionV>
            <wp:extent cx="24003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-3059430</wp:posOffset>
            </wp:positionV>
            <wp:extent cx="12001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8"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Assumes no exercise of the underwriters’ over-allotment option and the corresponding forfeiture of 468,750 Class B ordinary shares held by our sponsor.</w:t>
      </w:r>
    </w:p>
    <w:p>
      <w:pPr>
        <w:spacing w:after="0" w:line="51" w:lineRule="exact"/>
        <w:rPr>
          <w:rFonts w:ascii="Arial" w:cs="Arial" w:eastAsia="Arial" w:hAnsi="Arial"/>
          <w:sz w:val="12"/>
          <w:szCs w:val="12"/>
          <w:color w:val="auto"/>
        </w:rPr>
      </w:pPr>
    </w:p>
    <w:p>
      <w:pPr>
        <w:ind w:left="360" w:right="260" w:hanging="352"/>
        <w:spacing w:after="0" w:line="230" w:lineRule="auto"/>
        <w:tabs>
          <w:tab w:leader="none" w:pos="3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Our sponsor may loan us up to $300,000 under an unsecured promissory note to be used for a portion of the expenses of this offering. To date, we have borrowed approximately $82,000 from our sponsor to cover for expenses in connection with this offering.</w:t>
      </w:r>
    </w:p>
    <w:p>
      <w:pPr>
        <w:spacing w:after="0" w:line="37" w:lineRule="exact"/>
        <w:rPr>
          <w:rFonts w:ascii="Arial" w:cs="Arial" w:eastAsia="Arial" w:hAnsi="Arial"/>
          <w:sz w:val="13"/>
          <w:szCs w:val="13"/>
          <w:color w:val="auto"/>
        </w:rPr>
      </w:pPr>
    </w:p>
    <w:p>
      <w:pPr>
        <w:ind w:left="360" w:right="180" w:hanging="352"/>
        <w:spacing w:after="0" w:line="221" w:lineRule="auto"/>
        <w:tabs>
          <w:tab w:leader="none" w:pos="3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$0.35 per share, or $4.375 million in the aggregate, will be payable to the underwriters for deferred underwriting commissions. The deferred underwriting commissions will become payable to the underwriters from the amounts held in the Trust Account solely in the event that the Company completes a Business Combination, subject to the terms of the underwriting agreement. The Company records deferred underwriting commissions upon the closing of the initial public offering as a reduction of additional paid-in capital. Since the actual additional paid-in capital was reduced by the recording of the accrued deferred underwriting commission, total capitalization, as adjusted, includes the amount of the deferred underwriting commission to reflect total capitalization.</w:t>
      </w:r>
    </w:p>
    <w:p>
      <w:pPr>
        <w:spacing w:after="0" w:line="38" w:lineRule="exact"/>
        <w:rPr>
          <w:rFonts w:ascii="Arial" w:cs="Arial" w:eastAsia="Arial" w:hAnsi="Arial"/>
          <w:sz w:val="13"/>
          <w:szCs w:val="13"/>
          <w:color w:val="auto"/>
        </w:rPr>
      </w:pPr>
    </w:p>
    <w:p>
      <w:pPr>
        <w:ind w:left="360" w:right="80" w:hanging="352"/>
        <w:spacing w:after="0" w:line="221" w:lineRule="auto"/>
        <w:tabs>
          <w:tab w:leader="none" w:pos="3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Upon the completion of our initial business combination, we will provide our public shareholders with the opportunity to redeem their public shares for cash at a per share price equal to the aggregate amount then on deposit in the trust account calculated as of two business days prior to the consummation of the initial business combination, including interest earned on the funds held in the trust account and not previously released to us to pay our income taxes, if any, divided by the number of the then-outstanding public shares, subject to the limitations described herein whereby redemptions cannot cause our net tangible assets to be less than $5,000,001 and any limitations (including, but not limited to, cash requirements) created by the terms of the proposed business combination.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76"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We are a blank check company incorporated on March 27, 2020 as a Cayman Islands exempted company for the purpose of effecting a merger, share exchange, asset acquisition, share purchase, reorganization or similar business combination with one or more businesses. We have not selected any business combination target and we have not, nor has anyone on our behalf, initiated any substantive discussions, directly or indirectly, with any business combination target. We intend to effectuate our initial business combination using cash from the proceeds of this offering and the sale of the private placement shares, our shares, debt or a combination of cash, equity and debt.</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issuance of additional shares in a business combination:</w:t>
      </w:r>
    </w:p>
    <w:p>
      <w:pPr>
        <w:spacing w:after="0" w:line="102" w:lineRule="exact"/>
        <w:rPr>
          <w:sz w:val="20"/>
          <w:szCs w:val="20"/>
          <w:color w:val="auto"/>
        </w:rPr>
      </w:pPr>
    </w:p>
    <w:p>
      <w:pPr>
        <w:ind w:left="580" w:right="240"/>
        <w:spacing w:after="0" w:line="238" w:lineRule="auto"/>
        <w:rPr>
          <w:sz w:val="20"/>
          <w:szCs w:val="20"/>
          <w:color w:val="auto"/>
        </w:rPr>
      </w:pPr>
      <w:r>
        <w:rPr>
          <w:rFonts w:ascii="Arial" w:cs="Arial" w:eastAsia="Arial" w:hAnsi="Arial"/>
          <w:sz w:val="17"/>
          <w:szCs w:val="17"/>
          <w:color w:val="auto"/>
        </w:rPr>
        <w:t>may significantly dilute the equity interest of investors in this offering, which dilution would increase if the anti-dilution provisions in the Class B ordinary shares resulted in the issuance of Class A ordinary shares on a greater than one-to-one basis upon conversion of the Class B ordinary shares;</w:t>
      </w:r>
    </w:p>
    <w:p>
      <w:pPr>
        <w:spacing w:after="0" w:line="93" w:lineRule="exact"/>
        <w:rPr>
          <w:sz w:val="20"/>
          <w:szCs w:val="20"/>
          <w:color w:val="auto"/>
        </w:rPr>
      </w:pPr>
    </w:p>
    <w:p>
      <w:pPr>
        <w:ind w:left="580" w:right="400"/>
        <w:spacing w:after="0" w:line="243" w:lineRule="auto"/>
        <w:rPr>
          <w:sz w:val="20"/>
          <w:szCs w:val="20"/>
          <w:color w:val="auto"/>
        </w:rPr>
      </w:pPr>
      <w:r>
        <w:rPr>
          <w:rFonts w:ascii="Arial" w:cs="Arial" w:eastAsia="Arial" w:hAnsi="Arial"/>
          <w:sz w:val="17"/>
          <w:szCs w:val="17"/>
          <w:color w:val="auto"/>
        </w:rPr>
        <w:t>may subordinate the rights of holders of Class A ordinary shares if preference shares are issued with rights senior to those afforded our Class A ordinary shares;</w:t>
      </w:r>
    </w:p>
    <w:p>
      <w:pPr>
        <w:spacing w:after="0" w:line="90" w:lineRule="exact"/>
        <w:rPr>
          <w:sz w:val="20"/>
          <w:szCs w:val="20"/>
          <w:color w:val="auto"/>
        </w:rPr>
      </w:pPr>
    </w:p>
    <w:p>
      <w:pPr>
        <w:ind w:left="580" w:right="80"/>
        <w:spacing w:after="0" w:line="238" w:lineRule="auto"/>
        <w:rPr>
          <w:sz w:val="20"/>
          <w:szCs w:val="20"/>
          <w:color w:val="auto"/>
        </w:rPr>
      </w:pPr>
      <w:r>
        <w:rPr>
          <w:rFonts w:ascii="Arial" w:cs="Arial" w:eastAsia="Arial" w:hAnsi="Arial"/>
          <w:sz w:val="17"/>
          <w:szCs w:val="17"/>
          <w:color w:val="auto"/>
        </w:rPr>
        <w:t>could cause a change in control if a substantial number of our Class A ordinary shares are issued, which may affect, among other things, our ability to use our net operating loss carry forwards, if any, and could result in the resignation or removal of our present officers and directors;</w:t>
      </w:r>
    </w:p>
    <w:p>
      <w:pPr>
        <w:spacing w:after="0" w:line="93" w:lineRule="exact"/>
        <w:rPr>
          <w:sz w:val="20"/>
          <w:szCs w:val="20"/>
          <w:color w:val="auto"/>
        </w:rPr>
      </w:pPr>
    </w:p>
    <w:p>
      <w:pPr>
        <w:ind w:left="580" w:right="40"/>
        <w:spacing w:after="0" w:line="243" w:lineRule="auto"/>
        <w:rPr>
          <w:sz w:val="20"/>
          <w:szCs w:val="20"/>
          <w:color w:val="auto"/>
        </w:rPr>
      </w:pPr>
      <w:r>
        <w:rPr>
          <w:rFonts w:ascii="Arial" w:cs="Arial" w:eastAsia="Arial" w:hAnsi="Arial"/>
          <w:sz w:val="17"/>
          <w:szCs w:val="17"/>
          <w:color w:val="auto"/>
        </w:rPr>
        <w:t>may have the effect of delaying or preventing a change of control of us by diluting the share ownership or voting rights of a person seeking to obtain control of us; and</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may adversely affect prevailing market prices for our Class A ordinary shares.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Similarly, if we issue debt or otherwise incur significant debt, it could result in:</w:t>
      </w:r>
    </w:p>
    <w:p>
      <w:pPr>
        <w:spacing w:after="0" w:line="102" w:lineRule="exact"/>
        <w:rPr>
          <w:sz w:val="20"/>
          <w:szCs w:val="20"/>
          <w:color w:val="auto"/>
        </w:rPr>
      </w:pPr>
    </w:p>
    <w:p>
      <w:pPr>
        <w:ind w:left="580" w:right="680"/>
        <w:spacing w:after="0" w:line="243" w:lineRule="auto"/>
        <w:rPr>
          <w:sz w:val="20"/>
          <w:szCs w:val="20"/>
          <w:color w:val="auto"/>
        </w:rPr>
      </w:pPr>
      <w:r>
        <w:rPr>
          <w:rFonts w:ascii="Arial" w:cs="Arial" w:eastAsia="Arial" w:hAnsi="Arial"/>
          <w:sz w:val="17"/>
          <w:szCs w:val="17"/>
          <w:color w:val="auto"/>
        </w:rPr>
        <w:t>default and foreclosure on our assets if our operating revenues after an initial business combination are insufficient to repay our debt obligations;</w:t>
      </w:r>
    </w:p>
    <w:p>
      <w:pPr>
        <w:spacing w:after="0" w:line="90" w:lineRule="exact"/>
        <w:rPr>
          <w:sz w:val="20"/>
          <w:szCs w:val="20"/>
          <w:color w:val="auto"/>
        </w:rPr>
      </w:pPr>
    </w:p>
    <w:p>
      <w:pPr>
        <w:jc w:val="both"/>
        <w:ind w:left="580" w:right="280"/>
        <w:spacing w:after="0" w:line="238" w:lineRule="auto"/>
        <w:rPr>
          <w:sz w:val="20"/>
          <w:szCs w:val="20"/>
          <w:color w:val="auto"/>
        </w:rPr>
      </w:pPr>
      <w:r>
        <w:rPr>
          <w:rFonts w:ascii="Arial" w:cs="Arial" w:eastAsia="Arial" w:hAnsi="Arial"/>
          <w:sz w:val="17"/>
          <w:szCs w:val="17"/>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9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our immediate payment of all principal and accrued interest, if any, if the debt is payable on demand;</w:t>
      </w:r>
    </w:p>
    <w:p>
      <w:pPr>
        <w:spacing w:after="0" w:line="102" w:lineRule="exact"/>
        <w:rPr>
          <w:sz w:val="20"/>
          <w:szCs w:val="20"/>
          <w:color w:val="auto"/>
        </w:rPr>
      </w:pPr>
    </w:p>
    <w:p>
      <w:pPr>
        <w:ind w:left="580"/>
        <w:spacing w:after="0" w:line="243" w:lineRule="auto"/>
        <w:rPr>
          <w:sz w:val="20"/>
          <w:szCs w:val="20"/>
          <w:color w:val="auto"/>
        </w:rPr>
      </w:pPr>
      <w:r>
        <w:rPr>
          <w:rFonts w:ascii="Arial" w:cs="Arial" w:eastAsia="Arial" w:hAnsi="Arial"/>
          <w:sz w:val="17"/>
          <w:szCs w:val="17"/>
          <w:color w:val="auto"/>
        </w:rPr>
        <w:t>our inability to obtain necessary additional financing if the debt contains covenants restricting our ability to obtain such financing while the debt is outstanding;</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our inability to pay dividends on our Class A ordinary shares;</w:t>
      </w:r>
    </w:p>
    <w:p>
      <w:pPr>
        <w:spacing w:after="0" w:line="102" w:lineRule="exact"/>
        <w:rPr>
          <w:sz w:val="20"/>
          <w:szCs w:val="20"/>
          <w:color w:val="auto"/>
        </w:rPr>
      </w:pPr>
    </w:p>
    <w:p>
      <w:pPr>
        <w:jc w:val="both"/>
        <w:ind w:left="580" w:right="60"/>
        <w:spacing w:after="0" w:line="238" w:lineRule="auto"/>
        <w:rPr>
          <w:sz w:val="20"/>
          <w:szCs w:val="20"/>
          <w:color w:val="auto"/>
        </w:rPr>
      </w:pPr>
      <w:r>
        <w:rPr>
          <w:rFonts w:ascii="Arial" w:cs="Arial" w:eastAsia="Arial" w:hAnsi="Arial"/>
          <w:sz w:val="17"/>
          <w:szCs w:val="17"/>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spacing w:after="0" w:line="93" w:lineRule="exact"/>
        <w:rPr>
          <w:sz w:val="20"/>
          <w:szCs w:val="20"/>
          <w:color w:val="auto"/>
        </w:rPr>
      </w:pPr>
    </w:p>
    <w:p>
      <w:pPr>
        <w:ind w:left="580" w:right="180"/>
        <w:spacing w:after="0" w:line="243" w:lineRule="auto"/>
        <w:rPr>
          <w:sz w:val="20"/>
          <w:szCs w:val="20"/>
          <w:color w:val="auto"/>
        </w:rPr>
      </w:pPr>
      <w:r>
        <w:rPr>
          <w:rFonts w:ascii="Arial" w:cs="Arial" w:eastAsia="Arial" w:hAnsi="Arial"/>
          <w:sz w:val="17"/>
          <w:szCs w:val="17"/>
          <w:color w:val="auto"/>
        </w:rPr>
        <w:t>limitations on our flexibility in planning for and reacting to changes in our business and in the industry in which we operate;</w:t>
      </w:r>
    </w:p>
    <w:p>
      <w:pPr>
        <w:spacing w:after="0" w:line="90" w:lineRule="exact"/>
        <w:rPr>
          <w:sz w:val="20"/>
          <w:szCs w:val="20"/>
          <w:color w:val="auto"/>
        </w:rPr>
      </w:pPr>
    </w:p>
    <w:p>
      <w:pPr>
        <w:ind w:left="580" w:right="580"/>
        <w:spacing w:after="0" w:line="243" w:lineRule="auto"/>
        <w:rPr>
          <w:sz w:val="20"/>
          <w:szCs w:val="20"/>
          <w:color w:val="auto"/>
        </w:rPr>
      </w:pPr>
      <w:r>
        <w:rPr>
          <w:rFonts w:ascii="Arial" w:cs="Arial" w:eastAsia="Arial" w:hAnsi="Arial"/>
          <w:sz w:val="17"/>
          <w:szCs w:val="17"/>
          <w:color w:val="auto"/>
        </w:rPr>
        <w:t>increased vulnerability to adverse changes in general economic, industry and competitive conditions and adverse changes in government regulation; and</w:t>
      </w:r>
    </w:p>
    <w:p>
      <w:pPr>
        <w:spacing w:after="0" w:line="90" w:lineRule="exact"/>
        <w:rPr>
          <w:sz w:val="20"/>
          <w:szCs w:val="20"/>
          <w:color w:val="auto"/>
        </w:rPr>
      </w:pPr>
    </w:p>
    <w:p>
      <w:pPr>
        <w:ind w:left="580" w:right="180"/>
        <w:spacing w:after="0" w:line="238" w:lineRule="auto"/>
        <w:rPr>
          <w:sz w:val="20"/>
          <w:szCs w:val="20"/>
          <w:color w:val="auto"/>
        </w:rPr>
      </w:pPr>
      <w:r>
        <w:rPr>
          <w:rFonts w:ascii="Arial" w:cs="Arial" w:eastAsia="Arial" w:hAnsi="Arial"/>
          <w:sz w:val="17"/>
          <w:szCs w:val="17"/>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As indicated in the accompanying financial statements, as of April 2, 2020, we had no cash and deferred offering costs of $25,000. Further, we expect to incur significant costs in the pursuit of our initial business combination. We cannot assure you that our plans to raise capital or to complete our initial business combination will be successful.</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and Known Trends or Future Events</w:t>
      </w:r>
    </w:p>
    <w:p>
      <w:pPr>
        <w:spacing w:after="0" w:line="176"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76" w:lineRule="exact"/>
        <w:rPr>
          <w:sz w:val="20"/>
          <w:szCs w:val="20"/>
          <w:color w:val="auto"/>
        </w:rPr>
      </w:pPr>
    </w:p>
    <w:p>
      <w:pPr>
        <w:ind w:right="40"/>
        <w:spacing w:after="0" w:line="232" w:lineRule="auto"/>
        <w:rPr>
          <w:sz w:val="20"/>
          <w:szCs w:val="20"/>
          <w:color w:val="auto"/>
        </w:rPr>
      </w:pPr>
      <w:r>
        <w:rPr>
          <w:rFonts w:ascii="Arial" w:cs="Arial" w:eastAsia="Arial" w:hAnsi="Arial"/>
          <w:sz w:val="17"/>
          <w:szCs w:val="17"/>
          <w:color w:val="auto"/>
        </w:rPr>
        <w:t>Our liquidity needs have been satisfied prior to the completion of this offering through receipt of a $25,000 capital contribution from our sponsor in exchange for the issuance of the founder shares to our sponsor and a commitment from our sponsor to loan up to $300,000 to us to cover our expenses in connection with this offering. We estimate that the net proceeds from (i) the sale of the Class A ordinary shares in this offering, after deducting offering expenses of $1.0 million, underwriting commissions of $2,500,000, or $2,875,000 if the underwriters’ over-allotment option is exercised in full (excluding deferred underwriting commissions of $4,375,000, or $5,031,250 if the underwriters’ over-allotment option is exercised in full), and (ii) the sale of the private placement shares for a purchase price of $4,500,000 (or $4,875,000 if the underwriters’ over-allotment option is exercised in full) will be $126.0 million (or $144.75 million if the underwriters’ over-allotment option is exercised in full). $125.0 million (or $143.75 million if the underwriters’ over-allotment option is exercised in full) will be held in the trust account, which includes the deferred underwriting commissions described above. 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The remaining $1.0 million will not be held in the trust account. In the event that our offering expenses exceed our estimate of</w:t>
      </w:r>
    </w:p>
    <w:p>
      <w:pPr>
        <w:spacing w:after="0" w:line="1"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$1.0 million, we may fund such excess with funds not to be held in the trust account. In such case, the amount of funds we intend to be held outside the trust account would decrease by a corresponding amount. Conversely, in the event that the offering expenses are less than our estimate of $1.0 million, the amount of funds we intend to be held outside the trust account would increase by a corresponding amount.</w:t>
      </w:r>
    </w:p>
    <w:p>
      <w:pPr>
        <w:spacing w:after="0" w:line="163"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We intend to use substantially all of the funds held in the trust account, including any amounts representing interest earned on the trust account (less taxes payable and deferred underwriting commissions), to complete our initial business combination. We may withdraw interest income (if any) to pay income taxes, if any. Our annual income tax obligations will depend on the amount of interest and other income earned on the amounts held in the trust account. We expect the interest income earned on the amount in the trust account (if any) will be sufficient to pay our income taxes. To the extent that our equity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163"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Prior to the completion of our initial business combination, we will have available to us the $1.0 million of proceeds held outside the trust account, as well as certain funds from loans from our sponsor, members of our management team or any of their affiliates. We will use these funds to primarily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14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do not believe we will need to raise additional funds following this offering in order to meet the expenditures required for operating our business prior to the completion of our initial business combination, other than funds available from loans from our sponsor, members of our management team or any of their affiliates. However, if our estimates of the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costs of identifying a target business, undertaking in-depth due diligence and negotiating an initial business combination are less than the actual amount necessary to do so, we may have insufficient funds available to operate our business prior to the completion of our initial business combination. In order to fund working capital deficiencies or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may repay such loaned amounts. In the event that our initial business combination does not close, we may use a portion of the working capital held outside the trust account to repay such loaned amounts but no proceeds from our trust account would be used for such repayment. Up to $1,500,000 of such loans may be convertible into shares of the post-business combination company at a price of $10.00 per share at the option of the lender. The shares would be identical to the private placement shares. The terms of such loans, if any, have not been determined and no written agreements exist with respect to such loans. Prior to the completion of our initial business combination, we do not expect to seek loans from parties other than our sponsor, members of our management team or any of their affiliates as we do not believe third parties will be willing to loan such funds and provide a waiver against any and all rights to seek access to funds in our trust account.</w:t>
      </w:r>
    </w:p>
    <w:p>
      <w:pPr>
        <w:spacing w:after="0" w:line="165"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We expect our primary liquidity requirements during that period to include approximately $350,000 for legal, accounting, due diligence, travel and other expenses in connection with any business combinations; $150,000 for legal and accounting fees related to regulatory reporting obligations; $100,000 for consulting, travel and miscellaneous expenses incurred during the search for an initial business combination target; $55,000 for Nasdaq continued listing fees; and $105,000 for general working capital that will be used for miscellaneous expenses and reserves. We will also reimburse our sponsor for office space, secretarial and administrative services provided to us in the amount of $10,000 per month ($240,000 in the aggregate).</w:t>
      </w:r>
    </w:p>
    <w:p>
      <w:pPr>
        <w:spacing w:after="0" w:line="164"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These amounts are estimates and may differ materially from our actual expenses. In addition, we could use a portion of the funds not being placed in trust to pay commitment fees for financing, fees to consultants to assist us with our search for a target business or as a down payment or to fund a “no-shop” provision (a provision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an agreement where we paid for the right to receive exclusivity from a target business, the amount that would be used as a down payment or to fund a “no-shop” provision would be determined based on the terms of the specific business combination and the amount of our available funds at the time. Our forfeiture of such funds (whether as a result of our breach or otherwise) could result in our not having sufficient funds to continue searching for, or conducting due diligence with respect to, prospective target businesses.</w:t>
      </w:r>
    </w:p>
    <w:p>
      <w:pPr>
        <w:spacing w:after="0" w:line="154"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Moreover, we may need to obtain additional financing to complete our initial business combination, either because the transaction requires more cash than is available from the proceeds held in our trust account, or because we become obligated to redeem a significant number of our public shares upon completion of the business combination, in which case we may issue additional securities or incur debt in connection with such business combination. If we have not consummated our initial business combination within 24 months from the closing of this offering because we do not have sufficient funds available to us, we will be forced to cease operations and liquidate the trust account.</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Controls and Procedures</w:t>
      </w:r>
    </w:p>
    <w:p>
      <w:pPr>
        <w:spacing w:after="0" w:line="176"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We are not currently required to maintain an effective system of internal controls as defined by Section 404 of the Sarbanes-Oxley Act. We will be required to comply with the internal control requirements of the Sarbanes-Oxley Act for the fiscal year ending December 31, 2021. Only in the event that we are deemed to be a large accelerated filer or an accelerated filer and no longer qualify as an emerging growth company would we be required to comply with the independent registered public accounting firm attestation requirement on internal control over financial reporting. Further,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Prior to the closing of this offering, we have not completed an assessment, nor have our auditors tested our systems, of our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Many small and mid-sized target businesses we may consider for our initial business combination may have internal controls that need improvement in areas such as:</w:t>
      </w:r>
    </w:p>
    <w:p>
      <w:pPr>
        <w:spacing w:after="0" w:line="97" w:lineRule="exact"/>
        <w:rPr>
          <w:sz w:val="20"/>
          <w:szCs w:val="20"/>
          <w:color w:val="auto"/>
        </w:rPr>
      </w:pPr>
    </w:p>
    <w:p>
      <w:pPr>
        <w:ind w:left="580" w:right="1460"/>
        <w:spacing w:after="0" w:line="364" w:lineRule="auto"/>
        <w:rPr>
          <w:sz w:val="20"/>
          <w:szCs w:val="20"/>
          <w:color w:val="auto"/>
        </w:rPr>
      </w:pPr>
      <w:r>
        <w:rPr>
          <w:rFonts w:ascii="Arial" w:cs="Arial" w:eastAsia="Arial" w:hAnsi="Arial"/>
          <w:sz w:val="17"/>
          <w:szCs w:val="17"/>
          <w:color w:val="auto"/>
        </w:rPr>
        <w:t>staffing for financial, accounting and external reporting areas, including segregation of duties; reconciliation of accounts;</w:t>
      </w:r>
    </w:p>
    <w:p>
      <w:pPr>
        <w:spacing w:after="0" w:line="1" w:lineRule="exact"/>
        <w:rPr>
          <w:sz w:val="20"/>
          <w:szCs w:val="20"/>
          <w:color w:val="auto"/>
        </w:rPr>
      </w:pPr>
    </w:p>
    <w:p>
      <w:pPr>
        <w:ind w:left="580" w:right="2680"/>
        <w:spacing w:after="0" w:line="364" w:lineRule="auto"/>
        <w:rPr>
          <w:sz w:val="20"/>
          <w:szCs w:val="20"/>
          <w:color w:val="auto"/>
        </w:rPr>
      </w:pPr>
      <w:r>
        <w:rPr>
          <w:rFonts w:ascii="Arial" w:cs="Arial" w:eastAsia="Arial" w:hAnsi="Arial"/>
          <w:sz w:val="17"/>
          <w:szCs w:val="17"/>
          <w:color w:val="auto"/>
        </w:rPr>
        <w:t>proper recording of expenses and liabilities in the period to which they relate; evidence of internal review and approval of accounting transactions;</w:t>
      </w:r>
    </w:p>
    <w:p>
      <w:pPr>
        <w:spacing w:after="0" w:line="1" w:lineRule="exact"/>
        <w:rPr>
          <w:sz w:val="20"/>
          <w:szCs w:val="20"/>
          <w:color w:val="auto"/>
        </w:rPr>
      </w:pPr>
    </w:p>
    <w:p>
      <w:pPr>
        <w:ind w:left="580" w:right="1220"/>
        <w:spacing w:after="0" w:line="375" w:lineRule="auto"/>
        <w:rPr>
          <w:sz w:val="20"/>
          <w:szCs w:val="20"/>
          <w:color w:val="auto"/>
        </w:rPr>
      </w:pPr>
      <w:r>
        <w:rPr>
          <w:rFonts w:ascii="Arial" w:cs="Arial" w:eastAsia="Arial" w:hAnsi="Arial"/>
          <w:sz w:val="17"/>
          <w:szCs w:val="17"/>
          <w:color w:val="auto"/>
        </w:rPr>
        <w:t>documentation of processes, assumptions and conclusions underlying significant estimates; and documentation of accounting policies and procedures.</w:t>
      </w:r>
    </w:p>
    <w:p>
      <w:pPr>
        <w:spacing w:after="0" w:line="5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expenses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63" w:lineRule="exact"/>
        <w:rPr>
          <w:sz w:val="20"/>
          <w:szCs w:val="20"/>
          <w:color w:val="auto"/>
        </w:rPr>
      </w:pPr>
    </w:p>
    <w:p>
      <w:pPr>
        <w:ind w:right="220"/>
        <w:spacing w:after="0" w:line="236" w:lineRule="auto"/>
        <w:rPr>
          <w:sz w:val="20"/>
          <w:szCs w:val="20"/>
          <w:color w:val="auto"/>
        </w:rPr>
      </w:pPr>
      <w:r>
        <w:rPr>
          <w:rFonts w:ascii="Arial" w:cs="Arial" w:eastAsia="Arial" w:hAnsi="Arial"/>
          <w:sz w:val="17"/>
          <w:szCs w:val="17"/>
          <w:color w:val="auto"/>
        </w:rPr>
        <w:t>Once our management’s report on internal controls is complete, we will retain our independent auditors to audit and render an opinion on such report when required by Section 404 of the Sarbanes-Oxley Act. The independent auditors may identify additional issues concerning a target business’s internal controls while performing their audit of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Quantitative and Qualitative Disclosures about Market Risk</w:t>
      </w:r>
    </w:p>
    <w:p>
      <w:pPr>
        <w:spacing w:after="0" w:line="189"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The net proceeds of this offering and the sale of the private placement shares held in the trust account will be invested in U.S. government treasury obligations with a maturity of 185 days or less or in money market funds meeting certain conditions under Rule 2a-7 under the Investment Company Act which invest only in direct U.S. government treasury obligations. Due to the short-term nature of these investments, we believe there will be no associated material exposure to interest rate risk.</w:t>
      </w:r>
    </w:p>
    <w:p>
      <w:pPr>
        <w:spacing w:after="0" w:line="224" w:lineRule="exact"/>
        <w:rPr>
          <w:sz w:val="20"/>
          <w:szCs w:val="20"/>
          <w:color w:val="auto"/>
        </w:rPr>
      </w:pPr>
    </w:p>
    <w:p>
      <w:pPr>
        <w:ind w:right="1080"/>
        <w:spacing w:after="0" w:line="352" w:lineRule="auto"/>
        <w:rPr>
          <w:sz w:val="20"/>
          <w:szCs w:val="20"/>
          <w:color w:val="auto"/>
        </w:rPr>
      </w:pPr>
      <w:r>
        <w:rPr>
          <w:rFonts w:ascii="Arial" w:cs="Arial" w:eastAsia="Arial" w:hAnsi="Arial"/>
          <w:sz w:val="17"/>
          <w:szCs w:val="17"/>
          <w:b w:val="1"/>
          <w:bCs w:val="1"/>
          <w:color w:val="auto"/>
        </w:rPr>
        <w:t xml:space="preserve">Off-Balance Sheet Arrangements; Commitments and Contractual Obligations; Quarterly Results </w:t>
      </w:r>
      <w:r>
        <w:rPr>
          <w:rFonts w:ascii="Arial" w:cs="Arial" w:eastAsia="Arial" w:hAnsi="Arial"/>
          <w:sz w:val="17"/>
          <w:szCs w:val="17"/>
          <w:color w:val="auto"/>
        </w:rPr>
        <w:t>As of April 2, 2020, we did not have any off-balance sheet arrangements as defined in Item 303(a)(4)(ii) of</w:t>
      </w:r>
    </w:p>
    <w:p>
      <w:pPr>
        <w:ind w:right="140"/>
        <w:spacing w:after="0" w:line="243" w:lineRule="auto"/>
        <w:rPr>
          <w:sz w:val="20"/>
          <w:szCs w:val="20"/>
          <w:color w:val="auto"/>
        </w:rPr>
      </w:pPr>
      <w:r>
        <w:rPr>
          <w:rFonts w:ascii="Arial" w:cs="Arial" w:eastAsia="Arial" w:hAnsi="Arial"/>
          <w:sz w:val="17"/>
          <w:szCs w:val="17"/>
          <w:color w:val="auto"/>
        </w:rPr>
        <w:t>Regulation S-K and did not have any commitments or contractual obligations. No unaudited quarterly operating data is included in this prospectus as we have not conducted any operations to date.</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JOBS Act</w:t>
      </w:r>
    </w:p>
    <w:p>
      <w:pPr>
        <w:spacing w:after="0" w:line="189"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51"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report on our system of internal controls over financial reporting pursuant to Section 404 of the Sarbanes-Oxley Act,</w:t>
      </w:r>
    </w:p>
    <w:p>
      <w:pPr>
        <w:ind w:firstLine="8"/>
        <w:spacing w:after="0" w:line="234" w:lineRule="auto"/>
        <w:tabs>
          <w:tab w:leader="none" w:pos="237"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chief executive officer’s compensation to median employee compensation. These exemptions will apply for a period of five years following the completion of our initial public offering or until we are no longer an “emerging growth company,” whichever is earlier.</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PROPOSED BUSINESS</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Introduction</w:t>
      </w:r>
    </w:p>
    <w:p>
      <w:pPr>
        <w:spacing w:after="0" w:line="176"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are a newly organized blank check company incorporated in March 27, 2020 as a Cayman Islands exempted company formed for the purpose of effecting a merger, share exchange, asset acquisition, share purchase, reorganization or similar business combination with one or more businesses, which we refer to throughout this prospectus as our initial business combination. To date, our efforts have been limited to organizational activities as well as activities related to this offering. We have not selected any specific business combination target and we have not, nor has anyone on our behalf, initiated any substantive discussions, directly or indirectly, with any business combination target. We have generated no operating revenues to date and we do not expect that we will generate operating revenues until we consummate our initial business combination.</w:t>
      </w:r>
    </w:p>
    <w:p>
      <w:pPr>
        <w:spacing w:after="0" w:line="163" w:lineRule="exact"/>
        <w:rPr>
          <w:sz w:val="20"/>
          <w:szCs w:val="20"/>
          <w:color w:val="auto"/>
        </w:rPr>
      </w:pPr>
    </w:p>
    <w:p>
      <w:pPr>
        <w:ind w:right="100"/>
        <w:spacing w:after="0" w:line="232" w:lineRule="auto"/>
        <w:rPr>
          <w:sz w:val="20"/>
          <w:szCs w:val="20"/>
          <w:color w:val="auto"/>
        </w:rPr>
      </w:pPr>
      <w:r>
        <w:rPr>
          <w:rFonts w:ascii="Arial" w:cs="Arial" w:eastAsia="Arial" w:hAnsi="Arial"/>
          <w:sz w:val="17"/>
          <w:szCs w:val="17"/>
          <w:color w:val="auto"/>
        </w:rPr>
        <w:t>While we may pursue an acquisition opportunity in any business, industry, sector or geographical location, we intend to focus on industries that complement our management team’s background, and to capitalize on the ability of our management team to identify and acquire a business, focusing on the healthcare or healthcare related industries.</w:t>
      </w:r>
    </w:p>
    <w:p>
      <w:pPr>
        <w:ind w:right="100"/>
        <w:spacing w:after="0" w:line="236" w:lineRule="auto"/>
        <w:rPr>
          <w:sz w:val="20"/>
          <w:szCs w:val="20"/>
          <w:color w:val="auto"/>
        </w:rPr>
      </w:pPr>
      <w:r>
        <w:rPr>
          <w:rFonts w:ascii="Arial" w:cs="Arial" w:eastAsia="Arial" w:hAnsi="Arial"/>
          <w:sz w:val="17"/>
          <w:szCs w:val="17"/>
          <w:color w:val="auto"/>
        </w:rPr>
        <w:t>In particular, we will target North American or European companies in the life sciences and medical technology sectors where our management has extensive investment experience. We may pursue a transaction in which our shareholders immediately prior to the completion of our initial business combination would collectively own a minority interest in the post-business combination company.</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Founders</w:t>
      </w:r>
    </w:p>
    <w:p>
      <w:pPr>
        <w:spacing w:after="0" w:line="189"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Our sponsor is an affiliate of Perceptive Advisors, a leading life sciences focused investment firm with over $7 billion of regulatory assets under management as of December 31, 2019. Since its launch in 1999, Perceptive Advisors has focused exclusively on the healthcare industry. Our founders are the founder and management of Perceptive Advisors. Joseph Edelman, our Chairman, founded Perceptive Advisors in 1999. Adam Stone, our Chief Executive Officer, is the Chief Investment Officer of Perceptive Advisors, Michael Altman, our Chief Financial Officer, is a Managing Director at Perceptive Advisors and Konstantin Poukalov, our Chief Business Officer, is a Managing Director at Perceptive Advisors. Perceptive Advisors’ investment activity is focused on identifying both private and public companies in the life sciences and medical technology sectors and currently has investments in over 150 companies. The team at Perceptive Advisors consists of trained scientists, physicians and financial analysts who are passionately committed to identifying innovation that can drive critical change to current treatment paradigms. Perceptive Advisors invests across the capital structure and throughout a company’s growth cycle which provides access to a broad universe of management teams and companies seeking flexible capital solutions. Perceptive Advisors is also an active investor in pre-IPO financing rounds known as “crossovers.” Perceptive Advisors has invested in over 75 private companies since 2013 and in 2019 met with over 200 private companies in evaluation of private growth financing rounds, crossovers, and pre-IPO analysis. We have not selected any business combination target and we have not, nor has anyone on our behalf, initiated any substantive discussions, directly or indirectly, with any business combination target.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Board of Directors and Management</w:t>
      </w:r>
    </w:p>
    <w:p>
      <w:pPr>
        <w:spacing w:after="0" w:line="189"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Joseph Edelman serves as the Chairman of our board of directors. Mr. Edelman is Founder, Chief Executive Officer and Portfolio Manager of Perceptive Advisors. He has also served as Chairman of the board of directors of ARYA Sciences Acquisition Corp II (Nasdaq: ARYB) since June 2020. Prior to founding Perceptive Advisors, Mr. Edelman was a Senior Analyst at Aries Fund, a Paramount Capital Asset Management biotechnology hedge fund, from 1994 through 1998. Prior to that position, Mr. Edelman was a Senior Biotechnology Analyst at Prudential Securities from 1990 to 1994. Mr. Edelman started his career in the healthcare sector of the securities industry as a Biotechnology Analyst at Labe, Simpson from 1987 to 1990. Mr. Edelman earned an MBA from New York University and a BA, magna cum laude, in psychology from the University of California San Diego.</w:t>
      </w:r>
    </w:p>
    <w:p>
      <w:pPr>
        <w:spacing w:after="0" w:line="163"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Adam Stone, our Chief Executive Officer, joined Perceptive Advisors in 2006 and has acted as Chief Investment Officer since 2012 and is a member of the internal investment committees of Perceptive Advisors’ credit opportunities and venture funds. Mr. Stone currently also serves on the boards of directors of ARYA Sciences Acquisition Corp II (Nasdaq: ARYB) as well as Solid Biosciences (Nasdaq: SLDB), Renovia, and Xontogeny, which are portfolio companies of</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Perceptive Advisors. Following the consummation of the business combination of ARYA Sciences Acquisition Corp. with Immatics Biotechnologies GmbH in July 2020, Mr. Stone also serves on the supervisory board of Immatics N.V. (Nasdaq: IMTX). Prior to joining Perceptive Advisors, Mr. Stone was a Senior Analyst at Ursus Capital from 2001 to 2006 where he focused on biotechnology and specialty pharmaceuticals. Mr. Stone graduated, with honors, from Princeton University with a BA in molecular biology.</w:t>
      </w:r>
    </w:p>
    <w:p>
      <w:pPr>
        <w:spacing w:after="0" w:line="163"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Michael Altman, CFA, our Chief Financial Officer, joined Perceptive Advisors in 2007, is a Managing Director on the investment team and is a member of the internal investment committee of Perceptive Advisors’ credit opportunities fund. Mr. Altman’s focus is on medical devices, diagnostics, digital health and specialty pharmaceuticals. Mr. Altman also serves on the boards of directors of Vitruvius Therapeutics and Lyra Therapeutics (Nasdaq: LYRA), which are portfolio companies of Perceptive Advisors. Mr. Altman also serves on the board of ARYA Sciences Acquisition Corp II (Nasdaq: ARYB). Prior to joining Perceptive Advisors, Mr. Altman was a trader and analyst at First New York Securities from 2005 to 2007. Mr. Altman graduated from the University of Vermont with a BS in Business Administration.</w:t>
      </w:r>
    </w:p>
    <w:p>
      <w:pPr>
        <w:spacing w:after="0" w:line="164" w:lineRule="exact"/>
        <w:rPr>
          <w:sz w:val="20"/>
          <w:szCs w:val="20"/>
          <w:color w:val="auto"/>
        </w:rPr>
      </w:pPr>
    </w:p>
    <w:p>
      <w:pPr>
        <w:ind w:right="220"/>
        <w:spacing w:after="0" w:line="233" w:lineRule="auto"/>
        <w:rPr>
          <w:sz w:val="20"/>
          <w:szCs w:val="20"/>
          <w:color w:val="auto"/>
        </w:rPr>
      </w:pPr>
      <w:r>
        <w:rPr>
          <w:rFonts w:ascii="Arial" w:cs="Arial" w:eastAsia="Arial" w:hAnsi="Arial"/>
          <w:sz w:val="17"/>
          <w:szCs w:val="17"/>
          <w:color w:val="auto"/>
        </w:rPr>
        <w:t>Konstantin Poukalov, our Chief Business Officer, joined Perceptive Advisors in 2019 and is a Managing Director at Perceptive Advisors focused on various strategies across the Perceptive platforms. Mr. Poukalov also serves as the Chief Business Officer of ARYA Sciences Acquisition Corp II (Nasdaq: ARYB) and on the boards of directors of Lyra Therapeutics (Nasdaq: LYRA), Landos Biopharma, Inc. and LianBio, which are portfolio companies of Perceptive Advisors. Prior to joining Perceptive, Mr. Poukalov served as Executive Vice President and Chief Financial Officer of Kadmon Holdings (NYSE: KDMN) from 2014 to 2018. From 2012 to 2014, Mr. Poukalov served as Kadmon's Vice President, Strategic Operations. Prior to joining Kadmon, Mr. Poukalov was a member of the healthcare investment banking group at Jefferies LLC from 2009 to 2012, focusing on companies across the life sciences and biotechnology sectors. Prior to Jefferies, Mr. Poukalov was a member of UBS Investment Bank, focusing on the healthcare industry, from 2006 to 2009. Mr. Poukalov graduated from Stony Brook University with a Bachelor of Engineering in Electrical Engineering.</w:t>
      </w:r>
    </w:p>
    <w:p>
      <w:pPr>
        <w:spacing w:after="0" w:line="154" w:lineRule="exact"/>
        <w:rPr>
          <w:sz w:val="20"/>
          <w:szCs w:val="20"/>
          <w:color w:val="auto"/>
        </w:rPr>
      </w:pPr>
    </w:p>
    <w:p>
      <w:pPr>
        <w:ind w:right="240"/>
        <w:spacing w:after="0" w:line="238" w:lineRule="auto"/>
        <w:rPr>
          <w:sz w:val="20"/>
          <w:szCs w:val="20"/>
          <w:color w:val="auto"/>
        </w:rPr>
      </w:pPr>
      <w:r>
        <w:rPr>
          <w:rFonts w:ascii="Arial" w:cs="Arial" w:eastAsia="Arial" w:hAnsi="Arial"/>
          <w:sz w:val="17"/>
          <w:szCs w:val="17"/>
          <w:color w:val="auto"/>
        </w:rPr>
        <w:t>We believe our management team is well positioned to take advantage of the growing set of investment opportunities focused on the healthcare industry and that our contacts and relationships will allow us to generate an attractive transaction for our shareholders.</w:t>
      </w:r>
    </w:p>
    <w:p>
      <w:pPr>
        <w:spacing w:after="0" w:line="161"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Dr. Todd Wider has agreed to serve on our board of directors. Dr. Wider is an active, honorary member of the medical staff of Mount Sinai Hospital in New York, where he worked for over 20 years, and is a plastic and reconstructive surgeon who focused on cancer surgery. Dr. Wider has served on the board of directors of Abeona Therapeutics Inc. (Nasdaq: ABEO) since May 2015 and ARYA Sciences Acquisition CorpII (Nasdaq: ARYB) since June 2020. Dr. Wider also is the Executive Chairman of Emendo Biotherapeutics, which focuses on highly specific and differentiated gene editing. Dr. Wider previously consulted with a number of entities in the biotechnology space. Dr. Wider received an MD from Columbia College of Physicians and Surgeons, where he was Rudin Fellow, and an AB, with high honors and Phi Beta Kappa, from Princeton University. He did his residency in general surgery and plastic and reconstructive surgery at Columbia Presbyterian Medical Center, and postdoctoral fellowships in complex reconstructive surgery at Memorial Sloan Kettering Cancer Center, where he was Chief Microsurgery Fellow, and in craniofacial surgery at the University of Miami. Dr. Wider is also a principal in Wider Film Projects, a documentary film company focusing on producing films with sociopolitical resonance.</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Experience with Special Purpose Acquisition Vehicles</w:t>
      </w:r>
    </w:p>
    <w:p>
      <w:pPr>
        <w:spacing w:after="0" w:line="189" w:lineRule="exact"/>
        <w:rPr>
          <w:sz w:val="20"/>
          <w:szCs w:val="20"/>
          <w:color w:val="auto"/>
        </w:rPr>
      </w:pPr>
    </w:p>
    <w:p>
      <w:pPr>
        <w:ind w:right="300"/>
        <w:spacing w:after="0" w:line="235" w:lineRule="auto"/>
        <w:rPr>
          <w:sz w:val="20"/>
          <w:szCs w:val="20"/>
          <w:color w:val="auto"/>
        </w:rPr>
      </w:pPr>
      <w:r>
        <w:rPr>
          <w:rFonts w:ascii="Arial" w:cs="Arial" w:eastAsia="Arial" w:hAnsi="Arial"/>
          <w:sz w:val="17"/>
          <w:szCs w:val="17"/>
          <w:color w:val="auto"/>
        </w:rPr>
        <w:t>Our management team has previous experience in the execution of public acquisition vehicles. In July 2020, ARYA Sciences Acquisition Corp. consummated its initial business combination with Immatics Biotechnologies GmbH (“Immatics”). The ordinary shares of the combined company, Immatics N.V., are traded on Nasdaq under the symbol “IMTX.” Mr. Stone continues to serve on the supervisory board of Immatics N.V. following the consummation of the business combination.</w:t>
      </w:r>
    </w:p>
    <w:p>
      <w:pPr>
        <w:spacing w:after="0" w:line="163" w:lineRule="exact"/>
        <w:rPr>
          <w:sz w:val="20"/>
          <w:szCs w:val="20"/>
          <w:color w:val="auto"/>
        </w:rPr>
      </w:pPr>
    </w:p>
    <w:p>
      <w:pPr>
        <w:ind w:right="180"/>
        <w:spacing w:after="0" w:line="235" w:lineRule="auto"/>
        <w:rPr>
          <w:sz w:val="20"/>
          <w:szCs w:val="20"/>
          <w:color w:val="auto"/>
        </w:rPr>
      </w:pPr>
      <w:r>
        <w:rPr>
          <w:rFonts w:ascii="Arial" w:cs="Arial" w:eastAsia="Arial" w:hAnsi="Arial"/>
          <w:sz w:val="17"/>
          <w:szCs w:val="17"/>
          <w:color w:val="auto"/>
        </w:rPr>
        <w:t>Further, Mr. Edelman is the Chairman of the board of directors of ARYA Sciences Acquisition Corp II, Mr. Stone is the Chief Executive Officer of ARYA Sciences Acquisition Corp II, Mr. Altman is the Chief Financial Officer of ARYA Sciences Acquisition Corp II and Mr. Poukalov is the Chief Business Officer of ARYA Sciences Acquisition Corp II. ARYA Sciences Acquisition Corp II is a special purpose acquisition company formed for substantially similar purposes as our company.</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jc w:val="both"/>
        <w:ind w:right="40"/>
        <w:spacing w:after="0" w:line="235" w:lineRule="auto"/>
        <w:rPr>
          <w:sz w:val="20"/>
          <w:szCs w:val="20"/>
          <w:color w:val="auto"/>
        </w:rPr>
      </w:pPr>
      <w:r>
        <w:rPr>
          <w:rFonts w:ascii="Arial" w:cs="Arial" w:eastAsia="Arial" w:hAnsi="Arial"/>
          <w:sz w:val="17"/>
          <w:szCs w:val="17"/>
          <w:color w:val="auto"/>
        </w:rPr>
        <w:t>Our founders and our directors and officers, Perceptive Advisors, or its affiliates expect in the future to become affiliated with other public special public acquisition companies that may have acquisition objectives that are similar to ours. See “Risk Factors—Our officers and directors presently have, and any of them in the future may have additional, fiduciary or contractual obligations to other entities, including another blank check company, and, accordingly, may have conflicts of interest in determining to which entity a particular business opportunity should be presented.”</w:t>
      </w:r>
    </w:p>
    <w:p>
      <w:pPr>
        <w:spacing w:after="0" w:line="16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past performance of the members of our management team, or their affiliates, including ARYA Sciences Acquisition Corp. and Perceptive Advisors, is not a guarantee that we will be able to identify a suitable candidate for our initial business combination or of success with respect to any business combination we may consummate. You should not rely on the historical record or the performance of our management team, Perceptive Advisors or any of their affiliates’ or managed fund’s performance as indicative of our future performance.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Industry Opportunity</w:t>
      </w:r>
    </w:p>
    <w:p>
      <w:pPr>
        <w:spacing w:after="0" w:line="189" w:lineRule="exact"/>
        <w:rPr>
          <w:sz w:val="20"/>
          <w:szCs w:val="20"/>
          <w:color w:val="auto"/>
        </w:rPr>
      </w:pPr>
    </w:p>
    <w:p>
      <w:pPr>
        <w:ind w:right="200"/>
        <w:spacing w:after="0" w:line="234" w:lineRule="auto"/>
        <w:rPr>
          <w:sz w:val="20"/>
          <w:szCs w:val="20"/>
          <w:color w:val="auto"/>
        </w:rPr>
      </w:pPr>
      <w:r>
        <w:rPr>
          <w:rFonts w:ascii="Arial" w:cs="Arial" w:eastAsia="Arial" w:hAnsi="Arial"/>
          <w:sz w:val="17"/>
          <w:szCs w:val="17"/>
          <w:color w:val="auto"/>
        </w:rPr>
        <w:t>While we may acquire a business in any industry, our focus will be on the healthcare industry in the United States and other developed countries. We believe the healthcare industry, particularly the life sciences and medical technology sectors, represents an enormous and growing target market with a large number of potential target acquisition opportunities. In 2018, total U.S. national health expenditures exceeded $3.6 trillion, and the Center for Medicare and Medicaid Services estimated that total healthcare spending accounted for approximately 18% of total U.S. Gross Domestic Product. According to IBISWorld, in February 2020, the global biotechnology market is expected to grow almost 2.9% to over $294 million in revenue in 2020.</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Current Life Sciences IPO Market</w:t>
      </w:r>
    </w:p>
    <w:p>
      <w:pPr>
        <w:spacing w:after="0" w:line="189" w:lineRule="exact"/>
        <w:rPr>
          <w:sz w:val="20"/>
          <w:szCs w:val="20"/>
          <w:color w:val="auto"/>
        </w:rPr>
      </w:pPr>
    </w:p>
    <w:p>
      <w:pPr>
        <w:ind w:right="260"/>
        <w:spacing w:after="0" w:line="236" w:lineRule="auto"/>
        <w:rPr>
          <w:sz w:val="20"/>
          <w:szCs w:val="20"/>
          <w:color w:val="auto"/>
        </w:rPr>
      </w:pPr>
      <w:r>
        <w:rPr>
          <w:rFonts w:ascii="Arial" w:cs="Arial" w:eastAsia="Arial" w:hAnsi="Arial"/>
          <w:sz w:val="17"/>
          <w:szCs w:val="17"/>
          <w:color w:val="auto"/>
        </w:rPr>
        <w:t>We believe that current dynamics in the life sciences and medical technology IPO market may enhance our ability to locate an attractive target. Over 200 life sciences and medical technology companies have gone public since 2016 in the United States. Despite the current level of IPO activity, according to IBISWorld, in February 2020 there were estimated to be approximately 9,500 biotechnology companies globally, only a fraction of which are publicly traded.</w:t>
      </w:r>
    </w:p>
    <w:p>
      <w:pPr>
        <w:spacing w:after="0" w:line="163" w:lineRule="exact"/>
        <w:rPr>
          <w:sz w:val="20"/>
          <w:szCs w:val="20"/>
          <w:color w:val="auto"/>
        </w:rPr>
      </w:pPr>
    </w:p>
    <w:p>
      <w:pPr>
        <w:ind w:right="260"/>
        <w:spacing w:after="0" w:line="235" w:lineRule="auto"/>
        <w:rPr>
          <w:sz w:val="20"/>
          <w:szCs w:val="20"/>
          <w:color w:val="auto"/>
        </w:rPr>
      </w:pPr>
      <w:r>
        <w:rPr>
          <w:rFonts w:ascii="Arial" w:cs="Arial" w:eastAsia="Arial" w:hAnsi="Arial"/>
          <w:sz w:val="17"/>
          <w:szCs w:val="17"/>
          <w:color w:val="auto"/>
        </w:rPr>
        <w:t>We also believe that the process for life sciences and medical technology IPO demand generation often produces offerings that are significantly oversubscribed but where a majority of the offering is allocated to the top ten investors, some of whom may be existing investors in these companies or are industry specialists. As a result, we believe that there may be numerous investors who have not been able to receive meaningful, or any, allocations in recent life sciences and medical technology IPOs who may be interested in a potential target opportunity that we identify.</w:t>
      </w:r>
    </w:p>
    <w:p>
      <w:pPr>
        <w:spacing w:after="0" w:line="150"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We believe that life sciences and medical technology companies, at a certain stage in their development, will see material benefits from being publicly-traded, including greater access to capital, more liquid securities and increased customer awareness. An acquisition by a special purpose acquisition company with a management team that is well-known to, and respected by, life sciences founders, their current third-party investors and their management teams, we believe, can provide a more transparent and efficient mechanism to bring a private healthcare company to the public markets.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 Strategy</w:t>
      </w:r>
    </w:p>
    <w:p>
      <w:pPr>
        <w:spacing w:after="0" w:line="176"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We believe our management team is well positioned to identify unique opportunities in our target sectors. Our selection process will leverage our relationships with leading venture capitalists and growth equity funds, executives of private and public companies, as well as leading investment banking firms, which we believe should provide us with a key competitive advantage in sourcing potential business combination targets. Given our profile and dedicated industry approach, we anticipate that target business candidates may be brought to our attention from various unaffiliated sources, and in particular investors in other private and public companies in our networks. We also believe that Perceptive Advisors’ reputation, experience and track record of making investments in the healthcare space will make us a preferred partner for these potential targets.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Consistent with our strategy, we have identified the following criteria to evaluate prospective target businesses. We may however, decide to enter into our initial business combination with a target business that does not meet these criteria. We intend to seek to acquire companies that we believe:</w:t>
      </w:r>
    </w:p>
    <w:p>
      <w:pPr>
        <w:spacing w:after="0" w:line="93" w:lineRule="exact"/>
        <w:rPr>
          <w:sz w:val="20"/>
          <w:szCs w:val="20"/>
          <w:color w:val="auto"/>
        </w:rPr>
      </w:pPr>
    </w:p>
    <w:p>
      <w:pPr>
        <w:ind w:left="580" w:right="20"/>
        <w:spacing w:after="0" w:line="243" w:lineRule="auto"/>
        <w:rPr>
          <w:sz w:val="20"/>
          <w:szCs w:val="20"/>
          <w:color w:val="auto"/>
        </w:rPr>
      </w:pPr>
      <w:r>
        <w:rPr>
          <w:rFonts w:ascii="Arial" w:cs="Arial" w:eastAsia="Arial" w:hAnsi="Arial"/>
          <w:sz w:val="17"/>
          <w:szCs w:val="17"/>
          <w:color w:val="auto"/>
        </w:rPr>
        <w:t>have a scientific or other competitive advantage in the markets in which they operate and which can benefit from access to additional capital as well as our industry relationships and expertise;</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are ready to be public, with strong management, corporate governance and reporting policies in place;</w:t>
      </w:r>
    </w:p>
    <w:p>
      <w:pPr>
        <w:spacing w:after="0" w:line="102" w:lineRule="exact"/>
        <w:rPr>
          <w:sz w:val="20"/>
          <w:szCs w:val="20"/>
          <w:color w:val="auto"/>
        </w:rPr>
      </w:pPr>
    </w:p>
    <w:p>
      <w:pPr>
        <w:ind w:left="580" w:right="600"/>
        <w:spacing w:after="0" w:line="243" w:lineRule="auto"/>
        <w:rPr>
          <w:sz w:val="20"/>
          <w:szCs w:val="20"/>
          <w:color w:val="auto"/>
        </w:rPr>
      </w:pPr>
      <w:r>
        <w:rPr>
          <w:rFonts w:ascii="Arial" w:cs="Arial" w:eastAsia="Arial" w:hAnsi="Arial"/>
          <w:sz w:val="17"/>
          <w:szCs w:val="17"/>
          <w:color w:val="auto"/>
        </w:rPr>
        <w:t>will likely be well received by public investors and are expected to have good access to the public capital markets;</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have significant embedded and/or underexploited growth opportunities;</w:t>
      </w:r>
    </w:p>
    <w:p>
      <w:pPr>
        <w:spacing w:after="0" w:line="102" w:lineRule="exact"/>
        <w:rPr>
          <w:sz w:val="20"/>
          <w:szCs w:val="20"/>
          <w:color w:val="auto"/>
        </w:rPr>
      </w:pPr>
    </w:p>
    <w:p>
      <w:pPr>
        <w:ind w:left="580"/>
        <w:spacing w:after="0" w:line="243" w:lineRule="auto"/>
        <w:rPr>
          <w:sz w:val="20"/>
          <w:szCs w:val="20"/>
          <w:color w:val="auto"/>
        </w:rPr>
      </w:pPr>
      <w:r>
        <w:rPr>
          <w:rFonts w:ascii="Arial" w:cs="Arial" w:eastAsia="Arial" w:hAnsi="Arial"/>
          <w:sz w:val="17"/>
          <w:szCs w:val="17"/>
          <w:color w:val="auto"/>
        </w:rPr>
        <w:t>exhibit unrecognized value or other characteristics that we believe have been misevaluated by the market based on our rigorous analysis and scientific and business due diligence review; and</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will offer attractive risk-adjusted equity returns for our shareholders.</w:t>
      </w:r>
    </w:p>
    <w:p>
      <w:pPr>
        <w:spacing w:after="0" w:line="169"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We intend to focus on target businesses with valuations of $300 to $500 million or more and that have the potential to be $1 billion or more market capitalization companies. We may use other criteria as well. Any evaluation relating to the merits of a particular initial business combination may be based on these general criteria as well as other considerations, factors and criteria that our management may deem relevant.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Initial Business Combination</w:t>
      </w:r>
    </w:p>
    <w:p>
      <w:pPr>
        <w:spacing w:after="0" w:line="189"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Our initial business combination must occur with one or more target businesses that together have an aggregate fair market value of at least 80% of the net assets held in the trust account (excluding the amount of deferred underwriting discounts held in trust and taxes payable on the interest earned on the trust account) at the time of signing the agreement to enter into the initial business combination. If our board of directors is not able to independently determine the fair market value of the target business or businesses or we are considering an initial business combination with an affiliated entity, we will obtain an opinion from an independent investment banking firm which is a member of FINRA, or an independent valuation or accounting firm with respect to the satisfaction of such criteria. Our shareholders may not be provided with a copy of such opinion nor will they be able to rely on such opinion. While we consider it unlikely that our board will not be able to make an independent determination of the fair market value of a target business or businesses, it may be unable to do so if the board is less familiar or experienced with the target company’s business, there is a significant amount of uncertainty as to the value of the company’s assets or prospects, including if such company is at an early stage of development, operations or growth, or if the anticipated transaction involves a complex financial analysis or other specialized skills and the board determines that outside expertise would be helpful or necessary in conducting such analysis. Since any opinion, if obtained, would merely state that the fair market value of the target business meets the 80% of net assets threshold, unless such opinion includes material information regarding the valuation of a target business or the consideration to be provided, it is not anticipated that copies of such opinion would be distributed to our shareholders. However, if required under applicable law, any proxy statement that we deliver to shareholders and file with the SEC in connection with a proposed transaction will include such opinion.</w:t>
      </w:r>
    </w:p>
    <w:p>
      <w:pPr>
        <w:spacing w:after="0" w:line="162"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We anticipate structuring our initial business combination so that the post-business combination company in which our public shareholders own shares will own or acquire 100% of the equity interests or assets of the target business or businesses. We may, however, structure our initial business combination such that the post-business combination company owns or acquires less than 100% of such interests or assets of the target business in order to meet certain objectives of the target management team or shareholders or for other reasons, but we will only complete such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Even if the post-business combination company owns or acquires 50% or more of the voting securities of the target, our shareholders prior to the business combination may collectively own a minority interest in the post-business combination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77" w:name="page78"/>
    <w:bookmarkEnd w:id="7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59"/>
        <w:spacing w:after="0" w:line="234" w:lineRule="auto"/>
        <w:rPr>
          <w:sz w:val="20"/>
          <w:szCs w:val="20"/>
          <w:color w:val="auto"/>
        </w:rPr>
      </w:pPr>
      <w:r>
        <w:rPr>
          <w:rFonts w:ascii="Arial" w:cs="Arial" w:eastAsia="Arial" w:hAnsi="Arial"/>
          <w:sz w:val="17"/>
          <w:szCs w:val="17"/>
          <w:color w:val="auto"/>
        </w:rPr>
        <w:t>shares, our shareholders immediately prior to the completion of our initial business combination could own less than a majority of our issued and outstanding shares subsequent to our initial business combination. If less than 100% of the equity interests or assets of a target business or businesses are owned or acquired by the post-business combination company, the portion of such business or businesses that is owned or acquired is what will be valued for purposes of the 80% of net assets test. If the business combination involves more than one target business, the 80% of net assets test will be based on the aggregate value of all of the target businesses and we will treat the target businesses together as the initial business combination for purposes of a tender offer or for seeking shareholder approval, as applicable. In addition, we have agreed not to enter into a definitive agreement regarding an initial business combination without the prior consent of our sponsor.</w:t>
      </w:r>
    </w:p>
    <w:p>
      <w:pPr>
        <w:spacing w:after="0" w:line="161" w:lineRule="exact"/>
        <w:rPr>
          <w:sz w:val="20"/>
          <w:szCs w:val="20"/>
          <w:color w:val="auto"/>
        </w:rPr>
      </w:pPr>
    </w:p>
    <w:p>
      <w:pPr>
        <w:ind w:right="19"/>
        <w:spacing w:after="0" w:line="233" w:lineRule="auto"/>
        <w:rPr>
          <w:sz w:val="20"/>
          <w:szCs w:val="20"/>
          <w:color w:val="auto"/>
        </w:rPr>
      </w:pPr>
      <w:r>
        <w:rPr>
          <w:rFonts w:ascii="Arial" w:cs="Arial" w:eastAsia="Arial" w:hAnsi="Arial"/>
          <w:sz w:val="17"/>
          <w:szCs w:val="17"/>
          <w:color w:val="auto"/>
        </w:rPr>
        <w:t>In addition, our sponsor has indicated an interest to purchase up to an aggregate of $25,000,000 of our ordinary shares in a private placement that would occur concurrently with the consummation of our initial business combination. However, because indications of interest are not binding agreements or commitments to purchase, our sponsor may determine not to purchase any such shares, or to purchase fewer shares than it has indicated an interest in purchasing. Furthermore, we are not under any obligation to sell any such shares. If we sell shares to our sponsor (or any other investor) in connection with our initial business combination, the equity interest of investors in this offering in the combined company may be diluted and the market prices for our securities may be adversely affected. In addition, if the per share trading price of our ordinary shares is greater than the price per share paid in the private placement, the private placement will result in value dilution to you, in addition to the immediate dilution that you will experience in connection with the consummation of this offering. See “Dilution.”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Considerations</w:t>
      </w:r>
    </w:p>
    <w:p>
      <w:pPr>
        <w:spacing w:after="0" w:line="189" w:lineRule="exact"/>
        <w:rPr>
          <w:sz w:val="20"/>
          <w:szCs w:val="20"/>
          <w:color w:val="auto"/>
        </w:rPr>
      </w:pPr>
    </w:p>
    <w:p>
      <w:pPr>
        <w:ind w:right="119"/>
        <w:spacing w:after="0" w:line="234" w:lineRule="auto"/>
        <w:rPr>
          <w:sz w:val="20"/>
          <w:szCs w:val="20"/>
          <w:color w:val="auto"/>
        </w:rPr>
      </w:pPr>
      <w:r>
        <w:rPr>
          <w:rFonts w:ascii="Arial" w:cs="Arial" w:eastAsia="Arial" w:hAnsi="Arial"/>
          <w:sz w:val="17"/>
          <w:szCs w:val="17"/>
          <w:color w:val="auto"/>
        </w:rPr>
        <w:t>We are not prohibited from pursuing an initial business combination or subsequent transaction with a company that is affiliated with Perceptive Advisors or our sponsor, founders, officers or directors. In the event we seek to complete our initial business combination with a company that is affiliated with Perceptive Advisors, our sponsor or any of our founders, officers or directors, we, or a committee of independent directors, will obtain an opinion from an independent investment banking firm which is a member of FINRA or an independent valuation or accounting firm that such initial business combination or transaction is fair to our company from a financial point of view. We are not required to obtain such an opinion in any other context.</w:t>
      </w:r>
    </w:p>
    <w:p>
      <w:pPr>
        <w:spacing w:after="0" w:line="164" w:lineRule="exact"/>
        <w:rPr>
          <w:sz w:val="20"/>
          <w:szCs w:val="20"/>
          <w:color w:val="auto"/>
        </w:rPr>
      </w:pPr>
    </w:p>
    <w:p>
      <w:pPr>
        <w:ind w:right="19"/>
        <w:spacing w:after="0" w:line="235" w:lineRule="auto"/>
        <w:rPr>
          <w:sz w:val="20"/>
          <w:szCs w:val="20"/>
          <w:color w:val="auto"/>
        </w:rPr>
      </w:pPr>
      <w:r>
        <w:rPr>
          <w:rFonts w:ascii="Arial" w:cs="Arial" w:eastAsia="Arial" w:hAnsi="Arial"/>
          <w:sz w:val="17"/>
          <w:szCs w:val="17"/>
          <w:color w:val="auto"/>
        </w:rPr>
        <w:t>Affiliates of Perceptive Advisors and members of our board of directors will directly or indirectly own founder shares and private placement shares following this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or directors were to be included by a target business as a condition to any agreement with respect to our initial business combination.</w:t>
      </w:r>
    </w:p>
    <w:p>
      <w:pPr>
        <w:spacing w:after="0" w:line="148" w:lineRule="exact"/>
        <w:rPr>
          <w:sz w:val="20"/>
          <w:szCs w:val="20"/>
          <w:color w:val="auto"/>
        </w:rPr>
      </w:pPr>
    </w:p>
    <w:p>
      <w:pPr>
        <w:ind w:right="39"/>
        <w:spacing w:after="0" w:line="233" w:lineRule="auto"/>
        <w:rPr>
          <w:sz w:val="20"/>
          <w:szCs w:val="20"/>
          <w:color w:val="auto"/>
        </w:rPr>
      </w:pPr>
      <w:r>
        <w:rPr>
          <w:rFonts w:ascii="Arial" w:cs="Arial" w:eastAsia="Arial" w:hAnsi="Arial"/>
          <w:sz w:val="17"/>
          <w:szCs w:val="17"/>
          <w:color w:val="auto"/>
        </w:rPr>
        <w:t>We have not selected any business combination target and we have not, nor has anyone on our behalf, initiated any substantive discussions, directly or indirectly, with any business combination target. Perceptive Advisors is continuously made aware of potential business opportunities, one or more of which we may desire to pursue for a business combination, but we have not (nor has anyone on our behalf) contacted any prospective target business or had any substantive discussions, formal or otherwise, with respect to a business combination transaction with our company. We will not consider a business combination with any company that has already been identified to Perceptive Advisors as a suitable acquisition candidate for it, unless Perceptive Advisors, in its sole discretion, declines such potential business combination or makes available to our company a co-investment opportunity in accordance with Perceptive Advisors’ applicable existing and future policies and procedures. Additionally, we have not, nor has anyone on our behalf, taken any substantive measure, directly or indirectly, to identify or locate any suitable acquisition candidate for us, nor have we engaged or retained any agent or other representative to identify or locate any such acquisition candidate.</w:t>
      </w:r>
    </w:p>
    <w:p>
      <w:pPr>
        <w:spacing w:after="0" w:line="167" w:lineRule="exact"/>
        <w:rPr>
          <w:sz w:val="20"/>
          <w:szCs w:val="20"/>
          <w:color w:val="auto"/>
        </w:rPr>
      </w:pPr>
    </w:p>
    <w:p>
      <w:pPr>
        <w:ind w:right="59"/>
        <w:spacing w:after="0" w:line="236" w:lineRule="auto"/>
        <w:rPr>
          <w:sz w:val="20"/>
          <w:szCs w:val="20"/>
          <w:color w:val="auto"/>
        </w:rPr>
      </w:pPr>
      <w:r>
        <w:rPr>
          <w:rFonts w:ascii="Arial" w:cs="Arial" w:eastAsia="Arial" w:hAnsi="Arial"/>
          <w:sz w:val="17"/>
          <w:szCs w:val="17"/>
          <w:color w:val="auto"/>
        </w:rPr>
        <w:t>Perceptive Advisors may manage multiple investment vehicles and raise additional funds and/or successor funds in the future, which may be during the period in which we are seeking our initial business combination. These Perceptive Advisors investment entities may be seeking acquisition opportunities and related financing at any time. We may compete with any one or more of them on any given acquisition opportunity.</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bookmarkStart w:id="78" w:name="page79"/>
    <w:bookmarkEnd w:id="7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163"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In addition, certain of our founders, officers and directors presently have, and any of them in the future may have additional, fiduciary and contractual duties to other entities, including without limitation, ARYA Sciences Acquisition Corp</w:t>
      </w:r>
    </w:p>
    <w:p>
      <w:pPr>
        <w:ind w:firstLine="8"/>
        <w:spacing w:after="0" w:line="233" w:lineRule="auto"/>
        <w:tabs>
          <w:tab w:leader="none" w:pos="142"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and any future special purpose acquisition companies we expect they may be involved in and, investment funds, accounts, co-investment vehicles and other entities managed by affiliates of Perceptive Advisors and certain companies in which Perceptive Advisors or such entities have invested. As a result, if any of our founders, officers or directors becomes aware of a business combination opportunity which is suitable for an entity to which he, she or it has then-current fiduciary or contractual obligations (including, without limitation, ARYA Sciences Acquisition Corp II and any future special purpose acquisition companies we expect they may be involved in and any Perceptive Advisors funds or other investment vehicles), then, subject to their fiduciary duties under Cayman Islands law, he or she will need to honor such fiduciary or contractual obligations to present such business combination opportunity to such entity, before we can pursue such opportunity. If these funds or investment entities decide to pursue any such opportunity, we may be precluded from pursuing the same. In addition, investment ideas generated within or presented to Perceptive Advisors or our founders may be suitable for both us and a current or future Perceptive Advisors fund, portfolio company or other investment entity and, subject to applicable fiduciary duties, will first be directed to such fund, portfolio company or other entity before being directed, if at all, to us. None of Perceptive Advisors, our founders or any members of our board of directors who are also employed by Perceptive Advisors or its affiliates have any obligation to present us with any opportunity for a potential business combination of which they become aware solely in their capacities as officers or executives of Perceptive Advisors.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However, we do not expect these duties to materially affect our ability to complete our initial business combination.</w:t>
      </w:r>
    </w:p>
    <w:p>
      <w:pPr>
        <w:spacing w:after="0" w:line="169"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In addition, our founders, officers and directors, are not required to commit any specified amount of time to our affairs and, accordingly, will have conflicts of interest in allocating management time among various business activities, including identifying potential business combinations and monitoring the related due diligence. In particular, certain of our officers and directors serve as an officer and/or director of ARYA Sciences Acquisition Corp II, which is a blank check companies sponsored by an affiliate of Perceptive Advisors, and in the future we expect they may be officers and/or directors of other future special purpose acquisition companies. Moreover, our founders, officers and directors have, and will have in the future, time and attention requirements for current and future investment funds, accounts, co-investment vehicles and other entities managed by Perceptive Advisors. To the extent any conflict of interest arises between, on the one hand, us and, on the other hand, investments funds, accounts, co-investment vehicles and other entities managed by Perceptive Advisors (including, without limitation, arising as a result of certain of our founders, officers and directors being required to offer acquisition opportunities to such investment funds, accounts, co-investment vehicles and other entities), Perceptive Advisors and its affiliates will resolve such conflicts of interest in their sole discretion in accordance with their then existing fiduciary, contractual and other duties and there can be no assurance that such conflict of interest will be resolved in our favor.</w:t>
      </w:r>
    </w:p>
    <w:p>
      <w:pPr>
        <w:spacing w:after="0" w:line="151" w:lineRule="exact"/>
        <w:rPr>
          <w:sz w:val="20"/>
          <w:szCs w:val="20"/>
          <w:color w:val="auto"/>
        </w:rPr>
      </w:pPr>
    </w:p>
    <w:p>
      <w:pPr>
        <w:ind w:right="340"/>
        <w:spacing w:after="0" w:line="243" w:lineRule="auto"/>
        <w:rPr>
          <w:sz w:val="20"/>
          <w:szCs w:val="20"/>
          <w:color w:val="auto"/>
        </w:rPr>
      </w:pPr>
      <w:r>
        <w:rPr>
          <w:rFonts w:ascii="Arial" w:cs="Arial" w:eastAsia="Arial" w:hAnsi="Arial"/>
          <w:sz w:val="17"/>
          <w:szCs w:val="17"/>
          <w:color w:val="auto"/>
        </w:rPr>
        <w:t>Unlike other SPAC IPOs, investors in this offering will not receive warrants that would become exercisable following completion of our initial business combination.</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Status as a Public Company</w:t>
      </w:r>
    </w:p>
    <w:p>
      <w:pPr>
        <w:spacing w:after="0" w:line="176"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We believe our structure will make us an attractive business combination partner to target businesses. As an existing public company, we offer a target business an alternative to the traditional initial public offering through a merger or other business combination with us. In a business combination transaction with us, the owners of the target business may, for example, exchange their shares of stock in the target business for our Class A ordinary shares (or shares of a new holding company) or for a combination of our Class A ordinary shares and cash, allowing us to tailor the consideration to the specific needs of the sellers. We believe target businesses will find this method a more expeditious and cost effective method to becoming a public company than the typical initial public offering. The typical initial public offering process takes a significantly longer period of time than the typical business combination transaction process, and there are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79" w:name="page80"/>
    <w:bookmarkEnd w:id="7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240"/>
        <w:spacing w:after="0" w:line="243" w:lineRule="auto"/>
        <w:rPr>
          <w:sz w:val="20"/>
          <w:szCs w:val="20"/>
          <w:color w:val="auto"/>
        </w:rPr>
      </w:pPr>
      <w:r>
        <w:rPr>
          <w:rFonts w:ascii="Arial" w:cs="Arial" w:eastAsia="Arial" w:hAnsi="Arial"/>
          <w:sz w:val="17"/>
          <w:szCs w:val="17"/>
          <w:color w:val="auto"/>
        </w:rPr>
        <w:t>significant expenses in the initial public offering process, including underwriting discounts and commissions, that may not be present to the same extent in connection with a business combination with us.</w:t>
      </w:r>
    </w:p>
    <w:p>
      <w:pPr>
        <w:spacing w:after="0" w:line="158" w:lineRule="exact"/>
        <w:rPr>
          <w:sz w:val="20"/>
          <w:szCs w:val="20"/>
          <w:color w:val="auto"/>
        </w:rPr>
      </w:pPr>
    </w:p>
    <w:p>
      <w:pPr>
        <w:ind w:right="120"/>
        <w:spacing w:after="0" w:line="234" w:lineRule="auto"/>
        <w:rPr>
          <w:sz w:val="20"/>
          <w:szCs w:val="20"/>
          <w:color w:val="auto"/>
        </w:rPr>
      </w:pPr>
      <w:r>
        <w:rPr>
          <w:rFonts w:ascii="Arial" w:cs="Arial" w:eastAsia="Arial" w:hAnsi="Arial"/>
          <w:sz w:val="17"/>
          <w:szCs w:val="17"/>
          <w:color w:val="auto"/>
        </w:rPr>
        <w:t>Furthermore, once a proposed business combination is completed, the target business will have effectively become public, whereas an initial public offering is always subject to the underwriters’ ability to complete the offering, as well as general market conditions, which could delay or prevent the offering from occurring or have negative valuation consequences. Once public, we believe the target business would then have greater access to capital, an additional means of providing management incentives consistent with shareholders’ interests and the ability to use its shares as currency for acquisitions. Being a public company can offer further benefits by augmenting a company’s profile among potential new customers and vendors and aid in attracting talented employees.</w:t>
      </w:r>
    </w:p>
    <w:p>
      <w:pPr>
        <w:spacing w:after="0" w:line="164"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While we believe that our structure and our management team’s backgrounds will make us an attractive business partner, some potential target businesses may view our status as a blank check company, such as our lack of an operating history and our ability to seek shareholder approval of any proposed initial business combination, negatively.</w:t>
      </w:r>
    </w:p>
    <w:p>
      <w:pPr>
        <w:spacing w:after="0" w:line="147"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We are an “emerging growth company,” as defined in the JOBS Act. 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Class A ordinary shares that are held by non-affiliates exceeds $700 million as of the prior June 30th, and (2) the date on which we have issued more than $1.0 billion in non-convertible debt during the prior three-year period.</w:t>
      </w:r>
    </w:p>
    <w:p>
      <w:pPr>
        <w:spacing w:after="0" w:line="16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$250 million as of the prior June 30, or (2) our annual revenues exceeded $100 million during such completed fiscal year and the market value of our ordinary shares held by non-affiliates exceeds $700 million as of the prior June 30.</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Position</w:t>
      </w:r>
    </w:p>
    <w:p>
      <w:pPr>
        <w:spacing w:after="0" w:line="189"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With funds available for a business combination initially in the amount of $121,625,000, after payment of the estimated expenses of this offering and $4,375,000 of deferred underwriting fees (or $139,718,750 after payment of the estimated expenses of this offering and $5,031,250 of deferred underwriting fees if the underwriters’ over-allotment option is exercised in full), we offer a target business a variety of options such as creating a liquidity event for its owners, providing capital for the potential growth and expansion of its operations or strengthening its balance sheet by reducing its debt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we have not taken any steps to secure third party financing and there can be no assurance it will be available to us.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Effecting Our Initial Business Combination</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76"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We are not presently engaged in, and we will not engage in, any operations for an indefinite period of time following this offering. We intend to effectuate our initial business combination using cash from the proceeds of this offering, the sale of the private placements shares, our equity, debt or a combination of these as the consideration to be paid in our initial business combination. We may seek to complete our initial business combination with a company or business that may be financially unstable or in its early stages of development or growth, which would subject us to the numerous risks inherent in such companies and businesses.</w:t>
      </w:r>
    </w:p>
    <w:p>
      <w:pPr>
        <w:spacing w:after="0" w:line="161" w:lineRule="exact"/>
        <w:rPr>
          <w:sz w:val="20"/>
          <w:szCs w:val="20"/>
          <w:color w:val="auto"/>
        </w:rPr>
      </w:pPr>
    </w:p>
    <w:p>
      <w:pPr>
        <w:jc w:val="both"/>
        <w:ind w:right="40"/>
        <w:spacing w:after="0" w:line="238" w:lineRule="auto"/>
        <w:rPr>
          <w:sz w:val="20"/>
          <w:szCs w:val="20"/>
          <w:color w:val="auto"/>
        </w:rPr>
      </w:pPr>
      <w:r>
        <w:rPr>
          <w:rFonts w:ascii="Arial" w:cs="Arial" w:eastAsia="Arial" w:hAnsi="Arial"/>
          <w:sz w:val="17"/>
          <w:szCs w:val="17"/>
          <w:color w:val="auto"/>
        </w:rPr>
        <w:t>If our initial business combination is paid for using equity or debt, or not all of the funds released from the trust account are used for payment of the consideration in connection with our initial business combination or used for redemptions of our Class A ordinary shares, we may apply the balance of the cash released to us from the trust account for general</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80" w:name="page81"/>
    <w:bookmarkEnd w:id="8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corporate purposes, including for maintenance or expansion of operations of the post-business combination company, the payment of principal or interest due on indebtedness incurred in completing our initial business combination, to fund the purchase of other companies or for working capital.</w:t>
      </w:r>
    </w:p>
    <w:p>
      <w:pPr>
        <w:spacing w:after="0" w:line="161" w:lineRule="exact"/>
        <w:rPr>
          <w:sz w:val="20"/>
          <w:szCs w:val="20"/>
          <w:color w:val="auto"/>
        </w:rPr>
      </w:pPr>
    </w:p>
    <w:p>
      <w:pPr>
        <w:ind w:right="60"/>
        <w:spacing w:after="0" w:line="233" w:lineRule="auto"/>
        <w:rPr>
          <w:sz w:val="20"/>
          <w:szCs w:val="20"/>
          <w:color w:val="auto"/>
        </w:rPr>
      </w:pPr>
      <w:r>
        <w:rPr>
          <w:rFonts w:ascii="Arial" w:cs="Arial" w:eastAsia="Arial" w:hAnsi="Arial"/>
          <w:sz w:val="17"/>
          <w:szCs w:val="17"/>
          <w:color w:val="auto"/>
        </w:rPr>
        <w:t>We have not selected any business combination target and we have not, nor has anyone on our behalf, initiated any substantive discussions with any business combination target. Additionally, we have not engaged or retained any agent or other representative to identify or locate any suitable acquisition candidate, to conduct any research or take any measures, directly or indirectly, to locate or contact a target business, other than our officers and directors. Accordingly, there is no current basis for investors in this offering to evaluate the possible merits or risks of the target business with which we may ultimately complete our initial business combination. Although our management will assess the risks inherent in a particular target business with which we may combine, we cannot assure you that this assessment will result in our identifying all risks that a target business may encounter. Furthermore, some of those risks may be outside of our control, meaning that we can do nothing to control or reduce the chances that those risks will adversely affect a target business.</w:t>
      </w:r>
    </w:p>
    <w:p>
      <w:pPr>
        <w:spacing w:after="0" w:line="16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may need to obtain additional financing to complete our initial business combination, either because the transaction requires more cash than is available from the proceeds held in our trust account, or because we become obligated to redeem a significant number of our public shares upon completion of the business combination, in which case we may issue additional securities or incur debt in connection with such business combination. There are no prohibitions on our ability to issue securities or incur debt in connection with our initial business combination. We are not currently a party to any arrangement or understanding with any third party with respect to raising any additional funds through the sale of securities, the incurrence of debt or otherwise.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Sources of Target Businesses</w:t>
      </w:r>
    </w:p>
    <w:p>
      <w:pPr>
        <w:spacing w:after="0" w:line="189"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Our process of identifying acquisition targets will leverage Perceptive Advisors’ and our management team’s unique industry experiences, proven deal sourcing capabilities and broad and deep network of relationships in numerous industries, including executives and management teams, private equity groups and other institutional investors, large business enterprises, lenders, investment bankers and other investment market participants, restructuring advisers, consultants, attorneys and accountants, which we believe should provide us with a number of business combination opportunities. We expect that the collective experience, capability and network of Perceptive Advisors, our founders, directors and officers, combined with their individual and collective reputations in the investment community, will help to create prospective business combination opportunities.</w:t>
      </w:r>
    </w:p>
    <w:p>
      <w:pPr>
        <w:spacing w:after="0" w:line="149"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In addition, we anticipate that target business candidates may be brought to our attention from various unaffiliated sources, including investment bankers and private investment funds. Target businesses may be brought to our attention by such unaffiliated sources as a result of being solicited by us through calls or mailings. These sources may also introduce us to target businesses in which they think we may be interested on an unsolicited basis, since many of these sources will have read this prospectus and know what types of businesses we are targeting. Our officers and directors, as well as their affiliates, may also bring to our attention target business candidates of which they become aware through their business contacts as a result of formal or informal inquiries or discussions they may have, as well as attending trade shows or conventions.</w:t>
      </w:r>
    </w:p>
    <w:p>
      <w:pPr>
        <w:spacing w:after="0" w:line="163"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We will engage a finder only to the extent our management determines that the use of a finder may bring opportunities to us that may not otherwise be available to us or if finders approach us on an unsolicited basis with a potential transaction that our management determines is in our best interest to pursue. Payment of a finder’s fee is customarily tied to completion of a transaction, in which case any such fee will be paid out of the funds held in the trust account. In no event, however, will our sponsor or any of our existing officers or directors, or any entity with which they are affiliated, be paid any finder’s fee, consulting fee or other compensation by the company prior to, or for any services they render in order to effectuate, the completion of our initial business combination (regardless of the type of transaction that it is). None of our sponsor, executive officers or directors, or any of their respective affiliates, will be allowed to receive any compensation, finder’s fees or consulting fees from a prospective business combination target in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81" w:name="page82"/>
    <w:bookmarkEnd w:id="8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connection with a contemplated acquisition of such target by us. We have agreed to pay our sponsor a total of $10,000 per month for office space, secretarial and administrative support and to reimburse our sponsor for any out-of-pocket expenses related to identifying, investigating and completing an initial business combination. Some of our officers and directors may enter into employment or consulting agreements with the post-business combination company following our initial business combination.</w:t>
      </w:r>
    </w:p>
    <w:p>
      <w:pPr>
        <w:spacing w:after="0" w:line="163" w:lineRule="exact"/>
        <w:rPr>
          <w:sz w:val="20"/>
          <w:szCs w:val="20"/>
          <w:color w:val="auto"/>
        </w:rPr>
      </w:pPr>
    </w:p>
    <w:p>
      <w:pPr>
        <w:ind w:right="140"/>
        <w:spacing w:after="0" w:line="234" w:lineRule="auto"/>
        <w:rPr>
          <w:sz w:val="20"/>
          <w:szCs w:val="20"/>
          <w:color w:val="auto"/>
        </w:rPr>
      </w:pPr>
      <w:r>
        <w:rPr>
          <w:rFonts w:ascii="Arial" w:cs="Arial" w:eastAsia="Arial" w:hAnsi="Arial"/>
          <w:sz w:val="17"/>
          <w:szCs w:val="17"/>
          <w:color w:val="auto"/>
        </w:rPr>
        <w:t>We are not prohibited from pursuing an initial business combination or subsequent transaction with a company that is affiliated with Perceptive Advisors or our sponsor, founders, officers or directors. In the event we seek to complete our initial business combination with a company that is affiliated with Perceptive Advisors, our sponsor or any of our founders, officers or directors, we, or a committee of independent directors, will obtain an opinion from an independent investment banking firm which is a member of FINRA or an independent valuation or accounting firm that such initial business combination or transaction is fair to our company from a financial point of view. We are not required to obtain such an opinion in any other context.</w:t>
      </w:r>
    </w:p>
    <w:p>
      <w:pPr>
        <w:spacing w:after="0" w:line="164"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Each of our officers and directors presently has, and any of them in the future may have additional, fiduciary or contractual obligations to other entities, including any future special purpose acquisition companies we expect they may be involved in and entities that are affiliates of our sponsor,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entity, subject to their fiduciary duties under Cayman Islands law. See “Management — Conflicts of Interest.”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a Target Business and Structuring of Our Initial Business Combination</w:t>
      </w:r>
    </w:p>
    <w:p>
      <w:pPr>
        <w:spacing w:after="0" w:line="189"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In evaluating a prospective target business, we expect to conduct a thorough due diligence review which may encompass, among other things, meetings with incumbent management and employees, document reviews, interviews of customers and suppliers, inspection of facilities, as well as a review of financial, operational, legal and other information which will be made available to us. If we determine to move forward with a particular target, we will proceed to structure and negotiate the terms of the business combination transaction.</w:t>
      </w:r>
    </w:p>
    <w:p>
      <w:pPr>
        <w:spacing w:after="0" w:line="15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time required to identify and evaluate a target business and to structure and complete our initial business combination, and the costs associated with this process, are not currently ascertainable with any degree of certainty. Any costs incurred with respect to the identification and evaluation of, and negotiation with, a prospective target business with which our initial business combination is not ultimately completed will result in our incurring losses and will reduce the funds we can use to complete another business combination. The company will not pay any consulting fees to members of our management team, or any of their respective affiliates, for services rendered to or in connection with our initial business combination. In addition, we have agreed not to enter into a definitive agreement regarding an initial business combination without the prior consent of our sponsor.</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Lack of Business Diversification</w:t>
      </w:r>
    </w:p>
    <w:p>
      <w:pPr>
        <w:spacing w:after="0" w:line="176"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For an indefinite period of time after the completion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completing our initial business combination with only a single entity, our lack of diversification may:</w:t>
      </w:r>
    </w:p>
    <w:p>
      <w:pPr>
        <w:spacing w:after="0" w:line="96" w:lineRule="exact"/>
        <w:rPr>
          <w:sz w:val="20"/>
          <w:szCs w:val="20"/>
          <w:color w:val="auto"/>
        </w:rPr>
      </w:pPr>
    </w:p>
    <w:p>
      <w:pPr>
        <w:ind w:left="580" w:right="140"/>
        <w:spacing w:after="0" w:line="238" w:lineRule="auto"/>
        <w:rPr>
          <w:sz w:val="20"/>
          <w:szCs w:val="20"/>
          <w:color w:val="auto"/>
        </w:rPr>
      </w:pPr>
      <w:r>
        <w:rPr>
          <w:rFonts w:ascii="Arial" w:cs="Arial" w:eastAsia="Arial" w:hAnsi="Arial"/>
          <w:sz w:val="17"/>
          <w:szCs w:val="17"/>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93"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cause us to depend on the marketing and sale of a single product or limited number of products or services.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82" w:name="page83"/>
    <w:bookmarkEnd w:id="8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Limited Ability to Evaluate the Target’s Management Team</w:t>
      </w:r>
    </w:p>
    <w:p>
      <w:pPr>
        <w:spacing w:after="0" w:line="189"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Although we intend to closely scrutinize the management of a prospective target business when evaluating the desirability of effecting our initial business combination with that business, our assessment of the target business’s management may not prove to be correct. In addition, the future management may not have the necessary skills, qualifications or abilities to manage a public company. Furthermore, the future role of members of our management team, if any, in the target business cannot presently be stated with any certainty. The determination as to whether any of the members of our management team will remain with the combined company will be made at the time of our initial business combination. While it is possible that one or more of our directors will remain associated in some capacity with us following our initial business combination, it is unlikely that any of them will devote their full efforts to our affairs subsequent to our initial business combination. Moreover, we cannot assure you that members of our management team will have significant experience or knowledge relating to the operations of the particular target business.</w:t>
      </w:r>
    </w:p>
    <w:p>
      <w:pPr>
        <w:spacing w:after="0" w:line="168"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We cannot assure you that any of our key personnel will remain in senior management or advisory positions with the combined company. The determination as to whether any of our key personnel will remain with the combined company will be made at the time of our initial business combination.</w:t>
      </w:r>
    </w:p>
    <w:p>
      <w:pPr>
        <w:spacing w:after="0" w:line="147"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Following a business combination, we may seek to recruit additional managers to supplement the incumbent management of the target business. We cannot assure you that we will have the ability to recruit additional managers, or that additional managers will have the requisite skills, knowledge or experience necessary to enhance the incumbent management.</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Shareholders May Not Have the Ability to Approve Our Initial Business Combination</w:t>
      </w:r>
    </w:p>
    <w:p>
      <w:pPr>
        <w:spacing w:after="0" w:line="176" w:lineRule="exact"/>
        <w:rPr>
          <w:sz w:val="20"/>
          <w:szCs w:val="20"/>
          <w:color w:val="auto"/>
        </w:rPr>
      </w:pPr>
    </w:p>
    <w:p>
      <w:pPr>
        <w:jc w:val="both"/>
        <w:ind w:right="240"/>
        <w:spacing w:after="0" w:line="236" w:lineRule="auto"/>
        <w:rPr>
          <w:sz w:val="20"/>
          <w:szCs w:val="20"/>
          <w:color w:val="auto"/>
        </w:rPr>
      </w:pPr>
      <w:r>
        <w:rPr>
          <w:rFonts w:ascii="Arial" w:cs="Arial" w:eastAsia="Arial" w:hAnsi="Arial"/>
          <w:sz w:val="17"/>
          <w:szCs w:val="17"/>
          <w:color w:val="auto"/>
        </w:rPr>
        <w:t>We may conduct redemptions without a shareholder vote pursuant to the tender offer rules of the SEC subject to the provisions of our amended and restated memorandum and articles of association. However, we will seek shareholder approval if it is required by applicable law or stock exchange rule, or we may decide to seek shareholder approval for business or other reasons.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Under Nasdaq’s listing rules, shareholder approval would be required for our initial business combination if, for example:</w:t>
      </w:r>
    </w:p>
    <w:p>
      <w:pPr>
        <w:spacing w:after="0" w:line="102" w:lineRule="exact"/>
        <w:rPr>
          <w:sz w:val="20"/>
          <w:szCs w:val="20"/>
          <w:color w:val="auto"/>
        </w:rPr>
      </w:pPr>
    </w:p>
    <w:p>
      <w:pPr>
        <w:ind w:left="580" w:right="120"/>
        <w:spacing w:after="0" w:line="232" w:lineRule="auto"/>
        <w:rPr>
          <w:sz w:val="20"/>
          <w:szCs w:val="20"/>
          <w:color w:val="auto"/>
        </w:rPr>
      </w:pPr>
      <w:r>
        <w:rPr>
          <w:rFonts w:ascii="Arial" w:cs="Arial" w:eastAsia="Arial" w:hAnsi="Arial"/>
          <w:sz w:val="17"/>
          <w:szCs w:val="17"/>
          <w:color w:val="auto"/>
        </w:rPr>
        <w:t>we issue (other than in a public offering for cash) ordinary shares that will either (a) be equal to or in excess of 20% of the number of ordinary shares then issued and outstanding (excluding the private placement shares) or</w:t>
      </w:r>
    </w:p>
    <w:p>
      <w:pPr>
        <w:ind w:left="580" w:right="160" w:firstLine="8"/>
        <w:spacing w:after="0" w:line="243" w:lineRule="auto"/>
        <w:tabs>
          <w:tab w:leader="none" w:pos="836" w:val="left"/>
        </w:tabs>
        <w:numPr>
          <w:ilvl w:val="0"/>
          <w:numId w:val="17"/>
        </w:numPr>
        <w:rPr>
          <w:rFonts w:ascii="Arial" w:cs="Arial" w:eastAsia="Arial" w:hAnsi="Arial"/>
          <w:sz w:val="17"/>
          <w:szCs w:val="17"/>
          <w:color w:val="auto"/>
        </w:rPr>
      </w:pPr>
      <w:r>
        <w:rPr>
          <w:rFonts w:ascii="Arial" w:cs="Arial" w:eastAsia="Arial" w:hAnsi="Arial"/>
          <w:sz w:val="17"/>
          <w:szCs w:val="17"/>
          <w:color w:val="auto"/>
        </w:rPr>
        <w:t>have voting power equal to or in excess of 20% of the voting power then issued and outstanding (excluding the private placement shares);</w:t>
      </w:r>
    </w:p>
    <w:p>
      <w:pPr>
        <w:spacing w:after="0" w:line="90" w:lineRule="exact"/>
        <w:rPr>
          <w:sz w:val="20"/>
          <w:szCs w:val="20"/>
          <w:color w:val="auto"/>
        </w:rPr>
      </w:pPr>
    </w:p>
    <w:p>
      <w:pPr>
        <w:ind w:left="580" w:right="80"/>
        <w:spacing w:after="0" w:line="236" w:lineRule="auto"/>
        <w:rPr>
          <w:sz w:val="20"/>
          <w:szCs w:val="20"/>
          <w:color w:val="auto"/>
        </w:rPr>
      </w:pPr>
      <w:r>
        <w:rPr>
          <w:rFonts w:ascii="Arial" w:cs="Arial" w:eastAsia="Arial" w:hAnsi="Arial"/>
          <w:sz w:val="17"/>
          <w:szCs w:val="17"/>
          <w:color w:val="auto"/>
        </w:rPr>
        <w:t>any of our directors, officers or substantial shareholders (as defined by Nasdaq rules) has a 5% or greater interest (or such persons collectively have a 10% or greater interest), directly or indirectly, in the target business or assets to be acquired or otherwise and the present or potential issuance of ordinary shares could result in an increase in outstanding ordinary shares or voting power of 5% or more; or</w:t>
      </w:r>
    </w:p>
    <w:p>
      <w:pPr>
        <w:spacing w:after="0" w:line="95"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the issuance or potential issuance of ordinary shares will result in our undergoing a change of control.</w:t>
      </w:r>
    </w:p>
    <w:p>
      <w:pPr>
        <w:spacing w:after="0" w:line="169" w:lineRule="exact"/>
        <w:rPr>
          <w:sz w:val="20"/>
          <w:szCs w:val="20"/>
          <w:color w:val="auto"/>
        </w:rPr>
      </w:pPr>
    </w:p>
    <w:p>
      <w:pPr>
        <w:ind w:right="280"/>
        <w:spacing w:after="0" w:line="243" w:lineRule="auto"/>
        <w:rPr>
          <w:sz w:val="20"/>
          <w:szCs w:val="20"/>
          <w:color w:val="auto"/>
        </w:rPr>
      </w:pPr>
      <w:r>
        <w:rPr>
          <w:rFonts w:ascii="Arial" w:cs="Arial" w:eastAsia="Arial" w:hAnsi="Arial"/>
          <w:sz w:val="17"/>
          <w:szCs w:val="17"/>
          <w:color w:val="auto"/>
        </w:rPr>
        <w:t>The Companies Law and Cayman Islands law do not currently require, and we are not aware of any other applicable law that will require, shareholder approval of our initial business combination.</w:t>
      </w:r>
    </w:p>
    <w:p>
      <w:pPr>
        <w:spacing w:after="0" w:line="158"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The decision as to whether we will seek shareholder approval of a proposed business combination in those instances in which shareholder approval is not required by law will be made by us, solely in our discretion, and will be based on business and legal reasons, which include a variety of factors, including, but not limited to:</w:t>
      </w:r>
    </w:p>
    <w:p>
      <w:pPr>
        <w:spacing w:after="0" w:line="93" w:lineRule="exact"/>
        <w:rPr>
          <w:sz w:val="20"/>
          <w:szCs w:val="20"/>
          <w:color w:val="auto"/>
        </w:rPr>
      </w:pPr>
    </w:p>
    <w:p>
      <w:pPr>
        <w:jc w:val="both"/>
        <w:ind w:left="580" w:right="20"/>
        <w:spacing w:after="0" w:line="238" w:lineRule="auto"/>
        <w:rPr>
          <w:sz w:val="20"/>
          <w:szCs w:val="20"/>
          <w:color w:val="auto"/>
        </w:rPr>
      </w:pPr>
      <w:r>
        <w:rPr>
          <w:rFonts w:ascii="Arial" w:cs="Arial" w:eastAsia="Arial" w:hAnsi="Arial"/>
          <w:sz w:val="17"/>
          <w:szCs w:val="17"/>
          <w:color w:val="auto"/>
        </w:rPr>
        <w:t>the timing of the transaction, including in the event we determine shareholder approval would require additional time and there is either not enough time to seek shareholder approval or doing so would place the company at a disadvantage in the transaction or result in other additional burdens on the company;</w:t>
      </w:r>
    </w:p>
    <w:p>
      <w:pPr>
        <w:spacing w:after="0" w:line="9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expected cost of holding a shareholder vote;</w:t>
      </w:r>
    </w:p>
    <w:p>
      <w:pPr>
        <w:spacing w:after="0" w:line="102" w:lineRule="exact"/>
        <w:rPr>
          <w:sz w:val="20"/>
          <w:szCs w:val="20"/>
          <w:color w:val="auto"/>
        </w:rPr>
      </w:pPr>
    </w:p>
    <w:p>
      <w:pPr>
        <w:ind w:left="580" w:right="1900"/>
        <w:spacing w:after="0" w:line="375" w:lineRule="auto"/>
        <w:rPr>
          <w:sz w:val="20"/>
          <w:szCs w:val="20"/>
          <w:color w:val="auto"/>
        </w:rPr>
      </w:pPr>
      <w:r>
        <w:rPr>
          <w:rFonts w:ascii="Arial" w:cs="Arial" w:eastAsia="Arial" w:hAnsi="Arial"/>
          <w:sz w:val="17"/>
          <w:szCs w:val="17"/>
          <w:color w:val="auto"/>
        </w:rPr>
        <w:t>the risk that the shareholders would fail to approve the proposed business combination; other time and budget constraints of the company; and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83" w:name="page84"/>
    <w:bookmarkEnd w:id="8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left="580" w:right="920"/>
        <w:spacing w:after="0" w:line="243" w:lineRule="auto"/>
        <w:rPr>
          <w:sz w:val="20"/>
          <w:szCs w:val="20"/>
          <w:color w:val="auto"/>
        </w:rPr>
      </w:pPr>
      <w:r>
        <w:rPr>
          <w:rFonts w:ascii="Arial" w:cs="Arial" w:eastAsia="Arial" w:hAnsi="Arial"/>
          <w:sz w:val="17"/>
          <w:szCs w:val="17"/>
          <w:color w:val="auto"/>
        </w:rPr>
        <w:t>additional legal complexities of a proposed business combination that would be time-consuming and burdensome to present to shareholders.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Permitted Purchases and Other Transactions with Respect to Our Securities</w:t>
      </w:r>
    </w:p>
    <w:p>
      <w:pPr>
        <w:spacing w:after="0" w:line="176" w:lineRule="exact"/>
        <w:rPr>
          <w:sz w:val="20"/>
          <w:szCs w:val="20"/>
          <w:color w:val="auto"/>
        </w:rPr>
      </w:pPr>
    </w:p>
    <w:p>
      <w:pPr>
        <w:ind w:right="120"/>
        <w:spacing w:after="0" w:line="233"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sponsor, directors, executive officers, advisors or their affiliates may purchase public shares in privately negotiated transactions or in the open market either prior to or following the completion of our initial business combination. Additionally, at any time at or prior to our initial business combination, subject to applicable securities laws (including with respect to material nonpublic information), our sponsor, directors, executive officers, advisors or their affiliates may enter into transactions with investors and others to provide them with incentives to acquire public shares, vote their public shares in favor of our initial business combination or not redeem their public shares. However, they have no current commitments, plans or intentions to engage in such transactions and have not formulated any terms or conditions for any such transactions. None of the funds in the trust account will be used to purchase public shares in such transactions. If they engage in such transactions, they will be restricted from making any such purchases when they are in possession of any material non-public information not disclosed to the seller or if such purchases are prohibited by Regulation M under the Exchange Act.</w:t>
      </w:r>
    </w:p>
    <w:p>
      <w:pPr>
        <w:spacing w:after="0" w:line="165"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In the event that our sponsor, directors, officers, advisors or their affiliates purchase shares in privately negotiated transactions from public shareholders who have already elected to exercise their redemption rights or submitted a proxy to vote against our initial business combination, such selling shareholders would be required to revoke their prior elections to redeem their shares and any proxy to vote against our initial business combination.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be required to comply with such rules.</w:t>
      </w:r>
    </w:p>
    <w:p>
      <w:pPr>
        <w:spacing w:after="0" w:line="16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purpose of any such transactions could be to (i) vote such shares in favor of the business combination and thereby increase the likelihood of obtaining shareholder approval of the business combination or (ii) to satisfy a closing condition in an agreement with a target that requires us to have a minimum net worth or a certain amount of cash at the closing of our initial business combination, where it appears that such requirement would otherwise not be met. Any such purchases of our securities may result in the completion of our initial business combination that may not otherwise have been possible.</w:t>
      </w:r>
    </w:p>
    <w:p>
      <w:pPr>
        <w:spacing w:after="0" w:line="148" w:lineRule="exact"/>
        <w:rPr>
          <w:sz w:val="20"/>
          <w:szCs w:val="20"/>
          <w:color w:val="auto"/>
        </w:rPr>
      </w:pPr>
    </w:p>
    <w:p>
      <w:pPr>
        <w:ind w:right="420"/>
        <w:spacing w:after="0" w:line="238" w:lineRule="auto"/>
        <w:rPr>
          <w:sz w:val="20"/>
          <w:szCs w:val="20"/>
          <w:color w:val="auto"/>
        </w:rPr>
      </w:pPr>
      <w:r>
        <w:rPr>
          <w:rFonts w:ascii="Arial" w:cs="Arial" w:eastAsia="Arial" w:hAnsi="Arial"/>
          <w:sz w:val="17"/>
          <w:szCs w:val="17"/>
          <w:color w:val="auto"/>
        </w:rPr>
        <w:t>In addition, if such purchases are made, the public “float” of our Class A ordinary shares may be reduced and the number of beneficial holders of our securities may be reduced, which may make it difficult to maintain or obtain the quotation, listing or trading of our securities on a national securities exchange.</w:t>
      </w:r>
    </w:p>
    <w:p>
      <w:pPr>
        <w:spacing w:after="0" w:line="161"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Our sponsor, officers, directors and/or their affiliates anticipate that they may identify the shareholders with whom our sponsor, officers, directors or their affiliates may pursue privately negotiated transactions by either the shareholders contacting us directly or by our receipt of redemption requests submitted by shareholders (in the case of Class A ordinary shares) following our mailing of tender offer or proxy materials in connection with our initial business combination. To the extent that our sponsor, officers, directors, advisors or their affiliates enter into a private transaction, they would identify and contact only potential selling or redeeming shareholders who have expressed their election to redeem their shares for a pro rata share of the trust account or vote against our initial business combination, whether or not such shareholder has already submitted a proxy with respect to our initial business combination but only if such shares have not already been voted at the shareholder meeting related to our initial business combination. Our sponsor, executive officers, directors, advisors or their affiliates will select which shareholders to purchase shares from based on the negotiated price and number of shares and any other factors that they may deem relevant, and will be restricted from purchasing shares if such purchases do not comply with Regulation M under the Exchange Act and the other federal securities laws.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84" w:name="page85"/>
    <w:bookmarkEnd w:id="8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Our sponsor, officers, directors and/or their affiliates will be restricted from making purchases of shares if the purchases would violate Section 9(a)(2) or Rule 10b-5 of the Exchange Act. We expect any such purchases would be reported by such person pursuant to Section 13 and Section 16 of the Exchange Act to the extent such purchasers are subject to such reporting requirements.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Redemption Rights for Public Shareholders upon Completion of Our Initial Business Combination</w:t>
      </w:r>
    </w:p>
    <w:p>
      <w:pPr>
        <w:spacing w:after="0" w:line="176"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We will provide our public shareholders with the opportunity to redeem all or a portion of their Class A ordinary shares upon the completion of our initial business combination at a per-share price, payable in cash, equal to the aggregate amount then on deposit in the trust account calculated as of two business days prior to the consummation of the initial business combination, including interest earned on the funds held in the trust account and not previously released to us to pay our income taxes, if any, divided by the number of the then-outstanding public shares, subject to the limitations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The redemption rights may include the requirement that a beneficial holder must identify itself in order to validly redeem its shares. Further, we will not proceed with redeeming our public shares, even if a public shareholder has properly elected to redeem its shares, if a business combination does not close. Our sponsor and our management team have entered into an agreement with us, pursuant to which they have agreed to waive their redemption rights with respect to their founder shares, private placement shares and any public shares purchased during or after this offering in connection with (i) the completion of our initial business combination and (ii) a shareholder vote to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Redemptions</w:t>
      </w:r>
    </w:p>
    <w:p>
      <w:pPr>
        <w:spacing w:after="0" w:line="176" w:lineRule="exact"/>
        <w:rPr>
          <w:sz w:val="20"/>
          <w:szCs w:val="20"/>
          <w:color w:val="auto"/>
        </w:rPr>
      </w:pPr>
    </w:p>
    <w:p>
      <w:pPr>
        <w:ind w:right="120"/>
        <w:spacing w:after="0" w:line="233" w:lineRule="auto"/>
        <w:rPr>
          <w:sz w:val="20"/>
          <w:szCs w:val="20"/>
          <w:color w:val="auto"/>
        </w:rPr>
      </w:pPr>
      <w:r>
        <w:rPr>
          <w:rFonts w:ascii="Arial" w:cs="Arial" w:eastAsia="Arial" w:hAnsi="Arial"/>
          <w:sz w:val="17"/>
          <w:szCs w:val="17"/>
          <w:color w:val="auto"/>
        </w:rPr>
        <w:t>Our amended and restated memorandum and articles of association provide that in no event will we redeem our public shares in an amount that would cause our net tangible assets to be less than $5,000,001 (so that we do not then become subject to the SEC’s “penny stock” rules). However, the proposed business combination may require: (i) cash consideration to be paid to the target or its owners, (ii) cash to be transferred to the target for working capital or other general corporate purposes or (iii) the retention of cash to satisfy other conditions in accordance with the terms of the proposed business combination. In the event the aggregate cash consideration we would be required to pay for all Class A ordinary shares that are validly submitted for redemption plus any amount required to satisfy cash conditions pursuant to the terms of the proposed business combination exceed the aggregate amount of cash available to us, we will not complete the business combination or redeem any shares, and all Class A ordinary shares submitted for redemption will be returned to the holders thereof.</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Manner of Conducting Redemptions</w:t>
      </w:r>
    </w:p>
    <w:p>
      <w:pPr>
        <w:spacing w:after="0" w:line="176"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We will provide our public shareholders with the opportunity to redeem all or a portion of their Class A ordinary shares upon the completion of our initial business combination either (i) in connection with a shareholder meeting called to approve the business combination or (ii) by means of a tender offer. The decision as to whether we will seek shareholder approval of a proposed business combination or conduct a tender offer will be made by us, solely in our discretion, and will be based on a variety of factors such as the timing of the transaction and whether the terms of the transaction would require us to seek shareholder approval under applicable law or stock exchange listing requirement or whether we were deemed to be a foreign private issuer (which would require a tender offer rather than seeking shareholder approval under SEC rules). Asset acquisitions and share purchases would not typically require shareholder approval while direct mergers with our company where we do not survive and any transactions where we issue more than 20% of our issued and outstanding ordinary shares (excluding the private placement shares) or seek to amend our amended and restated memorandum and articles of association would typically require shareholder approval. We currently intend to conduct redemptions in connection with a shareholder vote unless shareholder approval is not required by applicable law or stock exchange rule or we choose to conduct redemptions pursuant to the tender offer rules of the SEC for business or other reasons.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85" w:name="page86"/>
    <w:bookmarkEnd w:id="8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If we held a shareholder vote to approve our initial business combination, we will, pursuant to our amended and restated memorandum and articles of association:</w:t>
      </w:r>
    </w:p>
    <w:p>
      <w:pPr>
        <w:spacing w:after="0" w:line="90" w:lineRule="exact"/>
        <w:rPr>
          <w:sz w:val="20"/>
          <w:szCs w:val="20"/>
          <w:color w:val="auto"/>
        </w:rPr>
      </w:pPr>
    </w:p>
    <w:p>
      <w:pPr>
        <w:ind w:left="580" w:right="320"/>
        <w:spacing w:after="0" w:line="243" w:lineRule="auto"/>
        <w:rPr>
          <w:sz w:val="20"/>
          <w:szCs w:val="20"/>
          <w:color w:val="auto"/>
        </w:rPr>
      </w:pPr>
      <w:r>
        <w:rPr>
          <w:rFonts w:ascii="Arial" w:cs="Arial" w:eastAsia="Arial" w:hAnsi="Arial"/>
          <w:sz w:val="17"/>
          <w:szCs w:val="17"/>
          <w:color w:val="auto"/>
        </w:rPr>
        <w:t>conduct the redemptions in conjunction with a proxy solicitation pursuant to Regulation 14A of the Exchange Act, which regulates the solicitation of proxies, and not pursuant to the tender offer rules; and</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file proxy materials with the SEC.</w:t>
      </w:r>
    </w:p>
    <w:p>
      <w:pPr>
        <w:spacing w:after="0" w:line="169" w:lineRule="exact"/>
        <w:rPr>
          <w:sz w:val="20"/>
          <w:szCs w:val="20"/>
          <w:color w:val="auto"/>
        </w:rPr>
      </w:pPr>
    </w:p>
    <w:p>
      <w:pPr>
        <w:ind w:right="360"/>
        <w:spacing w:after="0" w:line="238" w:lineRule="auto"/>
        <w:rPr>
          <w:sz w:val="20"/>
          <w:szCs w:val="20"/>
          <w:color w:val="auto"/>
        </w:rPr>
      </w:pPr>
      <w:r>
        <w:rPr>
          <w:rFonts w:ascii="Arial" w:cs="Arial" w:eastAsia="Arial" w:hAnsi="Arial"/>
          <w:sz w:val="17"/>
          <w:szCs w:val="17"/>
          <w:color w:val="auto"/>
        </w:rPr>
        <w:t>In the event that we seek shareholder approval of our initial business combination, we will distribute proxy materials and, in connection therewith, provide our public shareholders with the redemption rights described above upon completion of the initial business combination.</w:t>
      </w:r>
    </w:p>
    <w:p>
      <w:pPr>
        <w:spacing w:after="0" w:line="161"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If we seek shareholder approval, we will complete our initial business combination only if a majority of the ordinary shares, represented in person or by proxy and entitled to vote thereon, voted at a shareholder meeting are voted in favor of the business combination. In such case, our sponsor and each member of our management team have agreed to vote their founder shares, private placement shares and public shares purchased during or after this offering in favor of our initial business combination. As a result, in addition to our initial shareholders’ founder shares and private placement shares, we would need 4,462,501, or 35.70%, of the 12,500,000 public shares sold in this offering to be voted in favor of an initial business combination in order to have our initial business combination approved (assuming all issued and outstanding shares are voted, the private placement shares to be issued to our sponsor are voted in favor of the transaction and the over-allotment option is not exercised). Each public shareholder may elect to redeem their public shares irrespective of whether they vote for or against the proposed transaction or vote at all. In addition, our sponsor and our management team have entered into an agreement with us, pursuant to which they have agreed to waive their redemption rights with respect to their founder shares, private placement shares and any public shares purchased during or after this offering in connection with (i) the completion of our initial business combination and (ii) a shareholder vote to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w:t>
      </w:r>
    </w:p>
    <w:p>
      <w:pPr>
        <w:spacing w:after="0" w:line="148"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If we conduct redemptions pursuant to the tender offer rules of the SEC, we will, pursuant to our amended and restated memorandum and articles of association:</w:t>
      </w:r>
    </w:p>
    <w:p>
      <w:pPr>
        <w:spacing w:after="0" w:line="90" w:lineRule="exact"/>
        <w:rPr>
          <w:sz w:val="20"/>
          <w:szCs w:val="20"/>
          <w:color w:val="auto"/>
        </w:rPr>
      </w:pPr>
    </w:p>
    <w:p>
      <w:pPr>
        <w:ind w:left="580"/>
        <w:spacing w:after="0" w:line="243" w:lineRule="auto"/>
        <w:rPr>
          <w:sz w:val="20"/>
          <w:szCs w:val="20"/>
          <w:color w:val="auto"/>
        </w:rPr>
      </w:pPr>
      <w:r>
        <w:rPr>
          <w:rFonts w:ascii="Arial" w:cs="Arial" w:eastAsia="Arial" w:hAnsi="Arial"/>
          <w:sz w:val="17"/>
          <w:szCs w:val="17"/>
          <w:color w:val="auto"/>
        </w:rPr>
        <w:t>conduct the redemptions pursuant to Rule 13e-4 and Regulation 14E of the Exchange Act, which regulate issuer tender offers; and</w:t>
      </w:r>
    </w:p>
    <w:p>
      <w:pPr>
        <w:spacing w:after="0" w:line="90" w:lineRule="exact"/>
        <w:rPr>
          <w:sz w:val="20"/>
          <w:szCs w:val="20"/>
          <w:color w:val="auto"/>
        </w:rPr>
      </w:pPr>
    </w:p>
    <w:p>
      <w:pPr>
        <w:ind w:left="580" w:right="60"/>
        <w:spacing w:after="0" w:line="238" w:lineRule="auto"/>
        <w:rPr>
          <w:sz w:val="20"/>
          <w:szCs w:val="20"/>
          <w:color w:val="auto"/>
        </w:rPr>
      </w:pPr>
      <w:r>
        <w:rPr>
          <w:rFonts w:ascii="Arial" w:cs="Arial" w:eastAsia="Arial" w:hAnsi="Arial"/>
          <w:sz w:val="17"/>
          <w:szCs w:val="17"/>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161" w:lineRule="exact"/>
        <w:rPr>
          <w:sz w:val="20"/>
          <w:szCs w:val="20"/>
          <w:color w:val="auto"/>
        </w:rPr>
      </w:pPr>
    </w:p>
    <w:p>
      <w:pPr>
        <w:ind w:right="520"/>
        <w:spacing w:after="0" w:line="238" w:lineRule="auto"/>
        <w:rPr>
          <w:sz w:val="20"/>
          <w:szCs w:val="20"/>
          <w:color w:val="auto"/>
        </w:rPr>
      </w:pPr>
      <w:r>
        <w:rPr>
          <w:rFonts w:ascii="Arial" w:cs="Arial" w:eastAsia="Arial" w:hAnsi="Arial"/>
          <w:sz w:val="17"/>
          <w:szCs w:val="17"/>
          <w:color w:val="auto"/>
        </w:rPr>
        <w:t>Upon the public announcement of our initial business combination, we or our sponsor will terminate any plan established in accordance with Rule 10b5-1 to purchase Class A ordinary shares in the open market if we elect to redeem our public shares through a tender offer, to comply with Rule 14e-5 under the Exchange Act.</w:t>
      </w:r>
    </w:p>
    <w:p>
      <w:pPr>
        <w:spacing w:after="0" w:line="161"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shareholders not tendering more than the number of public shares we are permitted to redeem. If public shareholders tender more shares than we have offered to purchase, we will withdraw the tender offer and not complete the initial business combination.</w:t>
      </w:r>
    </w:p>
    <w:p>
      <w:pPr>
        <w:spacing w:after="0" w:line="222" w:lineRule="exact"/>
        <w:rPr>
          <w:sz w:val="20"/>
          <w:szCs w:val="20"/>
          <w:color w:val="auto"/>
        </w:rPr>
      </w:pPr>
    </w:p>
    <w:p>
      <w:pPr>
        <w:ind w:right="620"/>
        <w:spacing w:after="0" w:line="267" w:lineRule="auto"/>
        <w:rPr>
          <w:sz w:val="20"/>
          <w:szCs w:val="20"/>
          <w:color w:val="auto"/>
        </w:rPr>
      </w:pPr>
      <w:r>
        <w:rPr>
          <w:rFonts w:ascii="Arial" w:cs="Arial" w:eastAsia="Arial" w:hAnsi="Arial"/>
          <w:sz w:val="17"/>
          <w:szCs w:val="17"/>
          <w:b w:val="1"/>
          <w:bCs w:val="1"/>
          <w:color w:val="auto"/>
        </w:rPr>
        <w:t>Limitation on Redemption upon Completion of Our Initial Business Combination If We Seek Shareholder Approval</w:t>
      </w:r>
    </w:p>
    <w:p>
      <w:pPr>
        <w:spacing w:after="0" w:line="139"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86" w:name="page87"/>
    <w:bookmarkEnd w:id="8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person with whom such shareholder is acting in concert or as a “group” (as defined under Section 13 of the Exchange Act), will be restricted from seeking redemption rights with respect to Excess Shares, without our prior consent. We believe this restriction will discourage shareholders from accumulating large blocks of shares, and subsequent attempts by such holders to use their ability to exercise their redemption rights against a proposed business combination as a means to force us or our management to purchase their shares at a significant premium to the then-current market price or on other undesirable terms. Absent this provision, a public shareholder holding more than an aggregate of 15% of the shares sold in this offering could threaten to exercise its redemption rights if such holder’s shares are not purchased by us, our sponsor or our management team at a premium to the then-current market price or on other undesirable terms. By limiting our shareholders’ ability to redeem no more than 15% of the shares sold in this offering without our prior consent, we believe we will limit the ability of a small group of shareholders to unreasonably attempt to block our ability to complete our initial business combination, particularly in connection with a business combination with a target that requires as a closing condition that we have a minimum net worth or a certain amount of cash.</w:t>
      </w:r>
    </w:p>
    <w:p>
      <w:pPr>
        <w:spacing w:after="0" w:line="166"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However, we would not be restricting our shareholders’ ability to vote all of their shares (including Excess Shares) for or against our initial business combination.</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Tendering Share Certificates in Connection with a Tender Offer or Redemption Rights</w:t>
      </w:r>
    </w:p>
    <w:p>
      <w:pPr>
        <w:spacing w:after="0" w:line="189"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Public shareholders seeking to exercise their redemption rights, whether they are record holders or hold their shares in “street name,” will be required to either tender their certificates (if any) to our transfer agent prior to the date set forth in the proxy solicitation or tender offer materials, as applicable, mailed to such holders, or to deliver their shares to the transfer agent electronically using The Depository Trust Company’s DWAC (Deposit/ Withdrawal At Custodian) System, at the holder’s option, in each case up to two business days prior to the initially scheduled vote to approve the business combination. The proxy solicitation or tender offer materials, as applicable, that we will furnish to holders of our public shares in connection with our initial business combination will indicate the applicable delivery requirements, which may include the requirement that a beneficial holder must identify itself in order to validly redeem its shares. Accordingly, a public shareholder would have from the time we send out our tender offer materials until the close of the tender offer period, or up to two business days prior to the initially scheduled vote on the proposal to approve the business combination if we distribute proxy materials, as applicable, to tender its shares if it wishes to seek to exercise its redemption rights. Given the relatively short period in which to exercise redemption rights, it is advisable for shareholders to use electronic delivery of their public shares.</w:t>
      </w:r>
    </w:p>
    <w:p>
      <w:pPr>
        <w:spacing w:after="0" w:line="165"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There is a nominal cost associated with the above-referenced tendering process and the act of certificating the shares or delivering them through the DWAC System. The transfer agent will typically charge the tendering broker a fee of approximately $80.00 and it would be up to the broker whether or not to pass this cost on to the redeeming holder. However, this fee would be incurred regardless of whether or not we require holders seeking to exercise redemption rights to tender their shares. The need to deliver shares is a requirement of exercising redemption rights regardless of the timing of when such delivery must be effectuated.</w:t>
      </w:r>
    </w:p>
    <w:p>
      <w:pPr>
        <w:spacing w:after="0" w:line="148"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The foregoing is different from the procedures used by many blank check companies. In order to perfect redemption rights in connection with their business combinations, many blank check companies would distribute proxy materials for the shareholders’ vote on an initial business combination, and a holder could simply vote against a proposed business combination and check a box on the proxy card indicating such holder was seeking to exercise his or her redemption rights. After the business combination was approved, the company would contact such shareholder to arrange for him or her to deliver his or her certificate to verify ownership. As a result, the shareholder then had an “option window” after the completion of the business combination during which he or she could monitor the price of the company’s shares in the market. If the price rose above the redemption price, he or she could sell his or her shares in the open market before actually delivering his or her shares to the company for cancellation. As a result, the redemption rights, to which shareholders were aware they needed to commit before the shareholder meeting, would become “option” rights surviving past the completion of the business combination until the redeeming holder delivered its certificate. The requirement for physical or electronic delivery prior to the meeting ensures that a redeeming shareholder’s election to redeem is irrevocable once the business combination is approved.</w:t>
      </w:r>
    </w:p>
    <w:p>
      <w:pPr>
        <w:spacing w:after="0" w:line="165" w:lineRule="exact"/>
        <w:rPr>
          <w:sz w:val="20"/>
          <w:szCs w:val="20"/>
          <w:color w:val="auto"/>
        </w:rPr>
      </w:pPr>
    </w:p>
    <w:p>
      <w:pPr>
        <w:ind w:right="320"/>
        <w:spacing w:after="0" w:line="243" w:lineRule="auto"/>
        <w:rPr>
          <w:sz w:val="20"/>
          <w:szCs w:val="20"/>
          <w:color w:val="auto"/>
        </w:rPr>
      </w:pPr>
      <w:r>
        <w:rPr>
          <w:rFonts w:ascii="Arial" w:cs="Arial" w:eastAsia="Arial" w:hAnsi="Arial"/>
          <w:sz w:val="17"/>
          <w:szCs w:val="17"/>
          <w:color w:val="auto"/>
        </w:rPr>
        <w:t>Any request to redeem such shares, once made, may be withdrawn at any time up to two business days prior to the initially scheduled vote on the proposal to approve the business combination, unless otherwise agreed to by us.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87" w:name="page88"/>
    <w:bookmarkEnd w:id="8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59"/>
        <w:spacing w:after="0" w:line="235" w:lineRule="auto"/>
        <w:rPr>
          <w:sz w:val="20"/>
          <w:szCs w:val="20"/>
          <w:color w:val="auto"/>
        </w:rPr>
      </w:pPr>
      <w:r>
        <w:rPr>
          <w:rFonts w:ascii="Arial" w:cs="Arial" w:eastAsia="Arial" w:hAnsi="Arial"/>
          <w:sz w:val="17"/>
          <w:szCs w:val="17"/>
          <w:color w:val="auto"/>
        </w:rPr>
        <w:t>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initial business combination.</w:t>
      </w:r>
    </w:p>
    <w:p>
      <w:pPr>
        <w:spacing w:after="0" w:line="163" w:lineRule="exact"/>
        <w:rPr>
          <w:sz w:val="20"/>
          <w:szCs w:val="20"/>
          <w:color w:val="auto"/>
        </w:rPr>
      </w:pPr>
    </w:p>
    <w:p>
      <w:pPr>
        <w:ind w:right="39"/>
        <w:spacing w:after="0" w:line="236" w:lineRule="auto"/>
        <w:rPr>
          <w:sz w:val="20"/>
          <w:szCs w:val="20"/>
          <w:color w:val="auto"/>
        </w:rPr>
      </w:pPr>
      <w:r>
        <w:rPr>
          <w:rFonts w:ascii="Arial" w:cs="Arial" w:eastAsia="Arial" w:hAnsi="Arial"/>
          <w:sz w:val="17"/>
          <w:szCs w:val="17"/>
          <w:color w:val="auto"/>
        </w:rPr>
        <w:t>If our initial business combination is not approved or completed for any reason, then our public shareholders who elected to exercise their redemption rights would not be entitled to redeem their shares for the applicable pro rata share of the trust account. In such case, we will promptly return any certificates delivered by public holders who elected to redeem their shares.</w:t>
      </w:r>
    </w:p>
    <w:p>
      <w:pPr>
        <w:spacing w:after="0" w:line="163" w:lineRule="exact"/>
        <w:rPr>
          <w:sz w:val="20"/>
          <w:szCs w:val="20"/>
          <w:color w:val="auto"/>
        </w:rPr>
      </w:pPr>
    </w:p>
    <w:p>
      <w:pPr>
        <w:ind w:right="879"/>
        <w:spacing w:after="0" w:line="243" w:lineRule="auto"/>
        <w:rPr>
          <w:sz w:val="20"/>
          <w:szCs w:val="20"/>
          <w:color w:val="auto"/>
        </w:rPr>
      </w:pPr>
      <w:r>
        <w:rPr>
          <w:rFonts w:ascii="Arial" w:cs="Arial" w:eastAsia="Arial" w:hAnsi="Arial"/>
          <w:sz w:val="17"/>
          <w:szCs w:val="17"/>
          <w:color w:val="auto"/>
        </w:rPr>
        <w:t>If our initial proposed business combination is not completed, we may continue to try to complete a business combination with a different target until 24 months from the closing of this offering.</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Redemption of Public Shares and Liquidation If No Initial Business Combination</w:t>
      </w:r>
    </w:p>
    <w:p>
      <w:pPr>
        <w:spacing w:after="0" w:line="189" w:lineRule="exact"/>
        <w:rPr>
          <w:sz w:val="20"/>
          <w:szCs w:val="20"/>
          <w:color w:val="auto"/>
        </w:rPr>
      </w:pPr>
    </w:p>
    <w:p>
      <w:pPr>
        <w:ind w:right="79"/>
        <w:spacing w:after="0" w:line="233" w:lineRule="auto"/>
        <w:rPr>
          <w:sz w:val="20"/>
          <w:szCs w:val="20"/>
          <w:color w:val="auto"/>
        </w:rPr>
      </w:pPr>
      <w:r>
        <w:rPr>
          <w:rFonts w:ascii="Arial" w:cs="Arial" w:eastAsia="Arial" w:hAnsi="Arial"/>
          <w:sz w:val="17"/>
          <w:szCs w:val="17"/>
          <w:color w:val="auto"/>
        </w:rPr>
        <w:t>Our amended and restated memorandum and articles of association will provide that we will have only 24 months from the closing of this offering to consummate an initial business combination. If we do not consummate an initial business combination within 24 months from the closing of this offering,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the requirements of other applicable law. Our amended and restated memorandum and articles of association will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spacing w:after="0" w:line="150" w:lineRule="exact"/>
        <w:rPr>
          <w:sz w:val="20"/>
          <w:szCs w:val="20"/>
          <w:color w:val="auto"/>
        </w:rPr>
      </w:pPr>
    </w:p>
    <w:p>
      <w:pPr>
        <w:ind w:right="59"/>
        <w:spacing w:after="0" w:line="235" w:lineRule="auto"/>
        <w:rPr>
          <w:sz w:val="20"/>
          <w:szCs w:val="20"/>
          <w:color w:val="auto"/>
        </w:rPr>
      </w:pPr>
      <w:r>
        <w:rPr>
          <w:rFonts w:ascii="Arial" w:cs="Arial" w:eastAsia="Arial" w:hAnsi="Arial"/>
          <w:sz w:val="17"/>
          <w:szCs w:val="17"/>
          <w:color w:val="auto"/>
        </w:rPr>
        <w:t>Our sponsor and each member of our management team have entered into an agreement with us, pursuant to which they have agreed to waive their rights to liquidating distributions from the trust account with respect to any founder shares or private placement shares they hold if we fail to consummate an initial business combination within 24 months from the closing of this offering (although they will be entitled to liquidating distributions from the trust account with respect to any public shares they hold if we fail to complete our initial business combination within 24 months from the closing of this offering).</w:t>
      </w:r>
    </w:p>
    <w:p>
      <w:pPr>
        <w:spacing w:after="0" w:line="161" w:lineRule="exact"/>
        <w:rPr>
          <w:sz w:val="20"/>
          <w:szCs w:val="20"/>
          <w:color w:val="auto"/>
        </w:rPr>
      </w:pPr>
    </w:p>
    <w:p>
      <w:pPr>
        <w:ind w:right="39"/>
        <w:spacing w:after="0" w:line="233" w:lineRule="auto"/>
        <w:rPr>
          <w:sz w:val="20"/>
          <w:szCs w:val="20"/>
          <w:color w:val="auto"/>
        </w:rPr>
      </w:pPr>
      <w:r>
        <w:rPr>
          <w:rFonts w:ascii="Arial" w:cs="Arial" w:eastAsia="Arial" w:hAnsi="Arial"/>
          <w:sz w:val="17"/>
          <w:szCs w:val="17"/>
          <w:color w:val="auto"/>
        </w:rPr>
        <w:t>Our sponsor, executive officers, directors and director nominees have agreed, pursuant to a written agreement with us, that they will not propose any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 unless we provide our public shareholders with the opportunity to redeem their public shares upon approval of any such amendment at a per-share price, payable in cash, equal to the aggregate amount then on deposit in the trust account, including interest earned on the funds held in the trust account and not previously released to us to pay our income taxes, if any, divided by the number of the then-outstanding public shares. However, we may not redeem our public shares in an amount that would cause our net tangible assets to be less than $5,000,001 (so that we do not then become subject to the SEC’s “penny stock” rules). If this optional redemption right is exercised with respect to an excessive number of public shares such that we cannot satisfy the net tangible asset requirement, we would not proceed with the amendment or the related redemption of our public shares at such time. This redemption right shall apply in the event of the approval of any such amendment, whether proposed by our sponsor, any executive officer, director or director nominee, or any other person.</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bookmarkStart w:id="88" w:name="page89"/>
    <w:bookmarkEnd w:id="8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We expect that all costs and expenses associated with implementing our plan of dissolution, as well as payments to any creditors, will be funded from amounts remaining out of the $1,000,000 of proceeds held outside the trust account plus up to $100,000 of funds from the trust account available to us to pay dissolution expenses, although we cannot assure you that there will be sufficient funds for such purpose.</w:t>
      </w:r>
    </w:p>
    <w:p>
      <w:pPr>
        <w:spacing w:after="0" w:line="163"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If we were to expend all of the net proceeds of this offering and the sale of the private placement shares, other than the proceeds deposited in the trust account, and without taking into account interest, if any, earned on the trust account, the per-share redemption amount received by shareholders upon our dissolution would be $10.00. The proceeds deposited in the trust account could, however, become subject to the claims of our creditors which would have higher priority than the claims of our public shareholders. We cannot assure you that the actual per-share redemption amount received by shareholders will not be less than $10.00. While we intend to pay such amounts, if any, we cannot assure you that we will have funds sufficient to pay or provide for all creditors’ claims.</w:t>
      </w:r>
    </w:p>
    <w:p>
      <w:pPr>
        <w:spacing w:after="0" w:line="164"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 xml:space="preserve">Although we will seek to have all vendors, service providers (excluding our independent registered public accounting firm), prospective target businesses and other entities with which we do business execute agreements with us waiving any right, title, interest or claim of any kind in or to any monies held in the trust account for the benefit of our public shareholders,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The underwriters will not execute agreements with us waiving such claims to the monies held in the trust account. In addition, there is no guarantee that such entities will agree to waive any claims they may have in the future as a result of, or arising out of, any negotiations, contracts or agreements with us and will not seek recourse against the trust account for any reason. In order to protect the amounts held in the trust account, our sponsor has agreed that it will be liable to us if and to the extent any claims by a vendor for services rendered or products sold to us, or a prospective target business with which we have discussed entering into a transaction agreement, reduce the amounts in the trust account to below the lesser of (i) $10.00 per public share and (ii) the actual amount per public share held in the trust account as of the date of the liquidation of the trust account if less than $10.00 per public share due to reductions in the value of the trust assets, in each case net of the interest that may be withdrawn to pay our tax obligations,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liability will not apply to any claims by a third party or prospective target business who executed a waiver of any and all rights to seek access to the trust account nor will it apply to any claims under our indemnity of the underwriters of this offering against certain liabilities, including liabilities under the Securities Act. In the event that an executed waiver is deemed to be unenforceable against a third party, our sponsor will not be responsible to the extent of any liability for such third party claims. However, we have not asked our sponsor to reserve for such indemnification obligations, nor have we independently verified whether our sponsor has sufficient funds to satisfy its indemnity obligations and we believe that our sponsor’s only assets are securities of our company. Our sponsor may not be able to satisfy those obligations. None of our officers or directors will indemnify us for claims by third parties including, without limitation, claims by vendors and prospective target businesses.</w:t>
      </w:r>
    </w:p>
    <w:p>
      <w:pPr>
        <w:spacing w:after="0" w:line="163"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In the event that the proceeds in the trust account are reduced below the lesser of (i) $10.00 per public share and (ii) the actual amount per public share held in the trust account as of the date of the liquidation of the trust account if less than $10.00 per public share due to reductions in the value of the trust assets, in each case net of the interest that may be withdrawn to pay our tax obligations,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89" w:name="page90"/>
    <w:bookmarkEnd w:id="8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340"/>
        <w:spacing w:after="0" w:line="243" w:lineRule="auto"/>
        <w:rPr>
          <w:sz w:val="20"/>
          <w:szCs w:val="20"/>
          <w:color w:val="auto"/>
        </w:rPr>
      </w:pPr>
      <w:r>
        <w:rPr>
          <w:rFonts w:ascii="Arial" w:cs="Arial" w:eastAsia="Arial" w:hAnsi="Arial"/>
          <w:sz w:val="17"/>
          <w:szCs w:val="17"/>
          <w:color w:val="auto"/>
        </w:rPr>
        <w:t>choose not to do so in any particular instance. Accordingly, we cannot assure you that due to claims of creditors the actual value of the per-share redemption price will not be less than $10.00 per public share.</w:t>
      </w:r>
    </w:p>
    <w:p>
      <w:pPr>
        <w:spacing w:after="0" w:line="158"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We will seek to reduce the possibility that our sponsor will have to indemnify the trust account due to claims of creditors by endeavoring to have all vendors, service providers (excluding our independent registered public accounting firm),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underwriters of this offering against certain liabilities, including liabilities under the Securities Act. We will have access to up to $1,000,000 from the proceeds of this offering and the sale of the private placement shares with which to pay any such potential claims (including costs and expenses incurred in connection with our liquidation, currently estimated to be no more than approximately $100,000). In the event that we liquidate and it is subsequently determined that the reserve for claims and liabilities is insufficient, shareholders who received funds from our trust account could be liable for claims made by creditors; however such liability will not be greater than the amount of funds from our trust account received by any such shareholder. In the event that our offering expenses exceed our estimate of $1,000,000, we may fund such excess with funds from the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w:t>
      </w:r>
    </w:p>
    <w:p>
      <w:pPr>
        <w:spacing w:after="0" w:line="16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If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we cannot assure you we will be able to return $10.00 per public share to our public shareholders. Additionally, if we file a bankruptcy petition or an involuntary bankruptcy petition is filed against us that is not dismissed, any distributions received by shareholders could be viewed under applicable debtor/creditor and/or bankruptcy laws as either a “preferential transfer” or a “fraudulent conveyance.”</w:t>
      </w:r>
    </w:p>
    <w:p>
      <w:pPr>
        <w:spacing w:after="0" w:line="151"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As a result, a bankruptcy court could seek to recover some or all amounts received by our shareholders. Furthermore, our board of directors may be viewed as having breached its fiduciary duty to our creditors and/or may have acted in bad faith, and thereby exposing itself and our company to claims of punitive damages, by paying public shareholders from the trust account prior to addressing the claims of creditors. We cannot assure you that claims will not be brought against us for these reasons.</w:t>
      </w:r>
    </w:p>
    <w:p>
      <w:pPr>
        <w:spacing w:after="0" w:line="163" w:lineRule="exact"/>
        <w:rPr>
          <w:sz w:val="20"/>
          <w:szCs w:val="20"/>
          <w:color w:val="auto"/>
        </w:rPr>
      </w:pPr>
    </w:p>
    <w:p>
      <w:pPr>
        <w:ind w:right="40"/>
        <w:spacing w:after="0" w:line="232" w:lineRule="auto"/>
        <w:rPr>
          <w:sz w:val="20"/>
          <w:szCs w:val="20"/>
          <w:color w:val="auto"/>
        </w:rPr>
      </w:pPr>
      <w:r>
        <w:rPr>
          <w:rFonts w:ascii="Arial" w:cs="Arial" w:eastAsia="Arial" w:hAnsi="Arial"/>
          <w:sz w:val="17"/>
          <w:szCs w:val="17"/>
          <w:color w:val="auto"/>
        </w:rPr>
        <w:t>Our public shareholders will be entitled to receive funds from the trust account only (i) in the event of the redemption of our public shares if we do not consummate an initial business combination within 24 months from the closing of this offering, (ii) in connection with a shareholder vote to amend our amended and restated memorandum and articles of association (A) to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w:t>
      </w:r>
    </w:p>
    <w:p>
      <w:pPr>
        <w:ind w:firstLine="8"/>
        <w:spacing w:after="0" w:line="233" w:lineRule="auto"/>
        <w:tabs>
          <w:tab w:leader="none" w:pos="275" w:val="left"/>
        </w:tabs>
        <w:numPr>
          <w:ilvl w:val="0"/>
          <w:numId w:val="18"/>
        </w:numPr>
        <w:rPr>
          <w:rFonts w:ascii="Arial" w:cs="Arial" w:eastAsia="Arial" w:hAnsi="Arial"/>
          <w:sz w:val="17"/>
          <w:szCs w:val="17"/>
          <w:color w:val="auto"/>
        </w:rPr>
      </w:pPr>
      <w:r>
        <w:rPr>
          <w:rFonts w:ascii="Arial" w:cs="Arial" w:eastAsia="Arial" w:hAnsi="Arial"/>
          <w:sz w:val="17"/>
          <w:szCs w:val="17"/>
          <w:color w:val="auto"/>
        </w:rPr>
        <w:t>with respect to any other provision relating to the rights of holders of our Class A ordinary shares, and (iii) if they redeem their respective shares for cash upon the completion of the initial business combination. Public shareholders who redeem their Class A ordinary shares in connection with a shareholder vote described in clause (ii) in the preceding sentence shall not be entitled to funds from the trust account upon the subsequent completion of an initial business combination or liquidation if we have not consummated an initial business combination within 24 months from the closing of this offering, with respect to such Class A ordinary shares so redeemed. In no other circumstances will a shareholder have any right or interest of any kind to or in the trust account. In the event we seek shareholder approval in connection with our initial business combination, a shareholder’s voting in connection with the business combination alone will not result in a shareholder’s redeeming its shares to us for an applicable pro rata share of the trust account. Such shareholder must have also exercised its redemption rights described above. These provisions of our amended and restated memorandum and articles of association, like all provisions of our amended and restated memorandum and articles of association, may be amended with a shareholder vote.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90" w:name="page91"/>
    <w:bookmarkEnd w:id="9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19"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b w:val="1"/>
          <w:bCs w:val="1"/>
          <w:color w:val="auto"/>
        </w:rPr>
        <w:t>Comparison of Redemption or Purchase Prices in Connection with Our Initial Business Combination and If We Fail to Complete Our Initial Business Combination.</w:t>
      </w:r>
    </w:p>
    <w:p>
      <w:pPr>
        <w:spacing w:after="0" w:line="139" w:lineRule="exact"/>
        <w:rPr>
          <w:sz w:val="20"/>
          <w:szCs w:val="20"/>
          <w:color w:val="auto"/>
        </w:rPr>
      </w:pPr>
    </w:p>
    <w:p>
      <w:pPr>
        <w:ind w:right="240"/>
        <w:spacing w:after="0" w:line="238" w:lineRule="auto"/>
        <w:rPr>
          <w:sz w:val="20"/>
          <w:szCs w:val="20"/>
          <w:color w:val="auto"/>
        </w:rPr>
      </w:pPr>
      <w:r>
        <w:rPr>
          <w:rFonts w:ascii="Arial" w:cs="Arial" w:eastAsia="Arial" w:hAnsi="Arial"/>
          <w:sz w:val="17"/>
          <w:szCs w:val="17"/>
          <w:color w:val="auto"/>
        </w:rPr>
        <w:t>The following table compares the redemptions and other permitted purchases of public shares that may take place in connection with the completion of our initial business combination and if we do not consummate an initial business combination within 24 months from the closing of this offering.</w:t>
      </w:r>
    </w:p>
    <w:p>
      <w:pPr>
        <w:spacing w:after="0" w:line="302" w:lineRule="exact"/>
        <w:rPr>
          <w:sz w:val="20"/>
          <w:szCs w:val="20"/>
          <w:color w:val="auto"/>
        </w:rPr>
      </w:pPr>
    </w:p>
    <w:tbl>
      <w:tblPr>
        <w:tblLayout w:type="fixed"/>
        <w:tblInd w:w="2280" w:type="dxa"/>
        <w:tblCellMar>
          <w:top w:w="0" w:type="dxa"/>
          <w:left w:w="0" w:type="dxa"/>
          <w:bottom w:w="0" w:type="dxa"/>
          <w:right w:w="0" w:type="dxa"/>
        </w:tblCellMar>
      </w:tblPr>
      <w:tr>
        <w:trPr>
          <w:trHeight w:val="162"/>
        </w:trPr>
        <w:tc>
          <w:tcPr>
            <w:tcW w:w="1820" w:type="dxa"/>
            <w:vAlign w:val="bottom"/>
          </w:tcPr>
          <w:p>
            <w:pPr>
              <w:spacing w:after="0"/>
              <w:rPr>
                <w:sz w:val="20"/>
                <w:szCs w:val="20"/>
                <w:color w:val="auto"/>
              </w:rPr>
            </w:pPr>
            <w:r>
              <w:rPr>
                <w:rFonts w:ascii="Arial" w:cs="Arial" w:eastAsia="Arial" w:hAnsi="Arial"/>
                <w:sz w:val="14"/>
                <w:szCs w:val="14"/>
                <w:b w:val="1"/>
                <w:bCs w:val="1"/>
                <w:color w:val="auto"/>
              </w:rPr>
              <w:t>REDEMPTIONS IN</w:t>
            </w:r>
          </w:p>
        </w:tc>
        <w:tc>
          <w:tcPr>
            <w:tcW w:w="2740" w:type="dxa"/>
            <w:vAlign w:val="bottom"/>
          </w:tcPr>
          <w:p>
            <w:pPr>
              <w:spacing w:after="0"/>
              <w:rPr>
                <w:sz w:val="14"/>
                <w:szCs w:val="14"/>
                <w:color w:val="auto"/>
              </w:rPr>
            </w:pPr>
          </w:p>
        </w:tc>
        <w:tc>
          <w:tcPr>
            <w:tcW w:w="2020" w:type="dxa"/>
            <w:vAlign w:val="bottom"/>
          </w:tcPr>
          <w:p>
            <w:pPr>
              <w:ind w:left="180"/>
              <w:spacing w:after="0"/>
              <w:rPr>
                <w:sz w:val="20"/>
                <w:szCs w:val="20"/>
                <w:color w:val="auto"/>
              </w:rPr>
            </w:pPr>
            <w:r>
              <w:rPr>
                <w:rFonts w:ascii="Arial" w:cs="Arial" w:eastAsia="Arial" w:hAnsi="Arial"/>
                <w:sz w:val="14"/>
                <w:szCs w:val="14"/>
                <w:b w:val="1"/>
                <w:bCs w:val="1"/>
                <w:color w:val="auto"/>
              </w:rPr>
              <w:t>REDEMPTIONS IF WE FAIL</w:t>
            </w:r>
          </w:p>
        </w:tc>
      </w:tr>
      <w:tr>
        <w:trPr>
          <w:trHeight w:val="162"/>
        </w:trPr>
        <w:tc>
          <w:tcPr>
            <w:tcW w:w="1820" w:type="dxa"/>
            <w:vAlign w:val="bottom"/>
          </w:tcPr>
          <w:p>
            <w:pPr>
              <w:spacing w:after="0"/>
              <w:rPr>
                <w:sz w:val="20"/>
                <w:szCs w:val="20"/>
                <w:color w:val="auto"/>
              </w:rPr>
            </w:pPr>
            <w:r>
              <w:rPr>
                <w:rFonts w:ascii="Arial" w:cs="Arial" w:eastAsia="Arial" w:hAnsi="Arial"/>
                <w:sz w:val="14"/>
                <w:szCs w:val="14"/>
                <w:b w:val="1"/>
                <w:bCs w:val="1"/>
                <w:color w:val="auto"/>
              </w:rPr>
              <w:t>CONNECTION</w:t>
            </w:r>
          </w:p>
        </w:tc>
        <w:tc>
          <w:tcPr>
            <w:tcW w:w="2740" w:type="dxa"/>
            <w:vAlign w:val="bottom"/>
          </w:tcPr>
          <w:p>
            <w:pPr>
              <w:ind w:left="560"/>
              <w:spacing w:after="0"/>
              <w:rPr>
                <w:sz w:val="20"/>
                <w:szCs w:val="20"/>
                <w:color w:val="auto"/>
              </w:rPr>
            </w:pPr>
            <w:r>
              <w:rPr>
                <w:rFonts w:ascii="Arial" w:cs="Arial" w:eastAsia="Arial" w:hAnsi="Arial"/>
                <w:sz w:val="14"/>
                <w:szCs w:val="14"/>
                <w:b w:val="1"/>
                <w:bCs w:val="1"/>
                <w:color w:val="auto"/>
              </w:rPr>
              <w:t>OTHER PERMITTED</w:t>
            </w:r>
          </w:p>
        </w:tc>
        <w:tc>
          <w:tcPr>
            <w:tcW w:w="2020" w:type="dxa"/>
            <w:vAlign w:val="bottom"/>
          </w:tcPr>
          <w:p>
            <w:pPr>
              <w:ind w:left="180"/>
              <w:spacing w:after="0"/>
              <w:rPr>
                <w:sz w:val="20"/>
                <w:szCs w:val="20"/>
                <w:color w:val="auto"/>
              </w:rPr>
            </w:pPr>
            <w:r>
              <w:rPr>
                <w:rFonts w:ascii="Arial" w:cs="Arial" w:eastAsia="Arial" w:hAnsi="Arial"/>
                <w:sz w:val="14"/>
                <w:szCs w:val="14"/>
                <w:b w:val="1"/>
                <w:bCs w:val="1"/>
                <w:color w:val="auto"/>
              </w:rPr>
              <w:t>TO</w:t>
            </w:r>
          </w:p>
        </w:tc>
      </w:tr>
      <w:tr>
        <w:trPr>
          <w:trHeight w:val="162"/>
        </w:trPr>
        <w:tc>
          <w:tcPr>
            <w:tcW w:w="1820" w:type="dxa"/>
            <w:vAlign w:val="bottom"/>
          </w:tcPr>
          <w:p>
            <w:pPr>
              <w:spacing w:after="0"/>
              <w:rPr>
                <w:sz w:val="20"/>
                <w:szCs w:val="20"/>
                <w:color w:val="auto"/>
              </w:rPr>
            </w:pPr>
            <w:r>
              <w:rPr>
                <w:rFonts w:ascii="Arial" w:cs="Arial" w:eastAsia="Arial" w:hAnsi="Arial"/>
                <w:sz w:val="14"/>
                <w:szCs w:val="14"/>
                <w:b w:val="1"/>
                <w:bCs w:val="1"/>
                <w:color w:val="auto"/>
              </w:rPr>
              <w:t>WITH OUR INITIAL</w:t>
            </w:r>
          </w:p>
        </w:tc>
        <w:tc>
          <w:tcPr>
            <w:tcW w:w="2740" w:type="dxa"/>
            <w:vAlign w:val="bottom"/>
          </w:tcPr>
          <w:p>
            <w:pPr>
              <w:ind w:left="560"/>
              <w:spacing w:after="0"/>
              <w:rPr>
                <w:sz w:val="20"/>
                <w:szCs w:val="20"/>
                <w:color w:val="auto"/>
              </w:rPr>
            </w:pPr>
            <w:r>
              <w:rPr>
                <w:rFonts w:ascii="Arial" w:cs="Arial" w:eastAsia="Arial" w:hAnsi="Arial"/>
                <w:sz w:val="14"/>
                <w:szCs w:val="14"/>
                <w:b w:val="1"/>
                <w:bCs w:val="1"/>
                <w:color w:val="auto"/>
              </w:rPr>
              <w:t>PURCHASES</w:t>
            </w:r>
          </w:p>
        </w:tc>
        <w:tc>
          <w:tcPr>
            <w:tcW w:w="2020" w:type="dxa"/>
            <w:vAlign w:val="bottom"/>
          </w:tcPr>
          <w:p>
            <w:pPr>
              <w:ind w:left="180"/>
              <w:spacing w:after="0"/>
              <w:rPr>
                <w:sz w:val="20"/>
                <w:szCs w:val="20"/>
                <w:color w:val="auto"/>
              </w:rPr>
            </w:pPr>
            <w:r>
              <w:rPr>
                <w:rFonts w:ascii="Arial" w:cs="Arial" w:eastAsia="Arial" w:hAnsi="Arial"/>
                <w:sz w:val="14"/>
                <w:szCs w:val="14"/>
                <w:b w:val="1"/>
                <w:bCs w:val="1"/>
                <w:color w:val="auto"/>
              </w:rPr>
              <w:t>COMPLETE AN INITIAL</w:t>
            </w:r>
          </w:p>
        </w:tc>
      </w:tr>
      <w:tr>
        <w:trPr>
          <w:trHeight w:val="162"/>
        </w:trPr>
        <w:tc>
          <w:tcPr>
            <w:tcW w:w="1820" w:type="dxa"/>
            <w:vAlign w:val="bottom"/>
          </w:tcPr>
          <w:p>
            <w:pPr>
              <w:spacing w:after="0"/>
              <w:rPr>
                <w:sz w:val="20"/>
                <w:szCs w:val="20"/>
                <w:color w:val="auto"/>
              </w:rPr>
            </w:pPr>
            <w:r>
              <w:rPr>
                <w:rFonts w:ascii="Arial" w:cs="Arial" w:eastAsia="Arial" w:hAnsi="Arial"/>
                <w:sz w:val="14"/>
                <w:szCs w:val="14"/>
                <w:b w:val="1"/>
                <w:bCs w:val="1"/>
                <w:color w:val="auto"/>
              </w:rPr>
              <w:t>BUSINESS</w:t>
            </w:r>
          </w:p>
        </w:tc>
        <w:tc>
          <w:tcPr>
            <w:tcW w:w="2740" w:type="dxa"/>
            <w:vAlign w:val="bottom"/>
          </w:tcPr>
          <w:p>
            <w:pPr>
              <w:ind w:left="560"/>
              <w:spacing w:after="0"/>
              <w:rPr>
                <w:sz w:val="20"/>
                <w:szCs w:val="20"/>
                <w:color w:val="auto"/>
              </w:rPr>
            </w:pPr>
            <w:r>
              <w:rPr>
                <w:rFonts w:ascii="Arial" w:cs="Arial" w:eastAsia="Arial" w:hAnsi="Arial"/>
                <w:sz w:val="14"/>
                <w:szCs w:val="14"/>
                <w:b w:val="1"/>
                <w:bCs w:val="1"/>
                <w:color w:val="auto"/>
              </w:rPr>
              <w:t>OF PUBLIC SHARES BY OUR</w:t>
            </w:r>
          </w:p>
        </w:tc>
        <w:tc>
          <w:tcPr>
            <w:tcW w:w="2020" w:type="dxa"/>
            <w:vAlign w:val="bottom"/>
          </w:tcPr>
          <w:p>
            <w:pPr>
              <w:ind w:left="180"/>
              <w:spacing w:after="0"/>
              <w:rPr>
                <w:sz w:val="20"/>
                <w:szCs w:val="20"/>
                <w:color w:val="auto"/>
              </w:rPr>
            </w:pPr>
            <w:r>
              <w:rPr>
                <w:rFonts w:ascii="Arial" w:cs="Arial" w:eastAsia="Arial" w:hAnsi="Arial"/>
                <w:sz w:val="14"/>
                <w:szCs w:val="14"/>
                <w:b w:val="1"/>
                <w:bCs w:val="1"/>
                <w:color w:val="auto"/>
              </w:rPr>
              <w:t>BUSINESS</w:t>
            </w:r>
          </w:p>
        </w:tc>
      </w:tr>
      <w:tr>
        <w:trPr>
          <w:trHeight w:val="190"/>
        </w:trPr>
        <w:tc>
          <w:tcPr>
            <w:tcW w:w="1820" w:type="dxa"/>
            <w:vAlign w:val="bottom"/>
          </w:tcPr>
          <w:p>
            <w:pPr>
              <w:spacing w:after="0"/>
              <w:rPr>
                <w:sz w:val="20"/>
                <w:szCs w:val="20"/>
                <w:color w:val="auto"/>
              </w:rPr>
            </w:pPr>
            <w:r>
              <w:rPr>
                <w:rFonts w:ascii="Arial" w:cs="Arial" w:eastAsia="Arial" w:hAnsi="Arial"/>
                <w:sz w:val="14"/>
                <w:szCs w:val="14"/>
                <w:b w:val="1"/>
                <w:bCs w:val="1"/>
                <w:color w:val="auto"/>
              </w:rPr>
              <w:t>COMBINATION</w:t>
            </w:r>
          </w:p>
        </w:tc>
        <w:tc>
          <w:tcPr>
            <w:tcW w:w="2740" w:type="dxa"/>
            <w:vAlign w:val="bottom"/>
          </w:tcPr>
          <w:p>
            <w:pPr>
              <w:ind w:left="560"/>
              <w:spacing w:after="0"/>
              <w:rPr>
                <w:sz w:val="20"/>
                <w:szCs w:val="20"/>
                <w:color w:val="auto"/>
              </w:rPr>
            </w:pPr>
            <w:r>
              <w:rPr>
                <w:rFonts w:ascii="Arial" w:cs="Arial" w:eastAsia="Arial" w:hAnsi="Arial"/>
                <w:sz w:val="14"/>
                <w:szCs w:val="14"/>
                <w:b w:val="1"/>
                <w:bCs w:val="1"/>
                <w:color w:val="auto"/>
              </w:rPr>
              <w:t>AFFILIATES</w:t>
            </w:r>
          </w:p>
        </w:tc>
        <w:tc>
          <w:tcPr>
            <w:tcW w:w="2020" w:type="dxa"/>
            <w:vAlign w:val="bottom"/>
          </w:tcPr>
          <w:p>
            <w:pPr>
              <w:ind w:left="180"/>
              <w:spacing w:after="0"/>
              <w:rPr>
                <w:sz w:val="20"/>
                <w:szCs w:val="20"/>
                <w:color w:val="auto"/>
              </w:rPr>
            </w:pPr>
            <w:r>
              <w:rPr>
                <w:rFonts w:ascii="Arial" w:cs="Arial" w:eastAsia="Arial" w:hAnsi="Arial"/>
                <w:sz w:val="14"/>
                <w:szCs w:val="14"/>
                <w:b w:val="1"/>
                <w:bCs w:val="1"/>
                <w:color w:val="auto"/>
              </w:rPr>
              <w:t>COMBINATION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33655</wp:posOffset>
            </wp:positionV>
            <wp:extent cx="431165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311650" cy="8890"/>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p>
      <w:pPr>
        <w:spacing w:after="0" w:line="94" w:lineRule="exact"/>
        <w:rPr>
          <w:sz w:val="20"/>
          <w:szCs w:val="20"/>
          <w:color w:val="auto"/>
        </w:rPr>
      </w:pPr>
    </w:p>
    <w:p>
      <w:pPr>
        <w:ind w:left="180" w:hanging="170"/>
        <w:spacing w:after="0" w:line="267" w:lineRule="auto"/>
        <w:rPr>
          <w:sz w:val="20"/>
          <w:szCs w:val="20"/>
          <w:color w:val="auto"/>
        </w:rPr>
      </w:pPr>
      <w:r>
        <w:rPr>
          <w:rFonts w:ascii="Arial" w:cs="Arial" w:eastAsia="Arial" w:hAnsi="Arial"/>
          <w:sz w:val="17"/>
          <w:szCs w:val="17"/>
          <w:b w:val="1"/>
          <w:bCs w:val="1"/>
          <w:color w:val="auto"/>
        </w:rPr>
        <w:t>Calculation of redemption price</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Redemptions at the time of our initial business combination may be made pursuant to a tender offer or in connection with a shareholder vote. The redemption price will be the same whether we conduct redemptions pursuant to a tender offer or in connection with a shareholder vote. In either case, our public shareholders may redeem their public shares for cash equal to the aggregate amount then on deposit in the trust account calculated as of two business days prior to the consummation of the initial business combination (which is initially anticipated to be $10.00 per share), including interest earned on the funds held in the trust account and not previously released to us to pay our income taxes, if any, divided by the number of the then-outstanding public shares, subject to the limitation that no redemptions will take place if all of the redemptions would cause our net tangible assets to be less than $5,000,001 and any limitations (including but not limited to cash requirements) agreed to in connection with the negotiation of</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If we seek shareholder approval of our initial business combination, our sponsor, directors, officers, advisors or their affiliates may purchase shares in privately negotiated transactions or in the open market either prior to or following completion of our initial business combination. There is no limit to the prices that our sponsor, directors, officers, advisors or their affiliates may pay in these transactions. If they engage in such transactions, they will be restricted from making any such purchases when they 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 however, if the purchasers determine at the time of any such purchases that the purchases are subject to such rules, the purchasers will be required</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right="140"/>
        <w:spacing w:after="0" w:line="232" w:lineRule="auto"/>
        <w:rPr>
          <w:sz w:val="20"/>
          <w:szCs w:val="20"/>
          <w:color w:val="auto"/>
        </w:rPr>
      </w:pPr>
      <w:r>
        <w:rPr>
          <w:rFonts w:ascii="Arial" w:cs="Arial" w:eastAsia="Arial" w:hAnsi="Arial"/>
          <w:sz w:val="17"/>
          <w:szCs w:val="17"/>
          <w:color w:val="auto"/>
        </w:rPr>
        <w:t>If we do not consummate an initial business combination within</w:t>
      </w:r>
    </w:p>
    <w:p>
      <w:pPr>
        <w:spacing w:after="0" w:line="248" w:lineRule="auto"/>
        <w:rPr>
          <w:sz w:val="20"/>
          <w:szCs w:val="20"/>
          <w:color w:val="auto"/>
        </w:rPr>
      </w:pPr>
      <w:r>
        <w:rPr>
          <w:rFonts w:ascii="Arial" w:cs="Arial" w:eastAsia="Arial" w:hAnsi="Arial"/>
          <w:sz w:val="16"/>
          <w:szCs w:val="16"/>
          <w:color w:val="auto"/>
        </w:rPr>
        <w:t>24 months from the closing of this offering, we will redeem all public shares at a per-share price, payable in cash, equal to the aggregate amount, then on deposit in the trust account (which is initially anticipated to be $10.00 per share), including interest earned on the funds held in the trust account and not previously released to us to pay our income taxes, if any (less up to $100,000 of interest to pay dissolution expenses) divided by the number of then outstanding public shares.</w:t>
      </w:r>
    </w:p>
    <w:p>
      <w:pPr>
        <w:spacing w:after="0" w:line="4525" w:lineRule="exact"/>
        <w:rPr>
          <w:sz w:val="20"/>
          <w:szCs w:val="20"/>
          <w:color w:val="auto"/>
        </w:rPr>
      </w:pPr>
    </w:p>
    <w:p>
      <w:pPr>
        <w:sectPr>
          <w:pgSz w:w="11900" w:h="16838" w:orient="portrait"/>
          <w:cols w:equalWidth="0" w:num="4">
            <w:col w:w="1560" w:space="720"/>
            <w:col w:w="2040" w:space="340"/>
            <w:col w:w="2040" w:space="320"/>
            <w:col w:w="2040"/>
          </w:cols>
          <w:pgMar w:left="1400" w:top="265" w:right="1439" w:bottom="1440" w:gutter="0" w:footer="0" w:header="0"/>
          <w:type w:val="continuous"/>
        </w:sectPr>
      </w:pP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type w:val="continuous"/>
        </w:sectPr>
      </w:pPr>
    </w:p>
    <w:bookmarkStart w:id="91" w:name="page92"/>
    <w:bookmarkEnd w:id="9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0" w:lineRule="exact"/>
        <w:rPr>
          <w:sz w:val="20"/>
          <w:szCs w:val="20"/>
          <w:color w:val="auto"/>
        </w:rPr>
      </w:pPr>
    </w:p>
    <w:tbl>
      <w:tblPr>
        <w:tblLayout w:type="fixed"/>
        <w:tblInd w:w="2280" w:type="dxa"/>
        <w:tblCellMar>
          <w:top w:w="0" w:type="dxa"/>
          <w:left w:w="0" w:type="dxa"/>
          <w:bottom w:w="0" w:type="dxa"/>
          <w:right w:w="0" w:type="dxa"/>
        </w:tblCellMar>
      </w:tblPr>
      <w:tr>
        <w:trPr>
          <w:trHeight w:val="162"/>
        </w:trPr>
        <w:tc>
          <w:tcPr>
            <w:tcW w:w="1820" w:type="dxa"/>
            <w:vAlign w:val="bottom"/>
          </w:tcPr>
          <w:p>
            <w:pPr>
              <w:spacing w:after="0"/>
              <w:rPr>
                <w:sz w:val="20"/>
                <w:szCs w:val="20"/>
                <w:color w:val="auto"/>
              </w:rPr>
            </w:pPr>
            <w:r>
              <w:rPr>
                <w:rFonts w:ascii="Arial" w:cs="Arial" w:eastAsia="Arial" w:hAnsi="Arial"/>
                <w:sz w:val="14"/>
                <w:szCs w:val="14"/>
                <w:b w:val="1"/>
                <w:bCs w:val="1"/>
                <w:color w:val="auto"/>
              </w:rPr>
              <w:t>REDEMPTIONS IN</w:t>
            </w:r>
          </w:p>
        </w:tc>
        <w:tc>
          <w:tcPr>
            <w:tcW w:w="2740" w:type="dxa"/>
            <w:vAlign w:val="bottom"/>
          </w:tcPr>
          <w:p>
            <w:pPr>
              <w:spacing w:after="0"/>
              <w:rPr>
                <w:sz w:val="14"/>
                <w:szCs w:val="14"/>
                <w:color w:val="auto"/>
              </w:rPr>
            </w:pPr>
          </w:p>
        </w:tc>
        <w:tc>
          <w:tcPr>
            <w:tcW w:w="2020" w:type="dxa"/>
            <w:vAlign w:val="bottom"/>
          </w:tcPr>
          <w:p>
            <w:pPr>
              <w:ind w:left="180"/>
              <w:spacing w:after="0"/>
              <w:rPr>
                <w:sz w:val="20"/>
                <w:szCs w:val="20"/>
                <w:color w:val="auto"/>
              </w:rPr>
            </w:pPr>
            <w:r>
              <w:rPr>
                <w:rFonts w:ascii="Arial" w:cs="Arial" w:eastAsia="Arial" w:hAnsi="Arial"/>
                <w:sz w:val="14"/>
                <w:szCs w:val="14"/>
                <w:b w:val="1"/>
                <w:bCs w:val="1"/>
                <w:color w:val="auto"/>
              </w:rPr>
              <w:t>REDEMPTIONS IF WE FAIL</w:t>
            </w:r>
          </w:p>
        </w:tc>
      </w:tr>
      <w:tr>
        <w:trPr>
          <w:trHeight w:val="162"/>
        </w:trPr>
        <w:tc>
          <w:tcPr>
            <w:tcW w:w="1820" w:type="dxa"/>
            <w:vAlign w:val="bottom"/>
          </w:tcPr>
          <w:p>
            <w:pPr>
              <w:spacing w:after="0"/>
              <w:rPr>
                <w:sz w:val="20"/>
                <w:szCs w:val="20"/>
                <w:color w:val="auto"/>
              </w:rPr>
            </w:pPr>
            <w:r>
              <w:rPr>
                <w:rFonts w:ascii="Arial" w:cs="Arial" w:eastAsia="Arial" w:hAnsi="Arial"/>
                <w:sz w:val="14"/>
                <w:szCs w:val="14"/>
                <w:b w:val="1"/>
                <w:bCs w:val="1"/>
                <w:color w:val="auto"/>
              </w:rPr>
              <w:t>CONNECTION</w:t>
            </w:r>
          </w:p>
        </w:tc>
        <w:tc>
          <w:tcPr>
            <w:tcW w:w="2740" w:type="dxa"/>
            <w:vAlign w:val="bottom"/>
          </w:tcPr>
          <w:p>
            <w:pPr>
              <w:ind w:left="560"/>
              <w:spacing w:after="0"/>
              <w:rPr>
                <w:sz w:val="20"/>
                <w:szCs w:val="20"/>
                <w:color w:val="auto"/>
              </w:rPr>
            </w:pPr>
            <w:r>
              <w:rPr>
                <w:rFonts w:ascii="Arial" w:cs="Arial" w:eastAsia="Arial" w:hAnsi="Arial"/>
                <w:sz w:val="14"/>
                <w:szCs w:val="14"/>
                <w:b w:val="1"/>
                <w:bCs w:val="1"/>
                <w:color w:val="auto"/>
              </w:rPr>
              <w:t>OTHER PERMITTED</w:t>
            </w:r>
          </w:p>
        </w:tc>
        <w:tc>
          <w:tcPr>
            <w:tcW w:w="2020" w:type="dxa"/>
            <w:vAlign w:val="bottom"/>
          </w:tcPr>
          <w:p>
            <w:pPr>
              <w:ind w:left="180"/>
              <w:spacing w:after="0"/>
              <w:rPr>
                <w:sz w:val="20"/>
                <w:szCs w:val="20"/>
                <w:color w:val="auto"/>
              </w:rPr>
            </w:pPr>
            <w:r>
              <w:rPr>
                <w:rFonts w:ascii="Arial" w:cs="Arial" w:eastAsia="Arial" w:hAnsi="Arial"/>
                <w:sz w:val="14"/>
                <w:szCs w:val="14"/>
                <w:b w:val="1"/>
                <w:bCs w:val="1"/>
                <w:color w:val="auto"/>
              </w:rPr>
              <w:t>TO</w:t>
            </w:r>
          </w:p>
        </w:tc>
      </w:tr>
      <w:tr>
        <w:trPr>
          <w:trHeight w:val="162"/>
        </w:trPr>
        <w:tc>
          <w:tcPr>
            <w:tcW w:w="1820" w:type="dxa"/>
            <w:vAlign w:val="bottom"/>
          </w:tcPr>
          <w:p>
            <w:pPr>
              <w:spacing w:after="0"/>
              <w:rPr>
                <w:sz w:val="20"/>
                <w:szCs w:val="20"/>
                <w:color w:val="auto"/>
              </w:rPr>
            </w:pPr>
            <w:r>
              <w:rPr>
                <w:rFonts w:ascii="Arial" w:cs="Arial" w:eastAsia="Arial" w:hAnsi="Arial"/>
                <w:sz w:val="14"/>
                <w:szCs w:val="14"/>
                <w:b w:val="1"/>
                <w:bCs w:val="1"/>
                <w:color w:val="auto"/>
              </w:rPr>
              <w:t>WITH OUR INITIAL</w:t>
            </w:r>
          </w:p>
        </w:tc>
        <w:tc>
          <w:tcPr>
            <w:tcW w:w="2740" w:type="dxa"/>
            <w:vAlign w:val="bottom"/>
          </w:tcPr>
          <w:p>
            <w:pPr>
              <w:ind w:left="560"/>
              <w:spacing w:after="0"/>
              <w:rPr>
                <w:sz w:val="20"/>
                <w:szCs w:val="20"/>
                <w:color w:val="auto"/>
              </w:rPr>
            </w:pPr>
            <w:r>
              <w:rPr>
                <w:rFonts w:ascii="Arial" w:cs="Arial" w:eastAsia="Arial" w:hAnsi="Arial"/>
                <w:sz w:val="14"/>
                <w:szCs w:val="14"/>
                <w:b w:val="1"/>
                <w:bCs w:val="1"/>
                <w:color w:val="auto"/>
              </w:rPr>
              <w:t>PURCHASES</w:t>
            </w:r>
          </w:p>
        </w:tc>
        <w:tc>
          <w:tcPr>
            <w:tcW w:w="2020" w:type="dxa"/>
            <w:vAlign w:val="bottom"/>
          </w:tcPr>
          <w:p>
            <w:pPr>
              <w:ind w:left="180"/>
              <w:spacing w:after="0"/>
              <w:rPr>
                <w:sz w:val="20"/>
                <w:szCs w:val="20"/>
                <w:color w:val="auto"/>
              </w:rPr>
            </w:pPr>
            <w:r>
              <w:rPr>
                <w:rFonts w:ascii="Arial" w:cs="Arial" w:eastAsia="Arial" w:hAnsi="Arial"/>
                <w:sz w:val="14"/>
                <w:szCs w:val="14"/>
                <w:b w:val="1"/>
                <w:bCs w:val="1"/>
                <w:color w:val="auto"/>
              </w:rPr>
              <w:t>COMPLETE AN INITIAL</w:t>
            </w:r>
          </w:p>
        </w:tc>
      </w:tr>
      <w:tr>
        <w:trPr>
          <w:trHeight w:val="162"/>
        </w:trPr>
        <w:tc>
          <w:tcPr>
            <w:tcW w:w="1820" w:type="dxa"/>
            <w:vAlign w:val="bottom"/>
          </w:tcPr>
          <w:p>
            <w:pPr>
              <w:spacing w:after="0"/>
              <w:rPr>
                <w:sz w:val="20"/>
                <w:szCs w:val="20"/>
                <w:color w:val="auto"/>
              </w:rPr>
            </w:pPr>
            <w:r>
              <w:rPr>
                <w:rFonts w:ascii="Arial" w:cs="Arial" w:eastAsia="Arial" w:hAnsi="Arial"/>
                <w:sz w:val="14"/>
                <w:szCs w:val="14"/>
                <w:b w:val="1"/>
                <w:bCs w:val="1"/>
                <w:color w:val="auto"/>
              </w:rPr>
              <w:t>BUSINESS</w:t>
            </w:r>
          </w:p>
        </w:tc>
        <w:tc>
          <w:tcPr>
            <w:tcW w:w="2740" w:type="dxa"/>
            <w:vAlign w:val="bottom"/>
          </w:tcPr>
          <w:p>
            <w:pPr>
              <w:ind w:left="560"/>
              <w:spacing w:after="0"/>
              <w:rPr>
                <w:sz w:val="20"/>
                <w:szCs w:val="20"/>
                <w:color w:val="auto"/>
              </w:rPr>
            </w:pPr>
            <w:r>
              <w:rPr>
                <w:rFonts w:ascii="Arial" w:cs="Arial" w:eastAsia="Arial" w:hAnsi="Arial"/>
                <w:sz w:val="14"/>
                <w:szCs w:val="14"/>
                <w:b w:val="1"/>
                <w:bCs w:val="1"/>
                <w:color w:val="auto"/>
              </w:rPr>
              <w:t>OF PUBLIC SHARES BY OUR</w:t>
            </w:r>
          </w:p>
        </w:tc>
        <w:tc>
          <w:tcPr>
            <w:tcW w:w="2020" w:type="dxa"/>
            <w:vAlign w:val="bottom"/>
          </w:tcPr>
          <w:p>
            <w:pPr>
              <w:ind w:left="180"/>
              <w:spacing w:after="0"/>
              <w:rPr>
                <w:sz w:val="20"/>
                <w:szCs w:val="20"/>
                <w:color w:val="auto"/>
              </w:rPr>
            </w:pPr>
            <w:r>
              <w:rPr>
                <w:rFonts w:ascii="Arial" w:cs="Arial" w:eastAsia="Arial" w:hAnsi="Arial"/>
                <w:sz w:val="14"/>
                <w:szCs w:val="14"/>
                <w:b w:val="1"/>
                <w:bCs w:val="1"/>
                <w:color w:val="auto"/>
              </w:rPr>
              <w:t>BUSINESS</w:t>
            </w:r>
          </w:p>
        </w:tc>
      </w:tr>
      <w:tr>
        <w:trPr>
          <w:trHeight w:val="190"/>
        </w:trPr>
        <w:tc>
          <w:tcPr>
            <w:tcW w:w="1820" w:type="dxa"/>
            <w:vAlign w:val="bottom"/>
          </w:tcPr>
          <w:p>
            <w:pPr>
              <w:spacing w:after="0"/>
              <w:rPr>
                <w:sz w:val="20"/>
                <w:szCs w:val="20"/>
                <w:color w:val="auto"/>
              </w:rPr>
            </w:pPr>
            <w:r>
              <w:rPr>
                <w:rFonts w:ascii="Arial" w:cs="Arial" w:eastAsia="Arial" w:hAnsi="Arial"/>
                <w:sz w:val="14"/>
                <w:szCs w:val="14"/>
                <w:b w:val="1"/>
                <w:bCs w:val="1"/>
                <w:color w:val="auto"/>
              </w:rPr>
              <w:t>COMBINATION</w:t>
            </w:r>
          </w:p>
        </w:tc>
        <w:tc>
          <w:tcPr>
            <w:tcW w:w="2740" w:type="dxa"/>
            <w:vAlign w:val="bottom"/>
          </w:tcPr>
          <w:p>
            <w:pPr>
              <w:ind w:left="560"/>
              <w:spacing w:after="0"/>
              <w:rPr>
                <w:sz w:val="20"/>
                <w:szCs w:val="20"/>
                <w:color w:val="auto"/>
              </w:rPr>
            </w:pPr>
            <w:r>
              <w:rPr>
                <w:rFonts w:ascii="Arial" w:cs="Arial" w:eastAsia="Arial" w:hAnsi="Arial"/>
                <w:sz w:val="14"/>
                <w:szCs w:val="14"/>
                <w:b w:val="1"/>
                <w:bCs w:val="1"/>
                <w:color w:val="auto"/>
              </w:rPr>
              <w:t>AFFILIATES</w:t>
            </w:r>
          </w:p>
        </w:tc>
        <w:tc>
          <w:tcPr>
            <w:tcW w:w="2020" w:type="dxa"/>
            <w:vAlign w:val="bottom"/>
          </w:tcPr>
          <w:p>
            <w:pPr>
              <w:ind w:left="180"/>
              <w:spacing w:after="0"/>
              <w:rPr>
                <w:sz w:val="20"/>
                <w:szCs w:val="20"/>
                <w:color w:val="auto"/>
              </w:rPr>
            </w:pPr>
            <w:r>
              <w:rPr>
                <w:rFonts w:ascii="Arial" w:cs="Arial" w:eastAsia="Arial" w:hAnsi="Arial"/>
                <w:sz w:val="14"/>
                <w:szCs w:val="14"/>
                <w:b w:val="1"/>
                <w:bCs w:val="1"/>
                <w:color w:val="auto"/>
              </w:rPr>
              <w:t>COMBINATION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33655</wp:posOffset>
            </wp:positionV>
            <wp:extent cx="431165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311650" cy="825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p>
      <w:pPr>
        <w:spacing w:after="0" w:line="121" w:lineRule="exact"/>
        <w:rPr>
          <w:sz w:val="20"/>
          <w:szCs w:val="20"/>
          <w:color w:val="auto"/>
        </w:rPr>
      </w:pPr>
    </w:p>
    <w:p>
      <w:pPr>
        <w:ind w:left="2280"/>
        <w:spacing w:after="0"/>
        <w:rPr>
          <w:sz w:val="20"/>
          <w:szCs w:val="20"/>
          <w:color w:val="auto"/>
        </w:rPr>
      </w:pPr>
      <w:r>
        <w:rPr>
          <w:rFonts w:ascii="Arial" w:cs="Arial" w:eastAsia="Arial" w:hAnsi="Arial"/>
          <w:sz w:val="17"/>
          <w:szCs w:val="17"/>
          <w:color w:val="auto"/>
        </w:rPr>
        <w:t>terms of a proposed</w:t>
      </w:r>
    </w:p>
    <w:p>
      <w:pPr>
        <w:ind w:left="2280"/>
        <w:spacing w:after="0"/>
        <w:rPr>
          <w:sz w:val="20"/>
          <w:szCs w:val="20"/>
          <w:color w:val="auto"/>
        </w:rPr>
      </w:pPr>
      <w:r>
        <w:rPr>
          <w:rFonts w:ascii="Arial" w:cs="Arial" w:eastAsia="Arial" w:hAnsi="Arial"/>
          <w:sz w:val="17"/>
          <w:szCs w:val="17"/>
          <w:color w:val="auto"/>
        </w:rPr>
        <w:t>business combination.</w:t>
      </w:r>
    </w:p>
    <w:p>
      <w:pPr>
        <w:spacing w:after="0" w:line="318" w:lineRule="exact"/>
        <w:rPr>
          <w:sz w:val="20"/>
          <w:szCs w:val="20"/>
          <w:color w:val="auto"/>
        </w:rPr>
      </w:pPr>
    </w:p>
    <w:p>
      <w:pPr>
        <w:spacing w:after="0"/>
        <w:tabs>
          <w:tab w:leader="none" w:pos="2260" w:val="left"/>
        </w:tabs>
        <w:rPr>
          <w:sz w:val="20"/>
          <w:szCs w:val="20"/>
          <w:color w:val="auto"/>
        </w:rPr>
      </w:pPr>
      <w:r>
        <w:rPr>
          <w:rFonts w:ascii="Arial" w:cs="Arial" w:eastAsia="Arial" w:hAnsi="Arial"/>
          <w:sz w:val="17"/>
          <w:szCs w:val="17"/>
          <w:b w:val="1"/>
          <w:bCs w:val="1"/>
          <w:color w:val="auto"/>
        </w:rPr>
        <w:t>Impact to remaining</w:t>
      </w:r>
      <w:r>
        <w:rPr>
          <w:sz w:val="20"/>
          <w:szCs w:val="20"/>
          <w:color w:val="auto"/>
        </w:rPr>
        <w:tab/>
      </w:r>
      <w:r>
        <w:rPr>
          <w:rFonts w:ascii="Arial" w:cs="Arial" w:eastAsia="Arial" w:hAnsi="Arial"/>
          <w:sz w:val="17"/>
          <w:szCs w:val="17"/>
          <w:color w:val="auto"/>
        </w:rPr>
        <w:t>The redemptions in</w:t>
      </w:r>
    </w:p>
    <w:p>
      <w:pPr>
        <w:spacing w:after="0" w:line="7" w:lineRule="exact"/>
        <w:rPr>
          <w:sz w:val="20"/>
          <w:szCs w:val="20"/>
          <w:color w:val="auto"/>
        </w:rPr>
      </w:pPr>
    </w:p>
    <w:p>
      <w:pPr>
        <w:ind w:left="180"/>
        <w:spacing w:after="0"/>
        <w:tabs>
          <w:tab w:leader="none" w:pos="2260" w:val="left"/>
        </w:tabs>
        <w:rPr>
          <w:sz w:val="20"/>
          <w:szCs w:val="20"/>
          <w:color w:val="auto"/>
        </w:rPr>
      </w:pPr>
      <w:r>
        <w:rPr>
          <w:rFonts w:ascii="Arial" w:cs="Arial" w:eastAsia="Arial" w:hAnsi="Arial"/>
          <w:sz w:val="17"/>
          <w:szCs w:val="17"/>
          <w:b w:val="1"/>
          <w:bCs w:val="1"/>
          <w:color w:val="auto"/>
        </w:rPr>
        <w:t>shareholders</w:t>
      </w:r>
      <w:r>
        <w:rPr>
          <w:sz w:val="20"/>
          <w:szCs w:val="20"/>
          <w:color w:val="auto"/>
        </w:rPr>
        <w:tab/>
      </w:r>
      <w:r>
        <w:rPr>
          <w:rFonts w:ascii="Arial" w:cs="Arial" w:eastAsia="Arial" w:hAnsi="Arial"/>
          <w:sz w:val="17"/>
          <w:szCs w:val="17"/>
          <w:color w:val="auto"/>
        </w:rPr>
        <w:t>connection with our initial</w:t>
      </w:r>
    </w:p>
    <w:p>
      <w:pPr>
        <w:ind w:left="2280"/>
        <w:spacing w:after="0" w:line="232" w:lineRule="auto"/>
        <w:rPr>
          <w:sz w:val="20"/>
          <w:szCs w:val="20"/>
          <w:color w:val="auto"/>
        </w:rPr>
      </w:pPr>
      <w:r>
        <w:rPr>
          <w:rFonts w:ascii="Arial" w:cs="Arial" w:eastAsia="Arial" w:hAnsi="Arial"/>
          <w:sz w:val="17"/>
          <w:szCs w:val="17"/>
          <w:color w:val="auto"/>
        </w:rPr>
        <w:t>business combination will</w:t>
      </w:r>
    </w:p>
    <w:p>
      <w:pPr>
        <w:ind w:left="2280"/>
        <w:spacing w:after="0" w:line="232" w:lineRule="auto"/>
        <w:rPr>
          <w:sz w:val="20"/>
          <w:szCs w:val="20"/>
          <w:color w:val="auto"/>
        </w:rPr>
      </w:pPr>
      <w:r>
        <w:rPr>
          <w:rFonts w:ascii="Arial" w:cs="Arial" w:eastAsia="Arial" w:hAnsi="Arial"/>
          <w:sz w:val="17"/>
          <w:szCs w:val="17"/>
          <w:color w:val="auto"/>
        </w:rPr>
        <w:t>reduce the book value per</w:t>
      </w:r>
    </w:p>
    <w:p>
      <w:pPr>
        <w:ind w:left="2280"/>
        <w:spacing w:after="0" w:line="232" w:lineRule="auto"/>
        <w:rPr>
          <w:sz w:val="20"/>
          <w:szCs w:val="20"/>
          <w:color w:val="auto"/>
        </w:rPr>
      </w:pPr>
      <w:r>
        <w:rPr>
          <w:rFonts w:ascii="Arial" w:cs="Arial" w:eastAsia="Arial" w:hAnsi="Arial"/>
          <w:sz w:val="17"/>
          <w:szCs w:val="17"/>
          <w:color w:val="auto"/>
        </w:rPr>
        <w:t>share for our remaining</w:t>
      </w:r>
    </w:p>
    <w:p>
      <w:pPr>
        <w:ind w:left="2280"/>
        <w:spacing w:after="0" w:line="232" w:lineRule="auto"/>
        <w:rPr>
          <w:sz w:val="20"/>
          <w:szCs w:val="20"/>
          <w:color w:val="auto"/>
        </w:rPr>
      </w:pPr>
      <w:r>
        <w:rPr>
          <w:rFonts w:ascii="Arial" w:cs="Arial" w:eastAsia="Arial" w:hAnsi="Arial"/>
          <w:sz w:val="17"/>
          <w:szCs w:val="17"/>
          <w:color w:val="auto"/>
        </w:rPr>
        <w:t>shareholders, who will</w:t>
      </w:r>
    </w:p>
    <w:p>
      <w:pPr>
        <w:ind w:left="2280"/>
        <w:spacing w:after="0" w:line="232" w:lineRule="auto"/>
        <w:rPr>
          <w:sz w:val="20"/>
          <w:szCs w:val="20"/>
          <w:color w:val="auto"/>
        </w:rPr>
      </w:pPr>
      <w:r>
        <w:rPr>
          <w:rFonts w:ascii="Arial" w:cs="Arial" w:eastAsia="Arial" w:hAnsi="Arial"/>
          <w:sz w:val="17"/>
          <w:szCs w:val="17"/>
          <w:color w:val="auto"/>
        </w:rPr>
        <w:t>bear the burden of the</w:t>
      </w:r>
    </w:p>
    <w:p>
      <w:pPr>
        <w:ind w:left="2280"/>
        <w:spacing w:after="0" w:line="232" w:lineRule="auto"/>
        <w:rPr>
          <w:sz w:val="20"/>
          <w:szCs w:val="20"/>
          <w:color w:val="auto"/>
        </w:rPr>
      </w:pPr>
      <w:r>
        <w:rPr>
          <w:rFonts w:ascii="Arial" w:cs="Arial" w:eastAsia="Arial" w:hAnsi="Arial"/>
          <w:sz w:val="17"/>
          <w:szCs w:val="17"/>
          <w:color w:val="auto"/>
        </w:rPr>
        <w:t>deferred underwriting</w:t>
      </w:r>
    </w:p>
    <w:p>
      <w:pPr>
        <w:ind w:left="2280"/>
        <w:spacing w:after="0" w:line="232" w:lineRule="auto"/>
        <w:rPr>
          <w:sz w:val="20"/>
          <w:szCs w:val="20"/>
          <w:color w:val="auto"/>
        </w:rPr>
      </w:pPr>
      <w:r>
        <w:rPr>
          <w:rFonts w:ascii="Arial" w:cs="Arial" w:eastAsia="Arial" w:hAnsi="Arial"/>
          <w:sz w:val="17"/>
          <w:szCs w:val="17"/>
          <w:color w:val="auto"/>
        </w:rPr>
        <w:t>commissions and taxes</w:t>
      </w:r>
    </w:p>
    <w:p>
      <w:pPr>
        <w:ind w:left="2280"/>
        <w:spacing w:after="0"/>
        <w:rPr>
          <w:sz w:val="20"/>
          <w:szCs w:val="20"/>
          <w:color w:val="auto"/>
        </w:rPr>
      </w:pPr>
      <w:r>
        <w:rPr>
          <w:rFonts w:ascii="Arial" w:cs="Arial" w:eastAsia="Arial" w:hAnsi="Arial"/>
          <w:sz w:val="17"/>
          <w:szCs w:val="17"/>
          <w:color w:val="auto"/>
        </w:rPr>
        <w:t>payable.</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to comply with such rules.</w:t>
      </w:r>
    </w:p>
    <w:p>
      <w:pPr>
        <w:spacing w:after="0" w:line="200" w:lineRule="exact"/>
        <w:rPr>
          <w:sz w:val="20"/>
          <w:szCs w:val="20"/>
          <w:color w:val="auto"/>
        </w:rPr>
      </w:pPr>
    </w:p>
    <w:p>
      <w:pPr>
        <w:spacing w:after="0" w:line="34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If the permitted purchases described above are made, there would be no impact to our remaining shareholders because the purchase price would not be paid by 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The redemption of our public shares if we fail to complete our initial business combination will reduce the book value per share for the shares held by our sponsor, who will be our only remaining shareholder after such redemptions.</w:t>
      </w:r>
    </w:p>
    <w:p>
      <w:pPr>
        <w:spacing w:after="0" w:line="188" w:lineRule="exact"/>
        <w:rPr>
          <w:sz w:val="20"/>
          <w:szCs w:val="20"/>
          <w:color w:val="auto"/>
        </w:rPr>
      </w:pPr>
    </w:p>
    <w:p>
      <w:pPr>
        <w:sectPr>
          <w:pgSz w:w="11900" w:h="16838" w:orient="portrait"/>
          <w:cols w:equalWidth="0" w:num="3">
            <w:col w:w="4260" w:space="400"/>
            <w:col w:w="1960" w:space="400"/>
            <w:col w:w="2040"/>
          </w:cols>
          <w:pgMar w:left="1400" w:top="265" w:right="14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Comparison of This Offering to Those of Blank Check Companies Subject to Rule 419</w:t>
      </w:r>
    </w:p>
    <w:p>
      <w:pPr>
        <w:spacing w:after="0" w:line="189"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The following table compares the terms of this offering to the terms of an offering by a blank check company subject to the provisions of Rule 419. This comparison assumes that the gross proceeds, underwriting commissions and underwriting expenses of our offering would be identical to those of an offering undertaken by a company subject to Rule 419, and that the underwriters will not exercise their over-allotment option. None of the provisions of Rule 419 apply to our offering.</w:t>
      </w:r>
    </w:p>
    <w:p>
      <w:pPr>
        <w:sectPr>
          <w:pgSz w:w="11900" w:h="16838" w:orient="portrait"/>
          <w:cols w:equalWidth="0" w:num="1">
            <w:col w:w="9060"/>
          </w:cols>
          <w:pgMar w:left="1400" w:top="265" w:right="1439" w:bottom="1440" w:gutter="0" w:footer="0" w:header="0"/>
          <w:type w:val="continuous"/>
        </w:sectPr>
      </w:pPr>
    </w:p>
    <w:p>
      <w:pPr>
        <w:spacing w:after="0" w:line="200" w:lineRule="exact"/>
        <w:rPr>
          <w:sz w:val="20"/>
          <w:szCs w:val="20"/>
          <w:color w:val="auto"/>
        </w:rPr>
      </w:pPr>
    </w:p>
    <w:p>
      <w:pPr>
        <w:spacing w:after="0" w:line="389" w:lineRule="exact"/>
        <w:rPr>
          <w:sz w:val="20"/>
          <w:szCs w:val="20"/>
          <w:color w:val="auto"/>
        </w:rPr>
      </w:pPr>
    </w:p>
    <w:p>
      <w:pPr>
        <w:ind w:right="360"/>
        <w:spacing w:after="0" w:line="267" w:lineRule="auto"/>
        <w:rPr>
          <w:sz w:val="20"/>
          <w:szCs w:val="20"/>
          <w:color w:val="auto"/>
        </w:rPr>
      </w:pPr>
      <w:r>
        <w:rPr>
          <w:rFonts w:ascii="Arial" w:cs="Arial" w:eastAsia="Arial" w:hAnsi="Arial"/>
          <w:sz w:val="17"/>
          <w:szCs w:val="17"/>
          <w:b w:val="1"/>
          <w:bCs w:val="1"/>
          <w:color w:val="auto"/>
        </w:rPr>
        <w:t>Escrow of offering proceeds</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52070</wp:posOffset>
            </wp:positionV>
            <wp:extent cx="192849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137"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$125,000,000 of the net proceeds of this offering and the sale of the private placement shares will be deposited into a trust account located in the United States with Continental Stock Transfer &amp; Trust Company acting as trustee.</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52070</wp:posOffset>
            </wp:positionV>
            <wp:extent cx="193738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137"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Approximately $106,312,500 of the offering proceeds would be required to be deposited into either an escrow account with an insured depositary institution or in a separate bank account established by a broker-dealer in which the broker-dealer acts as trustee for persons having the beneficial interests in the account.</w:t>
      </w:r>
    </w:p>
    <w:p>
      <w:pPr>
        <w:spacing w:after="0" w:line="200" w:lineRule="exact"/>
        <w:rPr>
          <w:sz w:val="20"/>
          <w:szCs w:val="20"/>
          <w:color w:val="auto"/>
        </w:rPr>
      </w:pPr>
    </w:p>
    <w:p>
      <w:pPr>
        <w:sectPr>
          <w:pgSz w:w="11900" w:h="16838" w:orient="portrait"/>
          <w:cols w:equalWidth="0" w:num="3">
            <w:col w:w="1860" w:space="720"/>
            <w:col w:w="2980" w:space="460"/>
            <w:col w:w="3040"/>
          </w:cols>
          <w:pgMar w:left="1400" w:top="265" w:right="1439" w:bottom="1440" w:gutter="0" w:footer="0" w:header="0"/>
          <w:type w:val="continuous"/>
        </w:sectPr>
      </w:pPr>
    </w:p>
    <w:p>
      <w:pPr>
        <w:spacing w:after="0" w:line="110" w:lineRule="exact"/>
        <w:rPr>
          <w:sz w:val="20"/>
          <w:szCs w:val="20"/>
          <w:color w:val="auto"/>
        </w:rPr>
      </w:pPr>
    </w:p>
    <w:p>
      <w:pPr>
        <w:spacing w:after="0"/>
        <w:tabs>
          <w:tab w:leader="none" w:pos="2560" w:val="left"/>
        </w:tabs>
        <w:rPr>
          <w:sz w:val="20"/>
          <w:szCs w:val="20"/>
          <w:color w:val="auto"/>
        </w:rPr>
      </w:pPr>
      <w:r>
        <w:rPr>
          <w:rFonts w:ascii="Arial" w:cs="Arial" w:eastAsia="Arial" w:hAnsi="Arial"/>
          <w:sz w:val="17"/>
          <w:szCs w:val="17"/>
          <w:b w:val="1"/>
          <w:bCs w:val="1"/>
          <w:color w:val="auto"/>
        </w:rPr>
        <w:t>Investment of net</w:t>
      </w:r>
      <w:r>
        <w:rPr>
          <w:sz w:val="20"/>
          <w:szCs w:val="20"/>
          <w:color w:val="auto"/>
        </w:rPr>
        <w:tab/>
      </w:r>
      <w:r>
        <w:rPr>
          <w:rFonts w:ascii="Arial" w:cs="Arial" w:eastAsia="Arial" w:hAnsi="Arial"/>
          <w:sz w:val="17"/>
          <w:szCs w:val="17"/>
          <w:color w:val="auto"/>
        </w:rPr>
        <w:t>$125,000,000 of the net proceeds of</w:t>
      </w:r>
    </w:p>
    <w:p>
      <w:pPr>
        <w:spacing w:after="0" w:line="7" w:lineRule="exact"/>
        <w:rPr>
          <w:sz w:val="20"/>
          <w:szCs w:val="20"/>
          <w:color w:val="auto"/>
        </w:rPr>
      </w:pPr>
    </w:p>
    <w:p>
      <w:pPr>
        <w:spacing w:after="0"/>
        <w:tabs>
          <w:tab w:leader="none" w:pos="2560" w:val="left"/>
        </w:tabs>
        <w:rPr>
          <w:sz w:val="20"/>
          <w:szCs w:val="20"/>
          <w:color w:val="auto"/>
        </w:rPr>
      </w:pPr>
      <w:r>
        <w:rPr>
          <w:rFonts w:ascii="Arial" w:cs="Arial" w:eastAsia="Arial" w:hAnsi="Arial"/>
          <w:sz w:val="17"/>
          <w:szCs w:val="17"/>
          <w:b w:val="1"/>
          <w:bCs w:val="1"/>
          <w:color w:val="auto"/>
        </w:rPr>
        <w:t>proceeds</w:t>
      </w:r>
      <w:r>
        <w:rPr>
          <w:sz w:val="20"/>
          <w:szCs w:val="20"/>
          <w:color w:val="auto"/>
        </w:rPr>
        <w:tab/>
      </w:r>
      <w:r>
        <w:rPr>
          <w:rFonts w:ascii="Arial" w:cs="Arial" w:eastAsia="Arial" w:hAnsi="Arial"/>
          <w:sz w:val="17"/>
          <w:szCs w:val="17"/>
          <w:color w:val="auto"/>
        </w:rPr>
        <w:t>this offering and the sale of the private</w:t>
      </w:r>
    </w:p>
    <w:p>
      <w:pPr>
        <w:ind w:left="2580"/>
        <w:spacing w:after="0" w:line="232" w:lineRule="auto"/>
        <w:rPr>
          <w:sz w:val="20"/>
          <w:szCs w:val="20"/>
          <w:color w:val="auto"/>
        </w:rPr>
      </w:pPr>
      <w:r>
        <w:rPr>
          <w:rFonts w:ascii="Arial" w:cs="Arial" w:eastAsia="Arial" w:hAnsi="Arial"/>
          <w:sz w:val="17"/>
          <w:szCs w:val="17"/>
          <w:color w:val="auto"/>
        </w:rPr>
        <w:t>placement shares held in trust will be</w:t>
      </w:r>
    </w:p>
    <w:p>
      <w:pPr>
        <w:ind w:left="2580"/>
        <w:spacing w:after="0" w:line="232" w:lineRule="auto"/>
        <w:rPr>
          <w:sz w:val="20"/>
          <w:szCs w:val="20"/>
          <w:color w:val="auto"/>
        </w:rPr>
      </w:pPr>
      <w:r>
        <w:rPr>
          <w:rFonts w:ascii="Arial" w:cs="Arial" w:eastAsia="Arial" w:hAnsi="Arial"/>
          <w:sz w:val="17"/>
          <w:szCs w:val="17"/>
          <w:color w:val="auto"/>
        </w:rPr>
        <w:t>invested only in U.S. government</w:t>
      </w:r>
    </w:p>
    <w:p>
      <w:pPr>
        <w:ind w:left="2580"/>
        <w:spacing w:after="0" w:line="232" w:lineRule="auto"/>
        <w:rPr>
          <w:sz w:val="20"/>
          <w:szCs w:val="20"/>
          <w:color w:val="auto"/>
        </w:rPr>
      </w:pPr>
      <w:r>
        <w:rPr>
          <w:rFonts w:ascii="Arial" w:cs="Arial" w:eastAsia="Arial" w:hAnsi="Arial"/>
          <w:sz w:val="17"/>
          <w:szCs w:val="17"/>
          <w:color w:val="auto"/>
        </w:rPr>
        <w:t>treasury obligations with a maturity of</w:t>
      </w:r>
    </w:p>
    <w:p>
      <w:pPr>
        <w:ind w:left="2580"/>
        <w:spacing w:after="0" w:line="232" w:lineRule="auto"/>
        <w:rPr>
          <w:sz w:val="20"/>
          <w:szCs w:val="20"/>
          <w:color w:val="auto"/>
        </w:rPr>
      </w:pPr>
      <w:r>
        <w:rPr>
          <w:rFonts w:ascii="Arial" w:cs="Arial" w:eastAsia="Arial" w:hAnsi="Arial"/>
          <w:sz w:val="17"/>
          <w:szCs w:val="17"/>
          <w:color w:val="auto"/>
        </w:rPr>
        <w:t>185 days or less or in money market</w:t>
      </w:r>
    </w:p>
    <w:p>
      <w:pPr>
        <w:ind w:left="2580"/>
        <w:spacing w:after="0" w:line="232" w:lineRule="auto"/>
        <w:rPr>
          <w:sz w:val="20"/>
          <w:szCs w:val="20"/>
          <w:color w:val="auto"/>
        </w:rPr>
      </w:pPr>
      <w:r>
        <w:rPr>
          <w:rFonts w:ascii="Arial" w:cs="Arial" w:eastAsia="Arial" w:hAnsi="Arial"/>
          <w:sz w:val="17"/>
          <w:szCs w:val="17"/>
          <w:color w:val="auto"/>
        </w:rPr>
        <w:t>funds meeting certain conditions under</w:t>
      </w:r>
    </w:p>
    <w:p>
      <w:pPr>
        <w:ind w:left="2580"/>
        <w:spacing w:after="0" w:line="232" w:lineRule="auto"/>
        <w:rPr>
          <w:sz w:val="20"/>
          <w:szCs w:val="20"/>
          <w:color w:val="auto"/>
        </w:rPr>
      </w:pPr>
      <w:r>
        <w:rPr>
          <w:rFonts w:ascii="Arial" w:cs="Arial" w:eastAsia="Arial" w:hAnsi="Arial"/>
          <w:sz w:val="17"/>
          <w:szCs w:val="17"/>
          <w:color w:val="auto"/>
        </w:rPr>
        <w:t>Rule 2a-7 under the Investment</w:t>
      </w:r>
    </w:p>
    <w:p>
      <w:pPr>
        <w:ind w:left="2580"/>
        <w:spacing w:after="0" w:line="232" w:lineRule="auto"/>
        <w:rPr>
          <w:sz w:val="20"/>
          <w:szCs w:val="20"/>
          <w:color w:val="auto"/>
        </w:rPr>
      </w:pPr>
      <w:r>
        <w:rPr>
          <w:rFonts w:ascii="Arial" w:cs="Arial" w:eastAsia="Arial" w:hAnsi="Arial"/>
          <w:sz w:val="17"/>
          <w:szCs w:val="17"/>
          <w:color w:val="auto"/>
        </w:rPr>
        <w:t>Company Act which invest only in direct</w:t>
      </w:r>
    </w:p>
    <w:p>
      <w:pPr>
        <w:ind w:left="2580"/>
        <w:spacing w:after="0"/>
        <w:rPr>
          <w:sz w:val="20"/>
          <w:szCs w:val="20"/>
          <w:color w:val="auto"/>
        </w:rPr>
      </w:pPr>
      <w:r>
        <w:rPr>
          <w:rFonts w:ascii="Arial" w:cs="Arial" w:eastAsia="Arial" w:hAnsi="Arial"/>
          <w:sz w:val="17"/>
          <w:szCs w:val="17"/>
          <w:color w:val="auto"/>
        </w:rPr>
        <w:t>U.S. government treasury obligations.</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Proceeds could be invested only in specified securities such as a money market fund meeting conditions of the Investment Company Act or in securities that are direct obligations of, or obligations guaranteed as to principal or interest by, the United States.</w:t>
      </w:r>
    </w:p>
    <w:p>
      <w:pPr>
        <w:spacing w:after="0" w:line="762" w:lineRule="exact"/>
        <w:rPr>
          <w:sz w:val="20"/>
          <w:szCs w:val="20"/>
          <w:color w:val="auto"/>
        </w:rPr>
      </w:pPr>
    </w:p>
    <w:p>
      <w:pPr>
        <w:sectPr>
          <w:pgSz w:w="11900" w:h="16838" w:orient="portrait"/>
          <w:cols w:equalWidth="0" w:num="2">
            <w:col w:w="5600" w:space="420"/>
            <w:col w:w="3040"/>
          </w:cols>
          <w:pgMar w:left="1400" w:top="265" w:right="1439" w:bottom="1440" w:gutter="0" w:footer="0" w:header="0"/>
          <w:type w:val="continuous"/>
        </w:sectPr>
      </w:pP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180" w:type="dxa"/>
            <w:vAlign w:val="bottom"/>
          </w:tcPr>
          <w:p>
            <w:pPr>
              <w:spacing w:after="0"/>
              <w:rPr>
                <w:sz w:val="20"/>
                <w:szCs w:val="20"/>
                <w:color w:val="auto"/>
              </w:rPr>
            </w:pPr>
            <w:r>
              <w:rPr>
                <w:rFonts w:ascii="Arial" w:cs="Arial" w:eastAsia="Arial" w:hAnsi="Arial"/>
                <w:sz w:val="17"/>
                <w:szCs w:val="17"/>
                <w:b w:val="1"/>
                <w:bCs w:val="1"/>
                <w:color w:val="auto"/>
              </w:rPr>
              <w:t>Receipt of interest on</w:t>
            </w:r>
          </w:p>
        </w:tc>
        <w:tc>
          <w:tcPr>
            <w:tcW w:w="3380" w:type="dxa"/>
            <w:vAlign w:val="bottom"/>
          </w:tcPr>
          <w:p>
            <w:pPr>
              <w:ind w:left="400"/>
              <w:spacing w:after="0"/>
              <w:rPr>
                <w:sz w:val="20"/>
                <w:szCs w:val="20"/>
                <w:color w:val="auto"/>
              </w:rPr>
            </w:pPr>
            <w:r>
              <w:rPr>
                <w:rFonts w:ascii="Arial" w:cs="Arial" w:eastAsia="Arial" w:hAnsi="Arial"/>
                <w:sz w:val="17"/>
                <w:szCs w:val="17"/>
                <w:color w:val="auto"/>
              </w:rPr>
              <w:t>Interest income (if any) on proceeds</w:t>
            </w:r>
          </w:p>
        </w:tc>
      </w:tr>
      <w:tr>
        <w:trPr>
          <w:trHeight w:val="209"/>
        </w:trPr>
        <w:tc>
          <w:tcPr>
            <w:tcW w:w="2180" w:type="dxa"/>
            <w:vAlign w:val="bottom"/>
          </w:tcPr>
          <w:p>
            <w:pPr>
              <w:ind w:left="180"/>
              <w:spacing w:after="0"/>
              <w:rPr>
                <w:sz w:val="20"/>
                <w:szCs w:val="20"/>
                <w:color w:val="auto"/>
              </w:rPr>
            </w:pPr>
            <w:r>
              <w:rPr>
                <w:rFonts w:ascii="Arial" w:cs="Arial" w:eastAsia="Arial" w:hAnsi="Arial"/>
                <w:sz w:val="17"/>
                <w:szCs w:val="17"/>
                <w:b w:val="1"/>
                <w:bCs w:val="1"/>
                <w:color w:val="auto"/>
              </w:rPr>
              <w:t>escrowed funds</w:t>
            </w:r>
          </w:p>
        </w:tc>
        <w:tc>
          <w:tcPr>
            <w:tcW w:w="3380" w:type="dxa"/>
            <w:vAlign w:val="bottom"/>
          </w:tcPr>
          <w:p>
            <w:pPr>
              <w:ind w:left="400"/>
              <w:spacing w:after="0"/>
              <w:rPr>
                <w:sz w:val="20"/>
                <w:szCs w:val="20"/>
                <w:color w:val="auto"/>
              </w:rPr>
            </w:pPr>
            <w:r>
              <w:rPr>
                <w:rFonts w:ascii="Arial" w:cs="Arial" w:eastAsia="Arial" w:hAnsi="Arial"/>
                <w:sz w:val="17"/>
                <w:szCs w:val="17"/>
                <w:color w:val="auto"/>
              </w:rPr>
              <w:t>from the trust account to be paid to</w:t>
            </w:r>
          </w:p>
        </w:tc>
      </w:tr>
      <w:tr>
        <w:trPr>
          <w:trHeight w:val="189"/>
        </w:trPr>
        <w:tc>
          <w:tcPr>
            <w:tcW w:w="2180" w:type="dxa"/>
            <w:vAlign w:val="bottom"/>
          </w:tcPr>
          <w:p>
            <w:pPr>
              <w:spacing w:after="0"/>
              <w:rPr>
                <w:sz w:val="16"/>
                <w:szCs w:val="16"/>
                <w:color w:val="auto"/>
              </w:rPr>
            </w:pPr>
          </w:p>
        </w:tc>
        <w:tc>
          <w:tcPr>
            <w:tcW w:w="3380" w:type="dxa"/>
            <w:vAlign w:val="bottom"/>
          </w:tcPr>
          <w:p>
            <w:pPr>
              <w:ind w:left="400"/>
              <w:spacing w:after="0" w:line="189" w:lineRule="exact"/>
              <w:rPr>
                <w:sz w:val="20"/>
                <w:szCs w:val="20"/>
                <w:color w:val="auto"/>
              </w:rPr>
            </w:pPr>
            <w:r>
              <w:rPr>
                <w:rFonts w:ascii="Arial" w:cs="Arial" w:eastAsia="Arial" w:hAnsi="Arial"/>
                <w:sz w:val="17"/>
                <w:szCs w:val="17"/>
                <w:color w:val="auto"/>
              </w:rPr>
              <w:t>shareholders is reduced by (i) any</w:t>
            </w:r>
          </w:p>
        </w:tc>
      </w:tr>
      <w:tr>
        <w:trPr>
          <w:trHeight w:val="189"/>
        </w:trPr>
        <w:tc>
          <w:tcPr>
            <w:tcW w:w="2180" w:type="dxa"/>
            <w:vAlign w:val="bottom"/>
          </w:tcPr>
          <w:p>
            <w:pPr>
              <w:spacing w:after="0"/>
              <w:rPr>
                <w:sz w:val="16"/>
                <w:szCs w:val="16"/>
                <w:color w:val="auto"/>
              </w:rPr>
            </w:pPr>
          </w:p>
        </w:tc>
        <w:tc>
          <w:tcPr>
            <w:tcW w:w="3380" w:type="dxa"/>
            <w:vAlign w:val="bottom"/>
          </w:tcPr>
          <w:p>
            <w:pPr>
              <w:ind w:left="400"/>
              <w:spacing w:after="0" w:line="189" w:lineRule="exact"/>
              <w:rPr>
                <w:sz w:val="20"/>
                <w:szCs w:val="20"/>
                <w:color w:val="auto"/>
              </w:rPr>
            </w:pPr>
            <w:r>
              <w:rPr>
                <w:rFonts w:ascii="Arial" w:cs="Arial" w:eastAsia="Arial" w:hAnsi="Arial"/>
                <w:sz w:val="17"/>
                <w:szCs w:val="17"/>
                <w:color w:val="auto"/>
              </w:rPr>
              <w:t>income taxes paid or payable and (ii) in</w:t>
            </w:r>
          </w:p>
        </w:tc>
      </w:tr>
      <w:tr>
        <w:trPr>
          <w:trHeight w:val="189"/>
        </w:trPr>
        <w:tc>
          <w:tcPr>
            <w:tcW w:w="2180" w:type="dxa"/>
            <w:vAlign w:val="bottom"/>
          </w:tcPr>
          <w:p>
            <w:pPr>
              <w:spacing w:after="0"/>
              <w:rPr>
                <w:sz w:val="16"/>
                <w:szCs w:val="16"/>
                <w:color w:val="auto"/>
              </w:rPr>
            </w:pPr>
          </w:p>
        </w:tc>
        <w:tc>
          <w:tcPr>
            <w:tcW w:w="3380" w:type="dxa"/>
            <w:vAlign w:val="bottom"/>
          </w:tcPr>
          <w:p>
            <w:pPr>
              <w:ind w:left="400"/>
              <w:spacing w:after="0" w:line="189" w:lineRule="exact"/>
              <w:rPr>
                <w:sz w:val="20"/>
                <w:szCs w:val="20"/>
                <w:color w:val="auto"/>
              </w:rPr>
            </w:pPr>
            <w:r>
              <w:rPr>
                <w:rFonts w:ascii="Arial" w:cs="Arial" w:eastAsia="Arial" w:hAnsi="Arial"/>
                <w:sz w:val="17"/>
                <w:szCs w:val="17"/>
                <w:color w:val="auto"/>
              </w:rPr>
              <w:t>the event of our liquidation for failure to</w:t>
            </w:r>
          </w:p>
        </w:tc>
      </w:tr>
      <w:tr>
        <w:trPr>
          <w:trHeight w:val="189"/>
        </w:trPr>
        <w:tc>
          <w:tcPr>
            <w:tcW w:w="2180" w:type="dxa"/>
            <w:vAlign w:val="bottom"/>
          </w:tcPr>
          <w:p>
            <w:pPr>
              <w:spacing w:after="0"/>
              <w:rPr>
                <w:sz w:val="16"/>
                <w:szCs w:val="16"/>
                <w:color w:val="auto"/>
              </w:rPr>
            </w:pPr>
          </w:p>
        </w:tc>
        <w:tc>
          <w:tcPr>
            <w:tcW w:w="3380" w:type="dxa"/>
            <w:vAlign w:val="bottom"/>
          </w:tcPr>
          <w:p>
            <w:pPr>
              <w:ind w:left="400"/>
              <w:spacing w:after="0" w:line="189" w:lineRule="exact"/>
              <w:rPr>
                <w:sz w:val="20"/>
                <w:szCs w:val="20"/>
                <w:color w:val="auto"/>
              </w:rPr>
            </w:pPr>
            <w:r>
              <w:rPr>
                <w:rFonts w:ascii="Arial" w:cs="Arial" w:eastAsia="Arial" w:hAnsi="Arial"/>
                <w:sz w:val="17"/>
                <w:szCs w:val="17"/>
                <w:color w:val="auto"/>
              </w:rPr>
              <w:t>complete our initial business</w:t>
            </w:r>
          </w:p>
        </w:tc>
      </w:tr>
      <w:tr>
        <w:trPr>
          <w:trHeight w:val="205"/>
        </w:trPr>
        <w:tc>
          <w:tcPr>
            <w:tcW w:w="2180" w:type="dxa"/>
            <w:vAlign w:val="bottom"/>
          </w:tcPr>
          <w:p>
            <w:pPr>
              <w:spacing w:after="0"/>
              <w:rPr>
                <w:sz w:val="17"/>
                <w:szCs w:val="17"/>
                <w:color w:val="auto"/>
              </w:rPr>
            </w:pPr>
          </w:p>
        </w:tc>
        <w:tc>
          <w:tcPr>
            <w:tcW w:w="3380" w:type="dxa"/>
            <w:vAlign w:val="bottom"/>
          </w:tcPr>
          <w:p>
            <w:pPr>
              <w:ind w:left="400"/>
              <w:spacing w:after="0"/>
              <w:rPr>
                <w:sz w:val="20"/>
                <w:szCs w:val="20"/>
                <w:color w:val="auto"/>
              </w:rPr>
            </w:pPr>
            <w:r>
              <w:rPr>
                <w:rFonts w:ascii="Arial" w:cs="Arial" w:eastAsia="Arial" w:hAnsi="Arial"/>
                <w:sz w:val="17"/>
                <w:szCs w:val="17"/>
                <w:color w:val="auto"/>
              </w:rPr>
              <w:t>combination within the allotted time, up</w:t>
            </w:r>
          </w:p>
        </w:tc>
      </w:tr>
      <w:tr>
        <w:trPr>
          <w:trHeight w:val="403"/>
        </w:trPr>
        <w:tc>
          <w:tcPr>
            <w:tcW w:w="2180" w:type="dxa"/>
            <w:vAlign w:val="bottom"/>
          </w:tcPr>
          <w:p>
            <w:pPr>
              <w:spacing w:after="0"/>
              <w:rPr>
                <w:sz w:val="24"/>
                <w:szCs w:val="24"/>
                <w:color w:val="auto"/>
              </w:rPr>
            </w:pPr>
          </w:p>
        </w:tc>
        <w:tc>
          <w:tcPr>
            <w:tcW w:w="3380" w:type="dxa"/>
            <w:vAlign w:val="bottom"/>
          </w:tcPr>
          <w:p>
            <w:pPr>
              <w:ind w:left="2280"/>
              <w:spacing w:after="0"/>
              <w:rPr>
                <w:sz w:val="20"/>
                <w:szCs w:val="20"/>
                <w:color w:val="auto"/>
              </w:rPr>
            </w:pPr>
            <w:r>
              <w:rPr>
                <w:rFonts w:ascii="Arial" w:cs="Arial" w:eastAsia="Arial" w:hAnsi="Arial"/>
                <w:sz w:val="16"/>
                <w:szCs w:val="16"/>
                <w:color w:val="auto"/>
              </w:rPr>
              <w:t>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106680</wp:posOffset>
            </wp:positionV>
            <wp:extent cx="699516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Interest income on funds in escrow account would be held for the sole benefit of investors, unless and only after the funds held in escrow were released to us in connection with our completion of a business combination.</w:t>
      </w:r>
    </w:p>
    <w:p>
      <w:pPr>
        <w:sectPr>
          <w:pgSz w:w="11900" w:h="16838" w:orient="portrait"/>
          <w:cols w:equalWidth="0" w:num="2">
            <w:col w:w="5560" w:space="460"/>
            <w:col w:w="3040"/>
          </w:cols>
          <w:pgMar w:left="1400" w:top="265" w:right="1439" w:bottom="1440" w:gutter="0" w:footer="0" w:header="0"/>
          <w:type w:val="continuous"/>
        </w:sectPr>
      </w:pPr>
    </w:p>
    <w:bookmarkStart w:id="92" w:name="page93"/>
    <w:bookmarkEnd w:id="9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80" w:hanging="170"/>
        <w:spacing w:after="0" w:line="249" w:lineRule="auto"/>
        <w:rPr>
          <w:sz w:val="20"/>
          <w:szCs w:val="20"/>
          <w:color w:val="auto"/>
        </w:rPr>
      </w:pPr>
      <w:r>
        <w:rPr>
          <w:rFonts w:ascii="Arial" w:cs="Arial" w:eastAsia="Arial" w:hAnsi="Arial"/>
          <w:sz w:val="17"/>
          <w:szCs w:val="17"/>
          <w:b w:val="1"/>
          <w:bCs w:val="1"/>
          <w:color w:val="auto"/>
        </w:rPr>
        <w:t>Limitation on fair value or net assets of target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20"/>
        <w:spacing w:after="0" w:line="267" w:lineRule="auto"/>
        <w:rPr>
          <w:sz w:val="20"/>
          <w:szCs w:val="20"/>
          <w:color w:val="auto"/>
        </w:rPr>
      </w:pPr>
      <w:r>
        <w:rPr>
          <w:rFonts w:ascii="Arial" w:cs="Arial" w:eastAsia="Arial" w:hAnsi="Arial"/>
          <w:sz w:val="17"/>
          <w:szCs w:val="17"/>
          <w:b w:val="1"/>
          <w:bCs w:val="1"/>
          <w:color w:val="auto"/>
        </w:rPr>
        <w:t>Trading of securities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360"/>
        <w:spacing w:after="0" w:line="267" w:lineRule="auto"/>
        <w:rPr>
          <w:sz w:val="20"/>
          <w:szCs w:val="20"/>
          <w:color w:val="auto"/>
        </w:rPr>
      </w:pPr>
      <w:r>
        <w:rPr>
          <w:rFonts w:ascii="Arial" w:cs="Arial" w:eastAsia="Arial" w:hAnsi="Arial"/>
          <w:sz w:val="17"/>
          <w:szCs w:val="17"/>
          <w:b w:val="1"/>
          <w:bCs w:val="1"/>
          <w:color w:val="auto"/>
        </w:rPr>
        <w:t>Election to remain an investor</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jc w:val="center"/>
        <w:ind w:left="-19"/>
        <w:spacing w:after="0"/>
        <w:rPr>
          <w:sz w:val="20"/>
          <w:szCs w:val="20"/>
          <w:color w:val="auto"/>
        </w:rPr>
      </w:pPr>
      <w:r>
        <w:rPr>
          <w:rFonts w:ascii="Arial" w:cs="Arial" w:eastAsia="Arial" w:hAnsi="Arial"/>
          <w:sz w:val="14"/>
          <w:szCs w:val="14"/>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52070</wp:posOffset>
            </wp:positionV>
            <wp:extent cx="192849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137"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to $100,000 of net interest that may be released to us should we have no or insufficient working capital to fund the costs and expenses of our dissolution and liquidation.</w:t>
      </w:r>
    </w:p>
    <w:p>
      <w:pPr>
        <w:spacing w:after="0" w:line="339"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Our initial business combination must occur with one or more target businesses that together have an aggregate fair market value of at least 80% of our assets held in the trust account (excluding the amount of deferred underwriting discounts held in trust and taxes payable on the interest earned on the trust account) at the time of signing the agreement to enter into the initial business combination.</w:t>
      </w:r>
    </w:p>
    <w:p>
      <w:pPr>
        <w:spacing w:after="0" w:line="343"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The public shares are expected to begin trading on or promptly after the date of this prospectus. If the over-allotment option is exercised following the initial filing of such Current Report on Form 8-K, a second or amended Current Report on Form 8-K will be filed to provide updated financial information to reflect the exercise of the over-allotment option.</w:t>
      </w:r>
    </w:p>
    <w:p>
      <w:pPr>
        <w:spacing w:after="0" w:line="343"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We will provide our public shareholders with the opportunity to redeem their public shares for cash at a per share price equal to the aggregate amount then on deposit in the trust account calculated as of two business days prior to the consummation of our initial business combination, including interest earned on the funds held in the trust account and not previously released to us to pay our income taxes, if any, divided by the number of the then-outstanding public shares, upon the completion of our initial business combination, subject to the limitations described herein. We may not be required by applicable law or stock exchange rule to hold a shareholder vote. If we are not required by applicable law or stock exchange rule and do not otherwise decide to hold a shareholder vote, we will, pursuant to our amended and restated</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-2249805</wp:posOffset>
            </wp:positionH>
            <wp:positionV relativeFrom="paragraph">
              <wp:posOffset>121920</wp:posOffset>
            </wp:positionV>
            <wp:extent cx="699516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52070</wp:posOffset>
            </wp:positionV>
            <wp:extent cx="193738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fair value or net assets of a target business must represent at least 80% of the maximum offering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No trading of the Class A ordinary shares would be permitted until the completion of a business combination. During this period, the securities would be held in the escrow or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A prospectus containing information pertaining to the business combination required by the SEC would be sent to each investor. Each investor would be given the opportunity to notify the company in writing, within a period of no less than 20 business days and no more than 45 business days from the effective date of a post-effective amendment to the company’s registration statement, to decide if he, she or it elects to remain a shareholder of the company or require the return of his, her or its investment. If the company has not received the notification by the end of the 45th business day, funds and interest or dividends, if any, held in the trust or escrow account are automatically returned to the shareholder. Unless a sufficient number of investors elect to remain investors, all funds on deposit in the escrow account must be returned to</w:t>
      </w:r>
    </w:p>
    <w:p>
      <w:pPr>
        <w:sectPr>
          <w:pgSz w:w="11900" w:h="16838" w:orient="portrait"/>
          <w:cols w:equalWidth="0" w:num="3">
            <w:col w:w="2100" w:space="480"/>
            <w:col w:w="3020" w:space="420"/>
            <w:col w:w="3040"/>
          </w:cols>
          <w:pgMar w:left="1400" w:top="265" w:right="14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86"/>
        </w:trPr>
        <w:tc>
          <w:tcPr>
            <w:tcW w:w="2200" w:type="dxa"/>
            <w:vAlign w:val="bottom"/>
          </w:tcPr>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tc>
        <w:tc>
          <w:tcPr>
            <w:tcW w:w="380" w:type="dxa"/>
            <w:vAlign w:val="bottom"/>
          </w:tcPr>
          <w:p>
            <w:pPr>
              <w:spacing w:after="0"/>
              <w:rPr>
                <w:sz w:val="16"/>
                <w:szCs w:val="16"/>
                <w:color w:val="auto"/>
              </w:rPr>
            </w:pPr>
          </w:p>
        </w:tc>
        <w:tc>
          <w:tcPr>
            <w:tcW w:w="3040" w:type="dxa"/>
            <w:vAlign w:val="bottom"/>
          </w:tcPr>
          <w:p>
            <w:pPr>
              <w:spacing w:after="0"/>
              <w:rPr>
                <w:sz w:val="16"/>
                <w:szCs w:val="16"/>
                <w:color w:val="auto"/>
              </w:rPr>
            </w:pPr>
          </w:p>
        </w:tc>
      </w:tr>
      <w:tr>
        <w:trPr>
          <w:trHeight w:val="405"/>
        </w:trPr>
        <w:tc>
          <w:tcPr>
            <w:tcW w:w="2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40" w:type="dxa"/>
            <w:vAlign w:val="bottom"/>
          </w:tcPr>
          <w:p>
            <w:pPr>
              <w:jc w:val="right"/>
              <w:ind w:right="508"/>
              <w:spacing w:after="0"/>
              <w:rPr>
                <w:sz w:val="20"/>
                <w:szCs w:val="20"/>
                <w:color w:val="auto"/>
              </w:rPr>
            </w:pPr>
            <w:r>
              <w:rPr>
                <w:rFonts w:ascii="Arial" w:cs="Arial" w:eastAsia="Arial" w:hAnsi="Arial"/>
                <w:sz w:val="14"/>
                <w:szCs w:val="14"/>
                <w:b w:val="1"/>
                <w:bCs w:val="1"/>
                <w:color w:val="auto"/>
              </w:rPr>
              <w:t>TERMS OF OUR OFFERING</w:t>
            </w:r>
          </w:p>
        </w:tc>
      </w:tr>
      <w:tr>
        <w:trPr>
          <w:trHeight w:val="53"/>
        </w:trPr>
        <w:tc>
          <w:tcPr>
            <w:tcW w:w="2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40" w:type="dxa"/>
            <w:vAlign w:val="bottom"/>
            <w:tcBorders>
              <w:bottom w:val="single" w:sz="8" w:color="auto"/>
            </w:tcBorders>
          </w:tcPr>
          <w:p>
            <w:pPr>
              <w:spacing w:after="0"/>
              <w:rPr>
                <w:sz w:val="4"/>
                <w:szCs w:val="4"/>
                <w:color w:val="auto"/>
              </w:rPr>
            </w:pPr>
          </w:p>
        </w:tc>
      </w:tr>
      <w:tr>
        <w:trPr>
          <w:trHeight w:val="244"/>
        </w:trPr>
        <w:tc>
          <w:tcPr>
            <w:tcW w:w="2200" w:type="dxa"/>
            <w:vAlign w:val="bottom"/>
          </w:tcPr>
          <w:p>
            <w:pPr>
              <w:spacing w:after="0"/>
              <w:rPr>
                <w:sz w:val="21"/>
                <w:szCs w:val="21"/>
                <w:color w:val="auto"/>
              </w:rPr>
            </w:pPr>
          </w:p>
        </w:tc>
        <w:tc>
          <w:tcPr>
            <w:tcW w:w="3420" w:type="dxa"/>
            <w:vAlign w:val="bottom"/>
            <w:gridSpan w:val="2"/>
          </w:tcPr>
          <w:p>
            <w:pPr>
              <w:ind w:left="380"/>
              <w:spacing w:after="0"/>
              <w:rPr>
                <w:sz w:val="20"/>
                <w:szCs w:val="20"/>
                <w:color w:val="auto"/>
              </w:rPr>
            </w:pPr>
            <w:r>
              <w:rPr>
                <w:rFonts w:ascii="Arial" w:cs="Arial" w:eastAsia="Arial" w:hAnsi="Arial"/>
                <w:sz w:val="17"/>
                <w:szCs w:val="17"/>
                <w:color w:val="auto"/>
              </w:rPr>
              <w:t>memorandum and articles of</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association, conduct the redemptions</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pursuant to the tender offer rules of the</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SEC and file tender offer documents</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with the SEC which will contain</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substantially the same financial and</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other information about the initial</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business combination and the</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redemption rights as is required under</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the SEC’s proxy rules. If, however, we</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hold a shareholder vote, we will, like</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many blank check companies, offer to</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redeem shares in conjunction with a</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proxy solicitation pursuant to the proxy</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rules and not pursuant to the tender</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offer rules. If we seek shareholder</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approval, we will complete our initial</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business combination only if a majority</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of the ordinary shares, represented in</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person or by proxy and entitled to vote</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thereon, voted at a shareholder meeting</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are voted in favor of the business</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combination. Additionally, each public</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shareholder may elect to redeem their</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public shares irrespective of whether</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they vote for or against the proposed</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transaction or vote at all. Our amended</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and restated memorandum and articles</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of association will require that at least</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five clear days’ notice will be given of</w:t>
            </w:r>
          </w:p>
        </w:tc>
      </w:tr>
      <w:tr>
        <w:trPr>
          <w:trHeight w:val="205"/>
        </w:trPr>
        <w:tc>
          <w:tcPr>
            <w:tcW w:w="2200" w:type="dxa"/>
            <w:vAlign w:val="bottom"/>
          </w:tcPr>
          <w:p>
            <w:pPr>
              <w:spacing w:after="0"/>
              <w:rPr>
                <w:sz w:val="17"/>
                <w:szCs w:val="17"/>
                <w:color w:val="auto"/>
              </w:rPr>
            </w:pPr>
          </w:p>
        </w:tc>
        <w:tc>
          <w:tcPr>
            <w:tcW w:w="3420" w:type="dxa"/>
            <w:vAlign w:val="bottom"/>
            <w:gridSpan w:val="2"/>
          </w:tcPr>
          <w:p>
            <w:pPr>
              <w:ind w:left="380"/>
              <w:spacing w:after="0"/>
              <w:rPr>
                <w:sz w:val="20"/>
                <w:szCs w:val="20"/>
                <w:color w:val="auto"/>
              </w:rPr>
            </w:pPr>
            <w:r>
              <w:rPr>
                <w:rFonts w:ascii="Arial" w:cs="Arial" w:eastAsia="Arial" w:hAnsi="Arial"/>
                <w:sz w:val="17"/>
                <w:szCs w:val="17"/>
                <w:color w:val="auto"/>
              </w:rPr>
              <w:t>any such shareholder meeting.</w:t>
            </w:r>
          </w:p>
        </w:tc>
      </w:tr>
      <w:tr>
        <w:trPr>
          <w:trHeight w:val="504"/>
        </w:trPr>
        <w:tc>
          <w:tcPr>
            <w:tcW w:w="2200" w:type="dxa"/>
            <w:vAlign w:val="bottom"/>
          </w:tcPr>
          <w:p>
            <w:pPr>
              <w:spacing w:after="0"/>
              <w:rPr>
                <w:sz w:val="20"/>
                <w:szCs w:val="20"/>
                <w:color w:val="auto"/>
              </w:rPr>
            </w:pPr>
            <w:r>
              <w:rPr>
                <w:rFonts w:ascii="Arial" w:cs="Arial" w:eastAsia="Arial" w:hAnsi="Arial"/>
                <w:sz w:val="17"/>
                <w:szCs w:val="17"/>
                <w:b w:val="1"/>
                <w:bCs w:val="1"/>
                <w:color w:val="auto"/>
              </w:rPr>
              <w:t>Business combination</w:t>
            </w:r>
          </w:p>
        </w:tc>
        <w:tc>
          <w:tcPr>
            <w:tcW w:w="3420" w:type="dxa"/>
            <w:vAlign w:val="bottom"/>
            <w:gridSpan w:val="2"/>
          </w:tcPr>
          <w:p>
            <w:pPr>
              <w:ind w:left="380"/>
              <w:spacing w:after="0"/>
              <w:rPr>
                <w:sz w:val="20"/>
                <w:szCs w:val="20"/>
                <w:color w:val="auto"/>
              </w:rPr>
            </w:pPr>
            <w:r>
              <w:rPr>
                <w:rFonts w:ascii="Arial" w:cs="Arial" w:eastAsia="Arial" w:hAnsi="Arial"/>
                <w:sz w:val="17"/>
                <w:szCs w:val="17"/>
                <w:color w:val="auto"/>
              </w:rPr>
              <w:t>If we do not consummate an initial</w:t>
            </w:r>
          </w:p>
        </w:tc>
      </w:tr>
      <w:tr>
        <w:trPr>
          <w:trHeight w:val="209"/>
        </w:trPr>
        <w:tc>
          <w:tcPr>
            <w:tcW w:w="2200" w:type="dxa"/>
            <w:vAlign w:val="bottom"/>
          </w:tcPr>
          <w:p>
            <w:pPr>
              <w:ind w:left="180"/>
              <w:spacing w:after="0"/>
              <w:rPr>
                <w:sz w:val="20"/>
                <w:szCs w:val="20"/>
                <w:color w:val="auto"/>
              </w:rPr>
            </w:pPr>
            <w:r>
              <w:rPr>
                <w:rFonts w:ascii="Arial" w:cs="Arial" w:eastAsia="Arial" w:hAnsi="Arial"/>
                <w:sz w:val="17"/>
                <w:szCs w:val="17"/>
                <w:b w:val="1"/>
                <w:bCs w:val="1"/>
                <w:color w:val="auto"/>
              </w:rPr>
              <w:t>deadline</w:t>
            </w:r>
          </w:p>
        </w:tc>
        <w:tc>
          <w:tcPr>
            <w:tcW w:w="3420" w:type="dxa"/>
            <w:vAlign w:val="bottom"/>
            <w:gridSpan w:val="2"/>
          </w:tcPr>
          <w:p>
            <w:pPr>
              <w:ind w:left="380"/>
              <w:spacing w:after="0"/>
              <w:rPr>
                <w:sz w:val="20"/>
                <w:szCs w:val="20"/>
                <w:color w:val="auto"/>
              </w:rPr>
            </w:pPr>
            <w:r>
              <w:rPr>
                <w:rFonts w:ascii="Arial" w:cs="Arial" w:eastAsia="Arial" w:hAnsi="Arial"/>
                <w:sz w:val="17"/>
                <w:szCs w:val="17"/>
                <w:color w:val="auto"/>
              </w:rPr>
              <w:t>business combination within 24 months</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from the closing of this offering, we will</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(i) cease all operations except for the</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purpose of winding up; (ii) as promptly</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as reasonably possible but not more</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than ten business days thereafter,</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redeem 100% of the public shares, at a</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per-share price, payable in cash, equal</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to the aggregate amount then on</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deposit in the trust account, including</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interest earned on the funds held in the</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trust account and not previously</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released to us to pay our income taxes,</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if any (less up to $100,000 of interest to</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pay dissolution expenses), divided by</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the number of the then-outstanding</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public shares, which redemption will</w:t>
            </w:r>
          </w:p>
        </w:tc>
      </w:tr>
      <w:tr>
        <w:trPr>
          <w:trHeight w:val="189"/>
        </w:trPr>
        <w:tc>
          <w:tcPr>
            <w:tcW w:w="2200" w:type="dxa"/>
            <w:vAlign w:val="bottom"/>
          </w:tcPr>
          <w:p>
            <w:pPr>
              <w:spacing w:after="0"/>
              <w:rPr>
                <w:sz w:val="16"/>
                <w:szCs w:val="16"/>
                <w:color w:val="auto"/>
              </w:rPr>
            </w:pPr>
          </w:p>
        </w:tc>
        <w:tc>
          <w:tcPr>
            <w:tcW w:w="342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completely extinguish public</w:t>
            </w:r>
          </w:p>
        </w:tc>
      </w:tr>
      <w:tr>
        <w:trPr>
          <w:trHeight w:val="205"/>
        </w:trPr>
        <w:tc>
          <w:tcPr>
            <w:tcW w:w="2200" w:type="dxa"/>
            <w:vAlign w:val="bottom"/>
          </w:tcPr>
          <w:p>
            <w:pPr>
              <w:spacing w:after="0"/>
              <w:rPr>
                <w:sz w:val="17"/>
                <w:szCs w:val="17"/>
                <w:color w:val="auto"/>
              </w:rPr>
            </w:pPr>
          </w:p>
        </w:tc>
        <w:tc>
          <w:tcPr>
            <w:tcW w:w="3420" w:type="dxa"/>
            <w:vAlign w:val="bottom"/>
            <w:gridSpan w:val="2"/>
          </w:tcPr>
          <w:p>
            <w:pPr>
              <w:ind w:left="380"/>
              <w:spacing w:after="0"/>
              <w:rPr>
                <w:sz w:val="20"/>
                <w:szCs w:val="20"/>
                <w:color w:val="auto"/>
              </w:rPr>
            </w:pPr>
            <w:r>
              <w:rPr>
                <w:rFonts w:ascii="Arial" w:cs="Arial" w:eastAsia="Arial" w:hAnsi="Arial"/>
                <w:sz w:val="17"/>
                <w:szCs w:val="17"/>
                <w:color w:val="auto"/>
              </w:rPr>
              <w:t>shareholders’ rights as shareholders</w:t>
            </w:r>
          </w:p>
        </w:tc>
      </w:tr>
      <w:tr>
        <w:trPr>
          <w:trHeight w:val="403"/>
        </w:trPr>
        <w:tc>
          <w:tcPr>
            <w:tcW w:w="2200" w:type="dxa"/>
            <w:vAlign w:val="bottom"/>
          </w:tcPr>
          <w:p>
            <w:pPr>
              <w:spacing w:after="0"/>
              <w:rPr>
                <w:sz w:val="24"/>
                <w:szCs w:val="24"/>
                <w:color w:val="auto"/>
              </w:rPr>
            </w:pPr>
          </w:p>
        </w:tc>
        <w:tc>
          <w:tcPr>
            <w:tcW w:w="3420" w:type="dxa"/>
            <w:vAlign w:val="bottom"/>
            <w:gridSpan w:val="2"/>
          </w:tcPr>
          <w:p>
            <w:pPr>
              <w:jc w:val="right"/>
              <w:ind w:right="908"/>
              <w:spacing w:after="0"/>
              <w:rPr>
                <w:sz w:val="20"/>
                <w:szCs w:val="20"/>
                <w:color w:val="auto"/>
              </w:rPr>
            </w:pPr>
            <w:r>
              <w:rPr>
                <w:rFonts w:ascii="Arial" w:cs="Arial" w:eastAsia="Arial" w:hAnsi="Arial"/>
                <w:sz w:val="16"/>
                <w:szCs w:val="16"/>
                <w:color w:val="auto"/>
              </w:rPr>
              <w:t>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115570</wp:posOffset>
            </wp:positionV>
            <wp:extent cx="699516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52070</wp:posOffset>
            </wp:positionV>
            <wp:extent cx="193738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937385" cy="8890"/>
                    </a:xfrm>
                    <a:prstGeom prst="rect">
                      <a:avLst/>
                    </a:prstGeom>
                    <a:noFill/>
                  </pic:spPr>
                </pic:pic>
              </a:graphicData>
            </a:graphic>
          </wp:anchor>
        </w:drawing>
      </w:r>
    </w:p>
    <w:p>
      <w:pPr>
        <w:spacing w:after="0" w:line="137" w:lineRule="exact"/>
        <w:rPr>
          <w:sz w:val="20"/>
          <w:szCs w:val="20"/>
          <w:color w:val="auto"/>
        </w:rPr>
      </w:pPr>
    </w:p>
    <w:p>
      <w:pPr>
        <w:ind w:right="419"/>
        <w:spacing w:after="0" w:line="243" w:lineRule="auto"/>
        <w:rPr>
          <w:sz w:val="20"/>
          <w:szCs w:val="20"/>
          <w:color w:val="auto"/>
        </w:rPr>
      </w:pPr>
      <w:r>
        <w:rPr>
          <w:rFonts w:ascii="Arial" w:cs="Arial" w:eastAsia="Arial" w:hAnsi="Arial"/>
          <w:sz w:val="17"/>
          <w:szCs w:val="17"/>
          <w:color w:val="auto"/>
        </w:rPr>
        <w:t>all of the investors and none of the securities are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39"/>
        <w:spacing w:after="0" w:line="235" w:lineRule="auto"/>
        <w:rPr>
          <w:sz w:val="20"/>
          <w:szCs w:val="20"/>
          <w:color w:val="auto"/>
        </w:rPr>
      </w:pPr>
      <w:r>
        <w:rPr>
          <w:rFonts w:ascii="Arial" w:cs="Arial" w:eastAsia="Arial" w:hAnsi="Arial"/>
          <w:sz w:val="17"/>
          <w:szCs w:val="17"/>
          <w:color w:val="auto"/>
        </w:rPr>
        <w:t>If an acquisition has not been completed within 18 months after the effective date of the company’s registration statement, funds held in the trust or escrow account are returned to investors.</w:t>
      </w:r>
    </w:p>
    <w:p>
      <w:pPr>
        <w:sectPr>
          <w:pgSz w:w="11900" w:h="16838" w:orient="portrait"/>
          <w:cols w:equalWidth="0" w:num="2">
            <w:col w:w="5620" w:space="400"/>
            <w:col w:w="3039"/>
          </w:cols>
          <w:pgMar w:left="1400" w:top="265" w:right="1440"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86"/>
        </w:trPr>
        <w:tc>
          <w:tcPr>
            <w:tcW w:w="2060" w:type="dxa"/>
            <w:vAlign w:val="bottom"/>
          </w:tcPr>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tc>
        <w:tc>
          <w:tcPr>
            <w:tcW w:w="520" w:type="dxa"/>
            <w:vAlign w:val="bottom"/>
          </w:tcPr>
          <w:p>
            <w:pPr>
              <w:spacing w:after="0"/>
              <w:rPr>
                <w:sz w:val="16"/>
                <w:szCs w:val="16"/>
                <w:color w:val="auto"/>
              </w:rPr>
            </w:pPr>
          </w:p>
        </w:tc>
        <w:tc>
          <w:tcPr>
            <w:tcW w:w="3040" w:type="dxa"/>
            <w:vAlign w:val="bottom"/>
          </w:tcPr>
          <w:p>
            <w:pPr>
              <w:spacing w:after="0"/>
              <w:rPr>
                <w:sz w:val="16"/>
                <w:szCs w:val="16"/>
                <w:color w:val="auto"/>
              </w:rPr>
            </w:pPr>
          </w:p>
        </w:tc>
      </w:tr>
      <w:tr>
        <w:trPr>
          <w:trHeight w:val="405"/>
        </w:trPr>
        <w:tc>
          <w:tcPr>
            <w:tcW w:w="2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40" w:type="dxa"/>
            <w:vAlign w:val="bottom"/>
          </w:tcPr>
          <w:p>
            <w:pPr>
              <w:ind w:left="580"/>
              <w:spacing w:after="0"/>
              <w:rPr>
                <w:sz w:val="20"/>
                <w:szCs w:val="20"/>
                <w:color w:val="auto"/>
              </w:rPr>
            </w:pPr>
            <w:r>
              <w:rPr>
                <w:rFonts w:ascii="Arial" w:cs="Arial" w:eastAsia="Arial" w:hAnsi="Arial"/>
                <w:sz w:val="14"/>
                <w:szCs w:val="14"/>
                <w:b w:val="1"/>
                <w:bCs w:val="1"/>
                <w:color w:val="auto"/>
              </w:rPr>
              <w:t>TERMS OF OUR OFFERING</w:t>
            </w:r>
          </w:p>
        </w:tc>
      </w:tr>
      <w:tr>
        <w:trPr>
          <w:trHeight w:val="53"/>
        </w:trPr>
        <w:tc>
          <w:tcPr>
            <w:tcW w:w="20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40" w:type="dxa"/>
            <w:vAlign w:val="bottom"/>
            <w:tcBorders>
              <w:bottom w:val="single" w:sz="8" w:color="auto"/>
            </w:tcBorders>
          </w:tcPr>
          <w:p>
            <w:pPr>
              <w:spacing w:after="0"/>
              <w:rPr>
                <w:sz w:val="4"/>
                <w:szCs w:val="4"/>
                <w:color w:val="auto"/>
              </w:rPr>
            </w:pPr>
          </w:p>
        </w:tc>
      </w:tr>
      <w:tr>
        <w:trPr>
          <w:trHeight w:val="244"/>
        </w:trPr>
        <w:tc>
          <w:tcPr>
            <w:tcW w:w="2060" w:type="dxa"/>
            <w:vAlign w:val="bottom"/>
          </w:tcPr>
          <w:p>
            <w:pPr>
              <w:spacing w:after="0"/>
              <w:rPr>
                <w:sz w:val="21"/>
                <w:szCs w:val="21"/>
                <w:color w:val="auto"/>
              </w:rPr>
            </w:pPr>
          </w:p>
        </w:tc>
        <w:tc>
          <w:tcPr>
            <w:tcW w:w="3560" w:type="dxa"/>
            <w:vAlign w:val="bottom"/>
            <w:gridSpan w:val="2"/>
          </w:tcPr>
          <w:p>
            <w:pPr>
              <w:ind w:left="520"/>
              <w:spacing w:after="0"/>
              <w:rPr>
                <w:sz w:val="20"/>
                <w:szCs w:val="20"/>
                <w:color w:val="auto"/>
              </w:rPr>
            </w:pPr>
            <w:r>
              <w:rPr>
                <w:rFonts w:ascii="Arial" w:cs="Arial" w:eastAsia="Arial" w:hAnsi="Arial"/>
                <w:sz w:val="17"/>
                <w:szCs w:val="17"/>
                <w:color w:val="auto"/>
              </w:rPr>
              <w:t>(including the right to receive further</w:t>
            </w:r>
          </w:p>
        </w:tc>
      </w:tr>
      <w:tr>
        <w:trPr>
          <w:trHeight w:val="189"/>
        </w:trPr>
        <w:tc>
          <w:tcPr>
            <w:tcW w:w="2060" w:type="dxa"/>
            <w:vAlign w:val="bottom"/>
          </w:tcPr>
          <w:p>
            <w:pPr>
              <w:spacing w:after="0"/>
              <w:rPr>
                <w:sz w:val="16"/>
                <w:szCs w:val="16"/>
                <w:color w:val="auto"/>
              </w:rPr>
            </w:pPr>
          </w:p>
        </w:tc>
        <w:tc>
          <w:tcPr>
            <w:tcW w:w="3560" w:type="dxa"/>
            <w:vAlign w:val="bottom"/>
            <w:gridSpan w:val="2"/>
          </w:tcPr>
          <w:p>
            <w:pPr>
              <w:ind w:left="520"/>
              <w:spacing w:after="0" w:line="189" w:lineRule="exact"/>
              <w:rPr>
                <w:sz w:val="20"/>
                <w:szCs w:val="20"/>
                <w:color w:val="auto"/>
              </w:rPr>
            </w:pPr>
            <w:r>
              <w:rPr>
                <w:rFonts w:ascii="Arial" w:cs="Arial" w:eastAsia="Arial" w:hAnsi="Arial"/>
                <w:sz w:val="17"/>
                <w:szCs w:val="17"/>
                <w:color w:val="auto"/>
              </w:rPr>
              <w:t>liquidation distributions, if any); and</w:t>
            </w:r>
          </w:p>
        </w:tc>
      </w:tr>
      <w:tr>
        <w:trPr>
          <w:trHeight w:val="189"/>
        </w:trPr>
        <w:tc>
          <w:tcPr>
            <w:tcW w:w="2060" w:type="dxa"/>
            <w:vAlign w:val="bottom"/>
          </w:tcPr>
          <w:p>
            <w:pPr>
              <w:spacing w:after="0"/>
              <w:rPr>
                <w:sz w:val="16"/>
                <w:szCs w:val="16"/>
                <w:color w:val="auto"/>
              </w:rPr>
            </w:pPr>
          </w:p>
        </w:tc>
        <w:tc>
          <w:tcPr>
            <w:tcW w:w="3560" w:type="dxa"/>
            <w:vAlign w:val="bottom"/>
            <w:gridSpan w:val="2"/>
          </w:tcPr>
          <w:p>
            <w:pPr>
              <w:ind w:left="520"/>
              <w:spacing w:after="0" w:line="189" w:lineRule="exact"/>
              <w:rPr>
                <w:sz w:val="20"/>
                <w:szCs w:val="20"/>
                <w:color w:val="auto"/>
              </w:rPr>
            </w:pPr>
            <w:r>
              <w:rPr>
                <w:rFonts w:ascii="Arial" w:cs="Arial" w:eastAsia="Arial" w:hAnsi="Arial"/>
                <w:sz w:val="17"/>
                <w:szCs w:val="17"/>
                <w:color w:val="auto"/>
              </w:rPr>
              <w:t>(iii) as promptly as reasonably possible</w:t>
            </w:r>
          </w:p>
        </w:tc>
      </w:tr>
      <w:tr>
        <w:trPr>
          <w:trHeight w:val="189"/>
        </w:trPr>
        <w:tc>
          <w:tcPr>
            <w:tcW w:w="2060" w:type="dxa"/>
            <w:vAlign w:val="bottom"/>
          </w:tcPr>
          <w:p>
            <w:pPr>
              <w:spacing w:after="0"/>
              <w:rPr>
                <w:sz w:val="16"/>
                <w:szCs w:val="16"/>
                <w:color w:val="auto"/>
              </w:rPr>
            </w:pPr>
          </w:p>
        </w:tc>
        <w:tc>
          <w:tcPr>
            <w:tcW w:w="3560" w:type="dxa"/>
            <w:vAlign w:val="bottom"/>
            <w:gridSpan w:val="2"/>
          </w:tcPr>
          <w:p>
            <w:pPr>
              <w:ind w:left="520"/>
              <w:spacing w:after="0" w:line="189" w:lineRule="exact"/>
              <w:rPr>
                <w:sz w:val="20"/>
                <w:szCs w:val="20"/>
                <w:color w:val="auto"/>
              </w:rPr>
            </w:pPr>
            <w:r>
              <w:rPr>
                <w:rFonts w:ascii="Arial" w:cs="Arial" w:eastAsia="Arial" w:hAnsi="Arial"/>
                <w:sz w:val="17"/>
                <w:szCs w:val="17"/>
                <w:color w:val="auto"/>
              </w:rPr>
              <w:t>following such redemption, subject to</w:t>
            </w:r>
          </w:p>
        </w:tc>
      </w:tr>
      <w:tr>
        <w:trPr>
          <w:trHeight w:val="189"/>
        </w:trPr>
        <w:tc>
          <w:tcPr>
            <w:tcW w:w="2060" w:type="dxa"/>
            <w:vAlign w:val="bottom"/>
          </w:tcPr>
          <w:p>
            <w:pPr>
              <w:spacing w:after="0"/>
              <w:rPr>
                <w:sz w:val="16"/>
                <w:szCs w:val="16"/>
                <w:color w:val="auto"/>
              </w:rPr>
            </w:pPr>
          </w:p>
        </w:tc>
        <w:tc>
          <w:tcPr>
            <w:tcW w:w="3560" w:type="dxa"/>
            <w:vAlign w:val="bottom"/>
            <w:gridSpan w:val="2"/>
          </w:tcPr>
          <w:p>
            <w:pPr>
              <w:ind w:left="520"/>
              <w:spacing w:after="0" w:line="189" w:lineRule="exact"/>
              <w:rPr>
                <w:sz w:val="20"/>
                <w:szCs w:val="20"/>
                <w:color w:val="auto"/>
              </w:rPr>
            </w:pPr>
            <w:r>
              <w:rPr>
                <w:rFonts w:ascii="Arial" w:cs="Arial" w:eastAsia="Arial" w:hAnsi="Arial"/>
                <w:sz w:val="17"/>
                <w:szCs w:val="17"/>
                <w:color w:val="auto"/>
              </w:rPr>
              <w:t>the approval of our remaining</w:t>
            </w:r>
          </w:p>
        </w:tc>
      </w:tr>
      <w:tr>
        <w:trPr>
          <w:trHeight w:val="189"/>
        </w:trPr>
        <w:tc>
          <w:tcPr>
            <w:tcW w:w="2060" w:type="dxa"/>
            <w:vAlign w:val="bottom"/>
          </w:tcPr>
          <w:p>
            <w:pPr>
              <w:spacing w:after="0"/>
              <w:rPr>
                <w:sz w:val="16"/>
                <w:szCs w:val="16"/>
                <w:color w:val="auto"/>
              </w:rPr>
            </w:pPr>
          </w:p>
        </w:tc>
        <w:tc>
          <w:tcPr>
            <w:tcW w:w="3560" w:type="dxa"/>
            <w:vAlign w:val="bottom"/>
            <w:gridSpan w:val="2"/>
          </w:tcPr>
          <w:p>
            <w:pPr>
              <w:ind w:left="520"/>
              <w:spacing w:after="0" w:line="189" w:lineRule="exact"/>
              <w:rPr>
                <w:sz w:val="20"/>
                <w:szCs w:val="20"/>
                <w:color w:val="auto"/>
              </w:rPr>
            </w:pPr>
            <w:r>
              <w:rPr>
                <w:rFonts w:ascii="Arial" w:cs="Arial" w:eastAsia="Arial" w:hAnsi="Arial"/>
                <w:sz w:val="17"/>
                <w:szCs w:val="17"/>
                <w:color w:val="auto"/>
              </w:rPr>
              <w:t>shareholders and our board of</w:t>
            </w:r>
          </w:p>
        </w:tc>
      </w:tr>
      <w:tr>
        <w:trPr>
          <w:trHeight w:val="189"/>
        </w:trPr>
        <w:tc>
          <w:tcPr>
            <w:tcW w:w="2060" w:type="dxa"/>
            <w:vAlign w:val="bottom"/>
          </w:tcPr>
          <w:p>
            <w:pPr>
              <w:spacing w:after="0"/>
              <w:rPr>
                <w:sz w:val="16"/>
                <w:szCs w:val="16"/>
                <w:color w:val="auto"/>
              </w:rPr>
            </w:pPr>
          </w:p>
        </w:tc>
        <w:tc>
          <w:tcPr>
            <w:tcW w:w="3560" w:type="dxa"/>
            <w:vAlign w:val="bottom"/>
            <w:gridSpan w:val="2"/>
          </w:tcPr>
          <w:p>
            <w:pPr>
              <w:ind w:left="520"/>
              <w:spacing w:after="0" w:line="189" w:lineRule="exact"/>
              <w:rPr>
                <w:sz w:val="20"/>
                <w:szCs w:val="20"/>
                <w:color w:val="auto"/>
              </w:rPr>
            </w:pPr>
            <w:r>
              <w:rPr>
                <w:rFonts w:ascii="Arial" w:cs="Arial" w:eastAsia="Arial" w:hAnsi="Arial"/>
                <w:sz w:val="17"/>
                <w:szCs w:val="17"/>
                <w:color w:val="auto"/>
              </w:rPr>
              <w:t>directors, liquidate and dissolve, subject</w:t>
            </w:r>
          </w:p>
        </w:tc>
      </w:tr>
      <w:tr>
        <w:trPr>
          <w:trHeight w:val="189"/>
        </w:trPr>
        <w:tc>
          <w:tcPr>
            <w:tcW w:w="2060" w:type="dxa"/>
            <w:vAlign w:val="bottom"/>
          </w:tcPr>
          <w:p>
            <w:pPr>
              <w:spacing w:after="0"/>
              <w:rPr>
                <w:sz w:val="16"/>
                <w:szCs w:val="16"/>
                <w:color w:val="auto"/>
              </w:rPr>
            </w:pPr>
          </w:p>
        </w:tc>
        <w:tc>
          <w:tcPr>
            <w:tcW w:w="3560" w:type="dxa"/>
            <w:vAlign w:val="bottom"/>
            <w:gridSpan w:val="2"/>
          </w:tcPr>
          <w:p>
            <w:pPr>
              <w:ind w:left="520"/>
              <w:spacing w:after="0" w:line="189" w:lineRule="exact"/>
              <w:rPr>
                <w:sz w:val="20"/>
                <w:szCs w:val="20"/>
                <w:color w:val="auto"/>
              </w:rPr>
            </w:pPr>
            <w:r>
              <w:rPr>
                <w:rFonts w:ascii="Arial" w:cs="Arial" w:eastAsia="Arial" w:hAnsi="Arial"/>
                <w:sz w:val="17"/>
                <w:szCs w:val="17"/>
                <w:color w:val="auto"/>
              </w:rPr>
              <w:t>in the case of clauses (ii) and (iii) to our</w:t>
            </w:r>
          </w:p>
        </w:tc>
      </w:tr>
      <w:tr>
        <w:trPr>
          <w:trHeight w:val="189"/>
        </w:trPr>
        <w:tc>
          <w:tcPr>
            <w:tcW w:w="2060" w:type="dxa"/>
            <w:vAlign w:val="bottom"/>
          </w:tcPr>
          <w:p>
            <w:pPr>
              <w:spacing w:after="0"/>
              <w:rPr>
                <w:sz w:val="16"/>
                <w:szCs w:val="16"/>
                <w:color w:val="auto"/>
              </w:rPr>
            </w:pPr>
          </w:p>
        </w:tc>
        <w:tc>
          <w:tcPr>
            <w:tcW w:w="3560" w:type="dxa"/>
            <w:vAlign w:val="bottom"/>
            <w:gridSpan w:val="2"/>
          </w:tcPr>
          <w:p>
            <w:pPr>
              <w:ind w:left="520"/>
              <w:spacing w:after="0" w:line="189" w:lineRule="exact"/>
              <w:rPr>
                <w:sz w:val="20"/>
                <w:szCs w:val="20"/>
                <w:color w:val="auto"/>
              </w:rPr>
            </w:pPr>
            <w:r>
              <w:rPr>
                <w:rFonts w:ascii="Arial" w:cs="Arial" w:eastAsia="Arial" w:hAnsi="Arial"/>
                <w:sz w:val="17"/>
                <w:szCs w:val="17"/>
                <w:color w:val="auto"/>
              </w:rPr>
              <w:t>obligations under Cayman Islands law</w:t>
            </w:r>
          </w:p>
        </w:tc>
      </w:tr>
      <w:tr>
        <w:trPr>
          <w:trHeight w:val="189"/>
        </w:trPr>
        <w:tc>
          <w:tcPr>
            <w:tcW w:w="2060" w:type="dxa"/>
            <w:vAlign w:val="bottom"/>
          </w:tcPr>
          <w:p>
            <w:pPr>
              <w:spacing w:after="0"/>
              <w:rPr>
                <w:sz w:val="16"/>
                <w:szCs w:val="16"/>
                <w:color w:val="auto"/>
              </w:rPr>
            </w:pPr>
          </w:p>
        </w:tc>
        <w:tc>
          <w:tcPr>
            <w:tcW w:w="3560" w:type="dxa"/>
            <w:vAlign w:val="bottom"/>
            <w:gridSpan w:val="2"/>
          </w:tcPr>
          <w:p>
            <w:pPr>
              <w:ind w:left="520"/>
              <w:spacing w:after="0" w:line="189" w:lineRule="exact"/>
              <w:rPr>
                <w:sz w:val="20"/>
                <w:szCs w:val="20"/>
                <w:color w:val="auto"/>
              </w:rPr>
            </w:pPr>
            <w:r>
              <w:rPr>
                <w:rFonts w:ascii="Arial" w:cs="Arial" w:eastAsia="Arial" w:hAnsi="Arial"/>
                <w:sz w:val="17"/>
                <w:szCs w:val="17"/>
                <w:color w:val="auto"/>
              </w:rPr>
              <w:t>to provide for claims of creditors and</w:t>
            </w:r>
          </w:p>
        </w:tc>
      </w:tr>
      <w:tr>
        <w:trPr>
          <w:trHeight w:val="189"/>
        </w:trPr>
        <w:tc>
          <w:tcPr>
            <w:tcW w:w="2060" w:type="dxa"/>
            <w:vAlign w:val="bottom"/>
          </w:tcPr>
          <w:p>
            <w:pPr>
              <w:spacing w:after="0"/>
              <w:rPr>
                <w:sz w:val="16"/>
                <w:szCs w:val="16"/>
                <w:color w:val="auto"/>
              </w:rPr>
            </w:pPr>
          </w:p>
        </w:tc>
        <w:tc>
          <w:tcPr>
            <w:tcW w:w="3560" w:type="dxa"/>
            <w:vAlign w:val="bottom"/>
            <w:gridSpan w:val="2"/>
          </w:tcPr>
          <w:p>
            <w:pPr>
              <w:ind w:left="520"/>
              <w:spacing w:after="0" w:line="189" w:lineRule="exact"/>
              <w:rPr>
                <w:sz w:val="20"/>
                <w:szCs w:val="20"/>
                <w:color w:val="auto"/>
              </w:rPr>
            </w:pPr>
            <w:r>
              <w:rPr>
                <w:rFonts w:ascii="Arial" w:cs="Arial" w:eastAsia="Arial" w:hAnsi="Arial"/>
                <w:sz w:val="17"/>
                <w:szCs w:val="17"/>
                <w:color w:val="auto"/>
              </w:rPr>
              <w:t>the requirements of other applicable</w:t>
            </w:r>
          </w:p>
        </w:tc>
      </w:tr>
      <w:tr>
        <w:trPr>
          <w:trHeight w:val="205"/>
        </w:trPr>
        <w:tc>
          <w:tcPr>
            <w:tcW w:w="2060" w:type="dxa"/>
            <w:vAlign w:val="bottom"/>
          </w:tcPr>
          <w:p>
            <w:pPr>
              <w:spacing w:after="0"/>
              <w:rPr>
                <w:sz w:val="17"/>
                <w:szCs w:val="17"/>
                <w:color w:val="auto"/>
              </w:rPr>
            </w:pPr>
          </w:p>
        </w:tc>
        <w:tc>
          <w:tcPr>
            <w:tcW w:w="3560" w:type="dxa"/>
            <w:vAlign w:val="bottom"/>
            <w:gridSpan w:val="2"/>
          </w:tcPr>
          <w:p>
            <w:pPr>
              <w:ind w:left="520"/>
              <w:spacing w:after="0"/>
              <w:rPr>
                <w:sz w:val="20"/>
                <w:szCs w:val="20"/>
                <w:color w:val="auto"/>
              </w:rPr>
            </w:pPr>
            <w:r>
              <w:rPr>
                <w:rFonts w:ascii="Arial" w:cs="Arial" w:eastAsia="Arial" w:hAnsi="Arial"/>
                <w:sz w:val="17"/>
                <w:szCs w:val="17"/>
                <w:color w:val="auto"/>
              </w:rPr>
              <w:t>law.</w:t>
            </w:r>
          </w:p>
        </w:tc>
      </w:tr>
      <w:tr>
        <w:trPr>
          <w:trHeight w:val="524"/>
        </w:trPr>
        <w:tc>
          <w:tcPr>
            <w:tcW w:w="2060" w:type="dxa"/>
            <w:vAlign w:val="bottom"/>
          </w:tcPr>
          <w:p>
            <w:pPr>
              <w:spacing w:after="0"/>
              <w:rPr>
                <w:sz w:val="20"/>
                <w:szCs w:val="20"/>
                <w:color w:val="auto"/>
              </w:rPr>
            </w:pPr>
            <w:r>
              <w:rPr>
                <w:rFonts w:ascii="Arial" w:cs="Arial" w:eastAsia="Arial" w:hAnsi="Arial"/>
                <w:sz w:val="17"/>
                <w:szCs w:val="17"/>
                <w:b w:val="1"/>
                <w:bCs w:val="1"/>
                <w:color w:val="auto"/>
              </w:rPr>
              <w:t>Release of funds</w:t>
            </w:r>
          </w:p>
        </w:tc>
        <w:tc>
          <w:tcPr>
            <w:tcW w:w="3560" w:type="dxa"/>
            <w:vAlign w:val="bottom"/>
            <w:gridSpan w:val="2"/>
          </w:tcPr>
          <w:p>
            <w:pPr>
              <w:ind w:left="520"/>
              <w:spacing w:after="0"/>
              <w:rPr>
                <w:sz w:val="20"/>
                <w:szCs w:val="20"/>
                <w:color w:val="auto"/>
              </w:rPr>
            </w:pPr>
            <w:r>
              <w:rPr>
                <w:rFonts w:ascii="Arial" w:cs="Arial" w:eastAsia="Arial" w:hAnsi="Arial"/>
                <w:sz w:val="17"/>
                <w:szCs w:val="17"/>
                <w:color w:val="auto"/>
              </w:rPr>
              <w:t>Except with respect to interest earned</w:t>
            </w:r>
          </w:p>
        </w:tc>
      </w:tr>
      <w:tr>
        <w:trPr>
          <w:trHeight w:val="189"/>
        </w:trPr>
        <w:tc>
          <w:tcPr>
            <w:tcW w:w="2060" w:type="dxa"/>
            <w:vAlign w:val="bottom"/>
          </w:tcPr>
          <w:p>
            <w:pPr>
              <w:spacing w:after="0"/>
              <w:rPr>
                <w:sz w:val="16"/>
                <w:szCs w:val="16"/>
                <w:color w:val="auto"/>
              </w:rPr>
            </w:pPr>
          </w:p>
        </w:tc>
        <w:tc>
          <w:tcPr>
            <w:tcW w:w="3560" w:type="dxa"/>
            <w:vAlign w:val="bottom"/>
            <w:gridSpan w:val="2"/>
          </w:tcPr>
          <w:p>
            <w:pPr>
              <w:ind w:left="520"/>
              <w:spacing w:after="0" w:line="189" w:lineRule="exact"/>
              <w:rPr>
                <w:sz w:val="20"/>
                <w:szCs w:val="20"/>
                <w:color w:val="auto"/>
              </w:rPr>
            </w:pPr>
            <w:r>
              <w:rPr>
                <w:rFonts w:ascii="Arial" w:cs="Arial" w:eastAsia="Arial" w:hAnsi="Arial"/>
                <w:sz w:val="17"/>
                <w:szCs w:val="17"/>
                <w:color w:val="auto"/>
              </w:rPr>
              <w:t>on the funds held in the trust account</w:t>
            </w:r>
          </w:p>
        </w:tc>
      </w:tr>
      <w:tr>
        <w:trPr>
          <w:trHeight w:val="189"/>
        </w:trPr>
        <w:tc>
          <w:tcPr>
            <w:tcW w:w="2060" w:type="dxa"/>
            <w:vAlign w:val="bottom"/>
          </w:tcPr>
          <w:p>
            <w:pPr>
              <w:spacing w:after="0"/>
              <w:rPr>
                <w:sz w:val="16"/>
                <w:szCs w:val="16"/>
                <w:color w:val="auto"/>
              </w:rPr>
            </w:pPr>
          </w:p>
        </w:tc>
        <w:tc>
          <w:tcPr>
            <w:tcW w:w="3560" w:type="dxa"/>
            <w:vAlign w:val="bottom"/>
            <w:gridSpan w:val="2"/>
          </w:tcPr>
          <w:p>
            <w:pPr>
              <w:ind w:left="520"/>
              <w:spacing w:after="0" w:line="189" w:lineRule="exact"/>
              <w:rPr>
                <w:sz w:val="20"/>
                <w:szCs w:val="20"/>
                <w:color w:val="auto"/>
              </w:rPr>
            </w:pPr>
            <w:r>
              <w:rPr>
                <w:rFonts w:ascii="Arial" w:cs="Arial" w:eastAsia="Arial" w:hAnsi="Arial"/>
                <w:sz w:val="17"/>
                <w:szCs w:val="17"/>
                <w:color w:val="auto"/>
              </w:rPr>
              <w:t>that may be released to us to pay our</w:t>
            </w:r>
          </w:p>
        </w:tc>
      </w:tr>
      <w:tr>
        <w:trPr>
          <w:trHeight w:val="189"/>
        </w:trPr>
        <w:tc>
          <w:tcPr>
            <w:tcW w:w="2060" w:type="dxa"/>
            <w:vAlign w:val="bottom"/>
          </w:tcPr>
          <w:p>
            <w:pPr>
              <w:spacing w:after="0"/>
              <w:rPr>
                <w:sz w:val="16"/>
                <w:szCs w:val="16"/>
                <w:color w:val="auto"/>
              </w:rPr>
            </w:pPr>
          </w:p>
        </w:tc>
        <w:tc>
          <w:tcPr>
            <w:tcW w:w="3560" w:type="dxa"/>
            <w:vAlign w:val="bottom"/>
            <w:gridSpan w:val="2"/>
          </w:tcPr>
          <w:p>
            <w:pPr>
              <w:ind w:left="520"/>
              <w:spacing w:after="0" w:line="189" w:lineRule="exact"/>
              <w:rPr>
                <w:sz w:val="20"/>
                <w:szCs w:val="20"/>
                <w:color w:val="auto"/>
              </w:rPr>
            </w:pPr>
            <w:r>
              <w:rPr>
                <w:rFonts w:ascii="Arial" w:cs="Arial" w:eastAsia="Arial" w:hAnsi="Arial"/>
                <w:sz w:val="17"/>
                <w:szCs w:val="17"/>
                <w:color w:val="auto"/>
              </w:rPr>
              <w:t>income taxes, if any, until the earliest of</w:t>
            </w:r>
          </w:p>
        </w:tc>
      </w:tr>
      <w:tr>
        <w:trPr>
          <w:trHeight w:val="189"/>
        </w:trPr>
        <w:tc>
          <w:tcPr>
            <w:tcW w:w="2060" w:type="dxa"/>
            <w:vAlign w:val="bottom"/>
          </w:tcPr>
          <w:p>
            <w:pPr>
              <w:spacing w:after="0"/>
              <w:rPr>
                <w:sz w:val="16"/>
                <w:szCs w:val="16"/>
                <w:color w:val="auto"/>
              </w:rPr>
            </w:pPr>
          </w:p>
        </w:tc>
        <w:tc>
          <w:tcPr>
            <w:tcW w:w="3560" w:type="dxa"/>
            <w:vAlign w:val="bottom"/>
            <w:gridSpan w:val="2"/>
          </w:tcPr>
          <w:p>
            <w:pPr>
              <w:ind w:left="520"/>
              <w:spacing w:after="0" w:line="189" w:lineRule="exact"/>
              <w:rPr>
                <w:sz w:val="20"/>
                <w:szCs w:val="20"/>
                <w:color w:val="auto"/>
              </w:rPr>
            </w:pPr>
            <w:r>
              <w:rPr>
                <w:rFonts w:ascii="Arial" w:cs="Arial" w:eastAsia="Arial" w:hAnsi="Arial"/>
                <w:sz w:val="17"/>
                <w:szCs w:val="17"/>
                <w:color w:val="auto"/>
              </w:rPr>
              <w:t>(i) the completion of our initial business</w:t>
            </w:r>
          </w:p>
        </w:tc>
      </w:tr>
      <w:tr>
        <w:trPr>
          <w:trHeight w:val="189"/>
        </w:trPr>
        <w:tc>
          <w:tcPr>
            <w:tcW w:w="2060" w:type="dxa"/>
            <w:vAlign w:val="bottom"/>
          </w:tcPr>
          <w:p>
            <w:pPr>
              <w:spacing w:after="0"/>
              <w:rPr>
                <w:sz w:val="16"/>
                <w:szCs w:val="16"/>
                <w:color w:val="auto"/>
              </w:rPr>
            </w:pPr>
          </w:p>
        </w:tc>
        <w:tc>
          <w:tcPr>
            <w:tcW w:w="3560" w:type="dxa"/>
            <w:vAlign w:val="bottom"/>
            <w:gridSpan w:val="2"/>
          </w:tcPr>
          <w:p>
            <w:pPr>
              <w:ind w:left="520"/>
              <w:spacing w:after="0" w:line="189" w:lineRule="exact"/>
              <w:rPr>
                <w:sz w:val="20"/>
                <w:szCs w:val="20"/>
                <w:color w:val="auto"/>
              </w:rPr>
            </w:pPr>
            <w:r>
              <w:rPr>
                <w:rFonts w:ascii="Arial" w:cs="Arial" w:eastAsia="Arial" w:hAnsi="Arial"/>
                <w:sz w:val="17"/>
                <w:szCs w:val="17"/>
                <w:color w:val="auto"/>
              </w:rPr>
              <w:t>combination, (ii) the redemption of our</w:t>
            </w:r>
          </w:p>
        </w:tc>
      </w:tr>
      <w:tr>
        <w:trPr>
          <w:trHeight w:val="189"/>
        </w:trPr>
        <w:tc>
          <w:tcPr>
            <w:tcW w:w="2060" w:type="dxa"/>
            <w:vAlign w:val="bottom"/>
          </w:tcPr>
          <w:p>
            <w:pPr>
              <w:spacing w:after="0"/>
              <w:rPr>
                <w:sz w:val="16"/>
                <w:szCs w:val="16"/>
                <w:color w:val="auto"/>
              </w:rPr>
            </w:pPr>
          </w:p>
        </w:tc>
        <w:tc>
          <w:tcPr>
            <w:tcW w:w="3560" w:type="dxa"/>
            <w:vAlign w:val="bottom"/>
            <w:gridSpan w:val="2"/>
          </w:tcPr>
          <w:p>
            <w:pPr>
              <w:ind w:left="520"/>
              <w:spacing w:after="0" w:line="189" w:lineRule="exact"/>
              <w:rPr>
                <w:sz w:val="20"/>
                <w:szCs w:val="20"/>
                <w:color w:val="auto"/>
              </w:rPr>
            </w:pPr>
            <w:r>
              <w:rPr>
                <w:rFonts w:ascii="Arial" w:cs="Arial" w:eastAsia="Arial" w:hAnsi="Arial"/>
                <w:sz w:val="17"/>
                <w:szCs w:val="17"/>
                <w:color w:val="auto"/>
              </w:rPr>
              <w:t>public shares if we have not</w:t>
            </w:r>
          </w:p>
        </w:tc>
      </w:tr>
      <w:tr>
        <w:trPr>
          <w:trHeight w:val="189"/>
        </w:trPr>
        <w:tc>
          <w:tcPr>
            <w:tcW w:w="2060" w:type="dxa"/>
            <w:vAlign w:val="bottom"/>
          </w:tcPr>
          <w:p>
            <w:pPr>
              <w:spacing w:after="0"/>
              <w:rPr>
                <w:sz w:val="16"/>
                <w:szCs w:val="16"/>
                <w:color w:val="auto"/>
              </w:rPr>
            </w:pPr>
          </w:p>
        </w:tc>
        <w:tc>
          <w:tcPr>
            <w:tcW w:w="3560" w:type="dxa"/>
            <w:vAlign w:val="bottom"/>
            <w:gridSpan w:val="2"/>
          </w:tcPr>
          <w:p>
            <w:pPr>
              <w:ind w:left="520"/>
              <w:spacing w:after="0" w:line="189" w:lineRule="exact"/>
              <w:rPr>
                <w:sz w:val="20"/>
                <w:szCs w:val="20"/>
                <w:color w:val="auto"/>
              </w:rPr>
            </w:pPr>
            <w:r>
              <w:rPr>
                <w:rFonts w:ascii="Arial" w:cs="Arial" w:eastAsia="Arial" w:hAnsi="Arial"/>
                <w:sz w:val="17"/>
                <w:szCs w:val="17"/>
                <w:color w:val="auto"/>
              </w:rPr>
              <w:t>consummated an initial business</w:t>
            </w:r>
          </w:p>
        </w:tc>
      </w:tr>
      <w:tr>
        <w:trPr>
          <w:trHeight w:val="189"/>
        </w:trPr>
        <w:tc>
          <w:tcPr>
            <w:tcW w:w="2060" w:type="dxa"/>
            <w:vAlign w:val="bottom"/>
          </w:tcPr>
          <w:p>
            <w:pPr>
              <w:spacing w:after="0"/>
              <w:rPr>
                <w:sz w:val="16"/>
                <w:szCs w:val="16"/>
                <w:color w:val="auto"/>
              </w:rPr>
            </w:pPr>
          </w:p>
        </w:tc>
        <w:tc>
          <w:tcPr>
            <w:tcW w:w="3560" w:type="dxa"/>
            <w:vAlign w:val="bottom"/>
            <w:gridSpan w:val="2"/>
          </w:tcPr>
          <w:p>
            <w:pPr>
              <w:ind w:left="520"/>
              <w:spacing w:after="0" w:line="189" w:lineRule="exact"/>
              <w:rPr>
                <w:sz w:val="20"/>
                <w:szCs w:val="20"/>
                <w:color w:val="auto"/>
              </w:rPr>
            </w:pPr>
            <w:r>
              <w:rPr>
                <w:rFonts w:ascii="Arial" w:cs="Arial" w:eastAsia="Arial" w:hAnsi="Arial"/>
                <w:sz w:val="17"/>
                <w:szCs w:val="17"/>
                <w:color w:val="auto"/>
              </w:rPr>
              <w:t>combination within 24 months from the</w:t>
            </w:r>
          </w:p>
        </w:tc>
      </w:tr>
      <w:tr>
        <w:trPr>
          <w:trHeight w:val="189"/>
        </w:trPr>
        <w:tc>
          <w:tcPr>
            <w:tcW w:w="2060" w:type="dxa"/>
            <w:vAlign w:val="bottom"/>
          </w:tcPr>
          <w:p>
            <w:pPr>
              <w:spacing w:after="0"/>
              <w:rPr>
                <w:sz w:val="16"/>
                <w:szCs w:val="16"/>
                <w:color w:val="auto"/>
              </w:rPr>
            </w:pPr>
          </w:p>
        </w:tc>
        <w:tc>
          <w:tcPr>
            <w:tcW w:w="3560" w:type="dxa"/>
            <w:vAlign w:val="bottom"/>
            <w:gridSpan w:val="2"/>
          </w:tcPr>
          <w:p>
            <w:pPr>
              <w:ind w:left="520"/>
              <w:spacing w:after="0" w:line="189" w:lineRule="exact"/>
              <w:rPr>
                <w:sz w:val="20"/>
                <w:szCs w:val="20"/>
                <w:color w:val="auto"/>
              </w:rPr>
            </w:pPr>
            <w:r>
              <w:rPr>
                <w:rFonts w:ascii="Arial" w:cs="Arial" w:eastAsia="Arial" w:hAnsi="Arial"/>
                <w:sz w:val="17"/>
                <w:szCs w:val="17"/>
                <w:color w:val="auto"/>
              </w:rPr>
              <w:t>closing of this offering, subject to</w:t>
            </w:r>
          </w:p>
        </w:tc>
      </w:tr>
      <w:tr>
        <w:trPr>
          <w:trHeight w:val="189"/>
        </w:trPr>
        <w:tc>
          <w:tcPr>
            <w:tcW w:w="2060" w:type="dxa"/>
            <w:vAlign w:val="bottom"/>
          </w:tcPr>
          <w:p>
            <w:pPr>
              <w:spacing w:after="0"/>
              <w:rPr>
                <w:sz w:val="16"/>
                <w:szCs w:val="16"/>
                <w:color w:val="auto"/>
              </w:rPr>
            </w:pPr>
          </w:p>
        </w:tc>
        <w:tc>
          <w:tcPr>
            <w:tcW w:w="3560" w:type="dxa"/>
            <w:vAlign w:val="bottom"/>
            <w:gridSpan w:val="2"/>
          </w:tcPr>
          <w:p>
            <w:pPr>
              <w:ind w:left="520"/>
              <w:spacing w:after="0" w:line="189" w:lineRule="exact"/>
              <w:rPr>
                <w:sz w:val="20"/>
                <w:szCs w:val="20"/>
                <w:color w:val="auto"/>
              </w:rPr>
            </w:pPr>
            <w:r>
              <w:rPr>
                <w:rFonts w:ascii="Arial" w:cs="Arial" w:eastAsia="Arial" w:hAnsi="Arial"/>
                <w:sz w:val="17"/>
                <w:szCs w:val="17"/>
                <w:color w:val="auto"/>
              </w:rPr>
              <w:t>applicable law and (iii) the redemption</w:t>
            </w:r>
          </w:p>
        </w:tc>
      </w:tr>
      <w:tr>
        <w:trPr>
          <w:trHeight w:val="189"/>
        </w:trPr>
        <w:tc>
          <w:tcPr>
            <w:tcW w:w="2060" w:type="dxa"/>
            <w:vAlign w:val="bottom"/>
          </w:tcPr>
          <w:p>
            <w:pPr>
              <w:spacing w:after="0"/>
              <w:rPr>
                <w:sz w:val="16"/>
                <w:szCs w:val="16"/>
                <w:color w:val="auto"/>
              </w:rPr>
            </w:pPr>
          </w:p>
        </w:tc>
        <w:tc>
          <w:tcPr>
            <w:tcW w:w="3560" w:type="dxa"/>
            <w:vAlign w:val="bottom"/>
            <w:gridSpan w:val="2"/>
          </w:tcPr>
          <w:p>
            <w:pPr>
              <w:ind w:left="520"/>
              <w:spacing w:after="0" w:line="189" w:lineRule="exact"/>
              <w:rPr>
                <w:sz w:val="20"/>
                <w:szCs w:val="20"/>
                <w:color w:val="auto"/>
              </w:rPr>
            </w:pPr>
            <w:r>
              <w:rPr>
                <w:rFonts w:ascii="Arial" w:cs="Arial" w:eastAsia="Arial" w:hAnsi="Arial"/>
                <w:sz w:val="17"/>
                <w:szCs w:val="17"/>
                <w:color w:val="auto"/>
              </w:rPr>
              <w:t>of our public shares properly submitted</w:t>
            </w:r>
          </w:p>
        </w:tc>
      </w:tr>
      <w:tr>
        <w:trPr>
          <w:trHeight w:val="189"/>
        </w:trPr>
        <w:tc>
          <w:tcPr>
            <w:tcW w:w="2060" w:type="dxa"/>
            <w:vAlign w:val="bottom"/>
          </w:tcPr>
          <w:p>
            <w:pPr>
              <w:spacing w:after="0"/>
              <w:rPr>
                <w:sz w:val="16"/>
                <w:szCs w:val="16"/>
                <w:color w:val="auto"/>
              </w:rPr>
            </w:pPr>
          </w:p>
        </w:tc>
        <w:tc>
          <w:tcPr>
            <w:tcW w:w="3560" w:type="dxa"/>
            <w:vAlign w:val="bottom"/>
            <w:gridSpan w:val="2"/>
          </w:tcPr>
          <w:p>
            <w:pPr>
              <w:ind w:left="520"/>
              <w:spacing w:after="0" w:line="189" w:lineRule="exact"/>
              <w:rPr>
                <w:sz w:val="20"/>
                <w:szCs w:val="20"/>
                <w:color w:val="auto"/>
              </w:rPr>
            </w:pPr>
            <w:r>
              <w:rPr>
                <w:rFonts w:ascii="Arial" w:cs="Arial" w:eastAsia="Arial" w:hAnsi="Arial"/>
                <w:sz w:val="17"/>
                <w:szCs w:val="17"/>
                <w:color w:val="auto"/>
              </w:rPr>
              <w:t>in connection with a shareholder vote to</w:t>
            </w:r>
          </w:p>
        </w:tc>
      </w:tr>
      <w:tr>
        <w:trPr>
          <w:trHeight w:val="189"/>
        </w:trPr>
        <w:tc>
          <w:tcPr>
            <w:tcW w:w="2060" w:type="dxa"/>
            <w:vAlign w:val="bottom"/>
          </w:tcPr>
          <w:p>
            <w:pPr>
              <w:spacing w:after="0"/>
              <w:rPr>
                <w:sz w:val="16"/>
                <w:szCs w:val="16"/>
                <w:color w:val="auto"/>
              </w:rPr>
            </w:pPr>
          </w:p>
        </w:tc>
        <w:tc>
          <w:tcPr>
            <w:tcW w:w="3560" w:type="dxa"/>
            <w:vAlign w:val="bottom"/>
            <w:gridSpan w:val="2"/>
          </w:tcPr>
          <w:p>
            <w:pPr>
              <w:ind w:left="520"/>
              <w:spacing w:after="0" w:line="189" w:lineRule="exact"/>
              <w:rPr>
                <w:sz w:val="20"/>
                <w:szCs w:val="20"/>
                <w:color w:val="auto"/>
              </w:rPr>
            </w:pPr>
            <w:r>
              <w:rPr>
                <w:rFonts w:ascii="Arial" w:cs="Arial" w:eastAsia="Arial" w:hAnsi="Arial"/>
                <w:sz w:val="17"/>
                <w:szCs w:val="17"/>
                <w:color w:val="auto"/>
              </w:rPr>
              <w:t>approve an amendment to our</w:t>
            </w:r>
          </w:p>
        </w:tc>
      </w:tr>
      <w:tr>
        <w:trPr>
          <w:trHeight w:val="189"/>
        </w:trPr>
        <w:tc>
          <w:tcPr>
            <w:tcW w:w="2060" w:type="dxa"/>
            <w:vAlign w:val="bottom"/>
          </w:tcPr>
          <w:p>
            <w:pPr>
              <w:spacing w:after="0"/>
              <w:rPr>
                <w:sz w:val="16"/>
                <w:szCs w:val="16"/>
                <w:color w:val="auto"/>
              </w:rPr>
            </w:pPr>
          </w:p>
        </w:tc>
        <w:tc>
          <w:tcPr>
            <w:tcW w:w="3560" w:type="dxa"/>
            <w:vAlign w:val="bottom"/>
            <w:gridSpan w:val="2"/>
          </w:tcPr>
          <w:p>
            <w:pPr>
              <w:ind w:left="520"/>
              <w:spacing w:after="0" w:line="189" w:lineRule="exact"/>
              <w:rPr>
                <w:sz w:val="20"/>
                <w:szCs w:val="20"/>
                <w:color w:val="auto"/>
              </w:rPr>
            </w:pPr>
            <w:r>
              <w:rPr>
                <w:rFonts w:ascii="Arial" w:cs="Arial" w:eastAsia="Arial" w:hAnsi="Arial"/>
                <w:sz w:val="17"/>
                <w:szCs w:val="17"/>
                <w:color w:val="auto"/>
              </w:rPr>
              <w:t>amended and restated memorandum</w:t>
            </w:r>
          </w:p>
        </w:tc>
      </w:tr>
      <w:tr>
        <w:trPr>
          <w:trHeight w:val="189"/>
        </w:trPr>
        <w:tc>
          <w:tcPr>
            <w:tcW w:w="2060" w:type="dxa"/>
            <w:vAlign w:val="bottom"/>
          </w:tcPr>
          <w:p>
            <w:pPr>
              <w:spacing w:after="0"/>
              <w:rPr>
                <w:sz w:val="16"/>
                <w:szCs w:val="16"/>
                <w:color w:val="auto"/>
              </w:rPr>
            </w:pPr>
          </w:p>
        </w:tc>
        <w:tc>
          <w:tcPr>
            <w:tcW w:w="3560" w:type="dxa"/>
            <w:vAlign w:val="bottom"/>
            <w:gridSpan w:val="2"/>
          </w:tcPr>
          <w:p>
            <w:pPr>
              <w:ind w:left="520"/>
              <w:spacing w:after="0" w:line="189" w:lineRule="exact"/>
              <w:rPr>
                <w:sz w:val="20"/>
                <w:szCs w:val="20"/>
                <w:color w:val="auto"/>
              </w:rPr>
            </w:pPr>
            <w:r>
              <w:rPr>
                <w:rFonts w:ascii="Arial" w:cs="Arial" w:eastAsia="Arial" w:hAnsi="Arial"/>
                <w:sz w:val="17"/>
                <w:szCs w:val="17"/>
                <w:color w:val="auto"/>
              </w:rPr>
              <w:t>and articles of association (A) that</w:t>
            </w:r>
          </w:p>
        </w:tc>
      </w:tr>
      <w:tr>
        <w:trPr>
          <w:trHeight w:val="189"/>
        </w:trPr>
        <w:tc>
          <w:tcPr>
            <w:tcW w:w="2060" w:type="dxa"/>
            <w:vAlign w:val="bottom"/>
          </w:tcPr>
          <w:p>
            <w:pPr>
              <w:spacing w:after="0"/>
              <w:rPr>
                <w:sz w:val="16"/>
                <w:szCs w:val="16"/>
                <w:color w:val="auto"/>
              </w:rPr>
            </w:pPr>
          </w:p>
        </w:tc>
        <w:tc>
          <w:tcPr>
            <w:tcW w:w="3560" w:type="dxa"/>
            <w:vAlign w:val="bottom"/>
            <w:gridSpan w:val="2"/>
          </w:tcPr>
          <w:p>
            <w:pPr>
              <w:ind w:left="520"/>
              <w:spacing w:after="0" w:line="189" w:lineRule="exact"/>
              <w:rPr>
                <w:sz w:val="20"/>
                <w:szCs w:val="20"/>
                <w:color w:val="auto"/>
              </w:rPr>
            </w:pPr>
            <w:r>
              <w:rPr>
                <w:rFonts w:ascii="Arial" w:cs="Arial" w:eastAsia="Arial" w:hAnsi="Arial"/>
                <w:sz w:val="17"/>
                <w:szCs w:val="17"/>
                <w:color w:val="auto"/>
              </w:rPr>
              <w:t>would modify the substance or timing of</w:t>
            </w:r>
          </w:p>
        </w:tc>
      </w:tr>
      <w:tr>
        <w:trPr>
          <w:trHeight w:val="189"/>
        </w:trPr>
        <w:tc>
          <w:tcPr>
            <w:tcW w:w="2060" w:type="dxa"/>
            <w:vAlign w:val="bottom"/>
          </w:tcPr>
          <w:p>
            <w:pPr>
              <w:spacing w:after="0"/>
              <w:rPr>
                <w:sz w:val="16"/>
                <w:szCs w:val="16"/>
                <w:color w:val="auto"/>
              </w:rPr>
            </w:pPr>
          </w:p>
        </w:tc>
        <w:tc>
          <w:tcPr>
            <w:tcW w:w="3560" w:type="dxa"/>
            <w:vAlign w:val="bottom"/>
            <w:gridSpan w:val="2"/>
          </w:tcPr>
          <w:p>
            <w:pPr>
              <w:ind w:left="520"/>
              <w:spacing w:after="0" w:line="189" w:lineRule="exact"/>
              <w:rPr>
                <w:sz w:val="20"/>
                <w:szCs w:val="20"/>
                <w:color w:val="auto"/>
              </w:rPr>
            </w:pPr>
            <w:r>
              <w:rPr>
                <w:rFonts w:ascii="Arial" w:cs="Arial" w:eastAsia="Arial" w:hAnsi="Arial"/>
                <w:sz w:val="17"/>
                <w:szCs w:val="17"/>
                <w:color w:val="auto"/>
              </w:rPr>
              <w:t>our obligation to provide holders of our</w:t>
            </w:r>
          </w:p>
        </w:tc>
      </w:tr>
      <w:tr>
        <w:trPr>
          <w:trHeight w:val="189"/>
        </w:trPr>
        <w:tc>
          <w:tcPr>
            <w:tcW w:w="2060" w:type="dxa"/>
            <w:vAlign w:val="bottom"/>
          </w:tcPr>
          <w:p>
            <w:pPr>
              <w:spacing w:after="0"/>
              <w:rPr>
                <w:sz w:val="16"/>
                <w:szCs w:val="16"/>
                <w:color w:val="auto"/>
              </w:rPr>
            </w:pPr>
          </w:p>
        </w:tc>
        <w:tc>
          <w:tcPr>
            <w:tcW w:w="3560" w:type="dxa"/>
            <w:vAlign w:val="bottom"/>
            <w:gridSpan w:val="2"/>
          </w:tcPr>
          <w:p>
            <w:pPr>
              <w:ind w:left="520"/>
              <w:spacing w:after="0" w:line="189" w:lineRule="exact"/>
              <w:rPr>
                <w:sz w:val="20"/>
                <w:szCs w:val="20"/>
                <w:color w:val="auto"/>
              </w:rPr>
            </w:pPr>
            <w:r>
              <w:rPr>
                <w:rFonts w:ascii="Arial" w:cs="Arial" w:eastAsia="Arial" w:hAnsi="Arial"/>
                <w:sz w:val="17"/>
                <w:szCs w:val="17"/>
                <w:color w:val="auto"/>
              </w:rPr>
              <w:t>Class A ordinary shares the right to</w:t>
            </w:r>
          </w:p>
        </w:tc>
      </w:tr>
      <w:tr>
        <w:trPr>
          <w:trHeight w:val="189"/>
        </w:trPr>
        <w:tc>
          <w:tcPr>
            <w:tcW w:w="2060" w:type="dxa"/>
            <w:vAlign w:val="bottom"/>
          </w:tcPr>
          <w:p>
            <w:pPr>
              <w:spacing w:after="0"/>
              <w:rPr>
                <w:sz w:val="16"/>
                <w:szCs w:val="16"/>
                <w:color w:val="auto"/>
              </w:rPr>
            </w:pPr>
          </w:p>
        </w:tc>
        <w:tc>
          <w:tcPr>
            <w:tcW w:w="3560" w:type="dxa"/>
            <w:vAlign w:val="bottom"/>
            <w:gridSpan w:val="2"/>
          </w:tcPr>
          <w:p>
            <w:pPr>
              <w:ind w:left="520"/>
              <w:spacing w:after="0" w:line="189" w:lineRule="exact"/>
              <w:rPr>
                <w:sz w:val="20"/>
                <w:szCs w:val="20"/>
                <w:color w:val="auto"/>
              </w:rPr>
            </w:pPr>
            <w:r>
              <w:rPr>
                <w:rFonts w:ascii="Arial" w:cs="Arial" w:eastAsia="Arial" w:hAnsi="Arial"/>
                <w:sz w:val="17"/>
                <w:szCs w:val="17"/>
                <w:color w:val="auto"/>
              </w:rPr>
              <w:t>have their shares redeemed in</w:t>
            </w:r>
          </w:p>
        </w:tc>
      </w:tr>
      <w:tr>
        <w:trPr>
          <w:trHeight w:val="189"/>
        </w:trPr>
        <w:tc>
          <w:tcPr>
            <w:tcW w:w="2060" w:type="dxa"/>
            <w:vAlign w:val="bottom"/>
          </w:tcPr>
          <w:p>
            <w:pPr>
              <w:spacing w:after="0"/>
              <w:rPr>
                <w:sz w:val="16"/>
                <w:szCs w:val="16"/>
                <w:color w:val="auto"/>
              </w:rPr>
            </w:pPr>
          </w:p>
        </w:tc>
        <w:tc>
          <w:tcPr>
            <w:tcW w:w="3560" w:type="dxa"/>
            <w:vAlign w:val="bottom"/>
            <w:gridSpan w:val="2"/>
          </w:tcPr>
          <w:p>
            <w:pPr>
              <w:ind w:left="520"/>
              <w:spacing w:after="0" w:line="189" w:lineRule="exact"/>
              <w:rPr>
                <w:sz w:val="20"/>
                <w:szCs w:val="20"/>
                <w:color w:val="auto"/>
              </w:rPr>
            </w:pPr>
            <w:r>
              <w:rPr>
                <w:rFonts w:ascii="Arial" w:cs="Arial" w:eastAsia="Arial" w:hAnsi="Arial"/>
                <w:sz w:val="17"/>
                <w:szCs w:val="17"/>
                <w:color w:val="auto"/>
              </w:rPr>
              <w:t>connection with our initial business</w:t>
            </w:r>
          </w:p>
        </w:tc>
      </w:tr>
      <w:tr>
        <w:trPr>
          <w:trHeight w:val="189"/>
        </w:trPr>
        <w:tc>
          <w:tcPr>
            <w:tcW w:w="2060" w:type="dxa"/>
            <w:vAlign w:val="bottom"/>
          </w:tcPr>
          <w:p>
            <w:pPr>
              <w:spacing w:after="0"/>
              <w:rPr>
                <w:sz w:val="16"/>
                <w:szCs w:val="16"/>
                <w:color w:val="auto"/>
              </w:rPr>
            </w:pPr>
          </w:p>
        </w:tc>
        <w:tc>
          <w:tcPr>
            <w:tcW w:w="3560" w:type="dxa"/>
            <w:vAlign w:val="bottom"/>
            <w:gridSpan w:val="2"/>
          </w:tcPr>
          <w:p>
            <w:pPr>
              <w:ind w:left="520"/>
              <w:spacing w:after="0" w:line="189" w:lineRule="exact"/>
              <w:rPr>
                <w:sz w:val="20"/>
                <w:szCs w:val="20"/>
                <w:color w:val="auto"/>
              </w:rPr>
            </w:pPr>
            <w:r>
              <w:rPr>
                <w:rFonts w:ascii="Arial" w:cs="Arial" w:eastAsia="Arial" w:hAnsi="Arial"/>
                <w:sz w:val="17"/>
                <w:szCs w:val="17"/>
                <w:color w:val="auto"/>
              </w:rPr>
              <w:t>combination or to redeem 100% of our</w:t>
            </w:r>
          </w:p>
        </w:tc>
      </w:tr>
      <w:tr>
        <w:trPr>
          <w:trHeight w:val="189"/>
        </w:trPr>
        <w:tc>
          <w:tcPr>
            <w:tcW w:w="2060" w:type="dxa"/>
            <w:vAlign w:val="bottom"/>
          </w:tcPr>
          <w:p>
            <w:pPr>
              <w:spacing w:after="0"/>
              <w:rPr>
                <w:sz w:val="16"/>
                <w:szCs w:val="16"/>
                <w:color w:val="auto"/>
              </w:rPr>
            </w:pPr>
          </w:p>
        </w:tc>
        <w:tc>
          <w:tcPr>
            <w:tcW w:w="3560" w:type="dxa"/>
            <w:vAlign w:val="bottom"/>
            <w:gridSpan w:val="2"/>
          </w:tcPr>
          <w:p>
            <w:pPr>
              <w:ind w:left="520"/>
              <w:spacing w:after="0" w:line="189" w:lineRule="exact"/>
              <w:rPr>
                <w:sz w:val="20"/>
                <w:szCs w:val="20"/>
                <w:color w:val="auto"/>
              </w:rPr>
            </w:pPr>
            <w:r>
              <w:rPr>
                <w:rFonts w:ascii="Arial" w:cs="Arial" w:eastAsia="Arial" w:hAnsi="Arial"/>
                <w:sz w:val="17"/>
                <w:szCs w:val="17"/>
                <w:color w:val="auto"/>
              </w:rPr>
              <w:t>public shares if we do not complete our</w:t>
            </w:r>
          </w:p>
        </w:tc>
      </w:tr>
      <w:tr>
        <w:trPr>
          <w:trHeight w:val="189"/>
        </w:trPr>
        <w:tc>
          <w:tcPr>
            <w:tcW w:w="2060" w:type="dxa"/>
            <w:vAlign w:val="bottom"/>
          </w:tcPr>
          <w:p>
            <w:pPr>
              <w:spacing w:after="0"/>
              <w:rPr>
                <w:sz w:val="16"/>
                <w:szCs w:val="16"/>
                <w:color w:val="auto"/>
              </w:rPr>
            </w:pPr>
          </w:p>
        </w:tc>
        <w:tc>
          <w:tcPr>
            <w:tcW w:w="3560" w:type="dxa"/>
            <w:vAlign w:val="bottom"/>
            <w:gridSpan w:val="2"/>
          </w:tcPr>
          <w:p>
            <w:pPr>
              <w:ind w:left="520"/>
              <w:spacing w:after="0" w:line="189" w:lineRule="exact"/>
              <w:rPr>
                <w:sz w:val="20"/>
                <w:szCs w:val="20"/>
                <w:color w:val="auto"/>
              </w:rPr>
            </w:pPr>
            <w:r>
              <w:rPr>
                <w:rFonts w:ascii="Arial" w:cs="Arial" w:eastAsia="Arial" w:hAnsi="Arial"/>
                <w:sz w:val="17"/>
                <w:szCs w:val="17"/>
                <w:color w:val="auto"/>
              </w:rPr>
              <w:t>initial business combination within 24</w:t>
            </w:r>
          </w:p>
        </w:tc>
      </w:tr>
      <w:tr>
        <w:trPr>
          <w:trHeight w:val="189"/>
        </w:trPr>
        <w:tc>
          <w:tcPr>
            <w:tcW w:w="2060" w:type="dxa"/>
            <w:vAlign w:val="bottom"/>
          </w:tcPr>
          <w:p>
            <w:pPr>
              <w:spacing w:after="0"/>
              <w:rPr>
                <w:sz w:val="16"/>
                <w:szCs w:val="16"/>
                <w:color w:val="auto"/>
              </w:rPr>
            </w:pPr>
          </w:p>
        </w:tc>
        <w:tc>
          <w:tcPr>
            <w:tcW w:w="3560" w:type="dxa"/>
            <w:vAlign w:val="bottom"/>
            <w:gridSpan w:val="2"/>
          </w:tcPr>
          <w:p>
            <w:pPr>
              <w:ind w:left="520"/>
              <w:spacing w:after="0" w:line="189" w:lineRule="exact"/>
              <w:rPr>
                <w:sz w:val="20"/>
                <w:szCs w:val="20"/>
                <w:color w:val="auto"/>
              </w:rPr>
            </w:pPr>
            <w:r>
              <w:rPr>
                <w:rFonts w:ascii="Arial" w:cs="Arial" w:eastAsia="Arial" w:hAnsi="Arial"/>
                <w:sz w:val="17"/>
                <w:szCs w:val="17"/>
                <w:color w:val="auto"/>
              </w:rPr>
              <w:t>months from the closing of this offering</w:t>
            </w:r>
          </w:p>
        </w:tc>
      </w:tr>
      <w:tr>
        <w:trPr>
          <w:trHeight w:val="189"/>
        </w:trPr>
        <w:tc>
          <w:tcPr>
            <w:tcW w:w="2060" w:type="dxa"/>
            <w:vAlign w:val="bottom"/>
          </w:tcPr>
          <w:p>
            <w:pPr>
              <w:spacing w:after="0"/>
              <w:rPr>
                <w:sz w:val="16"/>
                <w:szCs w:val="16"/>
                <w:color w:val="auto"/>
              </w:rPr>
            </w:pPr>
          </w:p>
        </w:tc>
        <w:tc>
          <w:tcPr>
            <w:tcW w:w="3560" w:type="dxa"/>
            <w:vAlign w:val="bottom"/>
            <w:gridSpan w:val="2"/>
          </w:tcPr>
          <w:p>
            <w:pPr>
              <w:ind w:left="520"/>
              <w:spacing w:after="0" w:line="189" w:lineRule="exact"/>
              <w:rPr>
                <w:sz w:val="20"/>
                <w:szCs w:val="20"/>
                <w:color w:val="auto"/>
              </w:rPr>
            </w:pPr>
            <w:r>
              <w:rPr>
                <w:rFonts w:ascii="Arial" w:cs="Arial" w:eastAsia="Arial" w:hAnsi="Arial"/>
                <w:sz w:val="17"/>
                <w:szCs w:val="17"/>
                <w:color w:val="auto"/>
              </w:rPr>
              <w:t>or (B) with respect to any other</w:t>
            </w:r>
          </w:p>
        </w:tc>
      </w:tr>
      <w:tr>
        <w:trPr>
          <w:trHeight w:val="189"/>
        </w:trPr>
        <w:tc>
          <w:tcPr>
            <w:tcW w:w="2060" w:type="dxa"/>
            <w:vAlign w:val="bottom"/>
          </w:tcPr>
          <w:p>
            <w:pPr>
              <w:spacing w:after="0"/>
              <w:rPr>
                <w:sz w:val="16"/>
                <w:szCs w:val="16"/>
                <w:color w:val="auto"/>
              </w:rPr>
            </w:pPr>
          </w:p>
        </w:tc>
        <w:tc>
          <w:tcPr>
            <w:tcW w:w="3560" w:type="dxa"/>
            <w:vAlign w:val="bottom"/>
            <w:gridSpan w:val="2"/>
          </w:tcPr>
          <w:p>
            <w:pPr>
              <w:ind w:left="520"/>
              <w:spacing w:after="0" w:line="189" w:lineRule="exact"/>
              <w:rPr>
                <w:sz w:val="20"/>
                <w:szCs w:val="20"/>
                <w:color w:val="auto"/>
              </w:rPr>
            </w:pPr>
            <w:r>
              <w:rPr>
                <w:rFonts w:ascii="Arial" w:cs="Arial" w:eastAsia="Arial" w:hAnsi="Arial"/>
                <w:sz w:val="17"/>
                <w:szCs w:val="17"/>
                <w:color w:val="auto"/>
              </w:rPr>
              <w:t>provision relating to the rights of holders</w:t>
            </w:r>
          </w:p>
        </w:tc>
      </w:tr>
      <w:tr>
        <w:trPr>
          <w:trHeight w:val="189"/>
        </w:trPr>
        <w:tc>
          <w:tcPr>
            <w:tcW w:w="2060" w:type="dxa"/>
            <w:vAlign w:val="bottom"/>
          </w:tcPr>
          <w:p>
            <w:pPr>
              <w:spacing w:after="0"/>
              <w:rPr>
                <w:sz w:val="16"/>
                <w:szCs w:val="16"/>
                <w:color w:val="auto"/>
              </w:rPr>
            </w:pPr>
          </w:p>
        </w:tc>
        <w:tc>
          <w:tcPr>
            <w:tcW w:w="3560" w:type="dxa"/>
            <w:vAlign w:val="bottom"/>
            <w:gridSpan w:val="2"/>
          </w:tcPr>
          <w:p>
            <w:pPr>
              <w:ind w:left="520"/>
              <w:spacing w:after="0" w:line="189" w:lineRule="exact"/>
              <w:rPr>
                <w:sz w:val="20"/>
                <w:szCs w:val="20"/>
                <w:color w:val="auto"/>
              </w:rPr>
            </w:pPr>
            <w:r>
              <w:rPr>
                <w:rFonts w:ascii="Arial" w:cs="Arial" w:eastAsia="Arial" w:hAnsi="Arial"/>
                <w:sz w:val="17"/>
                <w:szCs w:val="17"/>
                <w:color w:val="auto"/>
              </w:rPr>
              <w:t>of our Class A ordinary shares. Based</w:t>
            </w:r>
          </w:p>
        </w:tc>
      </w:tr>
      <w:tr>
        <w:trPr>
          <w:trHeight w:val="189"/>
        </w:trPr>
        <w:tc>
          <w:tcPr>
            <w:tcW w:w="2060" w:type="dxa"/>
            <w:vAlign w:val="bottom"/>
          </w:tcPr>
          <w:p>
            <w:pPr>
              <w:spacing w:after="0"/>
              <w:rPr>
                <w:sz w:val="16"/>
                <w:szCs w:val="16"/>
                <w:color w:val="auto"/>
              </w:rPr>
            </w:pPr>
          </w:p>
        </w:tc>
        <w:tc>
          <w:tcPr>
            <w:tcW w:w="3560" w:type="dxa"/>
            <w:vAlign w:val="bottom"/>
            <w:gridSpan w:val="2"/>
          </w:tcPr>
          <w:p>
            <w:pPr>
              <w:ind w:left="520"/>
              <w:spacing w:after="0" w:line="189" w:lineRule="exact"/>
              <w:rPr>
                <w:sz w:val="20"/>
                <w:szCs w:val="20"/>
                <w:color w:val="auto"/>
              </w:rPr>
            </w:pPr>
            <w:r>
              <w:rPr>
                <w:rFonts w:ascii="Arial" w:cs="Arial" w:eastAsia="Arial" w:hAnsi="Arial"/>
                <w:sz w:val="17"/>
                <w:szCs w:val="17"/>
                <w:color w:val="auto"/>
              </w:rPr>
              <w:t>on current interest rates, we expect that</w:t>
            </w:r>
          </w:p>
        </w:tc>
      </w:tr>
      <w:tr>
        <w:trPr>
          <w:trHeight w:val="189"/>
        </w:trPr>
        <w:tc>
          <w:tcPr>
            <w:tcW w:w="2060" w:type="dxa"/>
            <w:vAlign w:val="bottom"/>
          </w:tcPr>
          <w:p>
            <w:pPr>
              <w:spacing w:after="0"/>
              <w:rPr>
                <w:sz w:val="16"/>
                <w:szCs w:val="16"/>
                <w:color w:val="auto"/>
              </w:rPr>
            </w:pPr>
          </w:p>
        </w:tc>
        <w:tc>
          <w:tcPr>
            <w:tcW w:w="3560" w:type="dxa"/>
            <w:vAlign w:val="bottom"/>
            <w:gridSpan w:val="2"/>
          </w:tcPr>
          <w:p>
            <w:pPr>
              <w:ind w:left="520"/>
              <w:spacing w:after="0" w:line="189" w:lineRule="exact"/>
              <w:rPr>
                <w:sz w:val="20"/>
                <w:szCs w:val="20"/>
                <w:color w:val="auto"/>
              </w:rPr>
            </w:pPr>
            <w:r>
              <w:rPr>
                <w:rFonts w:ascii="Arial" w:cs="Arial" w:eastAsia="Arial" w:hAnsi="Arial"/>
                <w:sz w:val="17"/>
                <w:szCs w:val="17"/>
                <w:color w:val="auto"/>
              </w:rPr>
              <w:t>interest income earned on the trust</w:t>
            </w:r>
          </w:p>
        </w:tc>
      </w:tr>
      <w:tr>
        <w:trPr>
          <w:trHeight w:val="189"/>
        </w:trPr>
        <w:tc>
          <w:tcPr>
            <w:tcW w:w="2060" w:type="dxa"/>
            <w:vAlign w:val="bottom"/>
          </w:tcPr>
          <w:p>
            <w:pPr>
              <w:spacing w:after="0"/>
              <w:rPr>
                <w:sz w:val="16"/>
                <w:szCs w:val="16"/>
                <w:color w:val="auto"/>
              </w:rPr>
            </w:pPr>
          </w:p>
        </w:tc>
        <w:tc>
          <w:tcPr>
            <w:tcW w:w="3560" w:type="dxa"/>
            <w:vAlign w:val="bottom"/>
            <w:gridSpan w:val="2"/>
          </w:tcPr>
          <w:p>
            <w:pPr>
              <w:ind w:left="520"/>
              <w:spacing w:after="0" w:line="189" w:lineRule="exact"/>
              <w:rPr>
                <w:sz w:val="20"/>
                <w:szCs w:val="20"/>
                <w:color w:val="auto"/>
              </w:rPr>
            </w:pPr>
            <w:r>
              <w:rPr>
                <w:rFonts w:ascii="Arial" w:cs="Arial" w:eastAsia="Arial" w:hAnsi="Arial"/>
                <w:sz w:val="17"/>
                <w:szCs w:val="17"/>
                <w:color w:val="auto"/>
              </w:rPr>
              <w:t>account (if any) will be sufficient to pay</w:t>
            </w:r>
          </w:p>
        </w:tc>
      </w:tr>
      <w:tr>
        <w:trPr>
          <w:trHeight w:val="205"/>
        </w:trPr>
        <w:tc>
          <w:tcPr>
            <w:tcW w:w="2060" w:type="dxa"/>
            <w:vAlign w:val="bottom"/>
          </w:tcPr>
          <w:p>
            <w:pPr>
              <w:spacing w:after="0"/>
              <w:rPr>
                <w:sz w:val="17"/>
                <w:szCs w:val="17"/>
                <w:color w:val="auto"/>
              </w:rPr>
            </w:pPr>
          </w:p>
        </w:tc>
        <w:tc>
          <w:tcPr>
            <w:tcW w:w="3560" w:type="dxa"/>
            <w:vAlign w:val="bottom"/>
            <w:gridSpan w:val="2"/>
          </w:tcPr>
          <w:p>
            <w:pPr>
              <w:ind w:left="520"/>
              <w:spacing w:after="0"/>
              <w:rPr>
                <w:sz w:val="20"/>
                <w:szCs w:val="20"/>
                <w:color w:val="auto"/>
              </w:rPr>
            </w:pPr>
            <w:r>
              <w:rPr>
                <w:rFonts w:ascii="Arial" w:cs="Arial" w:eastAsia="Arial" w:hAnsi="Arial"/>
                <w:sz w:val="17"/>
                <w:szCs w:val="17"/>
                <w:color w:val="auto"/>
              </w:rPr>
              <w:t>our income taxes.</w:t>
            </w:r>
          </w:p>
        </w:tc>
      </w:tr>
      <w:tr>
        <w:trPr>
          <w:trHeight w:val="405"/>
        </w:trPr>
        <w:tc>
          <w:tcPr>
            <w:tcW w:w="2060" w:type="dxa"/>
            <w:vAlign w:val="bottom"/>
          </w:tcPr>
          <w:p>
            <w:pPr>
              <w:spacing w:after="0"/>
              <w:rPr>
                <w:sz w:val="20"/>
                <w:szCs w:val="20"/>
                <w:color w:val="auto"/>
              </w:rPr>
            </w:pPr>
            <w:r>
              <w:rPr>
                <w:rFonts w:ascii="Arial" w:cs="Arial" w:eastAsia="Arial" w:hAnsi="Arial"/>
                <w:sz w:val="17"/>
                <w:szCs w:val="17"/>
                <w:b w:val="1"/>
                <w:bCs w:val="1"/>
                <w:color w:val="auto"/>
              </w:rPr>
              <w:t>Competition</w:t>
            </w:r>
          </w:p>
        </w:tc>
        <w:tc>
          <w:tcPr>
            <w:tcW w:w="520" w:type="dxa"/>
            <w:vAlign w:val="bottom"/>
          </w:tcPr>
          <w:p>
            <w:pPr>
              <w:spacing w:after="0"/>
              <w:rPr>
                <w:sz w:val="24"/>
                <w:szCs w:val="24"/>
                <w:color w:val="auto"/>
              </w:rPr>
            </w:pPr>
          </w:p>
        </w:tc>
        <w:tc>
          <w:tcPr>
            <w:tcW w:w="30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52070</wp:posOffset>
            </wp:positionV>
            <wp:extent cx="193738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9373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proceeds held in the escrow account are not released until the earlier of the completion of a business combination and the failure to effect a business combination within the allotted time.</w:t>
      </w:r>
    </w:p>
    <w:p>
      <w:pPr>
        <w:spacing w:after="0" w:line="5480" w:lineRule="exact"/>
        <w:rPr>
          <w:sz w:val="20"/>
          <w:szCs w:val="20"/>
          <w:color w:val="auto"/>
        </w:rPr>
      </w:pPr>
    </w:p>
    <w:p>
      <w:pPr>
        <w:sectPr>
          <w:pgSz w:w="11900" w:h="16838" w:orient="portrait"/>
          <w:cols w:equalWidth="0" w:num="2">
            <w:col w:w="5620" w:space="400"/>
            <w:col w:w="3060"/>
          </w:cols>
          <w:pgMar w:left="1400" w:top="265" w:right="1419" w:bottom="1440" w:gutter="0" w:footer="0" w:header="0"/>
        </w:sectPr>
      </w:pPr>
    </w:p>
    <w:p>
      <w:pPr>
        <w:ind w:right="80"/>
        <w:spacing w:after="0" w:line="234" w:lineRule="auto"/>
        <w:rPr>
          <w:sz w:val="20"/>
          <w:szCs w:val="20"/>
          <w:color w:val="auto"/>
        </w:rPr>
      </w:pPr>
      <w:r>
        <w:rPr>
          <w:rFonts w:ascii="Arial" w:cs="Arial" w:eastAsia="Arial" w:hAnsi="Arial"/>
          <w:sz w:val="17"/>
          <w:szCs w:val="17"/>
          <w:color w:val="auto"/>
        </w:rPr>
        <w:t>In identifying, evaluating and selecting a target business for our initial business combination, we may encounter intense competition from other entities having a business objective similar to ours, including other blank check companies, private equity groups and leveraged buyout funds, public companies, operating businesses seeking strategic acquisitions. Many of these entities are well established and have extensive experience identifying and effecting business combinations directly or through affiliates. Moreover, many of these competitors possess greater financial, technical, human and other resources than us. Our ability to acquire larger target businesses will be limited by our available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type w:val="continuous"/>
        </w:sectPr>
      </w:pPr>
    </w:p>
    <w:bookmarkStart w:id="95" w:name="page96"/>
    <w:bookmarkEnd w:id="9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financial resources. This inherent limitation gives others an advantage in pursuing the acquisition of a target business. Furthermore, our obligation to pay cash in connection with our public shareholders who properly exercise their redemption rights may reduce the resources available to us for our initial business combination, and the future dilution they potentially represent, may not be viewed favorably by certain target businesses. Either of these factors may place us at a competitive disadvantage in successfully negotiating an initial business combination.</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Facilities</w:t>
      </w:r>
    </w:p>
    <w:p>
      <w:pPr>
        <w:spacing w:after="0" w:line="174" w:lineRule="exact"/>
        <w:rPr>
          <w:sz w:val="20"/>
          <w:szCs w:val="20"/>
          <w:color w:val="auto"/>
        </w:rPr>
      </w:pPr>
    </w:p>
    <w:p>
      <w:pPr>
        <w:spacing w:after="0" w:line="196" w:lineRule="auto"/>
        <w:rPr>
          <w:sz w:val="20"/>
          <w:szCs w:val="20"/>
          <w:color w:val="auto"/>
        </w:rPr>
      </w:pPr>
      <w:r>
        <w:rPr>
          <w:rFonts w:ascii="Arial" w:cs="Arial" w:eastAsia="Arial" w:hAnsi="Arial"/>
          <w:sz w:val="17"/>
          <w:szCs w:val="17"/>
          <w:color w:val="auto"/>
        </w:rPr>
        <w:t>We currently maintain our executive offices at 51 Astor Place, 10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New York 10003. The cost for our use of this space is included in the $10,000 per month fee we will pay to our sponsor for office space, administrative and support services. We consider our current office space adequate for our current operations.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176" w:lineRule="exact"/>
        <w:rPr>
          <w:sz w:val="20"/>
          <w:szCs w:val="20"/>
          <w:color w:val="auto"/>
        </w:rPr>
      </w:pPr>
    </w:p>
    <w:p>
      <w:pPr>
        <w:ind w:right="180"/>
        <w:spacing w:after="0" w:line="235" w:lineRule="auto"/>
        <w:rPr>
          <w:sz w:val="20"/>
          <w:szCs w:val="20"/>
          <w:color w:val="auto"/>
        </w:rPr>
      </w:pPr>
      <w:r>
        <w:rPr>
          <w:rFonts w:ascii="Arial" w:cs="Arial" w:eastAsia="Arial" w:hAnsi="Arial"/>
          <w:sz w:val="17"/>
          <w:szCs w:val="17"/>
          <w:color w:val="auto"/>
        </w:rPr>
        <w:t>We currently have three executive officers.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 time employees prior to the completion of our initial business combination.</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Periodic Reporting and Financial Information</w:t>
      </w:r>
    </w:p>
    <w:p>
      <w:pPr>
        <w:spacing w:after="0" w:line="176"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We will register our Class A ordinary shares under the Exchange Act and have reporting obligations, including the requirement that we file annual, quarterly and current reports with the SEC. In accordance with the requirements of the Exchange Act, our annual reports will contain financial statements audited and reported on by our independent registered public accountants.</w:t>
      </w:r>
    </w:p>
    <w:p>
      <w:pPr>
        <w:spacing w:after="0" w:line="163"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We will provide shareholders with audited financial statements of the prospective target business as part of the proxy solicitation or tender offer materials, as applicable, sent to shareholders. These financial statements may be required to be prepared in accordance with, or reconciled to, GAAP, or IFRS, depending on the circumstances, and the historical financial statements may be required to be audited in accordance with the standards of the PCAOB. These financial statement requirements may limit the pool of potential target businesses we may acquire because some targets may be unable to provide such statements in time for us to disclose such statements in accordance with federal proxy rules and complete our initial business combination within 24 months from the closing of this offering. We cannot assure you that any particular target business identified by us as a potential acquisition candidate will have financial statements prepared in accordance with the requirements outlined above, or that the potential target business will be able to prepare its financial statements in accordance with the requirements outlined above. To the extent that these requirements cannot be met, we may not be able to acquire the proposed target business. While this may limit the pool of potential acquisition candidates, we do not believe that this limitation will be material.</w:t>
      </w:r>
    </w:p>
    <w:p>
      <w:pPr>
        <w:spacing w:after="0" w:line="166"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We will be required to evaluate our internal control procedures for the fiscal year ending December 31, 2021 as required by the Sarbanes-Oxley Act. Only in the event that we are deemed to be a large accelerated filer or an accelerated filer and no longer qualify as an emerging growth company would we be required to comply with the independent registered public accounting firm attestation requirement on internal control over financial reporting. A target business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151"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Prior to the date of this prospectus, we will file a Registration Statement on Form 8-A with the SEC to voluntarily register our securities under Section 12 of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96" w:name="page97"/>
    <w:bookmarkEnd w:id="9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We are a Cayman Islands exempted company. Exempted companies are Cayman Islands companies conducting business mainly outside the Cayman Islands and, as such, are exempted from complying with certain provisions of the Companies Law. As an exempted company, we have applied for and expect to receive, after the effectiveness of the registration statement of which this prospectus forms a part, a tax exemption undertaking from the Cayman Islands government that, in accordance with Section 6 of the Tax Concessions Law (2018 Revision) of the Cayman Islands, for a period of 20 years from the date of the undertaking, no law which is enacted in the Cayman Islands imposing any tax to be levied on profits, income, gains or appreciations will apply to us or our operations and, in addition, that no tax to be levied on profits, income, gains or appreciations or which is in the nature of estate duty or inheritance tax will be payable</w:t>
      </w:r>
    </w:p>
    <w:p>
      <w:pPr>
        <w:ind w:right="80" w:firstLine="8"/>
        <w:spacing w:after="0" w:line="238" w:lineRule="auto"/>
        <w:tabs>
          <w:tab w:leader="none" w:pos="199" w:val="left"/>
        </w:tabs>
        <w:numPr>
          <w:ilvl w:val="0"/>
          <w:numId w:val="19"/>
        </w:numPr>
        <w:rPr>
          <w:rFonts w:ascii="Arial" w:cs="Arial" w:eastAsia="Arial" w:hAnsi="Arial"/>
          <w:sz w:val="17"/>
          <w:szCs w:val="17"/>
          <w:color w:val="auto"/>
        </w:rPr>
      </w:pPr>
      <w:r>
        <w:rPr>
          <w:rFonts w:ascii="Arial" w:cs="Arial" w:eastAsia="Arial" w:hAnsi="Arial"/>
          <w:sz w:val="17"/>
          <w:szCs w:val="17"/>
          <w:color w:val="auto"/>
        </w:rPr>
        <w:t>on or in respect of our shares, debentures or other obligations or (ii) by way of the withholding in whole or in part of a payment of dividend or other distribution of income or capital by us to our shareholders or a payment of principal or interest or other sums due under a debenture or other obligation of us.</w:t>
      </w:r>
    </w:p>
    <w:p>
      <w:pPr>
        <w:spacing w:after="0" w:line="16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63" w:lineRule="exact"/>
        <w:rPr>
          <w:sz w:val="20"/>
          <w:szCs w:val="20"/>
          <w:color w:val="auto"/>
        </w:rPr>
      </w:pPr>
    </w:p>
    <w:p>
      <w:pPr>
        <w:ind w:right="220"/>
        <w:spacing w:after="0" w:line="235"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50"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We will remain an emerging growth company until the earlier of (1) the last day of the fiscal year (a) following the fifth anniversary of the completion of this offering, (b) in which we have total annual gross revenue of at least $1.07 billion, or</w:t>
      </w:r>
    </w:p>
    <w:p>
      <w:pPr>
        <w:ind w:firstLine="8"/>
        <w:spacing w:after="0" w:line="238" w:lineRule="auto"/>
        <w:tabs>
          <w:tab w:leader="none" w:pos="247"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 which we are deemed to be a large accelerated filer, which means the market value of our Class A ordinary shares that are held by non-affiliates exceeds $700 million as of the prior June 30th, and (2) the date on which we have issued more than $1.0 billion in non-convertible debt during the prior three-year period.</w:t>
      </w:r>
    </w:p>
    <w:p>
      <w:pPr>
        <w:spacing w:after="0" w:line="16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$250 million as of the prior June 30, or (2) our annual revenues exceeded $100 million during such completed fiscal year and the market value of our ordinary shares held by non-affiliates exceeds $700 million as of the prior June 30.</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189"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There is no material litigation, arbitration or governmental proceeding currently pending against us or any members of our management team in their capacity as such.</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97" w:name="page98"/>
    <w:bookmarkEnd w:id="9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Officers, Directors and Director Nominees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Our officers, directors and director nominees are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Age</w:t>
            </w:r>
          </w:p>
        </w:tc>
        <w:tc>
          <w:tcPr>
            <w:tcW w:w="4100" w:type="dxa"/>
            <w:vAlign w:val="bottom"/>
          </w:tcPr>
          <w:p>
            <w:pPr>
              <w:ind w:left="1760"/>
              <w:spacing w:after="0"/>
              <w:rPr>
                <w:sz w:val="20"/>
                <w:szCs w:val="20"/>
                <w:color w:val="auto"/>
              </w:rPr>
            </w:pPr>
            <w:r>
              <w:rPr>
                <w:rFonts w:ascii="Arial" w:cs="Arial" w:eastAsia="Arial" w:hAnsi="Arial"/>
                <w:sz w:val="14"/>
                <w:szCs w:val="14"/>
                <w:b w:val="1"/>
                <w:bCs w:val="1"/>
                <w:color w:val="auto"/>
              </w:rPr>
              <w:t>Position</w:t>
            </w:r>
          </w:p>
        </w:tc>
      </w:tr>
      <w:tr>
        <w:trPr>
          <w:trHeight w:val="53"/>
        </w:trPr>
        <w:tc>
          <w:tcPr>
            <w:tcW w:w="39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100" w:type="dxa"/>
            <w:vAlign w:val="bottom"/>
            <w:tcBorders>
              <w:bottom w:val="single" w:sz="8" w:color="auto"/>
            </w:tcBorders>
          </w:tcPr>
          <w:p>
            <w:pPr>
              <w:spacing w:after="0"/>
              <w:rPr>
                <w:sz w:val="4"/>
                <w:szCs w:val="4"/>
                <w:color w:val="auto"/>
              </w:rPr>
            </w:pPr>
          </w:p>
        </w:tc>
      </w:tr>
      <w:tr>
        <w:trPr>
          <w:trHeight w:val="259"/>
        </w:trPr>
        <w:tc>
          <w:tcPr>
            <w:tcW w:w="4120" w:type="dxa"/>
            <w:vAlign w:val="bottom"/>
            <w:gridSpan w:val="2"/>
          </w:tcPr>
          <w:p>
            <w:pPr>
              <w:spacing w:after="0"/>
              <w:rPr>
                <w:sz w:val="20"/>
                <w:szCs w:val="20"/>
                <w:color w:val="auto"/>
              </w:rPr>
            </w:pPr>
            <w:r>
              <w:rPr>
                <w:rFonts w:ascii="Arial" w:cs="Arial" w:eastAsia="Arial" w:hAnsi="Arial"/>
                <w:sz w:val="17"/>
                <w:szCs w:val="17"/>
                <w:color w:val="auto"/>
              </w:rPr>
              <w:t>Joseph Edelman</w:t>
            </w:r>
          </w:p>
        </w:tc>
        <w:tc>
          <w:tcPr>
            <w:tcW w:w="660" w:type="dxa"/>
            <w:vAlign w:val="bottom"/>
          </w:tcPr>
          <w:p>
            <w:pPr>
              <w:jc w:val="center"/>
              <w:spacing w:after="0"/>
              <w:rPr>
                <w:sz w:val="20"/>
                <w:szCs w:val="20"/>
                <w:color w:val="auto"/>
              </w:rPr>
            </w:pPr>
            <w:r>
              <w:rPr>
                <w:rFonts w:ascii="Arial" w:cs="Arial" w:eastAsia="Arial" w:hAnsi="Arial"/>
                <w:sz w:val="17"/>
                <w:szCs w:val="17"/>
                <w:color w:val="auto"/>
                <w:w w:val="94"/>
              </w:rPr>
              <w:t>64</w:t>
            </w:r>
          </w:p>
        </w:tc>
        <w:tc>
          <w:tcPr>
            <w:tcW w:w="200" w:type="dxa"/>
            <w:vAlign w:val="bottom"/>
          </w:tcPr>
          <w:p>
            <w:pPr>
              <w:spacing w:after="0"/>
              <w:rPr>
                <w:sz w:val="22"/>
                <w:szCs w:val="22"/>
                <w:color w:val="auto"/>
              </w:rPr>
            </w:pPr>
          </w:p>
        </w:tc>
        <w:tc>
          <w:tcPr>
            <w:tcW w:w="4100" w:type="dxa"/>
            <w:vAlign w:val="bottom"/>
          </w:tcPr>
          <w:p>
            <w:pPr>
              <w:spacing w:after="0"/>
              <w:rPr>
                <w:sz w:val="20"/>
                <w:szCs w:val="20"/>
                <w:color w:val="auto"/>
              </w:rPr>
            </w:pPr>
            <w:r>
              <w:rPr>
                <w:rFonts w:ascii="Arial" w:cs="Arial" w:eastAsia="Arial" w:hAnsi="Arial"/>
                <w:sz w:val="17"/>
                <w:szCs w:val="17"/>
                <w:color w:val="auto"/>
              </w:rPr>
              <w:t>Chairman</w:t>
            </w:r>
          </w:p>
        </w:tc>
      </w:tr>
      <w:tr>
        <w:trPr>
          <w:trHeight w:val="297"/>
        </w:trPr>
        <w:tc>
          <w:tcPr>
            <w:tcW w:w="4120" w:type="dxa"/>
            <w:vAlign w:val="bottom"/>
            <w:gridSpan w:val="2"/>
          </w:tcPr>
          <w:p>
            <w:pPr>
              <w:spacing w:after="0"/>
              <w:rPr>
                <w:sz w:val="20"/>
                <w:szCs w:val="20"/>
                <w:color w:val="auto"/>
              </w:rPr>
            </w:pPr>
            <w:r>
              <w:rPr>
                <w:rFonts w:ascii="Arial" w:cs="Arial" w:eastAsia="Arial" w:hAnsi="Arial"/>
                <w:sz w:val="17"/>
                <w:szCs w:val="17"/>
                <w:color w:val="auto"/>
              </w:rPr>
              <w:t>Adam Stone</w:t>
            </w:r>
          </w:p>
        </w:tc>
        <w:tc>
          <w:tcPr>
            <w:tcW w:w="660" w:type="dxa"/>
            <w:vAlign w:val="bottom"/>
          </w:tcPr>
          <w:p>
            <w:pPr>
              <w:jc w:val="center"/>
              <w:spacing w:after="0"/>
              <w:rPr>
                <w:sz w:val="20"/>
                <w:szCs w:val="20"/>
                <w:color w:val="auto"/>
              </w:rPr>
            </w:pPr>
            <w:r>
              <w:rPr>
                <w:rFonts w:ascii="Arial" w:cs="Arial" w:eastAsia="Arial" w:hAnsi="Arial"/>
                <w:sz w:val="17"/>
                <w:szCs w:val="17"/>
                <w:color w:val="auto"/>
                <w:w w:val="94"/>
              </w:rPr>
              <w:t>40</w:t>
            </w:r>
          </w:p>
        </w:tc>
        <w:tc>
          <w:tcPr>
            <w:tcW w:w="20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7"/>
                <w:szCs w:val="17"/>
                <w:color w:val="auto"/>
              </w:rPr>
              <w:t>Chief Executive Officer and Director</w:t>
            </w:r>
          </w:p>
        </w:tc>
      </w:tr>
      <w:tr>
        <w:trPr>
          <w:trHeight w:val="297"/>
        </w:trPr>
        <w:tc>
          <w:tcPr>
            <w:tcW w:w="4120" w:type="dxa"/>
            <w:vAlign w:val="bottom"/>
            <w:gridSpan w:val="2"/>
          </w:tcPr>
          <w:p>
            <w:pPr>
              <w:spacing w:after="0"/>
              <w:rPr>
                <w:sz w:val="20"/>
                <w:szCs w:val="20"/>
                <w:color w:val="auto"/>
              </w:rPr>
            </w:pPr>
            <w:r>
              <w:rPr>
                <w:rFonts w:ascii="Arial" w:cs="Arial" w:eastAsia="Arial" w:hAnsi="Arial"/>
                <w:sz w:val="17"/>
                <w:szCs w:val="17"/>
                <w:color w:val="auto"/>
              </w:rPr>
              <w:t>Michael Altman</w:t>
            </w:r>
          </w:p>
        </w:tc>
        <w:tc>
          <w:tcPr>
            <w:tcW w:w="660" w:type="dxa"/>
            <w:vAlign w:val="bottom"/>
          </w:tcPr>
          <w:p>
            <w:pPr>
              <w:jc w:val="center"/>
              <w:spacing w:after="0"/>
              <w:rPr>
                <w:sz w:val="20"/>
                <w:szCs w:val="20"/>
                <w:color w:val="auto"/>
              </w:rPr>
            </w:pPr>
            <w:r>
              <w:rPr>
                <w:rFonts w:ascii="Arial" w:cs="Arial" w:eastAsia="Arial" w:hAnsi="Arial"/>
                <w:sz w:val="17"/>
                <w:szCs w:val="17"/>
                <w:color w:val="auto"/>
                <w:w w:val="94"/>
              </w:rPr>
              <w:t>38</w:t>
            </w:r>
          </w:p>
        </w:tc>
        <w:tc>
          <w:tcPr>
            <w:tcW w:w="20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7"/>
                <w:szCs w:val="17"/>
                <w:color w:val="auto"/>
              </w:rPr>
              <w:t>Chief Financial Officer and Director</w:t>
            </w:r>
          </w:p>
        </w:tc>
      </w:tr>
      <w:tr>
        <w:trPr>
          <w:trHeight w:val="297"/>
        </w:trPr>
        <w:tc>
          <w:tcPr>
            <w:tcW w:w="4120" w:type="dxa"/>
            <w:vAlign w:val="bottom"/>
            <w:gridSpan w:val="2"/>
          </w:tcPr>
          <w:p>
            <w:pPr>
              <w:spacing w:after="0"/>
              <w:rPr>
                <w:sz w:val="20"/>
                <w:szCs w:val="20"/>
                <w:color w:val="auto"/>
              </w:rPr>
            </w:pPr>
            <w:r>
              <w:rPr>
                <w:rFonts w:ascii="Arial" w:cs="Arial" w:eastAsia="Arial" w:hAnsi="Arial"/>
                <w:sz w:val="17"/>
                <w:szCs w:val="17"/>
                <w:color w:val="auto"/>
              </w:rPr>
              <w:t>Konstantin Poukalov</w:t>
            </w:r>
          </w:p>
        </w:tc>
        <w:tc>
          <w:tcPr>
            <w:tcW w:w="660" w:type="dxa"/>
            <w:vAlign w:val="bottom"/>
          </w:tcPr>
          <w:p>
            <w:pPr>
              <w:jc w:val="center"/>
              <w:spacing w:after="0"/>
              <w:rPr>
                <w:sz w:val="20"/>
                <w:szCs w:val="20"/>
                <w:color w:val="auto"/>
              </w:rPr>
            </w:pPr>
            <w:r>
              <w:rPr>
                <w:rFonts w:ascii="Arial" w:cs="Arial" w:eastAsia="Arial" w:hAnsi="Arial"/>
                <w:sz w:val="17"/>
                <w:szCs w:val="17"/>
                <w:color w:val="auto"/>
                <w:w w:val="94"/>
              </w:rPr>
              <w:t>36</w:t>
            </w:r>
          </w:p>
        </w:tc>
        <w:tc>
          <w:tcPr>
            <w:tcW w:w="20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7"/>
                <w:szCs w:val="17"/>
                <w:color w:val="auto"/>
              </w:rPr>
              <w:t>Chief Business Officer</w:t>
            </w:r>
          </w:p>
        </w:tc>
      </w:tr>
      <w:tr>
        <w:trPr>
          <w:trHeight w:val="297"/>
        </w:trPr>
        <w:tc>
          <w:tcPr>
            <w:tcW w:w="4120" w:type="dxa"/>
            <w:vAlign w:val="bottom"/>
            <w:gridSpan w:val="2"/>
          </w:tcPr>
          <w:p>
            <w:pPr>
              <w:spacing w:after="0"/>
              <w:rPr>
                <w:sz w:val="20"/>
                <w:szCs w:val="20"/>
                <w:color w:val="auto"/>
              </w:rPr>
            </w:pPr>
            <w:r>
              <w:rPr>
                <w:rFonts w:ascii="Arial" w:cs="Arial" w:eastAsia="Arial" w:hAnsi="Arial"/>
                <w:sz w:val="17"/>
                <w:szCs w:val="17"/>
                <w:color w:val="auto"/>
              </w:rPr>
              <w:t>Todd Wider</w:t>
            </w:r>
          </w:p>
        </w:tc>
        <w:tc>
          <w:tcPr>
            <w:tcW w:w="660" w:type="dxa"/>
            <w:vAlign w:val="bottom"/>
          </w:tcPr>
          <w:p>
            <w:pPr>
              <w:jc w:val="center"/>
              <w:spacing w:after="0"/>
              <w:rPr>
                <w:sz w:val="20"/>
                <w:szCs w:val="20"/>
                <w:color w:val="auto"/>
              </w:rPr>
            </w:pPr>
            <w:r>
              <w:rPr>
                <w:rFonts w:ascii="Arial" w:cs="Arial" w:eastAsia="Arial" w:hAnsi="Arial"/>
                <w:sz w:val="17"/>
                <w:szCs w:val="17"/>
                <w:color w:val="auto"/>
                <w:w w:val="94"/>
              </w:rPr>
              <w:t>55</w:t>
            </w:r>
          </w:p>
        </w:tc>
        <w:tc>
          <w:tcPr>
            <w:tcW w:w="20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7"/>
                <w:szCs w:val="17"/>
                <w:color w:val="auto"/>
              </w:rPr>
              <w:t>Director Nominee</w:t>
            </w:r>
          </w:p>
        </w:tc>
      </w:tr>
    </w:tbl>
    <w:p>
      <w:pPr>
        <w:spacing w:after="0" w:line="140"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b w:val="1"/>
          <w:bCs w:val="1"/>
          <w:i w:val="1"/>
          <w:iCs w:val="1"/>
          <w:color w:val="auto"/>
        </w:rPr>
        <w:t xml:space="preserve">Joseph Edelman </w:t>
      </w:r>
      <w:r>
        <w:rPr>
          <w:rFonts w:ascii="Arial" w:cs="Arial" w:eastAsia="Arial" w:hAnsi="Arial"/>
          <w:sz w:val="17"/>
          <w:szCs w:val="17"/>
          <w:color w:val="auto"/>
        </w:rPr>
        <w:t>serves as the Chairman of our board of directors. Mr. Edelman is Founder, Chief Executive Officer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Portfolio Manager of Perceptive Advisors. He has also served as Chairman of the board of directors of ARYA Sciences Acquisition Corp II (Nasdaq: ARYB) since June 2020. Prior to founding Perceptive Advisors, Mr. Edelman was a Senior Analyst at Aries Fund, a Paramount Capital Asset Management biotechnology hedge fund, from 1994 through 1998. Prior to that position, Mr. Edelman was a Senior Biotechnology Analyst at Prudential Securities from 1990 to</w:t>
      </w:r>
    </w:p>
    <w:p>
      <w:pPr>
        <w:spacing w:after="0" w:line="4" w:lineRule="exact"/>
        <w:rPr>
          <w:sz w:val="20"/>
          <w:szCs w:val="20"/>
          <w:color w:val="auto"/>
        </w:rPr>
      </w:pPr>
    </w:p>
    <w:p>
      <w:pPr>
        <w:ind w:right="260"/>
        <w:spacing w:after="0" w:line="238" w:lineRule="auto"/>
        <w:rPr>
          <w:sz w:val="20"/>
          <w:szCs w:val="20"/>
          <w:color w:val="auto"/>
        </w:rPr>
      </w:pPr>
      <w:r>
        <w:rPr>
          <w:rFonts w:ascii="Arial" w:cs="Arial" w:eastAsia="Arial" w:hAnsi="Arial"/>
          <w:sz w:val="17"/>
          <w:szCs w:val="17"/>
          <w:color w:val="auto"/>
        </w:rPr>
        <w:t>1994. Mr. Edelman started his career in the healthcare sector of the securities industry as a Biotechnology Analyst at Labe, Simpson from 1987 to 1990. Mr. Edelman earned an MBA from New York University and a BA, magna cum laude, in psychology from the University of California San Diego.</w:t>
      </w:r>
    </w:p>
    <w:p>
      <w:pPr>
        <w:spacing w:after="0" w:line="161"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We believe that Mr. Edelman’s broad operational and transactional experience make him well qualified to serve as the Chairman of our board of directors.</w:t>
      </w:r>
    </w:p>
    <w:p>
      <w:pPr>
        <w:spacing w:after="0" w:line="124"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b w:val="1"/>
          <w:bCs w:val="1"/>
          <w:i w:val="1"/>
          <w:iCs w:val="1"/>
          <w:color w:val="auto"/>
        </w:rPr>
        <w:t xml:space="preserve">Adam Stone </w:t>
      </w:r>
      <w:r>
        <w:rPr>
          <w:rFonts w:ascii="Arial" w:cs="Arial" w:eastAsia="Arial" w:hAnsi="Arial"/>
          <w:sz w:val="17"/>
          <w:szCs w:val="17"/>
          <w:color w:val="auto"/>
        </w:rPr>
        <w:t>serves as our Chief Executive Officer and is a member of our board of directors. Mr. Stone joined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Perceptive Advisors in 2006 and has acted as Chief Investment Officer since 2012 and is a member of the internal investment committees of Perceptive Advisors’ credit opportunities and venture funds. Mr. Stone currently also serves on the boards of directors of ARYA Sciences Acquisition Corp II (Nasdaq: ARYB) as well as, Solid Biosciences (Nasdaq: SLDB), Renovia, and Xontogeny, which are portfolio companies of Perceptive Advisors. Following the consummation of the business combination of ARYA Sciences Acquisition Corp. with Immatics Biotechnologies GmbH in July 2020, Mr. Stone also serves on the supervisory board of Immatics N.V. (Nasdaq: IMTX). Prior to joining Perceptive Advisors, Mr. Stone was a Senior Analyst at Ursus Capital from 2001 to 2006 where he focused on biotechnology and specialty pharmaceuticals. During Mr. Stone’s tenure at Ursus Capital, Mr. Stone focused on biotech and specialty pharmaceuticals. Mr. Stone graduated with honors from Princeton University with a BA in molecular biology.</w:t>
      </w:r>
    </w:p>
    <w:p>
      <w:pPr>
        <w:spacing w:after="0" w:line="160"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We believe that Mr. Stone’s broad operational and transactional experience, and his position as Chief Executive Officer, make him well qualified to serve on our board of directors.</w:t>
      </w:r>
    </w:p>
    <w:p>
      <w:pPr>
        <w:spacing w:after="0" w:line="138"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b w:val="1"/>
          <w:bCs w:val="1"/>
          <w:i w:val="1"/>
          <w:iCs w:val="1"/>
          <w:color w:val="auto"/>
        </w:rPr>
        <w:t>Michael Altman</w:t>
      </w:r>
      <w:r>
        <w:rPr>
          <w:rFonts w:ascii="Arial" w:cs="Arial" w:eastAsia="Arial" w:hAnsi="Arial"/>
          <w:sz w:val="17"/>
          <w:szCs w:val="17"/>
          <w:color w:val="auto"/>
        </w:rPr>
        <w:t>, CFA, serves as our Chief Financial Officer and is a member of our board of directors. Mr. Altman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joined Perceptive Advisors in 2007, is a Managing Director on the investment team and is a member of the internal investment committee of Perceptive Advisors’ credit opportunities fund. Mr. Altman’s focus is on medical devices, diagnostics, digital health and specialty pharmaceuticals. Mr. Altman also serves on the boards of directors of Vitruvius Therapeutics and Lyra Therapeutics (Nasdaq: LYRA), which are portfolio companies of Perceptive Advisors. Mr. Altman also serves on the board of ARYA Sciences Acquisition Corp II (Nasdaq: ARYB). Prior to joining Perceptive Advisors in, Mr. Altman was a trader and analyst at First New York Securities from 2005 to 2007. Mr. Altman graduated from the University of Vermont with a BS in Business Administration.</w:t>
      </w:r>
    </w:p>
    <w:p>
      <w:pPr>
        <w:spacing w:after="0" w:line="150" w:lineRule="exact"/>
        <w:rPr>
          <w:sz w:val="20"/>
          <w:szCs w:val="20"/>
          <w:color w:val="auto"/>
        </w:rPr>
      </w:pPr>
    </w:p>
    <w:p>
      <w:pPr>
        <w:jc w:val="both"/>
        <w:ind w:right="320"/>
        <w:spacing w:after="0" w:line="243" w:lineRule="auto"/>
        <w:rPr>
          <w:sz w:val="20"/>
          <w:szCs w:val="20"/>
          <w:color w:val="auto"/>
        </w:rPr>
      </w:pPr>
      <w:r>
        <w:rPr>
          <w:rFonts w:ascii="Arial" w:cs="Arial" w:eastAsia="Arial" w:hAnsi="Arial"/>
          <w:sz w:val="17"/>
          <w:szCs w:val="17"/>
          <w:color w:val="auto"/>
        </w:rPr>
        <w:t>We believe that Mr. Altman’s broad operational and transactional experience make him well qualified to serve on our board of directors.</w:t>
      </w:r>
    </w:p>
    <w:p>
      <w:pPr>
        <w:spacing w:after="0" w:line="138" w:lineRule="exact"/>
        <w:rPr>
          <w:sz w:val="20"/>
          <w:szCs w:val="20"/>
          <w:color w:val="auto"/>
        </w:rPr>
      </w:pPr>
    </w:p>
    <w:p>
      <w:pPr>
        <w:jc w:val="both"/>
        <w:ind w:right="320"/>
        <w:spacing w:after="0" w:line="244" w:lineRule="auto"/>
        <w:rPr>
          <w:sz w:val="20"/>
          <w:szCs w:val="20"/>
          <w:color w:val="auto"/>
        </w:rPr>
      </w:pPr>
      <w:r>
        <w:rPr>
          <w:rFonts w:ascii="Arial" w:cs="Arial" w:eastAsia="Arial" w:hAnsi="Arial"/>
          <w:sz w:val="17"/>
          <w:szCs w:val="17"/>
          <w:b w:val="1"/>
          <w:bCs w:val="1"/>
          <w:i w:val="1"/>
          <w:iCs w:val="1"/>
          <w:color w:val="auto"/>
        </w:rPr>
        <w:t>Konstantin Poukalov</w:t>
      </w:r>
      <w:r>
        <w:rPr>
          <w:rFonts w:ascii="Arial" w:cs="Arial" w:eastAsia="Arial" w:hAnsi="Arial"/>
          <w:sz w:val="17"/>
          <w:szCs w:val="17"/>
          <w:color w:val="auto"/>
        </w:rPr>
        <w:t>, our Chief Business Officer, joined Perceptive Advisors in 2019 and is a Managing Director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Perceptive Advisors focused on various strategies across the Perceptive platforms. Mr. Poukalov also serves as the Chief Business Officer of ARYA Sciences Acquisition Corp II (Nasdaq: ARYB) and on the boards of directors of Lyra Therapeutics (Nasdaq: LYRA), Landos Biopharma, Inc. and LianBio, which are portfolio companies of Perceptive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98" w:name="page99"/>
    <w:bookmarkEnd w:id="9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220"/>
        <w:spacing w:after="0" w:line="234" w:lineRule="auto"/>
        <w:rPr>
          <w:sz w:val="20"/>
          <w:szCs w:val="20"/>
          <w:color w:val="auto"/>
        </w:rPr>
      </w:pPr>
      <w:r>
        <w:rPr>
          <w:rFonts w:ascii="Arial" w:cs="Arial" w:eastAsia="Arial" w:hAnsi="Arial"/>
          <w:sz w:val="17"/>
          <w:szCs w:val="17"/>
          <w:color w:val="auto"/>
        </w:rPr>
        <w:t>Advisors. Prior to joining Perceptive, Mr. Poukalov served as Executive Vice President and Chief Financial Officer of Kadmon Holdings (NYSE: KDMN) from 2014 to 2018. From 2012 to 2014, Mr. Poukalov served as Kadmon's Vice President, Strategic Operations. Prior to joining Kadmon, Mr. Poukalov was a member of the healthcare investment banking group at Jefferies LLC from 2009 to 2012, focusing on companies across the life sciences and biotechnology sectors. Prior to Jefferies, Mr. Poukalov was a member of UBS Investment Bank, focusing on the healthcare industry, from 2006 to 2009. Mr. Poukalov graduated from Stony Brook University with a Bachelor of Engineering in Electrical Engineering.</w:t>
      </w:r>
    </w:p>
    <w:p>
      <w:pPr>
        <w:spacing w:after="0" w:line="144"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b w:val="1"/>
          <w:bCs w:val="1"/>
          <w:i w:val="1"/>
          <w:iCs w:val="1"/>
          <w:color w:val="auto"/>
        </w:rPr>
        <w:t xml:space="preserve">Dr. Todd Wider </w:t>
      </w:r>
      <w:r>
        <w:rPr>
          <w:rFonts w:ascii="Arial" w:cs="Arial" w:eastAsia="Arial" w:hAnsi="Arial"/>
          <w:sz w:val="17"/>
          <w:szCs w:val="17"/>
          <w:color w:val="auto"/>
        </w:rPr>
        <w:t>has agreed to serve on our board of directors. Dr. Wider is an active, honorary member of the medical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staff of Mount Sinai Hospital in New York, where he worked for over 20 years, and is a plastic and reconstructive surgeon who focused on cancer surgery. Dr. Wider has served on the board of directors of Abeona Therapeutics Inc. (Nasdaq: ABEO) since May 2015 and ARYA Sciences Acquisition Corp II (Nasdaq: ARYB) since June 2020. Dr. Wider also is the Executive Chairman of Emendo Biotherapeutics, which focuses on highly specific and differentiated gene editing. Dr. Wider previously consulted with a number of entities in the biotechnology space. Dr. Wider received an MD from Columbia College of Physicians and Surgeons, where he was Rudin Fellow, and an AB, with high honors and Phi Beta Kappa, from Princeton University. He did his residency in general surgery and plastic and reconstructive surgery at Columbia Presbyterian Medical Center, and postdoctoral fellowships in complex reconstructive surgery at Memorial Sloan Kettering Cancer Center, where he was Chief Microsurgery Fellow, and in craniofacial surgery at the University of Miami. Dr. Wider is also a principal in Wider Film Projects, a documentary film company focusing on producing films with sociopolitical resonance.</w:t>
      </w:r>
    </w:p>
    <w:p>
      <w:pPr>
        <w:spacing w:after="0" w:line="167"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We believe that Dr. Wider’s experience in the healthcare and life sciences industries make him well qualified to serve on our board of directors.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Number and Terms of Office of Officers and Directors</w:t>
      </w:r>
    </w:p>
    <w:p>
      <w:pPr>
        <w:spacing w:after="0" w:line="189" w:lineRule="exact"/>
        <w:rPr>
          <w:sz w:val="20"/>
          <w:szCs w:val="20"/>
          <w:color w:val="auto"/>
        </w:rPr>
      </w:pPr>
    </w:p>
    <w:p>
      <w:pPr>
        <w:ind w:right="80"/>
        <w:spacing w:after="0" w:line="232" w:lineRule="auto"/>
        <w:rPr>
          <w:sz w:val="20"/>
          <w:szCs w:val="20"/>
          <w:color w:val="auto"/>
        </w:rPr>
      </w:pPr>
      <w:r>
        <w:rPr>
          <w:rFonts w:ascii="Arial" w:cs="Arial" w:eastAsia="Arial" w:hAnsi="Arial"/>
          <w:sz w:val="17"/>
          <w:szCs w:val="17"/>
          <w:color w:val="auto"/>
        </w:rPr>
        <w:t>Our board of directors is divided into three classes, with only one class of directors being elected in each year, and with each class (except for those directors appointed prior to our first annual meeting of shareholders) serving a three-year</w:t>
      </w:r>
    </w:p>
    <w:p>
      <w:pPr>
        <w:ind w:right="80"/>
        <w:spacing w:after="0" w:line="232" w:lineRule="auto"/>
        <w:rPr>
          <w:sz w:val="20"/>
          <w:szCs w:val="20"/>
          <w:color w:val="auto"/>
        </w:rPr>
      </w:pPr>
      <w:r>
        <w:rPr>
          <w:rFonts w:ascii="Arial" w:cs="Arial" w:eastAsia="Arial" w:hAnsi="Arial"/>
          <w:sz w:val="17"/>
          <w:szCs w:val="17"/>
          <w:color w:val="auto"/>
        </w:rPr>
        <w:t>term. The term of office of the first class of directors, consisting of and , will expire at our first annual meeting of shareholders. The term of office of the second class of directors, consisting of and Todd Wider, will expire at our</w:t>
      </w:r>
    </w:p>
    <w:p>
      <w:pPr>
        <w:ind w:right="60"/>
        <w:spacing w:after="0" w:line="243" w:lineRule="auto"/>
        <w:rPr>
          <w:sz w:val="20"/>
          <w:szCs w:val="20"/>
          <w:color w:val="auto"/>
        </w:rPr>
      </w:pPr>
      <w:r>
        <w:rPr>
          <w:rFonts w:ascii="Arial" w:cs="Arial" w:eastAsia="Arial" w:hAnsi="Arial"/>
          <w:sz w:val="17"/>
          <w:szCs w:val="17"/>
          <w:color w:val="auto"/>
        </w:rPr>
        <w:t>second annual meeting of shareholders. The term of office of the third class of directors, consisting of Joseph Edelman, Adam Stone and Michael Altman, will expire at our third annual meeting of shareholders.</w:t>
      </w:r>
    </w:p>
    <w:p>
      <w:pPr>
        <w:spacing w:after="0" w:line="14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Prior to the completion of an initial business combination, any vacancy on the board of directors may be filled by a nominee chosen by holders of a majority of our founder shares. In addition, prior to the completion of an initial business combination, holders of a majority of our founder shares may remove a member of the board of directors for any reason.</w:t>
      </w:r>
    </w:p>
    <w:p>
      <w:pPr>
        <w:spacing w:after="0" w:line="161" w:lineRule="exact"/>
        <w:rPr>
          <w:sz w:val="20"/>
          <w:szCs w:val="20"/>
          <w:color w:val="auto"/>
        </w:rPr>
      </w:pPr>
    </w:p>
    <w:p>
      <w:pPr>
        <w:jc w:val="both"/>
        <w:ind w:right="140"/>
        <w:spacing w:after="0" w:line="238" w:lineRule="auto"/>
        <w:rPr>
          <w:sz w:val="20"/>
          <w:szCs w:val="20"/>
          <w:color w:val="auto"/>
        </w:rPr>
      </w:pPr>
      <w:r>
        <w:rPr>
          <w:rFonts w:ascii="Arial" w:cs="Arial" w:eastAsia="Arial" w:hAnsi="Arial"/>
          <w:sz w:val="17"/>
          <w:szCs w:val="17"/>
          <w:color w:val="auto"/>
        </w:rPr>
        <w:t>Pursuant to an agreement to be entered into on or prior to the closing of this offering, our sponsor, upon and following consummation of an initial business combination, will be entitled to nominate three individuals for election to our board of directors, as long as the sponsor holds any securities covered by the registration and shareholder rights agreement.</w:t>
      </w:r>
    </w:p>
    <w:p>
      <w:pPr>
        <w:spacing w:after="0" w:line="161"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Our officers are appointed by the board of directors and serve at the discretion of the board of directors, rather than for specific terms of office. Our board of directors is authorized to appoint persons to the offices set forth in our amended and restated memorandum and articles of association as it deems appropriate. Our amended and restated memorandum and articles of association will provide that our officers may consist of one or more chairman of the board, chief executive officer, chief financial officer, chief business officer, president, vice presidents, secretary, treasurer and such other offices as may be determined by the board of directors.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Independence</w:t>
      </w:r>
    </w:p>
    <w:p>
      <w:pPr>
        <w:spacing w:after="0" w:line="189"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Nasdaq listing standards require that a majority of our board of directors be independent. An “independent director” is defined generally as a person other than an officer or employee of the company or its subsidiaries or any other individual having a relationship with the company which in the opinion of the company’s board of directors, could interfere with the director’s exercise of independent judgment in carrying out the responsibilities of a director. Upon the effectiveness of the registration statement of which this prospectus forms a part, we expect to have “independent directors” as defined in</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99" w:name="page100"/>
    <w:bookmarkEnd w:id="9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Nasdaq’s listing standards and applicable SEC rules. Our board of directors has determined that Joseph Edelman,</w:t>
      </w:r>
    </w:p>
    <w:p>
      <w:pPr>
        <w:ind w:right="280"/>
        <w:spacing w:after="0"/>
        <w:rPr>
          <w:sz w:val="20"/>
          <w:szCs w:val="20"/>
          <w:color w:val="auto"/>
        </w:rPr>
      </w:pPr>
      <w:r>
        <w:rPr>
          <w:rFonts w:ascii="Arial" w:cs="Arial" w:eastAsia="Arial" w:hAnsi="Arial"/>
          <w:sz w:val="17"/>
          <w:szCs w:val="17"/>
          <w:color w:val="auto"/>
        </w:rPr>
        <w:t>Todd Wider, and are “independent directors” as defined in the Nasdaq listing standards and applicable SEC rules. Our independent directors will have regularly scheduled meetings at which only independent directors are present.</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 and Director Compensation</w:t>
      </w:r>
    </w:p>
    <w:p>
      <w:pPr>
        <w:spacing w:after="0" w:line="169" w:lineRule="exact"/>
        <w:rPr>
          <w:sz w:val="20"/>
          <w:szCs w:val="20"/>
          <w:color w:val="auto"/>
        </w:rPr>
      </w:pPr>
    </w:p>
    <w:p>
      <w:pPr>
        <w:spacing w:after="0"/>
        <w:tabs>
          <w:tab w:leader="none" w:pos="6380" w:val="left"/>
          <w:tab w:leader="none" w:pos="6860" w:val="left"/>
        </w:tabs>
        <w:rPr>
          <w:sz w:val="20"/>
          <w:szCs w:val="20"/>
          <w:color w:val="auto"/>
        </w:rPr>
      </w:pPr>
      <w:r>
        <w:rPr>
          <w:rFonts w:ascii="Arial" w:cs="Arial" w:eastAsia="Arial" w:hAnsi="Arial"/>
          <w:sz w:val="17"/>
          <w:szCs w:val="17"/>
          <w:color w:val="auto"/>
        </w:rPr>
        <w:t>In July 2020, our sponsor transferred 30,000 founder shares to each of Messrs.</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and Wider. None of our</w:t>
      </w:r>
    </w:p>
    <w:p>
      <w:pPr>
        <w:ind w:right="40"/>
        <w:spacing w:after="0" w:line="233" w:lineRule="auto"/>
        <w:rPr>
          <w:sz w:val="20"/>
          <w:szCs w:val="20"/>
          <w:color w:val="auto"/>
        </w:rPr>
      </w:pPr>
      <w:r>
        <w:rPr>
          <w:rFonts w:ascii="Arial" w:cs="Arial" w:eastAsia="Arial" w:hAnsi="Arial"/>
          <w:sz w:val="17"/>
          <w:szCs w:val="17"/>
          <w:color w:val="auto"/>
        </w:rPr>
        <w:t>executive officers or directors have received any cash compensation for services rendered to us. Commencing on the date that our securities are first listed on the Nasdaq through the earlier of consummation of our initial business combination and our liquidation, we will reimburse our sponsor for office space, secretarial and administrative services provided to us in the amount of $10,000 per month. In addition, our sponsor, executive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by us to our sponsor, executive officers or directors, or our or their affiliates. Any such payments prior to an initial business combination will be made using funds held outside the trust account. Other than quarterly audit committee review of such reimbursements, we do not expect to have any additional controls in place governing our reimbursement payments to our directors and executive officers for their out-of-pocket expenses incurred in connection with our activities on our behalf in connection with identifying and consummating an initial business combination. Other than these payments and reimbursements, no compensation of any kind, including finder’s and consulting fees, will be paid by the company to our sponsor, executive officers and directors, or any of their respective affiliates, prior to completion of our initial business combination.</w:t>
      </w:r>
    </w:p>
    <w:p>
      <w:pPr>
        <w:spacing w:after="0" w:line="165"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After the completion of our initial business combination, directors or members of our management team who remain with us may be paid consulting or management fees from the combined company. All of these fees will be fully disclosed to shareholders, to the extent then known, in the proxy solicitation materials or tender offer materials furnished to our shareholders in connection with a proposed business combination. We have not established any limit on the amount of such fees that may be paid by the combined company to our directors or members of management. It is unlikely the amount of such compensation will be known at the time of the proposed business combination, because the directors of the post-combination business will be responsible for determining executive officer and director compensation. Any compensation to be paid to our executive officers will be determined, or recommended to the board of directors for determination, either by a compensation committee constituted solely by independent directors or by a majority of the independent directors on our board of directors.</w:t>
      </w:r>
    </w:p>
    <w:p>
      <w:pPr>
        <w:spacing w:after="0" w:line="168"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We do not intend to take any action to ensure that members of our management team maintain their positions with us after the consummation of our initial business combination, although it is possible that some or all of our executive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executive officers and directors that provide for benefits upon termination of employment.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Committees of the Board of Directors</w:t>
      </w:r>
    </w:p>
    <w:p>
      <w:pPr>
        <w:spacing w:after="0" w:line="189"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Upon the effectiveness of the registration statement of which this prospectus forms a part, our board of directors will have three standing committees: an audit committee, a nominating committee and a compensation committee. Subject to phase-in rules and a limited exception, the rules of Nasdaq and Rule 10A-3 of the Exchange Act require that the audit committee of a listed company be comprised solely of independent directors. Subject to phase-in rules and a limited exception, the rules of Nasdaq require that the compensation committee of a listed company be comprised solely of independent directors. Each committee will operate under a charter that has been approved by our board and will have the composition and responsibilities described below. The charter of each committee will be available on our website.</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 Committee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Upon the effectiveness of the registration statement of which this prospectus forms a part, we will establish an audit</w:t>
      </w:r>
    </w:p>
    <w:p>
      <w:pPr>
        <w:ind w:right="460"/>
        <w:spacing w:after="0" w:line="241" w:lineRule="auto"/>
        <w:rPr>
          <w:sz w:val="20"/>
          <w:szCs w:val="20"/>
          <w:color w:val="auto"/>
        </w:rPr>
      </w:pPr>
      <w:r>
        <w:rPr>
          <w:rFonts w:ascii="Arial" w:cs="Arial" w:eastAsia="Arial" w:hAnsi="Arial"/>
          <w:sz w:val="17"/>
          <w:szCs w:val="17"/>
          <w:color w:val="auto"/>
        </w:rPr>
        <w:t>committee of the board of directors. , and Todd Wider will serve as members of our audit committee. Our board</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100" w:name="page101"/>
    <w:bookmarkEnd w:id="10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3" w:lineRule="exact"/>
        <w:rPr>
          <w:sz w:val="20"/>
          <w:szCs w:val="20"/>
          <w:color w:val="auto"/>
        </w:rPr>
      </w:pPr>
    </w:p>
    <w:p>
      <w:pPr>
        <w:spacing w:after="0"/>
        <w:tabs>
          <w:tab w:leader="none" w:pos="3380" w:val="left"/>
          <w:tab w:leader="none" w:pos="3820" w:val="left"/>
        </w:tabs>
        <w:rPr>
          <w:sz w:val="20"/>
          <w:szCs w:val="20"/>
          <w:color w:val="auto"/>
        </w:rPr>
      </w:pPr>
      <w:r>
        <w:rPr>
          <w:rFonts w:ascii="Arial" w:cs="Arial" w:eastAsia="Arial" w:hAnsi="Arial"/>
          <w:sz w:val="17"/>
          <w:szCs w:val="17"/>
          <w:color w:val="auto"/>
        </w:rPr>
        <w:t>of directors has determined that each of</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and Todd Wider are independent. Todd Wider will serve as the</w:t>
      </w:r>
    </w:p>
    <w:p>
      <w:pPr>
        <w:ind w:right="200"/>
        <w:spacing w:after="0" w:line="238" w:lineRule="auto"/>
        <w:rPr>
          <w:sz w:val="20"/>
          <w:szCs w:val="20"/>
          <w:color w:val="auto"/>
        </w:rPr>
      </w:pPr>
      <w:r>
        <w:rPr>
          <w:rFonts w:ascii="Arial" w:cs="Arial" w:eastAsia="Arial" w:hAnsi="Arial"/>
          <w:sz w:val="17"/>
          <w:szCs w:val="17"/>
          <w:color w:val="auto"/>
        </w:rPr>
        <w:t>Chairman of the audit committee. Each member of the audit committee meets the financial literacy requirements of Nasdaq and our board of directors has determined that qualifies as an “audit committee financial expert” as defined in applicable SEC rules and has accounting or related financial management expertise.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The audit committee is responsible for:</w:t>
      </w:r>
    </w:p>
    <w:p>
      <w:pPr>
        <w:spacing w:after="0" w:line="102" w:lineRule="exact"/>
        <w:rPr>
          <w:sz w:val="20"/>
          <w:szCs w:val="20"/>
          <w:color w:val="auto"/>
        </w:rPr>
      </w:pPr>
    </w:p>
    <w:p>
      <w:pPr>
        <w:ind w:left="580" w:right="460"/>
        <w:spacing w:after="0" w:line="243" w:lineRule="auto"/>
        <w:rPr>
          <w:sz w:val="20"/>
          <w:szCs w:val="20"/>
          <w:color w:val="auto"/>
        </w:rPr>
      </w:pPr>
      <w:r>
        <w:rPr>
          <w:rFonts w:ascii="Arial" w:cs="Arial" w:eastAsia="Arial" w:hAnsi="Arial"/>
          <w:sz w:val="17"/>
          <w:szCs w:val="17"/>
          <w:color w:val="auto"/>
        </w:rPr>
        <w:t>meeting with our independent registered public accounting firm regarding, among other issues, audits, and adequacy of our accounting and control systems;</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monitoring the independence of the independent registered public accounting firm;</w:t>
      </w:r>
    </w:p>
    <w:p>
      <w:pPr>
        <w:spacing w:after="0" w:line="102" w:lineRule="exact"/>
        <w:rPr>
          <w:sz w:val="20"/>
          <w:szCs w:val="20"/>
          <w:color w:val="auto"/>
        </w:rPr>
      </w:pPr>
    </w:p>
    <w:p>
      <w:pPr>
        <w:ind w:left="580" w:right="40"/>
        <w:spacing w:after="0" w:line="243" w:lineRule="auto"/>
        <w:rPr>
          <w:sz w:val="20"/>
          <w:szCs w:val="20"/>
          <w:color w:val="auto"/>
        </w:rPr>
      </w:pPr>
      <w:r>
        <w:rPr>
          <w:rFonts w:ascii="Arial" w:cs="Arial" w:eastAsia="Arial" w:hAnsi="Arial"/>
          <w:sz w:val="17"/>
          <w:szCs w:val="17"/>
          <w:color w:val="auto"/>
        </w:rPr>
        <w:t>verifying the rotation of the lead (or coordinating) audit partner having primary responsibility for the audit and the audit partner responsible for reviewing the audit as required by law;</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inquiring and discussing with management our compliance with applicable laws and regulations;</w:t>
      </w:r>
    </w:p>
    <w:p>
      <w:pPr>
        <w:spacing w:after="0" w:line="102" w:lineRule="exact"/>
        <w:rPr>
          <w:sz w:val="20"/>
          <w:szCs w:val="20"/>
          <w:color w:val="auto"/>
        </w:rPr>
      </w:pPr>
    </w:p>
    <w:p>
      <w:pPr>
        <w:ind w:left="580" w:right="20"/>
        <w:spacing w:after="0" w:line="243" w:lineRule="auto"/>
        <w:rPr>
          <w:sz w:val="20"/>
          <w:szCs w:val="20"/>
          <w:color w:val="auto"/>
        </w:rPr>
      </w:pPr>
      <w:r>
        <w:rPr>
          <w:rFonts w:ascii="Arial" w:cs="Arial" w:eastAsia="Arial" w:hAnsi="Arial"/>
          <w:sz w:val="17"/>
          <w:szCs w:val="17"/>
          <w:color w:val="auto"/>
        </w:rPr>
        <w:t>pre-approving all audit services and permitted non-audit services to be performed by our independent registered public accounting firm, including the fees and terms of the services to be performed;</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appointing or replacing the independent registered public accounting firm;</w:t>
      </w:r>
    </w:p>
    <w:p>
      <w:pPr>
        <w:spacing w:after="0" w:line="102" w:lineRule="exact"/>
        <w:rPr>
          <w:sz w:val="20"/>
          <w:szCs w:val="20"/>
          <w:color w:val="auto"/>
        </w:rPr>
      </w:pPr>
    </w:p>
    <w:p>
      <w:pPr>
        <w:jc w:val="both"/>
        <w:ind w:left="580" w:right="260"/>
        <w:spacing w:after="0" w:line="238" w:lineRule="auto"/>
        <w:rPr>
          <w:sz w:val="20"/>
          <w:szCs w:val="20"/>
          <w:color w:val="auto"/>
        </w:rPr>
      </w:pPr>
      <w:r>
        <w:rPr>
          <w:rFonts w:ascii="Arial" w:cs="Arial" w:eastAsia="Arial" w:hAnsi="Arial"/>
          <w:sz w:val="17"/>
          <w:szCs w:val="17"/>
          <w:color w:val="auto"/>
        </w:rPr>
        <w:t>determining the compensation and oversight of the work of the independent registered public accounting firm (including resolution of disagreements between management and the independent auditor regarding financial reporting) for the purpose of preparing or issuing an audit report or related work;</w:t>
      </w:r>
    </w:p>
    <w:p>
      <w:pPr>
        <w:spacing w:after="0" w:line="93" w:lineRule="exact"/>
        <w:rPr>
          <w:sz w:val="20"/>
          <w:szCs w:val="20"/>
          <w:color w:val="auto"/>
        </w:rPr>
      </w:pPr>
    </w:p>
    <w:p>
      <w:pPr>
        <w:ind w:left="580"/>
        <w:spacing w:after="0" w:line="238" w:lineRule="auto"/>
        <w:rPr>
          <w:sz w:val="20"/>
          <w:szCs w:val="20"/>
          <w:color w:val="auto"/>
        </w:rPr>
      </w:pPr>
      <w:r>
        <w:rPr>
          <w:rFonts w:ascii="Arial" w:cs="Arial" w:eastAsia="Arial" w:hAnsi="Arial"/>
          <w:sz w:val="17"/>
          <w:szCs w:val="17"/>
          <w:color w:val="auto"/>
        </w:rPr>
        <w:t>establishing procedures for the receipt, retention and treatment of complaints received by us regarding accounting, internal accounting controls or reports which raise material issues regarding our financial statements or accounting policies;</w:t>
      </w:r>
    </w:p>
    <w:p>
      <w:pPr>
        <w:spacing w:after="0" w:line="93" w:lineRule="exact"/>
        <w:rPr>
          <w:sz w:val="20"/>
          <w:szCs w:val="20"/>
          <w:color w:val="auto"/>
        </w:rPr>
      </w:pPr>
    </w:p>
    <w:p>
      <w:pPr>
        <w:jc w:val="both"/>
        <w:ind w:left="580" w:right="40"/>
        <w:spacing w:after="0" w:line="238" w:lineRule="auto"/>
        <w:rPr>
          <w:sz w:val="20"/>
          <w:szCs w:val="20"/>
          <w:color w:val="auto"/>
        </w:rPr>
      </w:pPr>
      <w:r>
        <w:rPr>
          <w:rFonts w:ascii="Arial" w:cs="Arial" w:eastAsia="Arial" w:hAnsi="Arial"/>
          <w:sz w:val="17"/>
          <w:szCs w:val="17"/>
          <w:color w:val="auto"/>
        </w:rPr>
        <w:t>monitoring compliance on a quarterly basis with the terms of this offering and, if any noncompliance is identified, immediately taking all action necessary to rectify such noncompliance or otherwise causing compliance with the terms of this offering; and</w:t>
      </w:r>
    </w:p>
    <w:p>
      <w:pPr>
        <w:spacing w:after="0" w:line="93" w:lineRule="exact"/>
        <w:rPr>
          <w:sz w:val="20"/>
          <w:szCs w:val="20"/>
          <w:color w:val="auto"/>
        </w:rPr>
      </w:pPr>
    </w:p>
    <w:p>
      <w:pPr>
        <w:ind w:left="580" w:right="360"/>
        <w:spacing w:after="0" w:line="236" w:lineRule="auto"/>
        <w:rPr>
          <w:sz w:val="20"/>
          <w:szCs w:val="20"/>
          <w:color w:val="auto"/>
        </w:rPr>
      </w:pPr>
      <w:r>
        <w:rPr>
          <w:rFonts w:ascii="Arial" w:cs="Arial" w:eastAsia="Arial" w:hAnsi="Arial"/>
          <w:sz w:val="17"/>
          <w:szCs w:val="17"/>
          <w:color w:val="auto"/>
        </w:rPr>
        <w:t>reviewing and approving all payments made to our existing shareholders, executive officers or directors and their respective affiliates. Any payments made to members of our audit committee will be reviewed and approved by our board of directors, with the interested director or directors abstaining from such review and approval.</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Nominating Committee</w:t>
      </w:r>
    </w:p>
    <w:p>
      <w:pPr>
        <w:spacing w:after="0" w:line="54"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Upon the effectiveness of the registration statement of which this prospectus forms a part, we will establish a nominating committee of our board of directors. The members of our nominating committee will be , and Todd Wider, and will serve as chairman of the nominating committee. Our board of directors has determined that each of , and Todd Wider are independent.</w:t>
      </w:r>
    </w:p>
    <w:p>
      <w:pPr>
        <w:spacing w:after="0" w:line="149"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The nominating committee is responsible for overseeing the selection of persons to be nominated to serve on our board of directors. The nominating committee considers persons identified by its members, management, shareholders, investment bankers and others.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Guidelines for Selecting Director Nominees</w:t>
      </w:r>
    </w:p>
    <w:p>
      <w:pPr>
        <w:spacing w:after="0" w:line="174" w:lineRule="exact"/>
        <w:rPr>
          <w:sz w:val="20"/>
          <w:szCs w:val="20"/>
          <w:color w:val="auto"/>
        </w:rPr>
      </w:pPr>
    </w:p>
    <w:p>
      <w:pPr>
        <w:ind w:right="240"/>
        <w:spacing w:after="0" w:line="243" w:lineRule="auto"/>
        <w:rPr>
          <w:sz w:val="20"/>
          <w:szCs w:val="20"/>
          <w:color w:val="auto"/>
        </w:rPr>
      </w:pPr>
      <w:r>
        <w:rPr>
          <w:rFonts w:ascii="Arial" w:cs="Arial" w:eastAsia="Arial" w:hAnsi="Arial"/>
          <w:sz w:val="17"/>
          <w:szCs w:val="17"/>
          <w:color w:val="auto"/>
        </w:rPr>
        <w:t>The guidelines for selecting nominees, which will be specified in a charter to be adopted by us, generally provide that persons to be nominated:</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should have demonstrated notable or significant achievements in business, education or public service;</w:t>
      </w:r>
    </w:p>
    <w:p>
      <w:pPr>
        <w:spacing w:after="0" w:line="102" w:lineRule="exact"/>
        <w:rPr>
          <w:sz w:val="20"/>
          <w:szCs w:val="20"/>
          <w:color w:val="auto"/>
        </w:rPr>
      </w:pPr>
    </w:p>
    <w:p>
      <w:pPr>
        <w:ind w:left="580" w:right="360"/>
        <w:spacing w:after="0" w:line="243" w:lineRule="auto"/>
        <w:rPr>
          <w:sz w:val="20"/>
          <w:szCs w:val="20"/>
          <w:color w:val="auto"/>
        </w:rPr>
      </w:pPr>
      <w:r>
        <w:rPr>
          <w:rFonts w:ascii="Arial" w:cs="Arial" w:eastAsia="Arial" w:hAnsi="Arial"/>
          <w:sz w:val="17"/>
          <w:szCs w:val="17"/>
          <w:color w:val="auto"/>
        </w:rPr>
        <w:t>should possess the requisite intelligence, education and experience to make a significant contribution to the board of directors and bring a range of skills, diverse perspectives and backgrounds to its deliberations; and</w:t>
      </w:r>
    </w:p>
    <w:p>
      <w:pPr>
        <w:spacing w:after="0" w:line="90" w:lineRule="exact"/>
        <w:rPr>
          <w:sz w:val="20"/>
          <w:szCs w:val="20"/>
          <w:color w:val="auto"/>
        </w:rPr>
      </w:pPr>
    </w:p>
    <w:p>
      <w:pPr>
        <w:ind w:left="580" w:right="160"/>
        <w:spacing w:after="0" w:line="243" w:lineRule="auto"/>
        <w:rPr>
          <w:sz w:val="20"/>
          <w:szCs w:val="20"/>
          <w:color w:val="auto"/>
        </w:rPr>
      </w:pPr>
      <w:r>
        <w:rPr>
          <w:rFonts w:ascii="Arial" w:cs="Arial" w:eastAsia="Arial" w:hAnsi="Arial"/>
          <w:sz w:val="17"/>
          <w:szCs w:val="17"/>
          <w:color w:val="auto"/>
        </w:rPr>
        <w:t>should have the highest ethical standards, a strong sense of professionalism and intense dedication to serving the interests of the shareholders.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101" w:name="page102"/>
    <w:bookmarkEnd w:id="10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19"/>
        <w:spacing w:after="0" w:line="235" w:lineRule="auto"/>
        <w:rPr>
          <w:sz w:val="20"/>
          <w:szCs w:val="20"/>
          <w:color w:val="auto"/>
        </w:rPr>
      </w:pPr>
      <w:r>
        <w:rPr>
          <w:rFonts w:ascii="Arial" w:cs="Arial" w:eastAsia="Arial" w:hAnsi="Arial"/>
          <w:sz w:val="17"/>
          <w:szCs w:val="17"/>
          <w:color w:val="auto"/>
        </w:rPr>
        <w:t>The nominating committee will consider a number of qualifications relating to management and leadership experience, background and integrity and professionalism in evaluating a person’s candidacy for membership on the board of directors. The nominating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committee does not distinguish among nominees recommended by shareholders and other persons.</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Upon the effectiveness of the registration statement of which this prospectus forms a part, we will establish a</w:t>
      </w:r>
    </w:p>
    <w:p>
      <w:pPr>
        <w:sectPr>
          <w:pgSz w:w="11900" w:h="16838" w:orient="portrait"/>
          <w:cols w:equalWidth="0" w:num="1">
            <w:col w:w="9059"/>
          </w:cols>
          <w:pgMar w:left="1400" w:top="265" w:right="1440" w:bottom="1440" w:gutter="0" w:footer="0" w:header="0"/>
        </w:sectPr>
      </w:pP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compensation committee of our board of directors. The members of our compensation committee will be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and</w:t>
      </w:r>
    </w:p>
    <w:p>
      <w:pPr>
        <w:spacing w:after="0" w:line="6" w:lineRule="exact"/>
        <w:rPr>
          <w:sz w:val="20"/>
          <w:szCs w:val="20"/>
          <w:color w:val="auto"/>
        </w:rPr>
      </w:pPr>
    </w:p>
    <w:p>
      <w:pPr>
        <w:sectPr>
          <w:pgSz w:w="11900" w:h="16838" w:orient="portrait"/>
          <w:cols w:equalWidth="0" w:num="3">
            <w:col w:w="7880" w:space="380"/>
            <w:col w:w="40" w:space="400"/>
            <w:col w:w="359"/>
          </w:cols>
          <w:pgMar w:left="1400" w:top="265" w:right="1440" w:bottom="1440" w:gutter="0" w:footer="0" w:header="0"/>
          <w:type w:val="continuous"/>
        </w:sectPr>
      </w:pPr>
    </w:p>
    <w:p>
      <w:pPr>
        <w:spacing w:after="0" w:line="232" w:lineRule="auto"/>
        <w:tabs>
          <w:tab w:leader="none" w:pos="1620" w:val="left"/>
        </w:tabs>
        <w:rPr>
          <w:sz w:val="20"/>
          <w:szCs w:val="20"/>
          <w:color w:val="auto"/>
        </w:rPr>
      </w:pPr>
      <w:r>
        <w:rPr>
          <w:rFonts w:ascii="Arial" w:cs="Arial" w:eastAsia="Arial" w:hAnsi="Arial"/>
          <w:sz w:val="17"/>
          <w:szCs w:val="17"/>
          <w:color w:val="auto"/>
        </w:rPr>
        <w:t>Todd Wider, and</w:t>
      </w:r>
      <w:r>
        <w:rPr>
          <w:sz w:val="20"/>
          <w:szCs w:val="20"/>
          <w:color w:val="auto"/>
        </w:rPr>
        <w:tab/>
      </w:r>
      <w:r>
        <w:rPr>
          <w:rFonts w:ascii="Arial" w:cs="Arial" w:eastAsia="Arial" w:hAnsi="Arial"/>
          <w:sz w:val="17"/>
          <w:szCs w:val="17"/>
          <w:color w:val="auto"/>
        </w:rPr>
        <w:t>will serve as chairman of the compensation committee.</w:t>
      </w:r>
    </w:p>
    <w:p>
      <w:pPr>
        <w:spacing w:after="0" w:line="146" w:lineRule="exact"/>
        <w:rPr>
          <w:sz w:val="20"/>
          <w:szCs w:val="20"/>
          <w:color w:val="auto"/>
        </w:rPr>
      </w:pPr>
    </w:p>
    <w:p>
      <w:pPr>
        <w:ind w:right="379"/>
        <w:spacing w:after="0" w:line="243" w:lineRule="auto"/>
        <w:rPr>
          <w:sz w:val="20"/>
          <w:szCs w:val="20"/>
          <w:color w:val="auto"/>
        </w:rPr>
      </w:pPr>
      <w:r>
        <w:rPr>
          <w:rFonts w:ascii="Arial" w:cs="Arial" w:eastAsia="Arial" w:hAnsi="Arial"/>
          <w:sz w:val="17"/>
          <w:szCs w:val="17"/>
          <w:color w:val="auto"/>
        </w:rPr>
        <w:t>Our board of directors has determined that each of , and Todd Wider are independent. We will adopt a compensation committee charter, which will detail the principal functions of the compensation committee, including:</w:t>
      </w:r>
    </w:p>
    <w:p>
      <w:pPr>
        <w:sectPr>
          <w:pgSz w:w="11900" w:h="16838" w:orient="portrait"/>
          <w:cols w:equalWidth="0" w:num="1">
            <w:col w:w="9059"/>
          </w:cols>
          <w:pgMar w:left="1400" w:top="265" w:right="1440" w:bottom="1440" w:gutter="0" w:footer="0" w:header="0"/>
          <w:type w:val="continuous"/>
        </w:sectPr>
      </w:pPr>
    </w:p>
    <w:p>
      <w:pPr>
        <w:spacing w:after="0" w:line="90" w:lineRule="exact"/>
        <w:rPr>
          <w:sz w:val="20"/>
          <w:szCs w:val="20"/>
          <w:color w:val="auto"/>
        </w:rPr>
      </w:pPr>
    </w:p>
    <w:p>
      <w:pPr>
        <w:ind w:left="580" w:right="119"/>
        <w:spacing w:after="0" w:line="236" w:lineRule="auto"/>
        <w:rPr>
          <w:sz w:val="20"/>
          <w:szCs w:val="20"/>
          <w:color w:val="auto"/>
        </w:rPr>
      </w:pPr>
      <w:r>
        <w:rPr>
          <w:rFonts w:ascii="Arial" w:cs="Arial" w:eastAsia="Arial" w:hAnsi="Arial"/>
          <w:sz w:val="17"/>
          <w:szCs w:val="17"/>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95" w:lineRule="exact"/>
        <w:rPr>
          <w:sz w:val="20"/>
          <w:szCs w:val="20"/>
          <w:color w:val="auto"/>
        </w:rPr>
      </w:pPr>
    </w:p>
    <w:p>
      <w:pPr>
        <w:ind w:left="580" w:right="1619"/>
        <w:spacing w:after="0" w:line="364" w:lineRule="auto"/>
        <w:rPr>
          <w:sz w:val="20"/>
          <w:szCs w:val="20"/>
          <w:color w:val="auto"/>
        </w:rPr>
      </w:pPr>
      <w:r>
        <w:rPr>
          <w:rFonts w:ascii="Arial" w:cs="Arial" w:eastAsia="Arial" w:hAnsi="Arial"/>
          <w:sz w:val="17"/>
          <w:szCs w:val="17"/>
          <w:color w:val="auto"/>
        </w:rPr>
        <w:t>reviewing and approving the compensation of all of our other Section 16 executive officers; reviewing our executive compensation policies and plans;</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implementing and administering our incentive compensation equity-based remuneration plans;</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assisting management in complying with our proxy statement and annual report disclosure requirements;</w:t>
      </w:r>
    </w:p>
    <w:p>
      <w:pPr>
        <w:spacing w:after="0" w:line="102" w:lineRule="exact"/>
        <w:rPr>
          <w:sz w:val="20"/>
          <w:szCs w:val="20"/>
          <w:color w:val="auto"/>
        </w:rPr>
      </w:pPr>
    </w:p>
    <w:p>
      <w:pPr>
        <w:ind w:left="580" w:right="879"/>
        <w:spacing w:after="0" w:line="243" w:lineRule="auto"/>
        <w:rPr>
          <w:sz w:val="20"/>
          <w:szCs w:val="20"/>
          <w:color w:val="auto"/>
        </w:rPr>
      </w:pPr>
      <w:r>
        <w:rPr>
          <w:rFonts w:ascii="Arial" w:cs="Arial" w:eastAsia="Arial" w:hAnsi="Arial"/>
          <w:sz w:val="17"/>
          <w:szCs w:val="17"/>
          <w:color w:val="auto"/>
        </w:rPr>
        <w:t>approving all special perquisites, special cash payments and other special compensation and benefit arrangements for our executive officers and employees;</w:t>
      </w:r>
    </w:p>
    <w:p>
      <w:pPr>
        <w:spacing w:after="0" w:line="90" w:lineRule="exact"/>
        <w:rPr>
          <w:sz w:val="20"/>
          <w:szCs w:val="20"/>
          <w:color w:val="auto"/>
        </w:rPr>
      </w:pPr>
    </w:p>
    <w:p>
      <w:pPr>
        <w:ind w:left="580" w:right="999"/>
        <w:spacing w:after="0" w:line="375" w:lineRule="auto"/>
        <w:rPr>
          <w:sz w:val="20"/>
          <w:szCs w:val="20"/>
          <w:color w:val="auto"/>
        </w:rPr>
      </w:pPr>
      <w:r>
        <w:rPr>
          <w:rFonts w:ascii="Arial" w:cs="Arial" w:eastAsia="Arial" w:hAnsi="Arial"/>
          <w:sz w:val="17"/>
          <w:szCs w:val="17"/>
          <w:color w:val="auto"/>
        </w:rPr>
        <w:t>producing a report on executive compensation to be included in our annual proxy statement; and reviewing, evaluating and recommending changes, if appropriate, to the remuneration for directors.</w:t>
      </w:r>
    </w:p>
    <w:p>
      <w:pPr>
        <w:spacing w:after="0" w:line="51" w:lineRule="exact"/>
        <w:rPr>
          <w:sz w:val="20"/>
          <w:szCs w:val="20"/>
          <w:color w:val="auto"/>
        </w:rPr>
      </w:pPr>
    </w:p>
    <w:p>
      <w:pPr>
        <w:ind w:right="19"/>
        <w:spacing w:after="0" w:line="235" w:lineRule="auto"/>
        <w:rPr>
          <w:sz w:val="20"/>
          <w:szCs w:val="20"/>
          <w:color w:val="auto"/>
        </w:rPr>
      </w:pPr>
      <w:r>
        <w:rPr>
          <w:rFonts w:ascii="Arial" w:cs="Arial" w:eastAsia="Arial" w:hAnsi="Arial"/>
          <w:sz w:val="17"/>
          <w:szCs w:val="17"/>
          <w:color w:val="auto"/>
        </w:rPr>
        <w:t>The charter will also provide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Committee Interlocks and Insider Participation</w:t>
      </w:r>
    </w:p>
    <w:p>
      <w:pPr>
        <w:spacing w:after="0" w:line="41" w:lineRule="exact"/>
        <w:rPr>
          <w:sz w:val="20"/>
          <w:szCs w:val="20"/>
          <w:color w:val="auto"/>
        </w:rPr>
      </w:pPr>
    </w:p>
    <w:p>
      <w:pPr>
        <w:ind w:right="99"/>
        <w:spacing w:after="0" w:line="243" w:lineRule="auto"/>
        <w:rPr>
          <w:sz w:val="20"/>
          <w:szCs w:val="20"/>
          <w:color w:val="auto"/>
        </w:rPr>
      </w:pPr>
      <w:r>
        <w:rPr>
          <w:rFonts w:ascii="Arial" w:cs="Arial" w:eastAsia="Arial" w:hAnsi="Arial"/>
          <w:sz w:val="17"/>
          <w:szCs w:val="17"/>
          <w:color w:val="auto"/>
        </w:rPr>
        <w:t>None of our executive officers currently serves, and in the past year has not served, as a member of the compensation committee of any entity that has one or more executive officers serving on our board of directors.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Ethics</w:t>
      </w:r>
    </w:p>
    <w:p>
      <w:pPr>
        <w:spacing w:after="0" w:line="176" w:lineRule="exact"/>
        <w:rPr>
          <w:sz w:val="20"/>
          <w:szCs w:val="20"/>
          <w:color w:val="auto"/>
        </w:rPr>
      </w:pPr>
    </w:p>
    <w:p>
      <w:pPr>
        <w:ind w:right="39"/>
        <w:spacing w:after="0" w:line="236" w:lineRule="auto"/>
        <w:rPr>
          <w:sz w:val="20"/>
          <w:szCs w:val="20"/>
          <w:color w:val="auto"/>
        </w:rPr>
      </w:pPr>
      <w:r>
        <w:rPr>
          <w:rFonts w:ascii="Arial" w:cs="Arial" w:eastAsia="Arial" w:hAnsi="Arial"/>
          <w:sz w:val="17"/>
          <w:szCs w:val="17"/>
          <w:color w:val="auto"/>
        </w:rPr>
        <w:t>Upon the effectiveness of the registration statement of which this prospectus forms a part, we will have adopted a Code of Ethics applicable to our directors, officers and employees. A copy of the Code of Ethics will be provided without charge upon request from us. We intend to disclose any amendments to or waivers of certain provisions of our Code of Ethics in a Current Report on Form 8-K.</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Conflicts of Interest</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Under Cayman Islands law, directors and officers owe the following fiduciary duties:</w:t>
      </w:r>
    </w:p>
    <w:p>
      <w:pPr>
        <w:spacing w:after="0" w:line="102" w:lineRule="exact"/>
        <w:rPr>
          <w:sz w:val="20"/>
          <w:szCs w:val="20"/>
          <w:color w:val="auto"/>
        </w:rPr>
      </w:pPr>
    </w:p>
    <w:p>
      <w:pPr>
        <w:ind w:left="580" w:right="279"/>
        <w:spacing w:after="0" w:line="243" w:lineRule="auto"/>
        <w:rPr>
          <w:sz w:val="20"/>
          <w:szCs w:val="20"/>
          <w:color w:val="auto"/>
        </w:rPr>
      </w:pPr>
      <w:r>
        <w:rPr>
          <w:rFonts w:ascii="Arial" w:cs="Arial" w:eastAsia="Arial" w:hAnsi="Arial"/>
          <w:sz w:val="17"/>
          <w:szCs w:val="17"/>
          <w:color w:val="auto"/>
        </w:rPr>
        <w:t>duty to act in good faith in what the director or officer believes to be in the best interests of the company as a whole;</w:t>
      </w:r>
    </w:p>
    <w:p>
      <w:pPr>
        <w:spacing w:after="0" w:line="90" w:lineRule="exact"/>
        <w:rPr>
          <w:sz w:val="20"/>
          <w:szCs w:val="20"/>
          <w:color w:val="auto"/>
        </w:rPr>
      </w:pPr>
    </w:p>
    <w:p>
      <w:pPr>
        <w:ind w:left="580" w:right="679"/>
        <w:spacing w:after="0" w:line="243" w:lineRule="auto"/>
        <w:rPr>
          <w:sz w:val="20"/>
          <w:szCs w:val="20"/>
          <w:color w:val="auto"/>
        </w:rPr>
      </w:pPr>
      <w:r>
        <w:rPr>
          <w:rFonts w:ascii="Arial" w:cs="Arial" w:eastAsia="Arial" w:hAnsi="Arial"/>
          <w:sz w:val="17"/>
          <w:szCs w:val="17"/>
          <w:color w:val="auto"/>
        </w:rPr>
        <w:t>duty to exercise powers for the purposes for which those powers were conferred and not for a collateral purpose;</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directors should not improperly fetter the exercise of future discretion;</w:t>
      </w: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type w:val="continuous"/>
        </w:sectPr>
      </w:pPr>
    </w:p>
    <w:bookmarkStart w:id="102" w:name="page103"/>
    <w:bookmarkEnd w:id="102"/>
    <w:p>
      <w:pPr>
        <w:ind w:left="96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duty to exercise powers fairly as between different sections of shareholders;</w:t>
      </w:r>
    </w:p>
    <w:p>
      <w:pPr>
        <w:spacing w:after="0" w:line="102" w:lineRule="exact"/>
        <w:rPr>
          <w:sz w:val="20"/>
          <w:szCs w:val="20"/>
          <w:color w:val="auto"/>
        </w:rPr>
      </w:pPr>
    </w:p>
    <w:p>
      <w:pPr>
        <w:ind w:left="1540" w:right="1160"/>
        <w:spacing w:after="0" w:line="243" w:lineRule="auto"/>
        <w:rPr>
          <w:sz w:val="20"/>
          <w:szCs w:val="20"/>
          <w:color w:val="auto"/>
        </w:rPr>
      </w:pPr>
      <w:r>
        <w:rPr>
          <w:rFonts w:ascii="Arial" w:cs="Arial" w:eastAsia="Arial" w:hAnsi="Arial"/>
          <w:sz w:val="17"/>
          <w:szCs w:val="17"/>
          <w:color w:val="auto"/>
        </w:rPr>
        <w:t>duty not to put themselves in a position in which there is a conflict between their duty to the company and their personal interests; and</w:t>
      </w:r>
    </w:p>
    <w:p>
      <w:pPr>
        <w:spacing w:after="0" w:line="90"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duty to exercise independent judgment.</w:t>
      </w:r>
    </w:p>
    <w:p>
      <w:pPr>
        <w:spacing w:after="0" w:line="169" w:lineRule="exact"/>
        <w:rPr>
          <w:sz w:val="20"/>
          <w:szCs w:val="20"/>
          <w:color w:val="auto"/>
        </w:rPr>
      </w:pPr>
    </w:p>
    <w:p>
      <w:pPr>
        <w:ind w:left="960" w:right="1020"/>
        <w:spacing w:after="0" w:line="236" w:lineRule="auto"/>
        <w:rPr>
          <w:sz w:val="20"/>
          <w:szCs w:val="20"/>
          <w:color w:val="auto"/>
        </w:rPr>
      </w:pPr>
      <w:r>
        <w:rPr>
          <w:rFonts w:ascii="Arial" w:cs="Arial" w:eastAsia="Arial" w:hAnsi="Arial"/>
          <w:sz w:val="17"/>
          <w:szCs w:val="17"/>
          <w:color w:val="auto"/>
        </w:rPr>
        <w:t>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of that director.</w:t>
      </w:r>
    </w:p>
    <w:p>
      <w:pPr>
        <w:spacing w:after="0" w:line="163" w:lineRule="exact"/>
        <w:rPr>
          <w:sz w:val="20"/>
          <w:szCs w:val="20"/>
          <w:color w:val="auto"/>
        </w:rPr>
      </w:pPr>
    </w:p>
    <w:p>
      <w:pPr>
        <w:ind w:left="960" w:right="1000"/>
        <w:spacing w:after="0" w:line="235" w:lineRule="auto"/>
        <w:rPr>
          <w:sz w:val="20"/>
          <w:szCs w:val="20"/>
          <w:color w:val="auto"/>
        </w:rPr>
      </w:pPr>
      <w:r>
        <w:rPr>
          <w:rFonts w:ascii="Arial" w:cs="Arial" w:eastAsia="Arial" w:hAnsi="Arial"/>
          <w:sz w:val="17"/>
          <w:szCs w:val="17"/>
          <w:color w:val="auto"/>
        </w:rPr>
        <w:t xml:space="preserve">As set out above, directors have a duty not to put themselves in a position of conflict and this includes a duty not to engage in self-dealing, or to otherwise benefit as a result of their position. However, in some instances what would otherwise be a breach of this duty can be forgiven and/or authorized in advance by the shareholders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there is full disclosure by the directors. This can be done by way of permission granted in the amended and restated memorandum and articles of association or alternatively by shareholder approval at shareholder meetings.</w:t>
      </w:r>
    </w:p>
    <w:p>
      <w:pPr>
        <w:spacing w:after="0" w:line="150" w:lineRule="exact"/>
        <w:rPr>
          <w:sz w:val="20"/>
          <w:szCs w:val="20"/>
          <w:color w:val="auto"/>
        </w:rPr>
      </w:pPr>
    </w:p>
    <w:p>
      <w:pPr>
        <w:ind w:left="960" w:right="1000"/>
        <w:spacing w:after="0" w:line="234" w:lineRule="auto"/>
        <w:rPr>
          <w:sz w:val="20"/>
          <w:szCs w:val="20"/>
          <w:color w:val="auto"/>
        </w:rPr>
      </w:pPr>
      <w:r>
        <w:rPr>
          <w:rFonts w:ascii="Arial" w:cs="Arial" w:eastAsia="Arial" w:hAnsi="Arial"/>
          <w:sz w:val="17"/>
          <w:szCs w:val="17"/>
          <w:color w:val="auto"/>
        </w:rPr>
        <w:t>Certain of our officers and directors presently have, and any of them in the future may have additional, fiduciary or contractual obligations to other entities, including entities that are affiliates of our sponsor,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entity, subject to their fiduciary duties under Cayman Islands law. We do not believe, however, that the fiduciary duties or contractual obligations of our officers or directors will materially affect our ability to complete our initial business combination.</w:t>
      </w:r>
    </w:p>
    <w:p>
      <w:pPr>
        <w:spacing w:after="0" w:line="163" w:lineRule="exact"/>
        <w:rPr>
          <w:sz w:val="20"/>
          <w:szCs w:val="20"/>
          <w:color w:val="auto"/>
        </w:rPr>
      </w:pPr>
    </w:p>
    <w:p>
      <w:pPr>
        <w:ind w:left="960" w:right="1240"/>
        <w:spacing w:after="0" w:line="243" w:lineRule="auto"/>
        <w:rPr>
          <w:sz w:val="20"/>
          <w:szCs w:val="20"/>
          <w:color w:val="auto"/>
        </w:rPr>
      </w:pPr>
      <w:r>
        <w:rPr>
          <w:rFonts w:ascii="Arial" w:cs="Arial" w:eastAsia="Arial" w:hAnsi="Arial"/>
          <w:sz w:val="17"/>
          <w:szCs w:val="17"/>
          <w:color w:val="auto"/>
        </w:rPr>
        <w:t>Below is a table summarizing the entities to which our executive officers and directors currently have fiduciary duties, contractual obligations or other material management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129540</wp:posOffset>
            </wp:positionV>
            <wp:extent cx="57607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0" w:type="dxa"/>
            <w:vAlign w:val="bottom"/>
          </w:tcPr>
          <w:p>
            <w:pPr>
              <w:spacing w:after="0"/>
              <w:rPr>
                <w:sz w:val="16"/>
                <w:szCs w:val="16"/>
                <w:color w:val="auto"/>
              </w:rPr>
            </w:pPr>
          </w:p>
        </w:tc>
        <w:tc>
          <w:tcPr>
            <w:tcW w:w="2140" w:type="dxa"/>
            <w:vAlign w:val="bottom"/>
            <w:gridSpan w:val="2"/>
          </w:tcPr>
          <w:p>
            <w:pPr>
              <w:spacing w:after="0"/>
              <w:rPr>
                <w:sz w:val="20"/>
                <w:szCs w:val="20"/>
                <w:color w:val="auto"/>
              </w:rPr>
            </w:pPr>
            <w:r>
              <w:rPr>
                <w:rFonts w:ascii="Arial" w:cs="Arial" w:eastAsia="Arial" w:hAnsi="Arial"/>
                <w:sz w:val="14"/>
                <w:szCs w:val="14"/>
                <w:b w:val="1"/>
                <w:bCs w:val="1"/>
                <w:color w:val="auto"/>
              </w:rPr>
              <w:t>INDIVIDUAL</w:t>
            </w:r>
          </w:p>
        </w:tc>
        <w:tc>
          <w:tcPr>
            <w:tcW w:w="2040" w:type="dxa"/>
            <w:vAlign w:val="bottom"/>
          </w:tcPr>
          <w:p>
            <w:pPr>
              <w:ind w:left="760"/>
              <w:spacing w:after="0"/>
              <w:rPr>
                <w:sz w:val="20"/>
                <w:szCs w:val="20"/>
                <w:color w:val="auto"/>
              </w:rPr>
            </w:pPr>
            <w:r>
              <w:rPr>
                <w:rFonts w:ascii="Arial" w:cs="Arial" w:eastAsia="Arial" w:hAnsi="Arial"/>
                <w:sz w:val="14"/>
                <w:szCs w:val="14"/>
                <w:b w:val="1"/>
                <w:bCs w:val="1"/>
                <w:color w:val="auto"/>
              </w:rPr>
              <w:t>ENTITY</w:t>
            </w:r>
          </w:p>
        </w:tc>
        <w:tc>
          <w:tcPr>
            <w:tcW w:w="400" w:type="dxa"/>
            <w:vAlign w:val="bottom"/>
          </w:tcPr>
          <w:p>
            <w:pPr>
              <w:spacing w:after="0"/>
              <w:rPr>
                <w:sz w:val="16"/>
                <w:szCs w:val="16"/>
                <w:color w:val="auto"/>
              </w:rPr>
            </w:pPr>
          </w:p>
        </w:tc>
        <w:tc>
          <w:tcPr>
            <w:tcW w:w="2440" w:type="dxa"/>
            <w:vAlign w:val="bottom"/>
            <w:gridSpan w:val="2"/>
          </w:tcPr>
          <w:p>
            <w:pPr>
              <w:ind w:left="320"/>
              <w:spacing w:after="0"/>
              <w:rPr>
                <w:sz w:val="20"/>
                <w:szCs w:val="20"/>
                <w:color w:val="auto"/>
              </w:rPr>
            </w:pPr>
            <w:r>
              <w:rPr>
                <w:rFonts w:ascii="Arial" w:cs="Arial" w:eastAsia="Arial" w:hAnsi="Arial"/>
                <w:sz w:val="14"/>
                <w:szCs w:val="14"/>
                <w:b w:val="1"/>
                <w:bCs w:val="1"/>
                <w:color w:val="auto"/>
              </w:rPr>
              <w:t>ENTITY’S BUSINESS</w:t>
            </w:r>
          </w:p>
        </w:tc>
        <w:tc>
          <w:tcPr>
            <w:tcW w:w="3040" w:type="dxa"/>
            <w:vAlign w:val="bottom"/>
            <w:gridSpan w:val="2"/>
          </w:tcPr>
          <w:p>
            <w:pPr>
              <w:ind w:left="600"/>
              <w:spacing w:after="0"/>
              <w:rPr>
                <w:sz w:val="20"/>
                <w:szCs w:val="20"/>
                <w:color w:val="auto"/>
              </w:rPr>
            </w:pPr>
            <w:r>
              <w:rPr>
                <w:rFonts w:ascii="Arial" w:cs="Arial" w:eastAsia="Arial" w:hAnsi="Arial"/>
                <w:sz w:val="14"/>
                <w:szCs w:val="14"/>
                <w:b w:val="1"/>
                <w:bCs w:val="1"/>
                <w:color w:val="auto"/>
              </w:rPr>
              <w:t>AFFILIATION</w:t>
            </w:r>
          </w:p>
        </w:tc>
      </w:tr>
      <w:tr>
        <w:trPr>
          <w:trHeight w:val="53"/>
        </w:trPr>
        <w:tc>
          <w:tcPr>
            <w:tcW w:w="960" w:type="dxa"/>
            <w:vAlign w:val="bottom"/>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980" w:type="dxa"/>
            <w:vAlign w:val="bottom"/>
          </w:tcPr>
          <w:p>
            <w:pPr>
              <w:spacing w:after="0"/>
              <w:rPr>
                <w:sz w:val="4"/>
                <w:szCs w:val="4"/>
                <w:color w:val="auto"/>
              </w:rPr>
            </w:pPr>
          </w:p>
        </w:tc>
      </w:tr>
      <w:tr>
        <w:trPr>
          <w:trHeight w:val="244"/>
        </w:trPr>
        <w:tc>
          <w:tcPr>
            <w:tcW w:w="960" w:type="dxa"/>
            <w:vAlign w:val="bottom"/>
          </w:tcPr>
          <w:p>
            <w:pPr>
              <w:spacing w:after="0"/>
              <w:rPr>
                <w:sz w:val="21"/>
                <w:szCs w:val="21"/>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Joseph Edelman</w:t>
            </w:r>
          </w:p>
        </w:tc>
        <w:tc>
          <w:tcPr>
            <w:tcW w:w="2040" w:type="dxa"/>
            <w:vAlign w:val="bottom"/>
            <w:shd w:val="clear" w:color="auto" w:fill="CCEEFF"/>
          </w:tcPr>
          <w:p>
            <w:pPr>
              <w:spacing w:after="0"/>
              <w:rPr>
                <w:sz w:val="20"/>
                <w:szCs w:val="20"/>
                <w:color w:val="auto"/>
              </w:rPr>
            </w:pPr>
            <w:r>
              <w:rPr>
                <w:rFonts w:ascii="Arial" w:cs="Arial" w:eastAsia="Arial" w:hAnsi="Arial"/>
                <w:sz w:val="17"/>
                <w:szCs w:val="17"/>
                <w:color w:val="auto"/>
              </w:rPr>
              <w:t>Perceptive Advisors, LLC</w:t>
            </w:r>
          </w:p>
        </w:tc>
        <w:tc>
          <w:tcPr>
            <w:tcW w:w="2840" w:type="dxa"/>
            <w:vAlign w:val="bottom"/>
            <w:gridSpan w:val="3"/>
            <w:shd w:val="clear" w:color="auto" w:fill="CCEEFF"/>
          </w:tcPr>
          <w:p>
            <w:pPr>
              <w:ind w:left="400"/>
              <w:spacing w:after="0"/>
              <w:rPr>
                <w:sz w:val="20"/>
                <w:szCs w:val="20"/>
                <w:color w:val="auto"/>
              </w:rPr>
            </w:pPr>
            <w:r>
              <w:rPr>
                <w:rFonts w:ascii="Arial" w:cs="Arial" w:eastAsia="Arial" w:hAnsi="Arial"/>
                <w:sz w:val="17"/>
                <w:szCs w:val="17"/>
                <w:color w:val="auto"/>
              </w:rPr>
              <w:t>Hedge Fund</w:t>
            </w:r>
          </w:p>
        </w:tc>
        <w:tc>
          <w:tcPr>
            <w:tcW w:w="2060" w:type="dxa"/>
            <w:vAlign w:val="bottom"/>
            <w:shd w:val="clear" w:color="auto" w:fill="CCEEFF"/>
          </w:tcPr>
          <w:p>
            <w:pPr>
              <w:spacing w:after="0"/>
              <w:rPr>
                <w:sz w:val="20"/>
                <w:szCs w:val="20"/>
                <w:color w:val="auto"/>
              </w:rPr>
            </w:pPr>
            <w:r>
              <w:rPr>
                <w:rFonts w:ascii="Arial" w:cs="Arial" w:eastAsia="Arial" w:hAnsi="Arial"/>
                <w:sz w:val="17"/>
                <w:szCs w:val="17"/>
                <w:color w:val="auto"/>
              </w:rPr>
              <w:t>Chief Executive Officer</w:t>
            </w:r>
          </w:p>
        </w:tc>
        <w:tc>
          <w:tcPr>
            <w:tcW w:w="980" w:type="dxa"/>
            <w:vAlign w:val="bottom"/>
          </w:tcPr>
          <w:p>
            <w:pPr>
              <w:spacing w:after="0"/>
              <w:rPr>
                <w:sz w:val="21"/>
                <w:szCs w:val="21"/>
                <w:color w:val="auto"/>
              </w:rPr>
            </w:pPr>
          </w:p>
        </w:tc>
      </w:tr>
      <w:tr>
        <w:trPr>
          <w:trHeight w:val="189"/>
        </w:trPr>
        <w:tc>
          <w:tcPr>
            <w:tcW w:w="960" w:type="dxa"/>
            <w:vAlign w:val="bottom"/>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ARYA Sciences</w:t>
            </w:r>
          </w:p>
        </w:tc>
        <w:tc>
          <w:tcPr>
            <w:tcW w:w="2840" w:type="dxa"/>
            <w:vAlign w:val="bottom"/>
            <w:gridSpan w:val="3"/>
            <w:shd w:val="clear" w:color="auto" w:fill="CCEEFF"/>
          </w:tcPr>
          <w:p>
            <w:pPr>
              <w:ind w:left="400"/>
              <w:spacing w:after="0" w:line="189" w:lineRule="exact"/>
              <w:rPr>
                <w:sz w:val="20"/>
                <w:szCs w:val="20"/>
                <w:color w:val="auto"/>
              </w:rPr>
            </w:pPr>
            <w:r>
              <w:rPr>
                <w:rFonts w:ascii="Arial" w:cs="Arial" w:eastAsia="Arial" w:hAnsi="Arial"/>
                <w:sz w:val="17"/>
                <w:szCs w:val="17"/>
                <w:color w:val="auto"/>
              </w:rPr>
              <w:t>Special Purpose</w:t>
            </w:r>
          </w:p>
        </w:tc>
        <w:tc>
          <w:tcPr>
            <w:tcW w:w="2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and Portfolio Manager</w:t>
            </w:r>
          </w:p>
        </w:tc>
        <w:tc>
          <w:tcPr>
            <w:tcW w:w="980" w:type="dxa"/>
            <w:vAlign w:val="bottom"/>
          </w:tcPr>
          <w:p>
            <w:pPr>
              <w:spacing w:after="0"/>
              <w:rPr>
                <w:sz w:val="16"/>
                <w:szCs w:val="16"/>
                <w:color w:val="auto"/>
              </w:rPr>
            </w:pPr>
          </w:p>
        </w:tc>
      </w:tr>
      <w:tr>
        <w:trPr>
          <w:trHeight w:val="216"/>
        </w:trPr>
        <w:tc>
          <w:tcPr>
            <w:tcW w:w="960" w:type="dxa"/>
            <w:vAlign w:val="bottom"/>
          </w:tcPr>
          <w:p>
            <w:pPr>
              <w:spacing w:after="0"/>
              <w:rPr>
                <w:sz w:val="18"/>
                <w:szCs w:val="18"/>
                <w:color w:val="auto"/>
              </w:rPr>
            </w:pPr>
          </w:p>
        </w:tc>
        <w:tc>
          <w:tcPr>
            <w:tcW w:w="17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Acquisition Corp II</w:t>
            </w:r>
          </w:p>
        </w:tc>
        <w:tc>
          <w:tcPr>
            <w:tcW w:w="2840" w:type="dxa"/>
            <w:vAlign w:val="bottom"/>
            <w:tcBorders>
              <w:bottom w:val="single" w:sz="8" w:color="CCEEFF"/>
            </w:tcBorders>
            <w:gridSpan w:val="3"/>
            <w:shd w:val="clear" w:color="auto" w:fill="CCEEFF"/>
          </w:tcPr>
          <w:p>
            <w:pPr>
              <w:ind w:left="400"/>
              <w:spacing w:after="0"/>
              <w:rPr>
                <w:sz w:val="20"/>
                <w:szCs w:val="20"/>
                <w:color w:val="auto"/>
              </w:rPr>
            </w:pPr>
            <w:r>
              <w:rPr>
                <w:rFonts w:ascii="Arial" w:cs="Arial" w:eastAsia="Arial" w:hAnsi="Arial"/>
                <w:sz w:val="17"/>
                <w:szCs w:val="17"/>
                <w:color w:val="auto"/>
              </w:rPr>
              <w:t>Acquisition Company</w:t>
            </w:r>
          </w:p>
        </w:tc>
        <w:tc>
          <w:tcPr>
            <w:tcW w:w="2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Chairman</w:t>
            </w:r>
          </w:p>
        </w:tc>
        <w:tc>
          <w:tcPr>
            <w:tcW w:w="980" w:type="dxa"/>
            <w:vAlign w:val="bottom"/>
          </w:tcPr>
          <w:p>
            <w:pPr>
              <w:spacing w:after="0"/>
              <w:rPr>
                <w:sz w:val="18"/>
                <w:szCs w:val="18"/>
                <w:color w:val="auto"/>
              </w:rPr>
            </w:pPr>
          </w:p>
        </w:tc>
      </w:tr>
      <w:tr>
        <w:trPr>
          <w:trHeight w:val="223"/>
        </w:trPr>
        <w:tc>
          <w:tcPr>
            <w:tcW w:w="960" w:type="dxa"/>
            <w:vAlign w:val="bottom"/>
          </w:tcPr>
          <w:p>
            <w:pPr>
              <w:spacing w:after="0"/>
              <w:rPr>
                <w:sz w:val="19"/>
                <w:szCs w:val="19"/>
                <w:color w:val="auto"/>
              </w:rPr>
            </w:pPr>
          </w:p>
        </w:tc>
        <w:tc>
          <w:tcPr>
            <w:tcW w:w="2140" w:type="dxa"/>
            <w:vAlign w:val="bottom"/>
            <w:gridSpan w:val="2"/>
          </w:tcPr>
          <w:p>
            <w:pPr>
              <w:spacing w:after="0"/>
              <w:rPr>
                <w:sz w:val="20"/>
                <w:szCs w:val="20"/>
                <w:color w:val="auto"/>
              </w:rPr>
            </w:pPr>
            <w:r>
              <w:rPr>
                <w:rFonts w:ascii="Arial" w:cs="Arial" w:eastAsia="Arial" w:hAnsi="Arial"/>
                <w:sz w:val="17"/>
                <w:szCs w:val="17"/>
                <w:color w:val="auto"/>
              </w:rPr>
              <w:t>Adam Stone</w:t>
            </w:r>
          </w:p>
        </w:tc>
        <w:tc>
          <w:tcPr>
            <w:tcW w:w="2040" w:type="dxa"/>
            <w:vAlign w:val="bottom"/>
          </w:tcPr>
          <w:p>
            <w:pPr>
              <w:spacing w:after="0"/>
              <w:rPr>
                <w:sz w:val="20"/>
                <w:szCs w:val="20"/>
                <w:color w:val="auto"/>
              </w:rPr>
            </w:pPr>
            <w:r>
              <w:rPr>
                <w:rFonts w:ascii="Arial" w:cs="Arial" w:eastAsia="Arial" w:hAnsi="Arial"/>
                <w:sz w:val="17"/>
                <w:szCs w:val="17"/>
                <w:color w:val="auto"/>
              </w:rPr>
              <w:t>Perceptive Advisors, LLC</w:t>
            </w:r>
          </w:p>
        </w:tc>
        <w:tc>
          <w:tcPr>
            <w:tcW w:w="2840" w:type="dxa"/>
            <w:vAlign w:val="bottom"/>
            <w:gridSpan w:val="3"/>
          </w:tcPr>
          <w:p>
            <w:pPr>
              <w:ind w:left="400"/>
              <w:spacing w:after="0"/>
              <w:rPr>
                <w:sz w:val="20"/>
                <w:szCs w:val="20"/>
                <w:color w:val="auto"/>
              </w:rPr>
            </w:pPr>
            <w:r>
              <w:rPr>
                <w:rFonts w:ascii="Arial" w:cs="Arial" w:eastAsia="Arial" w:hAnsi="Arial"/>
                <w:sz w:val="17"/>
                <w:szCs w:val="17"/>
                <w:color w:val="auto"/>
              </w:rPr>
              <w:t>Hedge Fund</w:t>
            </w:r>
          </w:p>
        </w:tc>
        <w:tc>
          <w:tcPr>
            <w:tcW w:w="3040" w:type="dxa"/>
            <w:vAlign w:val="bottom"/>
            <w:gridSpan w:val="2"/>
          </w:tcPr>
          <w:p>
            <w:pPr>
              <w:spacing w:after="0"/>
              <w:rPr>
                <w:sz w:val="20"/>
                <w:szCs w:val="20"/>
                <w:color w:val="auto"/>
              </w:rPr>
            </w:pPr>
            <w:r>
              <w:rPr>
                <w:rFonts w:ascii="Arial" w:cs="Arial" w:eastAsia="Arial" w:hAnsi="Arial"/>
                <w:sz w:val="17"/>
                <w:szCs w:val="17"/>
                <w:color w:val="auto"/>
              </w:rPr>
              <w:t>Chief Investment Officer</w:t>
            </w:r>
          </w:p>
        </w:tc>
      </w:tr>
      <w:tr>
        <w:trPr>
          <w:trHeight w:val="189"/>
        </w:trPr>
        <w:tc>
          <w:tcPr>
            <w:tcW w:w="9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40" w:type="dxa"/>
            <w:vAlign w:val="bottom"/>
          </w:tcPr>
          <w:p>
            <w:pPr>
              <w:spacing w:after="0" w:line="189" w:lineRule="exact"/>
              <w:rPr>
                <w:sz w:val="20"/>
                <w:szCs w:val="20"/>
                <w:color w:val="auto"/>
              </w:rPr>
            </w:pPr>
            <w:r>
              <w:rPr>
                <w:rFonts w:ascii="Arial" w:cs="Arial" w:eastAsia="Arial" w:hAnsi="Arial"/>
                <w:sz w:val="17"/>
                <w:szCs w:val="17"/>
                <w:color w:val="auto"/>
              </w:rPr>
              <w:t>Solid Biosciences</w:t>
            </w:r>
          </w:p>
        </w:tc>
        <w:tc>
          <w:tcPr>
            <w:tcW w:w="2840" w:type="dxa"/>
            <w:vAlign w:val="bottom"/>
            <w:gridSpan w:val="3"/>
          </w:tcPr>
          <w:p>
            <w:pPr>
              <w:ind w:left="400"/>
              <w:spacing w:after="0" w:line="189" w:lineRule="exact"/>
              <w:rPr>
                <w:sz w:val="20"/>
                <w:szCs w:val="20"/>
                <w:color w:val="auto"/>
              </w:rPr>
            </w:pPr>
            <w:r>
              <w:rPr>
                <w:rFonts w:ascii="Arial" w:cs="Arial" w:eastAsia="Arial" w:hAnsi="Arial"/>
                <w:sz w:val="17"/>
                <w:szCs w:val="17"/>
                <w:color w:val="auto"/>
              </w:rPr>
              <w:t>Pharmaceuticals</w:t>
            </w:r>
          </w:p>
        </w:tc>
        <w:tc>
          <w:tcPr>
            <w:tcW w:w="3040" w:type="dxa"/>
            <w:vAlign w:val="bottom"/>
            <w:gridSpan w:val="2"/>
          </w:tcPr>
          <w:p>
            <w:pPr>
              <w:spacing w:after="0" w:line="189" w:lineRule="exact"/>
              <w:rPr>
                <w:sz w:val="20"/>
                <w:szCs w:val="20"/>
                <w:color w:val="auto"/>
              </w:rPr>
            </w:pPr>
            <w:r>
              <w:rPr>
                <w:rFonts w:ascii="Arial" w:cs="Arial" w:eastAsia="Arial" w:hAnsi="Arial"/>
                <w:sz w:val="17"/>
                <w:szCs w:val="17"/>
                <w:color w:val="auto"/>
              </w:rPr>
              <w:t>Director</w:t>
            </w:r>
          </w:p>
        </w:tc>
      </w:tr>
      <w:tr>
        <w:trPr>
          <w:trHeight w:val="189"/>
        </w:trPr>
        <w:tc>
          <w:tcPr>
            <w:tcW w:w="9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40" w:type="dxa"/>
            <w:vAlign w:val="bottom"/>
          </w:tcPr>
          <w:p>
            <w:pPr>
              <w:spacing w:after="0" w:line="189" w:lineRule="exact"/>
              <w:rPr>
                <w:sz w:val="20"/>
                <w:szCs w:val="20"/>
                <w:color w:val="auto"/>
              </w:rPr>
            </w:pPr>
            <w:r>
              <w:rPr>
                <w:rFonts w:ascii="Arial" w:cs="Arial" w:eastAsia="Arial" w:hAnsi="Arial"/>
                <w:sz w:val="17"/>
                <w:szCs w:val="17"/>
                <w:color w:val="auto"/>
              </w:rPr>
              <w:t>Renovia</w:t>
            </w:r>
          </w:p>
        </w:tc>
        <w:tc>
          <w:tcPr>
            <w:tcW w:w="2840" w:type="dxa"/>
            <w:vAlign w:val="bottom"/>
            <w:gridSpan w:val="3"/>
          </w:tcPr>
          <w:p>
            <w:pPr>
              <w:ind w:left="400"/>
              <w:spacing w:after="0" w:line="189" w:lineRule="exact"/>
              <w:rPr>
                <w:sz w:val="20"/>
                <w:szCs w:val="20"/>
                <w:color w:val="auto"/>
              </w:rPr>
            </w:pPr>
            <w:r>
              <w:rPr>
                <w:rFonts w:ascii="Arial" w:cs="Arial" w:eastAsia="Arial" w:hAnsi="Arial"/>
                <w:sz w:val="17"/>
                <w:szCs w:val="17"/>
                <w:color w:val="auto"/>
              </w:rPr>
              <w:t>Healthcare</w:t>
            </w:r>
          </w:p>
        </w:tc>
        <w:tc>
          <w:tcPr>
            <w:tcW w:w="3040" w:type="dxa"/>
            <w:vAlign w:val="bottom"/>
            <w:gridSpan w:val="2"/>
          </w:tcPr>
          <w:p>
            <w:pPr>
              <w:spacing w:after="0" w:line="189" w:lineRule="exact"/>
              <w:rPr>
                <w:sz w:val="20"/>
                <w:szCs w:val="20"/>
                <w:color w:val="auto"/>
              </w:rPr>
            </w:pPr>
            <w:r>
              <w:rPr>
                <w:rFonts w:ascii="Arial" w:cs="Arial" w:eastAsia="Arial" w:hAnsi="Arial"/>
                <w:sz w:val="17"/>
                <w:szCs w:val="17"/>
                <w:color w:val="auto"/>
              </w:rPr>
              <w:t>Director</w:t>
            </w:r>
          </w:p>
        </w:tc>
      </w:tr>
      <w:tr>
        <w:trPr>
          <w:trHeight w:val="189"/>
        </w:trPr>
        <w:tc>
          <w:tcPr>
            <w:tcW w:w="9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40" w:type="dxa"/>
            <w:vAlign w:val="bottom"/>
          </w:tcPr>
          <w:p>
            <w:pPr>
              <w:spacing w:after="0" w:line="189" w:lineRule="exact"/>
              <w:rPr>
                <w:sz w:val="20"/>
                <w:szCs w:val="20"/>
                <w:color w:val="auto"/>
              </w:rPr>
            </w:pPr>
            <w:r>
              <w:rPr>
                <w:rFonts w:ascii="Arial" w:cs="Arial" w:eastAsia="Arial" w:hAnsi="Arial"/>
                <w:sz w:val="17"/>
                <w:szCs w:val="17"/>
                <w:color w:val="auto"/>
              </w:rPr>
              <w:t>Xontogeny</w:t>
            </w:r>
          </w:p>
        </w:tc>
        <w:tc>
          <w:tcPr>
            <w:tcW w:w="2840" w:type="dxa"/>
            <w:vAlign w:val="bottom"/>
            <w:gridSpan w:val="3"/>
          </w:tcPr>
          <w:p>
            <w:pPr>
              <w:ind w:left="400"/>
              <w:spacing w:after="0" w:line="189" w:lineRule="exact"/>
              <w:rPr>
                <w:sz w:val="20"/>
                <w:szCs w:val="20"/>
                <w:color w:val="auto"/>
              </w:rPr>
            </w:pPr>
            <w:r>
              <w:rPr>
                <w:rFonts w:ascii="Arial" w:cs="Arial" w:eastAsia="Arial" w:hAnsi="Arial"/>
                <w:sz w:val="17"/>
                <w:szCs w:val="17"/>
                <w:color w:val="auto"/>
              </w:rPr>
              <w:t>Biotechnology</w:t>
            </w:r>
          </w:p>
        </w:tc>
        <w:tc>
          <w:tcPr>
            <w:tcW w:w="3040" w:type="dxa"/>
            <w:vAlign w:val="bottom"/>
            <w:gridSpan w:val="2"/>
          </w:tcPr>
          <w:p>
            <w:pPr>
              <w:spacing w:after="0" w:line="189" w:lineRule="exact"/>
              <w:rPr>
                <w:sz w:val="20"/>
                <w:szCs w:val="20"/>
                <w:color w:val="auto"/>
              </w:rPr>
            </w:pPr>
            <w:r>
              <w:rPr>
                <w:rFonts w:ascii="Arial" w:cs="Arial" w:eastAsia="Arial" w:hAnsi="Arial"/>
                <w:sz w:val="17"/>
                <w:szCs w:val="17"/>
                <w:color w:val="auto"/>
              </w:rPr>
              <w:t>Director</w:t>
            </w:r>
          </w:p>
        </w:tc>
      </w:tr>
      <w:tr>
        <w:trPr>
          <w:trHeight w:val="189"/>
        </w:trPr>
        <w:tc>
          <w:tcPr>
            <w:tcW w:w="9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40" w:type="dxa"/>
            <w:vAlign w:val="bottom"/>
          </w:tcPr>
          <w:p>
            <w:pPr>
              <w:spacing w:after="0" w:line="189" w:lineRule="exact"/>
              <w:rPr>
                <w:sz w:val="20"/>
                <w:szCs w:val="20"/>
                <w:color w:val="auto"/>
              </w:rPr>
            </w:pPr>
            <w:r>
              <w:rPr>
                <w:rFonts w:ascii="Arial" w:cs="Arial" w:eastAsia="Arial" w:hAnsi="Arial"/>
                <w:sz w:val="17"/>
                <w:szCs w:val="17"/>
                <w:color w:val="auto"/>
              </w:rPr>
              <w:t>Immatics N.V.</w:t>
            </w:r>
          </w:p>
        </w:tc>
        <w:tc>
          <w:tcPr>
            <w:tcW w:w="2840" w:type="dxa"/>
            <w:vAlign w:val="bottom"/>
            <w:gridSpan w:val="3"/>
          </w:tcPr>
          <w:p>
            <w:pPr>
              <w:ind w:left="400"/>
              <w:spacing w:after="0" w:line="189" w:lineRule="exact"/>
              <w:rPr>
                <w:sz w:val="20"/>
                <w:szCs w:val="20"/>
                <w:color w:val="auto"/>
              </w:rPr>
            </w:pPr>
            <w:r>
              <w:rPr>
                <w:rFonts w:ascii="Arial" w:cs="Arial" w:eastAsia="Arial" w:hAnsi="Arial"/>
                <w:sz w:val="17"/>
                <w:szCs w:val="17"/>
                <w:color w:val="auto"/>
              </w:rPr>
              <w:t>Biotechnology</w:t>
            </w:r>
          </w:p>
        </w:tc>
        <w:tc>
          <w:tcPr>
            <w:tcW w:w="3040" w:type="dxa"/>
            <w:vAlign w:val="bottom"/>
            <w:gridSpan w:val="2"/>
          </w:tcPr>
          <w:p>
            <w:pPr>
              <w:spacing w:after="0" w:line="189" w:lineRule="exact"/>
              <w:rPr>
                <w:sz w:val="20"/>
                <w:szCs w:val="20"/>
                <w:color w:val="auto"/>
              </w:rPr>
            </w:pPr>
            <w:r>
              <w:rPr>
                <w:rFonts w:ascii="Arial" w:cs="Arial" w:eastAsia="Arial" w:hAnsi="Arial"/>
                <w:sz w:val="17"/>
                <w:szCs w:val="17"/>
                <w:color w:val="auto"/>
              </w:rPr>
              <w:t>Director</w:t>
            </w:r>
          </w:p>
        </w:tc>
      </w:tr>
      <w:tr>
        <w:trPr>
          <w:trHeight w:val="189"/>
        </w:trPr>
        <w:tc>
          <w:tcPr>
            <w:tcW w:w="9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40" w:type="dxa"/>
            <w:vAlign w:val="bottom"/>
          </w:tcPr>
          <w:p>
            <w:pPr>
              <w:spacing w:after="0" w:line="189" w:lineRule="exact"/>
              <w:rPr>
                <w:sz w:val="20"/>
                <w:szCs w:val="20"/>
                <w:color w:val="auto"/>
              </w:rPr>
            </w:pPr>
            <w:r>
              <w:rPr>
                <w:rFonts w:ascii="Arial" w:cs="Arial" w:eastAsia="Arial" w:hAnsi="Arial"/>
                <w:sz w:val="17"/>
                <w:szCs w:val="17"/>
                <w:color w:val="auto"/>
              </w:rPr>
              <w:t>ARYA Sciences</w:t>
            </w:r>
          </w:p>
        </w:tc>
        <w:tc>
          <w:tcPr>
            <w:tcW w:w="2840" w:type="dxa"/>
            <w:vAlign w:val="bottom"/>
            <w:gridSpan w:val="3"/>
          </w:tcPr>
          <w:p>
            <w:pPr>
              <w:ind w:left="400"/>
              <w:spacing w:after="0" w:line="189" w:lineRule="exact"/>
              <w:rPr>
                <w:sz w:val="20"/>
                <w:szCs w:val="20"/>
                <w:color w:val="auto"/>
              </w:rPr>
            </w:pPr>
            <w:r>
              <w:rPr>
                <w:rFonts w:ascii="Arial" w:cs="Arial" w:eastAsia="Arial" w:hAnsi="Arial"/>
                <w:sz w:val="17"/>
                <w:szCs w:val="17"/>
                <w:color w:val="auto"/>
              </w:rPr>
              <w:t>Special Purpose</w:t>
            </w:r>
          </w:p>
        </w:tc>
        <w:tc>
          <w:tcPr>
            <w:tcW w:w="3040" w:type="dxa"/>
            <w:vAlign w:val="bottom"/>
            <w:gridSpan w:val="2"/>
          </w:tcPr>
          <w:p>
            <w:pPr>
              <w:spacing w:after="0" w:line="189" w:lineRule="exact"/>
              <w:rPr>
                <w:sz w:val="20"/>
                <w:szCs w:val="20"/>
                <w:color w:val="auto"/>
              </w:rPr>
            </w:pPr>
            <w:r>
              <w:rPr>
                <w:rFonts w:ascii="Arial" w:cs="Arial" w:eastAsia="Arial" w:hAnsi="Arial"/>
                <w:sz w:val="17"/>
                <w:szCs w:val="17"/>
                <w:color w:val="auto"/>
              </w:rPr>
              <w:t>Chief Executive Officer</w:t>
            </w:r>
          </w:p>
        </w:tc>
      </w:tr>
      <w:tr>
        <w:trPr>
          <w:trHeight w:val="205"/>
        </w:trPr>
        <w:tc>
          <w:tcPr>
            <w:tcW w:w="9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40" w:type="dxa"/>
            <w:vAlign w:val="bottom"/>
          </w:tcPr>
          <w:p>
            <w:pPr>
              <w:spacing w:after="0"/>
              <w:rPr>
                <w:sz w:val="20"/>
                <w:szCs w:val="20"/>
                <w:color w:val="auto"/>
              </w:rPr>
            </w:pPr>
            <w:r>
              <w:rPr>
                <w:rFonts w:ascii="Arial" w:cs="Arial" w:eastAsia="Arial" w:hAnsi="Arial"/>
                <w:sz w:val="17"/>
                <w:szCs w:val="17"/>
                <w:color w:val="auto"/>
              </w:rPr>
              <w:t>Acquisition Corp II</w:t>
            </w:r>
          </w:p>
        </w:tc>
        <w:tc>
          <w:tcPr>
            <w:tcW w:w="2840" w:type="dxa"/>
            <w:vAlign w:val="bottom"/>
            <w:gridSpan w:val="3"/>
          </w:tcPr>
          <w:p>
            <w:pPr>
              <w:ind w:left="400"/>
              <w:spacing w:after="0"/>
              <w:rPr>
                <w:sz w:val="20"/>
                <w:szCs w:val="20"/>
                <w:color w:val="auto"/>
              </w:rPr>
            </w:pPr>
            <w:r>
              <w:rPr>
                <w:rFonts w:ascii="Arial" w:cs="Arial" w:eastAsia="Arial" w:hAnsi="Arial"/>
                <w:sz w:val="17"/>
                <w:szCs w:val="17"/>
                <w:color w:val="auto"/>
              </w:rPr>
              <w:t>Acquisition Company</w:t>
            </w:r>
          </w:p>
        </w:tc>
        <w:tc>
          <w:tcPr>
            <w:tcW w:w="3040" w:type="dxa"/>
            <w:vAlign w:val="bottom"/>
            <w:gridSpan w:val="2"/>
          </w:tcPr>
          <w:p>
            <w:pPr>
              <w:spacing w:after="0"/>
              <w:rPr>
                <w:sz w:val="20"/>
                <w:szCs w:val="20"/>
                <w:color w:val="auto"/>
              </w:rPr>
            </w:pPr>
            <w:r>
              <w:rPr>
                <w:rFonts w:ascii="Arial" w:cs="Arial" w:eastAsia="Arial" w:hAnsi="Arial"/>
                <w:sz w:val="17"/>
                <w:szCs w:val="17"/>
                <w:color w:val="auto"/>
              </w:rPr>
              <w:t>and Director</w:t>
            </w:r>
          </w:p>
        </w:tc>
      </w:tr>
      <w:tr>
        <w:trPr>
          <w:trHeight w:val="31"/>
        </w:trPr>
        <w:tc>
          <w:tcPr>
            <w:tcW w:w="9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40" w:type="dxa"/>
            <w:vAlign w:val="bottom"/>
            <w:gridSpan w:val="2"/>
          </w:tcPr>
          <w:p>
            <w:pPr>
              <w:spacing w:after="0"/>
              <w:rPr>
                <w:sz w:val="2"/>
                <w:szCs w:val="2"/>
                <w:color w:val="auto"/>
              </w:rPr>
            </w:pPr>
          </w:p>
        </w:tc>
      </w:tr>
      <w:tr>
        <w:trPr>
          <w:trHeight w:val="223"/>
        </w:trPr>
        <w:tc>
          <w:tcPr>
            <w:tcW w:w="960" w:type="dxa"/>
            <w:vAlign w:val="bottom"/>
          </w:tcPr>
          <w:p>
            <w:pPr>
              <w:spacing w:after="0"/>
              <w:rPr>
                <w:sz w:val="19"/>
                <w:szCs w:val="19"/>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Michael Altman</w:t>
            </w:r>
          </w:p>
        </w:tc>
        <w:tc>
          <w:tcPr>
            <w:tcW w:w="2040" w:type="dxa"/>
            <w:vAlign w:val="bottom"/>
            <w:shd w:val="clear" w:color="auto" w:fill="CCEEFF"/>
          </w:tcPr>
          <w:p>
            <w:pPr>
              <w:spacing w:after="0"/>
              <w:rPr>
                <w:sz w:val="20"/>
                <w:szCs w:val="20"/>
                <w:color w:val="auto"/>
              </w:rPr>
            </w:pPr>
            <w:r>
              <w:rPr>
                <w:rFonts w:ascii="Arial" w:cs="Arial" w:eastAsia="Arial" w:hAnsi="Arial"/>
                <w:sz w:val="17"/>
                <w:szCs w:val="17"/>
                <w:color w:val="auto"/>
              </w:rPr>
              <w:t>Perceptive Advisors, LLC</w:t>
            </w:r>
          </w:p>
        </w:tc>
        <w:tc>
          <w:tcPr>
            <w:tcW w:w="2840" w:type="dxa"/>
            <w:vAlign w:val="bottom"/>
            <w:gridSpan w:val="3"/>
            <w:shd w:val="clear" w:color="auto" w:fill="CCEEFF"/>
          </w:tcPr>
          <w:p>
            <w:pPr>
              <w:ind w:left="400"/>
              <w:spacing w:after="0"/>
              <w:rPr>
                <w:sz w:val="20"/>
                <w:szCs w:val="20"/>
                <w:color w:val="auto"/>
              </w:rPr>
            </w:pPr>
            <w:r>
              <w:rPr>
                <w:rFonts w:ascii="Arial" w:cs="Arial" w:eastAsia="Arial" w:hAnsi="Arial"/>
                <w:sz w:val="17"/>
                <w:szCs w:val="17"/>
                <w:color w:val="auto"/>
              </w:rPr>
              <w:t>Hedge Fund</w:t>
            </w:r>
          </w:p>
        </w:tc>
        <w:tc>
          <w:tcPr>
            <w:tcW w:w="2060" w:type="dxa"/>
            <w:vAlign w:val="bottom"/>
            <w:shd w:val="clear" w:color="auto" w:fill="CCEEFF"/>
          </w:tcPr>
          <w:p>
            <w:pPr>
              <w:spacing w:after="0"/>
              <w:rPr>
                <w:sz w:val="20"/>
                <w:szCs w:val="20"/>
                <w:color w:val="auto"/>
              </w:rPr>
            </w:pPr>
            <w:r>
              <w:rPr>
                <w:rFonts w:ascii="Arial" w:cs="Arial" w:eastAsia="Arial" w:hAnsi="Arial"/>
                <w:sz w:val="17"/>
                <w:szCs w:val="17"/>
                <w:color w:val="auto"/>
              </w:rPr>
              <w:t>Managing Director</w:t>
            </w:r>
          </w:p>
        </w:tc>
        <w:tc>
          <w:tcPr>
            <w:tcW w:w="980" w:type="dxa"/>
            <w:vAlign w:val="bottom"/>
          </w:tcPr>
          <w:p>
            <w:pPr>
              <w:spacing w:after="0"/>
              <w:rPr>
                <w:sz w:val="19"/>
                <w:szCs w:val="19"/>
                <w:color w:val="auto"/>
              </w:rPr>
            </w:pPr>
          </w:p>
        </w:tc>
      </w:tr>
      <w:tr>
        <w:trPr>
          <w:trHeight w:val="189"/>
        </w:trPr>
        <w:tc>
          <w:tcPr>
            <w:tcW w:w="960" w:type="dxa"/>
            <w:vAlign w:val="bottom"/>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Vitruvius Therapeutics</w:t>
            </w:r>
          </w:p>
        </w:tc>
        <w:tc>
          <w:tcPr>
            <w:tcW w:w="2840" w:type="dxa"/>
            <w:vAlign w:val="bottom"/>
            <w:gridSpan w:val="3"/>
            <w:shd w:val="clear" w:color="auto" w:fill="CCEEFF"/>
          </w:tcPr>
          <w:p>
            <w:pPr>
              <w:ind w:left="400"/>
              <w:spacing w:after="0" w:line="189" w:lineRule="exact"/>
              <w:rPr>
                <w:sz w:val="20"/>
                <w:szCs w:val="20"/>
                <w:color w:val="auto"/>
              </w:rPr>
            </w:pPr>
            <w:r>
              <w:rPr>
                <w:rFonts w:ascii="Arial" w:cs="Arial" w:eastAsia="Arial" w:hAnsi="Arial"/>
                <w:sz w:val="17"/>
                <w:szCs w:val="17"/>
                <w:color w:val="auto"/>
              </w:rPr>
              <w:t>Pharmaceuticals</w:t>
            </w:r>
          </w:p>
        </w:tc>
        <w:tc>
          <w:tcPr>
            <w:tcW w:w="2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Director</w:t>
            </w:r>
          </w:p>
        </w:tc>
        <w:tc>
          <w:tcPr>
            <w:tcW w:w="980" w:type="dxa"/>
            <w:vAlign w:val="bottom"/>
          </w:tcPr>
          <w:p>
            <w:pPr>
              <w:spacing w:after="0"/>
              <w:rPr>
                <w:sz w:val="16"/>
                <w:szCs w:val="16"/>
                <w:color w:val="auto"/>
              </w:rPr>
            </w:pPr>
          </w:p>
        </w:tc>
      </w:tr>
      <w:tr>
        <w:trPr>
          <w:trHeight w:val="189"/>
        </w:trPr>
        <w:tc>
          <w:tcPr>
            <w:tcW w:w="960" w:type="dxa"/>
            <w:vAlign w:val="bottom"/>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Lyra Therapeutics</w:t>
            </w:r>
          </w:p>
        </w:tc>
        <w:tc>
          <w:tcPr>
            <w:tcW w:w="2840" w:type="dxa"/>
            <w:vAlign w:val="bottom"/>
            <w:gridSpan w:val="3"/>
            <w:shd w:val="clear" w:color="auto" w:fill="CCEEFF"/>
          </w:tcPr>
          <w:p>
            <w:pPr>
              <w:ind w:left="400"/>
              <w:spacing w:after="0" w:line="189" w:lineRule="exact"/>
              <w:rPr>
                <w:sz w:val="20"/>
                <w:szCs w:val="20"/>
                <w:color w:val="auto"/>
              </w:rPr>
            </w:pPr>
            <w:r>
              <w:rPr>
                <w:rFonts w:ascii="Arial" w:cs="Arial" w:eastAsia="Arial" w:hAnsi="Arial"/>
                <w:sz w:val="17"/>
                <w:szCs w:val="17"/>
                <w:color w:val="auto"/>
              </w:rPr>
              <w:t>Healthcare</w:t>
            </w:r>
          </w:p>
        </w:tc>
        <w:tc>
          <w:tcPr>
            <w:tcW w:w="2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Director</w:t>
            </w:r>
          </w:p>
        </w:tc>
        <w:tc>
          <w:tcPr>
            <w:tcW w:w="980" w:type="dxa"/>
            <w:vAlign w:val="bottom"/>
          </w:tcPr>
          <w:p>
            <w:pPr>
              <w:spacing w:after="0"/>
              <w:rPr>
                <w:sz w:val="16"/>
                <w:szCs w:val="16"/>
                <w:color w:val="auto"/>
              </w:rPr>
            </w:pPr>
          </w:p>
        </w:tc>
      </w:tr>
      <w:tr>
        <w:trPr>
          <w:trHeight w:val="189"/>
        </w:trPr>
        <w:tc>
          <w:tcPr>
            <w:tcW w:w="960" w:type="dxa"/>
            <w:vAlign w:val="bottom"/>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ARYA Sciences</w:t>
            </w:r>
          </w:p>
        </w:tc>
        <w:tc>
          <w:tcPr>
            <w:tcW w:w="2840" w:type="dxa"/>
            <w:vAlign w:val="bottom"/>
            <w:gridSpan w:val="3"/>
            <w:shd w:val="clear" w:color="auto" w:fill="CCEEFF"/>
          </w:tcPr>
          <w:p>
            <w:pPr>
              <w:ind w:left="400"/>
              <w:spacing w:after="0" w:line="189" w:lineRule="exact"/>
              <w:rPr>
                <w:sz w:val="20"/>
                <w:szCs w:val="20"/>
                <w:color w:val="auto"/>
              </w:rPr>
            </w:pPr>
            <w:r>
              <w:rPr>
                <w:rFonts w:ascii="Arial" w:cs="Arial" w:eastAsia="Arial" w:hAnsi="Arial"/>
                <w:sz w:val="17"/>
                <w:szCs w:val="17"/>
                <w:color w:val="auto"/>
              </w:rPr>
              <w:t>Special Purpose</w:t>
            </w:r>
          </w:p>
        </w:tc>
        <w:tc>
          <w:tcPr>
            <w:tcW w:w="2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Chief Financial Officer and</w:t>
            </w:r>
          </w:p>
        </w:tc>
        <w:tc>
          <w:tcPr>
            <w:tcW w:w="980" w:type="dxa"/>
            <w:vAlign w:val="bottom"/>
          </w:tcPr>
          <w:p>
            <w:pPr>
              <w:spacing w:after="0"/>
              <w:rPr>
                <w:sz w:val="16"/>
                <w:szCs w:val="16"/>
                <w:color w:val="auto"/>
              </w:rPr>
            </w:pPr>
          </w:p>
        </w:tc>
      </w:tr>
      <w:tr>
        <w:trPr>
          <w:trHeight w:val="216"/>
        </w:trPr>
        <w:tc>
          <w:tcPr>
            <w:tcW w:w="960" w:type="dxa"/>
            <w:vAlign w:val="bottom"/>
          </w:tcPr>
          <w:p>
            <w:pPr>
              <w:spacing w:after="0"/>
              <w:rPr>
                <w:sz w:val="18"/>
                <w:szCs w:val="18"/>
                <w:color w:val="auto"/>
              </w:rPr>
            </w:pPr>
          </w:p>
        </w:tc>
        <w:tc>
          <w:tcPr>
            <w:tcW w:w="17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Acquisition Corp II</w:t>
            </w:r>
          </w:p>
        </w:tc>
        <w:tc>
          <w:tcPr>
            <w:tcW w:w="2840" w:type="dxa"/>
            <w:vAlign w:val="bottom"/>
            <w:tcBorders>
              <w:bottom w:val="single" w:sz="8" w:color="CCEEFF"/>
            </w:tcBorders>
            <w:gridSpan w:val="3"/>
            <w:shd w:val="clear" w:color="auto" w:fill="CCEEFF"/>
          </w:tcPr>
          <w:p>
            <w:pPr>
              <w:ind w:left="400"/>
              <w:spacing w:after="0"/>
              <w:rPr>
                <w:sz w:val="20"/>
                <w:szCs w:val="20"/>
                <w:color w:val="auto"/>
              </w:rPr>
            </w:pPr>
            <w:r>
              <w:rPr>
                <w:rFonts w:ascii="Arial" w:cs="Arial" w:eastAsia="Arial" w:hAnsi="Arial"/>
                <w:sz w:val="17"/>
                <w:szCs w:val="17"/>
                <w:color w:val="auto"/>
              </w:rPr>
              <w:t>Acquisition Company</w:t>
            </w:r>
          </w:p>
        </w:tc>
        <w:tc>
          <w:tcPr>
            <w:tcW w:w="2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Director</w:t>
            </w:r>
          </w:p>
        </w:tc>
        <w:tc>
          <w:tcPr>
            <w:tcW w:w="980" w:type="dxa"/>
            <w:vAlign w:val="bottom"/>
          </w:tcPr>
          <w:p>
            <w:pPr>
              <w:spacing w:after="0"/>
              <w:rPr>
                <w:sz w:val="18"/>
                <w:szCs w:val="18"/>
                <w:color w:val="auto"/>
              </w:rPr>
            </w:pPr>
          </w:p>
        </w:tc>
      </w:tr>
      <w:tr>
        <w:trPr>
          <w:trHeight w:val="223"/>
        </w:trPr>
        <w:tc>
          <w:tcPr>
            <w:tcW w:w="960" w:type="dxa"/>
            <w:vAlign w:val="bottom"/>
          </w:tcPr>
          <w:p>
            <w:pPr>
              <w:spacing w:after="0"/>
              <w:rPr>
                <w:sz w:val="19"/>
                <w:szCs w:val="19"/>
                <w:color w:val="auto"/>
              </w:rPr>
            </w:pPr>
          </w:p>
        </w:tc>
        <w:tc>
          <w:tcPr>
            <w:tcW w:w="2140" w:type="dxa"/>
            <w:vAlign w:val="bottom"/>
            <w:gridSpan w:val="2"/>
          </w:tcPr>
          <w:p>
            <w:pPr>
              <w:spacing w:after="0"/>
              <w:rPr>
                <w:sz w:val="20"/>
                <w:szCs w:val="20"/>
                <w:color w:val="auto"/>
              </w:rPr>
            </w:pPr>
            <w:r>
              <w:rPr>
                <w:rFonts w:ascii="Arial" w:cs="Arial" w:eastAsia="Arial" w:hAnsi="Arial"/>
                <w:sz w:val="17"/>
                <w:szCs w:val="17"/>
                <w:color w:val="auto"/>
              </w:rPr>
              <w:t>Konstantin Poukalov</w:t>
            </w:r>
          </w:p>
        </w:tc>
        <w:tc>
          <w:tcPr>
            <w:tcW w:w="2040" w:type="dxa"/>
            <w:vAlign w:val="bottom"/>
          </w:tcPr>
          <w:p>
            <w:pPr>
              <w:spacing w:after="0"/>
              <w:rPr>
                <w:sz w:val="20"/>
                <w:szCs w:val="20"/>
                <w:color w:val="auto"/>
              </w:rPr>
            </w:pPr>
            <w:r>
              <w:rPr>
                <w:rFonts w:ascii="Arial" w:cs="Arial" w:eastAsia="Arial" w:hAnsi="Arial"/>
                <w:sz w:val="17"/>
                <w:szCs w:val="17"/>
                <w:color w:val="auto"/>
              </w:rPr>
              <w:t>Perceptive Advisors, LLC</w:t>
            </w:r>
          </w:p>
        </w:tc>
        <w:tc>
          <w:tcPr>
            <w:tcW w:w="2840" w:type="dxa"/>
            <w:vAlign w:val="bottom"/>
            <w:gridSpan w:val="3"/>
          </w:tcPr>
          <w:p>
            <w:pPr>
              <w:ind w:left="400"/>
              <w:spacing w:after="0"/>
              <w:rPr>
                <w:sz w:val="20"/>
                <w:szCs w:val="20"/>
                <w:color w:val="auto"/>
              </w:rPr>
            </w:pPr>
            <w:r>
              <w:rPr>
                <w:rFonts w:ascii="Arial" w:cs="Arial" w:eastAsia="Arial" w:hAnsi="Arial"/>
                <w:sz w:val="17"/>
                <w:szCs w:val="17"/>
                <w:color w:val="auto"/>
              </w:rPr>
              <w:t>Hedge Fund</w:t>
            </w:r>
          </w:p>
        </w:tc>
        <w:tc>
          <w:tcPr>
            <w:tcW w:w="3040" w:type="dxa"/>
            <w:vAlign w:val="bottom"/>
            <w:gridSpan w:val="2"/>
          </w:tcPr>
          <w:p>
            <w:pPr>
              <w:spacing w:after="0"/>
              <w:rPr>
                <w:sz w:val="20"/>
                <w:szCs w:val="20"/>
                <w:color w:val="auto"/>
              </w:rPr>
            </w:pPr>
            <w:r>
              <w:rPr>
                <w:rFonts w:ascii="Arial" w:cs="Arial" w:eastAsia="Arial" w:hAnsi="Arial"/>
                <w:sz w:val="17"/>
                <w:szCs w:val="17"/>
                <w:color w:val="auto"/>
              </w:rPr>
              <w:t>Managing Director</w:t>
            </w:r>
          </w:p>
        </w:tc>
      </w:tr>
      <w:tr>
        <w:trPr>
          <w:trHeight w:val="189"/>
        </w:trPr>
        <w:tc>
          <w:tcPr>
            <w:tcW w:w="9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40" w:type="dxa"/>
            <w:vAlign w:val="bottom"/>
          </w:tcPr>
          <w:p>
            <w:pPr>
              <w:spacing w:after="0" w:line="189" w:lineRule="exact"/>
              <w:rPr>
                <w:sz w:val="20"/>
                <w:szCs w:val="20"/>
                <w:color w:val="auto"/>
              </w:rPr>
            </w:pPr>
            <w:r>
              <w:rPr>
                <w:rFonts w:ascii="Arial" w:cs="Arial" w:eastAsia="Arial" w:hAnsi="Arial"/>
                <w:sz w:val="17"/>
                <w:szCs w:val="17"/>
                <w:color w:val="auto"/>
              </w:rPr>
              <w:t>Lyra Therapeutics</w:t>
            </w:r>
          </w:p>
        </w:tc>
        <w:tc>
          <w:tcPr>
            <w:tcW w:w="2840" w:type="dxa"/>
            <w:vAlign w:val="bottom"/>
            <w:gridSpan w:val="3"/>
          </w:tcPr>
          <w:p>
            <w:pPr>
              <w:ind w:left="400"/>
              <w:spacing w:after="0" w:line="189" w:lineRule="exact"/>
              <w:rPr>
                <w:sz w:val="20"/>
                <w:szCs w:val="20"/>
                <w:color w:val="auto"/>
              </w:rPr>
            </w:pPr>
            <w:r>
              <w:rPr>
                <w:rFonts w:ascii="Arial" w:cs="Arial" w:eastAsia="Arial" w:hAnsi="Arial"/>
                <w:sz w:val="17"/>
                <w:szCs w:val="17"/>
                <w:color w:val="auto"/>
              </w:rPr>
              <w:t>Healthcare</w:t>
            </w:r>
          </w:p>
        </w:tc>
        <w:tc>
          <w:tcPr>
            <w:tcW w:w="3040" w:type="dxa"/>
            <w:vAlign w:val="bottom"/>
            <w:gridSpan w:val="2"/>
          </w:tcPr>
          <w:p>
            <w:pPr>
              <w:spacing w:after="0" w:line="189" w:lineRule="exact"/>
              <w:rPr>
                <w:sz w:val="20"/>
                <w:szCs w:val="20"/>
                <w:color w:val="auto"/>
              </w:rPr>
            </w:pPr>
            <w:r>
              <w:rPr>
                <w:rFonts w:ascii="Arial" w:cs="Arial" w:eastAsia="Arial" w:hAnsi="Arial"/>
                <w:sz w:val="17"/>
                <w:szCs w:val="17"/>
                <w:color w:val="auto"/>
              </w:rPr>
              <w:t>Director</w:t>
            </w:r>
          </w:p>
        </w:tc>
      </w:tr>
      <w:tr>
        <w:trPr>
          <w:trHeight w:val="189"/>
        </w:trPr>
        <w:tc>
          <w:tcPr>
            <w:tcW w:w="9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40" w:type="dxa"/>
            <w:vAlign w:val="bottom"/>
          </w:tcPr>
          <w:p>
            <w:pPr>
              <w:spacing w:after="0" w:line="189" w:lineRule="exact"/>
              <w:rPr>
                <w:sz w:val="20"/>
                <w:szCs w:val="20"/>
                <w:color w:val="auto"/>
              </w:rPr>
            </w:pPr>
            <w:r>
              <w:rPr>
                <w:rFonts w:ascii="Arial" w:cs="Arial" w:eastAsia="Arial" w:hAnsi="Arial"/>
                <w:sz w:val="17"/>
                <w:szCs w:val="17"/>
                <w:color w:val="auto"/>
              </w:rPr>
              <w:t>Landos Biopharma, Inc.</w:t>
            </w:r>
          </w:p>
        </w:tc>
        <w:tc>
          <w:tcPr>
            <w:tcW w:w="2840" w:type="dxa"/>
            <w:vAlign w:val="bottom"/>
            <w:gridSpan w:val="3"/>
          </w:tcPr>
          <w:p>
            <w:pPr>
              <w:ind w:left="400"/>
              <w:spacing w:after="0" w:line="189" w:lineRule="exact"/>
              <w:rPr>
                <w:sz w:val="20"/>
                <w:szCs w:val="20"/>
                <w:color w:val="auto"/>
              </w:rPr>
            </w:pPr>
            <w:r>
              <w:rPr>
                <w:rFonts w:ascii="Arial" w:cs="Arial" w:eastAsia="Arial" w:hAnsi="Arial"/>
                <w:sz w:val="17"/>
                <w:szCs w:val="17"/>
                <w:color w:val="auto"/>
              </w:rPr>
              <w:t>Healthcare</w:t>
            </w:r>
          </w:p>
        </w:tc>
        <w:tc>
          <w:tcPr>
            <w:tcW w:w="3040" w:type="dxa"/>
            <w:vAlign w:val="bottom"/>
            <w:gridSpan w:val="2"/>
          </w:tcPr>
          <w:p>
            <w:pPr>
              <w:spacing w:after="0" w:line="189" w:lineRule="exact"/>
              <w:rPr>
                <w:sz w:val="20"/>
                <w:szCs w:val="20"/>
                <w:color w:val="auto"/>
              </w:rPr>
            </w:pPr>
            <w:r>
              <w:rPr>
                <w:rFonts w:ascii="Arial" w:cs="Arial" w:eastAsia="Arial" w:hAnsi="Arial"/>
                <w:sz w:val="17"/>
                <w:szCs w:val="17"/>
                <w:color w:val="auto"/>
              </w:rPr>
              <w:t>Director</w:t>
            </w:r>
          </w:p>
        </w:tc>
      </w:tr>
      <w:tr>
        <w:trPr>
          <w:trHeight w:val="205"/>
        </w:trPr>
        <w:tc>
          <w:tcPr>
            <w:tcW w:w="9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40" w:type="dxa"/>
            <w:vAlign w:val="bottom"/>
          </w:tcPr>
          <w:p>
            <w:pPr>
              <w:spacing w:after="0"/>
              <w:rPr>
                <w:sz w:val="20"/>
                <w:szCs w:val="20"/>
                <w:color w:val="auto"/>
              </w:rPr>
            </w:pPr>
            <w:r>
              <w:rPr>
                <w:rFonts w:ascii="Arial" w:cs="Arial" w:eastAsia="Arial" w:hAnsi="Arial"/>
                <w:sz w:val="17"/>
                <w:szCs w:val="17"/>
                <w:color w:val="auto"/>
              </w:rPr>
              <w:t>LianBio</w:t>
            </w:r>
          </w:p>
        </w:tc>
        <w:tc>
          <w:tcPr>
            <w:tcW w:w="2840" w:type="dxa"/>
            <w:vAlign w:val="bottom"/>
            <w:gridSpan w:val="3"/>
          </w:tcPr>
          <w:p>
            <w:pPr>
              <w:ind w:left="400"/>
              <w:spacing w:after="0"/>
              <w:rPr>
                <w:sz w:val="20"/>
                <w:szCs w:val="20"/>
                <w:color w:val="auto"/>
              </w:rPr>
            </w:pPr>
            <w:r>
              <w:rPr>
                <w:rFonts w:ascii="Arial" w:cs="Arial" w:eastAsia="Arial" w:hAnsi="Arial"/>
                <w:sz w:val="17"/>
                <w:szCs w:val="17"/>
                <w:color w:val="auto"/>
              </w:rPr>
              <w:t>Healthcare</w:t>
            </w:r>
          </w:p>
        </w:tc>
        <w:tc>
          <w:tcPr>
            <w:tcW w:w="3040" w:type="dxa"/>
            <w:vAlign w:val="bottom"/>
            <w:gridSpan w:val="2"/>
          </w:tcPr>
          <w:p>
            <w:pPr>
              <w:spacing w:after="0"/>
              <w:rPr>
                <w:sz w:val="20"/>
                <w:szCs w:val="20"/>
                <w:color w:val="auto"/>
              </w:rPr>
            </w:pPr>
            <w:r>
              <w:rPr>
                <w:rFonts w:ascii="Arial" w:cs="Arial" w:eastAsia="Arial" w:hAnsi="Arial"/>
                <w:sz w:val="17"/>
                <w:szCs w:val="17"/>
                <w:color w:val="auto"/>
              </w:rPr>
              <w:t>Director</w:t>
            </w:r>
          </w:p>
        </w:tc>
      </w:tr>
      <w:tr>
        <w:trPr>
          <w:trHeight w:val="31"/>
        </w:trPr>
        <w:tc>
          <w:tcPr>
            <w:tcW w:w="9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40" w:type="dxa"/>
            <w:vAlign w:val="bottom"/>
            <w:gridSpan w:val="2"/>
          </w:tcPr>
          <w:p>
            <w:pPr>
              <w:spacing w:after="0"/>
              <w:rPr>
                <w:sz w:val="2"/>
                <w:szCs w:val="2"/>
                <w:color w:val="auto"/>
              </w:rPr>
            </w:pPr>
          </w:p>
        </w:tc>
      </w:tr>
      <w:tr>
        <w:trPr>
          <w:trHeight w:val="250"/>
        </w:trPr>
        <w:tc>
          <w:tcPr>
            <w:tcW w:w="960" w:type="dxa"/>
            <w:vAlign w:val="bottom"/>
          </w:tcPr>
          <w:p>
            <w:pPr>
              <w:spacing w:after="0"/>
              <w:rPr>
                <w:sz w:val="21"/>
                <w:szCs w:val="21"/>
                <w:color w:val="auto"/>
              </w:rPr>
            </w:pPr>
          </w:p>
        </w:tc>
        <w:tc>
          <w:tcPr>
            <w:tcW w:w="2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Todd Wider</w:t>
            </w:r>
          </w:p>
        </w:tc>
        <w:tc>
          <w:tcPr>
            <w:tcW w:w="2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Abeona Therapeutics, Inc.</w:t>
            </w:r>
          </w:p>
        </w:tc>
        <w:tc>
          <w:tcPr>
            <w:tcW w:w="2840" w:type="dxa"/>
            <w:vAlign w:val="bottom"/>
            <w:tcBorders>
              <w:bottom w:val="single" w:sz="8" w:color="CCEEFF"/>
            </w:tcBorders>
            <w:gridSpan w:val="3"/>
            <w:shd w:val="clear" w:color="auto" w:fill="CCEEFF"/>
          </w:tcPr>
          <w:p>
            <w:pPr>
              <w:ind w:left="400"/>
              <w:spacing w:after="0"/>
              <w:rPr>
                <w:sz w:val="20"/>
                <w:szCs w:val="20"/>
                <w:color w:val="auto"/>
              </w:rPr>
            </w:pPr>
            <w:r>
              <w:rPr>
                <w:rFonts w:ascii="Arial" w:cs="Arial" w:eastAsia="Arial" w:hAnsi="Arial"/>
                <w:sz w:val="17"/>
                <w:szCs w:val="17"/>
                <w:color w:val="auto"/>
              </w:rPr>
              <w:t>Pharmaceuticals</w:t>
            </w:r>
          </w:p>
        </w:tc>
        <w:tc>
          <w:tcPr>
            <w:tcW w:w="2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Director</w:t>
            </w:r>
          </w:p>
        </w:tc>
        <w:tc>
          <w:tcPr>
            <w:tcW w:w="980" w:type="dxa"/>
            <w:vAlign w:val="bottom"/>
          </w:tcPr>
          <w:p>
            <w:pPr>
              <w:spacing w:after="0"/>
              <w:rPr>
                <w:sz w:val="21"/>
                <w:szCs w:val="21"/>
                <w:color w:val="auto"/>
              </w:rPr>
            </w:pPr>
          </w:p>
        </w:tc>
      </w:tr>
      <w:tr>
        <w:trPr>
          <w:trHeight w:val="239"/>
        </w:trPr>
        <w:tc>
          <w:tcPr>
            <w:tcW w:w="9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40" w:type="dxa"/>
            <w:vAlign w:val="bottom"/>
          </w:tcPr>
          <w:p>
            <w:pPr>
              <w:spacing w:after="0"/>
              <w:rPr>
                <w:sz w:val="20"/>
                <w:szCs w:val="20"/>
                <w:color w:val="auto"/>
              </w:rPr>
            </w:pPr>
            <w:r>
              <w:rPr>
                <w:rFonts w:ascii="Arial" w:cs="Arial" w:eastAsia="Arial" w:hAnsi="Arial"/>
                <w:sz w:val="17"/>
                <w:szCs w:val="17"/>
                <w:color w:val="auto"/>
              </w:rPr>
              <w:t>Emendo Biotherapeutics</w:t>
            </w:r>
          </w:p>
        </w:tc>
        <w:tc>
          <w:tcPr>
            <w:tcW w:w="2840" w:type="dxa"/>
            <w:vAlign w:val="bottom"/>
            <w:gridSpan w:val="3"/>
          </w:tcPr>
          <w:p>
            <w:pPr>
              <w:ind w:left="400"/>
              <w:spacing w:after="0"/>
              <w:rPr>
                <w:sz w:val="20"/>
                <w:szCs w:val="20"/>
                <w:color w:val="auto"/>
              </w:rPr>
            </w:pPr>
            <w:r>
              <w:rPr>
                <w:rFonts w:ascii="Arial" w:cs="Arial" w:eastAsia="Arial" w:hAnsi="Arial"/>
                <w:sz w:val="17"/>
                <w:szCs w:val="17"/>
                <w:color w:val="auto"/>
              </w:rPr>
              <w:t>Biopharmaceuticals</w:t>
            </w:r>
          </w:p>
        </w:tc>
        <w:tc>
          <w:tcPr>
            <w:tcW w:w="3040" w:type="dxa"/>
            <w:vAlign w:val="bottom"/>
            <w:gridSpan w:val="2"/>
          </w:tcPr>
          <w:p>
            <w:pPr>
              <w:spacing w:after="0"/>
              <w:rPr>
                <w:sz w:val="20"/>
                <w:szCs w:val="20"/>
                <w:color w:val="auto"/>
              </w:rPr>
            </w:pPr>
            <w:r>
              <w:rPr>
                <w:rFonts w:ascii="Arial" w:cs="Arial" w:eastAsia="Arial" w:hAnsi="Arial"/>
                <w:sz w:val="17"/>
                <w:szCs w:val="17"/>
                <w:color w:val="auto"/>
              </w:rPr>
              <w:t>Director</w:t>
            </w:r>
          </w:p>
        </w:tc>
      </w:tr>
      <w:tr>
        <w:trPr>
          <w:trHeight w:val="31"/>
        </w:trPr>
        <w:tc>
          <w:tcPr>
            <w:tcW w:w="9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40" w:type="dxa"/>
            <w:vAlign w:val="bottom"/>
            <w:gridSpan w:val="2"/>
          </w:tcPr>
          <w:p>
            <w:pPr>
              <w:spacing w:after="0"/>
              <w:rPr>
                <w:sz w:val="2"/>
                <w:szCs w:val="2"/>
                <w:color w:val="auto"/>
              </w:rPr>
            </w:pPr>
          </w:p>
        </w:tc>
      </w:tr>
      <w:tr>
        <w:trPr>
          <w:trHeight w:val="223"/>
        </w:trPr>
        <w:tc>
          <w:tcPr>
            <w:tcW w:w="960" w:type="dxa"/>
            <w:vAlign w:val="bottom"/>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7"/>
                <w:szCs w:val="17"/>
                <w:color w:val="auto"/>
              </w:rPr>
              <w:t>ARYA Sciences</w:t>
            </w:r>
          </w:p>
        </w:tc>
        <w:tc>
          <w:tcPr>
            <w:tcW w:w="2840" w:type="dxa"/>
            <w:vAlign w:val="bottom"/>
            <w:gridSpan w:val="3"/>
            <w:shd w:val="clear" w:color="auto" w:fill="CCEEFF"/>
          </w:tcPr>
          <w:p>
            <w:pPr>
              <w:ind w:left="400"/>
              <w:spacing w:after="0"/>
              <w:rPr>
                <w:sz w:val="20"/>
                <w:szCs w:val="20"/>
                <w:color w:val="auto"/>
              </w:rPr>
            </w:pPr>
            <w:r>
              <w:rPr>
                <w:rFonts w:ascii="Arial" w:cs="Arial" w:eastAsia="Arial" w:hAnsi="Arial"/>
                <w:sz w:val="17"/>
                <w:szCs w:val="17"/>
                <w:color w:val="auto"/>
              </w:rPr>
              <w:t>Special Purpose</w:t>
            </w:r>
          </w:p>
        </w:tc>
        <w:tc>
          <w:tcPr>
            <w:tcW w:w="2060" w:type="dxa"/>
            <w:vAlign w:val="bottom"/>
            <w:shd w:val="clear" w:color="auto" w:fill="CCEEFF"/>
          </w:tcPr>
          <w:p>
            <w:pPr>
              <w:spacing w:after="0"/>
              <w:rPr>
                <w:sz w:val="20"/>
                <w:szCs w:val="20"/>
                <w:color w:val="auto"/>
              </w:rPr>
            </w:pPr>
            <w:r>
              <w:rPr>
                <w:rFonts w:ascii="Arial" w:cs="Arial" w:eastAsia="Arial" w:hAnsi="Arial"/>
                <w:sz w:val="17"/>
                <w:szCs w:val="17"/>
                <w:color w:val="auto"/>
              </w:rPr>
              <w:t>Director</w:t>
            </w:r>
          </w:p>
        </w:tc>
        <w:tc>
          <w:tcPr>
            <w:tcW w:w="980" w:type="dxa"/>
            <w:vAlign w:val="bottom"/>
          </w:tcPr>
          <w:p>
            <w:pPr>
              <w:spacing w:after="0"/>
              <w:rPr>
                <w:sz w:val="19"/>
                <w:szCs w:val="19"/>
                <w:color w:val="auto"/>
              </w:rPr>
            </w:pPr>
          </w:p>
        </w:tc>
      </w:tr>
      <w:tr>
        <w:trPr>
          <w:trHeight w:val="195"/>
        </w:trPr>
        <w:tc>
          <w:tcPr>
            <w:tcW w:w="960" w:type="dxa"/>
            <w:vAlign w:val="bottom"/>
          </w:tcPr>
          <w:p>
            <w:pPr>
              <w:spacing w:after="0"/>
              <w:rPr>
                <w:sz w:val="16"/>
                <w:szCs w:val="16"/>
                <w:color w:val="auto"/>
              </w:rPr>
            </w:pPr>
          </w:p>
        </w:tc>
        <w:tc>
          <w:tcPr>
            <w:tcW w:w="174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2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Acquisition Corp II</w:t>
            </w:r>
          </w:p>
        </w:tc>
        <w:tc>
          <w:tcPr>
            <w:tcW w:w="2840" w:type="dxa"/>
            <w:vAlign w:val="bottom"/>
            <w:tcBorders>
              <w:bottom w:val="single" w:sz="8" w:color="auto"/>
            </w:tcBorders>
            <w:gridSpan w:val="3"/>
            <w:shd w:val="clear" w:color="auto" w:fill="CCEEFF"/>
          </w:tcPr>
          <w:p>
            <w:pPr>
              <w:ind w:left="400"/>
              <w:spacing w:after="0"/>
              <w:rPr>
                <w:sz w:val="20"/>
                <w:szCs w:val="20"/>
                <w:color w:val="auto"/>
              </w:rPr>
            </w:pPr>
            <w:r>
              <w:rPr>
                <w:rFonts w:ascii="Arial" w:cs="Arial" w:eastAsia="Arial" w:hAnsi="Arial"/>
                <w:sz w:val="17"/>
                <w:szCs w:val="17"/>
                <w:color w:val="auto"/>
              </w:rPr>
              <w:t>Acquisition Company</w:t>
            </w:r>
          </w:p>
        </w:tc>
        <w:tc>
          <w:tcPr>
            <w:tcW w:w="2060" w:type="dxa"/>
            <w:vAlign w:val="bottom"/>
            <w:tcBorders>
              <w:bottom w:val="single" w:sz="8" w:color="auto"/>
            </w:tcBorders>
            <w:shd w:val="clear" w:color="auto" w:fill="CCEEFF"/>
          </w:tcPr>
          <w:p>
            <w:pPr>
              <w:spacing w:after="0"/>
              <w:rPr>
                <w:sz w:val="16"/>
                <w:szCs w:val="16"/>
                <w:color w:val="auto"/>
              </w:rPr>
            </w:pPr>
          </w:p>
        </w:tc>
        <w:tc>
          <w:tcPr>
            <w:tcW w:w="980" w:type="dxa"/>
            <w:vAlign w:val="bottom"/>
          </w:tcPr>
          <w:p>
            <w:pPr>
              <w:spacing w:after="0"/>
              <w:rPr>
                <w:sz w:val="16"/>
                <w:szCs w:val="16"/>
                <w:color w:val="auto"/>
              </w:rPr>
            </w:pPr>
          </w:p>
        </w:tc>
      </w:tr>
      <w:tr>
        <w:trPr>
          <w:trHeight w:val="406"/>
        </w:trPr>
        <w:tc>
          <w:tcPr>
            <w:tcW w:w="9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440" w:type="dxa"/>
            <w:vAlign w:val="bottom"/>
            <w:gridSpan w:val="2"/>
          </w:tcPr>
          <w:p>
            <w:pPr>
              <w:jc w:val="right"/>
              <w:ind w:right="1868"/>
              <w:spacing w:after="0"/>
              <w:rPr>
                <w:sz w:val="20"/>
                <w:szCs w:val="20"/>
                <w:color w:val="auto"/>
              </w:rPr>
            </w:pPr>
            <w:r>
              <w:rPr>
                <w:rFonts w:ascii="Arial" w:cs="Arial" w:eastAsia="Arial" w:hAnsi="Arial"/>
                <w:sz w:val="16"/>
                <w:szCs w:val="16"/>
                <w:color w:val="auto"/>
              </w:rPr>
              <w:t>100</w:t>
            </w:r>
          </w:p>
        </w:tc>
        <w:tc>
          <w:tcPr>
            <w:tcW w:w="4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5"/>
        </w:trPr>
        <w:tc>
          <w:tcPr>
            <w:tcW w:w="9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4815205</wp:posOffset>
            </wp:positionH>
            <wp:positionV relativeFrom="paragraph">
              <wp:posOffset>-3514090</wp:posOffset>
            </wp:positionV>
            <wp:extent cx="25717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3263265</wp:posOffset>
            </wp:positionH>
            <wp:positionV relativeFrom="paragraph">
              <wp:posOffset>-3514090</wp:posOffset>
            </wp:positionV>
            <wp:extent cx="25717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-3514090</wp:posOffset>
            </wp:positionV>
            <wp:extent cx="25717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03" w:name="page104"/>
    <w:bookmarkEnd w:id="10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Potential investors should also be aware of the following other potential conflicts of interest:</w:t>
      </w:r>
    </w:p>
    <w:p>
      <w:pPr>
        <w:spacing w:after="0" w:line="102" w:lineRule="exact"/>
        <w:rPr>
          <w:sz w:val="20"/>
          <w:szCs w:val="20"/>
          <w:color w:val="auto"/>
        </w:rPr>
      </w:pPr>
    </w:p>
    <w:p>
      <w:pPr>
        <w:ind w:left="580" w:right="20"/>
        <w:spacing w:after="0" w:line="235" w:lineRule="auto"/>
        <w:rPr>
          <w:sz w:val="20"/>
          <w:szCs w:val="20"/>
          <w:color w:val="auto"/>
        </w:rPr>
      </w:pPr>
      <w:r>
        <w:rPr>
          <w:rFonts w:ascii="Arial" w:cs="Arial" w:eastAsia="Arial" w:hAnsi="Arial"/>
          <w:sz w:val="17"/>
          <w:szCs w:val="17"/>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may be entitled to substantial compensation, and our executive officers are not obligated to contribute any specific number of hours per week to our affairs.</w:t>
      </w:r>
    </w:p>
    <w:p>
      <w:pPr>
        <w:spacing w:after="0" w:line="94" w:lineRule="exact"/>
        <w:rPr>
          <w:sz w:val="20"/>
          <w:szCs w:val="20"/>
          <w:color w:val="auto"/>
        </w:rPr>
      </w:pPr>
    </w:p>
    <w:p>
      <w:pPr>
        <w:ind w:left="580"/>
        <w:spacing w:after="0" w:line="232" w:lineRule="auto"/>
        <w:rPr>
          <w:sz w:val="20"/>
          <w:szCs w:val="20"/>
          <w:color w:val="auto"/>
        </w:rPr>
      </w:pPr>
      <w:r>
        <w:rPr>
          <w:rFonts w:ascii="Arial" w:cs="Arial" w:eastAsia="Arial" w:hAnsi="Arial"/>
          <w:sz w:val="17"/>
          <w:szCs w:val="17"/>
          <w:color w:val="auto"/>
        </w:rPr>
        <w:t>Our sponsor subscribed for founder shares prior to the date of this prospectus and will purchase private placement shares in a transaction that will close simultaneously with the closing of this offering. In July 2020, our</w:t>
      </w:r>
    </w:p>
    <w:p>
      <w:pPr>
        <w:ind w:left="580"/>
        <w:spacing w:after="0"/>
        <w:rPr>
          <w:sz w:val="20"/>
          <w:szCs w:val="20"/>
          <w:color w:val="auto"/>
        </w:rPr>
      </w:pPr>
      <w:r>
        <w:rPr>
          <w:rFonts w:ascii="Arial" w:cs="Arial" w:eastAsia="Arial" w:hAnsi="Arial"/>
          <w:sz w:val="17"/>
          <w:szCs w:val="17"/>
          <w:color w:val="auto"/>
        </w:rPr>
        <w:t>sponsor transferred 30,000 founder shares to each of , and Todd Wider. Our sponsor and our management team have entered into an agreement with us, pursuant to which they have agreed to waive their redemption rights with respect to their founder shares, private placement shares and any public shares purchased during or after this offering in connection with (i) the completion of our initial business combination and (ii) a shareholder vote to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 Additionally, our sponsor has agreed to waive its rights to liquidating distributions from the trust account with respect to its founder shares if we fail to complete our initial business combination within the required time period. If we do not complete our initial business combination within the required time period, the private placement shares will be worthless. Except as described herein, our sponsor and our management team have agreed not to transfer, assign or sell any of their founder shares until the earliest of (A) one year after the completion of our initial business combination and (B) subsequent to our initial business combination, (x) if the closing price of our Class A ordinary shares equals or exceeds $12.00 per share (as adjusted for share splits, share capitalizations, reorganizations, recapitalizations and the like) for any 20 trading days within any 30-trading day period commencing at least 150 days after our initial business combination, or (y) the date on which we complete a liquidation, merger, share exchange, reorganization or other similar transaction that results in all of our public shareholders having the right to exchange their ordinary shares for cash, securities or other property. With certain limited exceptions, the private placement shares will not be transferable until 30 days following the completion of our initial business combination. Because each of our executive officers and director nominees will own ordinary shares directly or indirectly, they may have a conflict of interest in determining whether a particular target business is an appropriate business with which to effectuate our initial business combination.</w:t>
      </w:r>
    </w:p>
    <w:p>
      <w:pPr>
        <w:spacing w:after="0" w:line="142" w:lineRule="exact"/>
        <w:rPr>
          <w:sz w:val="20"/>
          <w:szCs w:val="20"/>
          <w:color w:val="auto"/>
        </w:rPr>
      </w:pPr>
    </w:p>
    <w:p>
      <w:pPr>
        <w:ind w:left="580" w:right="200"/>
        <w:spacing w:after="0" w:line="238" w:lineRule="auto"/>
        <w:rPr>
          <w:sz w:val="20"/>
          <w:szCs w:val="20"/>
          <w:color w:val="auto"/>
        </w:rPr>
      </w:pPr>
      <w:r>
        <w:rPr>
          <w:rFonts w:ascii="Arial" w:cs="Arial" w:eastAsia="Arial" w:hAnsi="Arial"/>
          <w:sz w:val="17"/>
          <w:szCs w:val="17"/>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61" w:lineRule="exact"/>
        <w:rPr>
          <w:sz w:val="20"/>
          <w:szCs w:val="20"/>
          <w:color w:val="auto"/>
        </w:rPr>
      </w:pPr>
    </w:p>
    <w:p>
      <w:pPr>
        <w:ind w:right="140"/>
        <w:spacing w:after="0" w:line="233" w:lineRule="auto"/>
        <w:rPr>
          <w:sz w:val="20"/>
          <w:szCs w:val="20"/>
          <w:color w:val="auto"/>
        </w:rPr>
      </w:pPr>
      <w:r>
        <w:rPr>
          <w:rFonts w:ascii="Arial" w:cs="Arial" w:eastAsia="Arial" w:hAnsi="Arial"/>
          <w:sz w:val="17"/>
          <w:szCs w:val="17"/>
          <w:color w:val="auto"/>
        </w:rPr>
        <w:t>We are not prohibited from pursuing an initial business combination or subsequent transaction with a company that is affiliated with Perceptive Advisors or our sponsor, founders, officers or directors. In the event we seek to complete our initial business combination with a company that is affiliated with Perceptive Advisors, our sponsor or any of our founders, officers or directors, we, or a committee of independent directors, will obtain an opinion from an independent investment banking firm which is a member of FINRA or an independent valuation or accounting firm that such initial business combination or transaction is fair to our company from a financial point of view. We are not required to obtain such an opinion in any other context. Furthermore, in no event will our sponsor or any of our existing officers or directors, or any of their respective affiliates, be paid by us any finder’s fee, consulting fee or other compensation prior to, or for any services they render in order to effectuate, the completion of our initial business combination. Further, commencing on the date our securities are first listed on the Nasdaq, we will also reimburse our sponsor for office space, secretarial and administrative services provided to us in the amount of $10,000 per month.</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We cannot assure you that any of the above mentioned conflicts will be resolved in our favor.</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104" w:name="page105"/>
    <w:bookmarkEnd w:id="10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If we seek shareholder approval, we will complete our initial business combination only if a majority of the ordinary shares, represented in person or by proxy and entitled to vote thereon, voted at a shareholder meeting are voted in favor of the business combination. In such case, our sponsor and each member of our management team have agreed to vote their founder shares, private placement shares and public shares purchased during or after this offering in favor of our initial business combination.</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 on Liability and Indemnification of Officers and Directors</w:t>
      </w:r>
    </w:p>
    <w:p>
      <w:pPr>
        <w:spacing w:after="0" w:line="176"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willful neglect, civil fraud or the consequences of committing a crime. Our amended and restated memorandum and articles of association will provide for indemnification of our officers and directors to the maximum extent permitted by law, including for any liability incurred in their capacities as such, except through their own actual fraud, willful default or willful neglect. We will enter into agreements with our directors and officers to provide contractual indemnification in addition to the indemnification provided for in our amended and restated memorandum and articles of association. We expect to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67"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(except to the extent they are entitled to funds from the trust account due to their ownership of public shares). Accordingly, any indemnification provided will only be able to be satisfied by us if (i) we have sufficient funds outside of the trust account or (ii) we consummate an initial business combination.</w:t>
      </w:r>
    </w:p>
    <w:p>
      <w:pPr>
        <w:spacing w:after="0" w:line="161"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Our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150" w:lineRule="exact"/>
        <w:rPr>
          <w:sz w:val="20"/>
          <w:szCs w:val="20"/>
          <w:color w:val="auto"/>
        </w:rPr>
      </w:pPr>
    </w:p>
    <w:p>
      <w:pPr>
        <w:ind w:right="500"/>
        <w:spacing w:after="0" w:line="243" w:lineRule="auto"/>
        <w:rPr>
          <w:sz w:val="20"/>
          <w:szCs w:val="20"/>
          <w:color w:val="auto"/>
        </w:rPr>
      </w:pPr>
      <w:r>
        <w:rPr>
          <w:rFonts w:ascii="Arial" w:cs="Arial" w:eastAsia="Arial" w:hAnsi="Arial"/>
          <w:sz w:val="17"/>
          <w:szCs w:val="17"/>
          <w:color w:val="auto"/>
        </w:rPr>
        <w:t>We believe that these provisions, the insurance and the indemnity agreements are necessary to attract and retain talented and experienced officers and directors.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105" w:name="page106"/>
    <w:bookmarkEnd w:id="10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SHAREHOLDERS</w:t>
      </w:r>
    </w:p>
    <w:p>
      <w:pPr>
        <w:spacing w:after="0" w:line="188" w:lineRule="exact"/>
        <w:rPr>
          <w:sz w:val="20"/>
          <w:szCs w:val="20"/>
          <w:color w:val="auto"/>
        </w:rPr>
      </w:pPr>
    </w:p>
    <w:p>
      <w:pPr>
        <w:jc w:val="both"/>
        <w:ind w:right="60"/>
        <w:spacing w:after="0" w:line="238" w:lineRule="auto"/>
        <w:rPr>
          <w:sz w:val="20"/>
          <w:szCs w:val="20"/>
          <w:color w:val="auto"/>
        </w:rPr>
      </w:pPr>
      <w:r>
        <w:rPr>
          <w:rFonts w:ascii="Arial" w:cs="Arial" w:eastAsia="Arial" w:hAnsi="Arial"/>
          <w:sz w:val="17"/>
          <w:szCs w:val="17"/>
          <w:color w:val="auto"/>
        </w:rPr>
        <w:t>The following table sets forth information regarding the beneficial ownership of our ordinary shares as of the date of this prospectus, and as adjusted to reflect the sale of our Class A ordinary shares offered by this prospectus, and assuming no purchase of public shares in this offering, by:</w:t>
      </w:r>
    </w:p>
    <w:p>
      <w:pPr>
        <w:spacing w:after="0" w:line="93" w:lineRule="exact"/>
        <w:rPr>
          <w:sz w:val="20"/>
          <w:szCs w:val="20"/>
          <w:color w:val="auto"/>
        </w:rPr>
      </w:pPr>
    </w:p>
    <w:p>
      <w:pPr>
        <w:ind w:left="580" w:right="300"/>
        <w:spacing w:after="0" w:line="243" w:lineRule="auto"/>
        <w:rPr>
          <w:sz w:val="20"/>
          <w:szCs w:val="20"/>
          <w:color w:val="auto"/>
        </w:rPr>
      </w:pPr>
      <w:r>
        <w:rPr>
          <w:rFonts w:ascii="Arial" w:cs="Arial" w:eastAsia="Arial" w:hAnsi="Arial"/>
          <w:sz w:val="17"/>
          <w:szCs w:val="17"/>
          <w:color w:val="auto"/>
        </w:rPr>
        <w:t>each person known by us to be the beneficial owner of more than 5% of our issued and outstanding ordinary shares;</w:t>
      </w:r>
    </w:p>
    <w:p>
      <w:pPr>
        <w:spacing w:after="0" w:line="90" w:lineRule="exact"/>
        <w:rPr>
          <w:sz w:val="20"/>
          <w:szCs w:val="20"/>
          <w:color w:val="auto"/>
        </w:rPr>
      </w:pPr>
    </w:p>
    <w:p>
      <w:pPr>
        <w:ind w:left="580" w:right="500"/>
        <w:spacing w:after="0" w:line="375" w:lineRule="auto"/>
        <w:rPr>
          <w:sz w:val="20"/>
          <w:szCs w:val="20"/>
          <w:color w:val="auto"/>
        </w:rPr>
      </w:pPr>
      <w:r>
        <w:rPr>
          <w:rFonts w:ascii="Arial" w:cs="Arial" w:eastAsia="Arial" w:hAnsi="Arial"/>
          <w:sz w:val="17"/>
          <w:szCs w:val="17"/>
          <w:color w:val="auto"/>
        </w:rPr>
        <w:t>each of our executive officers, directors and director nominees that beneficially owns ordinary shares; and all our executive officers and directors as a group.</w:t>
      </w:r>
    </w:p>
    <w:p>
      <w:pPr>
        <w:spacing w:after="0" w:line="51"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Unless otherwise indicated, we believe that all persons named in the table have sole voting and investment power with respect to all of our ordinary shares beneficially owned by them.</w:t>
      </w:r>
    </w:p>
    <w:p>
      <w:pPr>
        <w:spacing w:after="0" w:line="144" w:lineRule="exact"/>
        <w:rPr>
          <w:sz w:val="20"/>
          <w:szCs w:val="20"/>
          <w:color w:val="auto"/>
        </w:rPr>
      </w:pPr>
    </w:p>
    <w:p>
      <w:pPr>
        <w:ind w:right="200"/>
        <w:spacing w:after="0" w:line="232" w:lineRule="auto"/>
        <w:rPr>
          <w:sz w:val="20"/>
          <w:szCs w:val="20"/>
          <w:color w:val="auto"/>
        </w:rPr>
      </w:pPr>
      <w:r>
        <w:rPr>
          <w:rFonts w:ascii="Arial" w:cs="Arial" w:eastAsia="Arial" w:hAnsi="Arial"/>
          <w:sz w:val="17"/>
          <w:szCs w:val="17"/>
          <w:color w:val="auto"/>
        </w:rPr>
        <w:t>On April 2, 2020, we issued to our sponsor 3,593,750 founder shares (of which, 468,750 are subject to forfeiture if the underwriters do not exercise their over-allotment option) in exchange for a capital contribution of $25,000, or approximately $0.007 per share. In July 2020, our sponsor transferred 30,000 founder shares to each of Messrs.</w:t>
      </w:r>
    </w:p>
    <w:p>
      <w:pPr>
        <w:ind w:right="80" w:firstLine="8"/>
        <w:spacing w:after="0" w:line="234" w:lineRule="auto"/>
        <w:tabs>
          <w:tab w:leader="none" w:pos="437"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and Wider. In addition, our sponsor has committed, pursuant to a written agreement, to purchase an aggregate of 450,000 private placement shares for a purchase price of $10.00 per share in a private placement that will occur simultaneously with the closing of this offering (assuming the underwriters do not exercise their over-allotment option). Prior to the initial investment in the company of $25,000 by the sponsor, the company had no assets, tangible or intangible. The per share price of the founder shares was determined by dividing the amount contributed to the company by the number of founder shares issued. The number of shares beneficially owned and post-offering percentages in the following table assume that the underwriters do not exercise their over-allotment option and that there are 16,075,000 ordinary shares, consisting of (i) 12,500,000 Class A ordinary shares, (ii) 3,125,000 Class B ordinary shares, and (iii) 450,000 private placement shares, issued and outstanding after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57607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00" w:type="dxa"/>
            <w:vAlign w:val="bottom"/>
            <w:gridSpan w:val="4"/>
          </w:tcPr>
          <w:p>
            <w:pPr>
              <w:jc w:val="center"/>
              <w:spacing w:after="0"/>
              <w:rPr>
                <w:sz w:val="20"/>
                <w:szCs w:val="20"/>
                <w:color w:val="auto"/>
              </w:rPr>
            </w:pPr>
            <w:r>
              <w:rPr>
                <w:rFonts w:ascii="Arial" w:cs="Arial" w:eastAsia="Arial" w:hAnsi="Arial"/>
                <w:sz w:val="14"/>
                <w:szCs w:val="14"/>
                <w:b w:val="1"/>
                <w:bCs w:val="1"/>
                <w:color w:val="auto"/>
              </w:rPr>
              <w:t>APPROXIMATE PERCENTAGE</w:t>
            </w:r>
          </w:p>
        </w:tc>
        <w:tc>
          <w:tcPr>
            <w:tcW w:w="0" w:type="dxa"/>
            <w:vAlign w:val="bottom"/>
          </w:tcPr>
          <w:p>
            <w:pPr>
              <w:spacing w:after="0"/>
              <w:rPr>
                <w:sz w:val="1"/>
                <w:szCs w:val="1"/>
                <w:color w:val="auto"/>
              </w:rPr>
            </w:pPr>
          </w:p>
        </w:tc>
      </w:tr>
      <w:tr>
        <w:trPr>
          <w:trHeight w:val="162"/>
        </w:trPr>
        <w:tc>
          <w:tcPr>
            <w:tcW w:w="4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gridSpan w:val="3"/>
          </w:tcPr>
          <w:p>
            <w:pPr>
              <w:jc w:val="center"/>
              <w:ind w:right="901"/>
              <w:spacing w:after="0"/>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162"/>
        </w:trPr>
        <w:tc>
          <w:tcPr>
            <w:tcW w:w="4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NUMBER OF</w:t>
            </w:r>
          </w:p>
        </w:tc>
        <w:tc>
          <w:tcPr>
            <w:tcW w:w="2300" w:type="dxa"/>
            <w:vAlign w:val="bottom"/>
            <w:gridSpan w:val="4"/>
          </w:tcPr>
          <w:p>
            <w:pPr>
              <w:jc w:val="center"/>
              <w:spacing w:after="0"/>
              <w:rPr>
                <w:sz w:val="20"/>
                <w:szCs w:val="20"/>
                <w:color w:val="auto"/>
              </w:rPr>
            </w:pPr>
            <w:r>
              <w:rPr>
                <w:rFonts w:ascii="Arial" w:cs="Arial" w:eastAsia="Arial" w:hAnsi="Arial"/>
                <w:sz w:val="14"/>
                <w:szCs w:val="14"/>
                <w:b w:val="1"/>
                <w:bCs w:val="1"/>
                <w:color w:val="auto"/>
              </w:rPr>
              <w:t>OUTSTANDING ORDINARY</w:t>
            </w: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23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94"/>
        </w:trPr>
        <w:tc>
          <w:tcPr>
            <w:tcW w:w="4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7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SHARES</w:t>
            </w:r>
          </w:p>
        </w:tc>
        <w:tc>
          <w:tcPr>
            <w:tcW w:w="9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4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20" w:type="dxa"/>
            <w:vAlign w:val="bottom"/>
            <w:gridSpan w:val="2"/>
            <w:vMerge w:val="continue"/>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4760" w:type="dxa"/>
            <w:vAlign w:val="bottom"/>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r>
              <w:rPr>
                <w:rFonts w:ascii="Arial" w:cs="Arial" w:eastAsia="Arial" w:hAnsi="Arial"/>
                <w:sz w:val="23"/>
                <w:szCs w:val="23"/>
                <w:b w:val="1"/>
                <w:bCs w:val="1"/>
                <w:color w:val="auto"/>
                <w:vertAlign w:val="superscript"/>
              </w:rPr>
              <w:t>(1)</w:t>
            </w:r>
          </w:p>
        </w:tc>
        <w:tc>
          <w:tcPr>
            <w:tcW w:w="300" w:type="dxa"/>
            <w:vAlign w:val="bottom"/>
            <w:vMerge w:val="restart"/>
          </w:tcPr>
          <w:p>
            <w:pPr>
              <w:spacing w:after="0"/>
              <w:rPr>
                <w:sz w:val="12"/>
                <w:szCs w:val="12"/>
                <w:color w:val="auto"/>
              </w:rPr>
            </w:pPr>
          </w:p>
        </w:tc>
        <w:tc>
          <w:tcPr>
            <w:tcW w:w="172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rPr>
              <w:t>BENEFICIALLY</w:t>
            </w:r>
          </w:p>
        </w:tc>
        <w:tc>
          <w:tcPr>
            <w:tcW w:w="960" w:type="dxa"/>
            <w:vAlign w:val="bottom"/>
          </w:tcPr>
          <w:p>
            <w:pPr>
              <w:jc w:val="right"/>
              <w:ind w:right="39"/>
              <w:spacing w:after="0" w:line="148" w:lineRule="exact"/>
              <w:rPr>
                <w:sz w:val="20"/>
                <w:szCs w:val="20"/>
                <w:color w:val="auto"/>
              </w:rPr>
            </w:pPr>
            <w:r>
              <w:rPr>
                <w:rFonts w:ascii="Arial" w:cs="Arial" w:eastAsia="Arial" w:hAnsi="Arial"/>
                <w:sz w:val="14"/>
                <w:szCs w:val="14"/>
                <w:b w:val="1"/>
                <w:bCs w:val="1"/>
                <w:color w:val="auto"/>
              </w:rPr>
              <w:t>BEFORE</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ind w:right="161"/>
              <w:spacing w:after="0" w:line="148"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256"/>
        </w:trPr>
        <w:tc>
          <w:tcPr>
            <w:tcW w:w="4760" w:type="dxa"/>
            <w:vAlign w:val="bottom"/>
            <w:tcBorders>
              <w:bottom w:val="single" w:sz="8" w:color="auto"/>
            </w:tcBorders>
            <w:vMerge w:val="continue"/>
          </w:tcPr>
          <w:p>
            <w:pPr>
              <w:spacing w:after="0"/>
              <w:rPr>
                <w:sz w:val="22"/>
                <w:szCs w:val="22"/>
                <w:color w:val="auto"/>
              </w:rPr>
            </w:pPr>
          </w:p>
        </w:tc>
        <w:tc>
          <w:tcPr>
            <w:tcW w:w="300" w:type="dxa"/>
            <w:vAlign w:val="bottom"/>
            <w:tcBorders>
              <w:bottom w:val="single" w:sz="8" w:color="CCEEFF"/>
            </w:tcBorders>
            <w:vMerge w:val="continue"/>
          </w:tcPr>
          <w:p>
            <w:pPr>
              <w:spacing w:after="0"/>
              <w:rPr>
                <w:sz w:val="22"/>
                <w:szCs w:val="22"/>
                <w:color w:val="auto"/>
              </w:rPr>
            </w:pPr>
          </w:p>
        </w:tc>
        <w:tc>
          <w:tcPr>
            <w:tcW w:w="1420" w:type="dxa"/>
            <w:vAlign w:val="bottom"/>
            <w:tcBorders>
              <w:bottom w:val="single" w:sz="8" w:color="auto"/>
            </w:tcBorders>
          </w:tcPr>
          <w:p>
            <w:pPr>
              <w:jc w:val="center"/>
              <w:spacing w:after="0" w:line="256" w:lineRule="exact"/>
              <w:rPr>
                <w:sz w:val="20"/>
                <w:szCs w:val="20"/>
                <w:color w:val="auto"/>
              </w:rPr>
            </w:pPr>
            <w:r>
              <w:rPr>
                <w:rFonts w:ascii="Arial" w:cs="Arial" w:eastAsia="Arial" w:hAnsi="Arial"/>
                <w:sz w:val="14"/>
                <w:szCs w:val="14"/>
                <w:b w:val="1"/>
                <w:bCs w:val="1"/>
                <w:color w:val="auto"/>
                <w:w w:val="96"/>
              </w:rPr>
              <w:t>OWNED</w:t>
            </w:r>
            <w:r>
              <w:rPr>
                <w:rFonts w:ascii="Arial" w:cs="Arial" w:eastAsia="Arial" w:hAnsi="Arial"/>
                <w:sz w:val="23"/>
                <w:szCs w:val="23"/>
                <w:b w:val="1"/>
                <w:bCs w:val="1"/>
                <w:color w:val="auto"/>
                <w:w w:val="96"/>
                <w:vertAlign w:val="superscript"/>
              </w:rPr>
              <w:t>(2)</w:t>
            </w:r>
          </w:p>
        </w:tc>
        <w:tc>
          <w:tcPr>
            <w:tcW w:w="3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OFFERING</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OFFERING</w:t>
            </w:r>
          </w:p>
        </w:tc>
        <w:tc>
          <w:tcPr>
            <w:tcW w:w="0" w:type="dxa"/>
            <w:vAlign w:val="bottom"/>
          </w:tcPr>
          <w:p>
            <w:pPr>
              <w:spacing w:after="0"/>
              <w:rPr>
                <w:sz w:val="1"/>
                <w:szCs w:val="1"/>
                <w:color w:val="auto"/>
              </w:rPr>
            </w:pPr>
          </w:p>
        </w:tc>
      </w:tr>
      <w:tr>
        <w:trPr>
          <w:trHeight w:val="290"/>
        </w:trPr>
        <w:tc>
          <w:tcPr>
            <w:tcW w:w="5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ARYA Sciences Holdings III (our sponsor)</w:t>
            </w:r>
          </w:p>
        </w:tc>
        <w:tc>
          <w:tcPr>
            <w:tcW w:w="1420" w:type="dxa"/>
            <w:vAlign w:val="bottom"/>
            <w:shd w:val="clear" w:color="auto" w:fill="CCEEFF"/>
          </w:tcPr>
          <w:p>
            <w:pPr>
              <w:ind w:left="300"/>
              <w:spacing w:after="0" w:line="290" w:lineRule="exact"/>
              <w:rPr>
                <w:sz w:val="20"/>
                <w:szCs w:val="20"/>
                <w:color w:val="auto"/>
              </w:rPr>
            </w:pPr>
            <w:r>
              <w:rPr>
                <w:rFonts w:ascii="Arial" w:cs="Arial" w:eastAsia="Arial" w:hAnsi="Arial"/>
                <w:sz w:val="17"/>
                <w:szCs w:val="17"/>
                <w:color w:val="auto"/>
              </w:rPr>
              <w:t>3,485,000</w:t>
            </w:r>
            <w:r>
              <w:rPr>
                <w:rFonts w:ascii="Arial" w:cs="Arial" w:eastAsia="Arial" w:hAnsi="Arial"/>
                <w:sz w:val="28"/>
                <w:szCs w:val="28"/>
                <w:color w:val="auto"/>
                <w:vertAlign w:val="superscript"/>
              </w:rPr>
              <w:t>(3)</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center"/>
              <w:ind w:left="159"/>
              <w:spacing w:after="0"/>
              <w:rPr>
                <w:sz w:val="20"/>
                <w:szCs w:val="20"/>
                <w:color w:val="auto"/>
              </w:rPr>
            </w:pPr>
            <w:r>
              <w:rPr>
                <w:rFonts w:ascii="Arial" w:cs="Arial" w:eastAsia="Arial" w:hAnsi="Arial"/>
                <w:sz w:val="17"/>
                <w:szCs w:val="17"/>
                <w:color w:val="auto"/>
                <w:w w:val="99"/>
              </w:rPr>
              <w:t>97.2%</w:t>
            </w:r>
          </w:p>
        </w:tc>
        <w:tc>
          <w:tcPr>
            <w:tcW w:w="1340" w:type="dxa"/>
            <w:vAlign w:val="bottom"/>
            <w:gridSpan w:val="3"/>
            <w:shd w:val="clear" w:color="auto" w:fill="CCEEFF"/>
          </w:tcPr>
          <w:p>
            <w:pPr>
              <w:ind w:left="680"/>
              <w:spacing w:after="0" w:line="290" w:lineRule="exact"/>
              <w:rPr>
                <w:sz w:val="20"/>
                <w:szCs w:val="20"/>
                <w:color w:val="auto"/>
              </w:rPr>
            </w:pPr>
            <w:r>
              <w:rPr>
                <w:rFonts w:ascii="Arial" w:cs="Arial" w:eastAsia="Arial" w:hAnsi="Arial"/>
                <w:sz w:val="17"/>
                <w:szCs w:val="17"/>
                <w:color w:val="auto"/>
                <w:w w:val="90"/>
              </w:rPr>
              <w:t>21.7%</w:t>
            </w:r>
            <w:r>
              <w:rPr>
                <w:rFonts w:ascii="Arial" w:cs="Arial" w:eastAsia="Arial" w:hAnsi="Arial"/>
                <w:sz w:val="28"/>
                <w:szCs w:val="28"/>
                <w:color w:val="auto"/>
                <w:w w:val="90"/>
                <w:vertAlign w:val="superscript"/>
              </w:rPr>
              <w:t>(4)</w:t>
            </w:r>
          </w:p>
        </w:tc>
        <w:tc>
          <w:tcPr>
            <w:tcW w:w="0" w:type="dxa"/>
            <w:vAlign w:val="bottom"/>
          </w:tcPr>
          <w:p>
            <w:pPr>
              <w:spacing w:after="0"/>
              <w:rPr>
                <w:sz w:val="1"/>
                <w:szCs w:val="1"/>
                <w:color w:val="auto"/>
              </w:rPr>
            </w:pPr>
          </w:p>
        </w:tc>
      </w:tr>
      <w:tr>
        <w:trPr>
          <w:trHeight w:val="239"/>
        </w:trPr>
        <w:tc>
          <w:tcPr>
            <w:tcW w:w="5060" w:type="dxa"/>
            <w:vAlign w:val="bottom"/>
            <w:gridSpan w:val="2"/>
          </w:tcPr>
          <w:p>
            <w:pPr>
              <w:spacing w:after="0"/>
              <w:rPr>
                <w:sz w:val="20"/>
                <w:szCs w:val="20"/>
                <w:color w:val="auto"/>
              </w:rPr>
            </w:pPr>
            <w:r>
              <w:rPr>
                <w:rFonts w:ascii="Arial" w:cs="Arial" w:eastAsia="Arial" w:hAnsi="Arial"/>
                <w:sz w:val="17"/>
                <w:szCs w:val="17"/>
                <w:color w:val="auto"/>
              </w:rPr>
              <w:t>Joseph Edelman</w:t>
            </w:r>
          </w:p>
        </w:tc>
        <w:tc>
          <w:tcPr>
            <w:tcW w:w="1720" w:type="dxa"/>
            <w:vAlign w:val="bottom"/>
            <w:gridSpan w:val="2"/>
          </w:tcPr>
          <w:p>
            <w:pPr>
              <w:ind w:left="84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(5)</w:t>
            </w:r>
          </w:p>
        </w:tc>
        <w:tc>
          <w:tcPr>
            <w:tcW w:w="960" w:type="dxa"/>
            <w:vAlign w:val="bottom"/>
          </w:tcPr>
          <w:p>
            <w:pPr>
              <w:jc w:val="center"/>
              <w:ind w:left="139"/>
              <w:spacing w:after="0"/>
              <w:rPr>
                <w:sz w:val="20"/>
                <w:szCs w:val="20"/>
                <w:color w:val="auto"/>
              </w:rPr>
            </w:pPr>
            <w:r>
              <w:rPr>
                <w:rFonts w:ascii="Arial" w:cs="Arial" w:eastAsia="Arial" w:hAnsi="Arial"/>
                <w:sz w:val="17"/>
                <w:szCs w:val="17"/>
                <w:color w:val="auto"/>
                <w:w w:val="99"/>
              </w:rPr>
              <w:t>—</w:t>
            </w:r>
            <w:r>
              <w:rPr>
                <w:rFonts w:ascii="Arial" w:cs="Arial" w:eastAsia="Arial" w:hAnsi="Arial"/>
                <w:sz w:val="14"/>
                <w:szCs w:val="14"/>
                <w:color w:val="auto"/>
                <w:w w:val="99"/>
              </w:rPr>
              <w:t>(5)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81"/>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31"/>
        </w:trPr>
        <w:tc>
          <w:tcPr>
            <w:tcW w:w="4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Adam Stone</w:t>
            </w:r>
          </w:p>
        </w:tc>
        <w:tc>
          <w:tcPr>
            <w:tcW w:w="1420" w:type="dxa"/>
            <w:vAlign w:val="bottom"/>
            <w:shd w:val="clear" w:color="auto" w:fill="CCEEFF"/>
          </w:tcPr>
          <w:p>
            <w:pPr>
              <w:ind w:left="300"/>
              <w:spacing w:after="0" w:line="270" w:lineRule="exact"/>
              <w:rPr>
                <w:sz w:val="20"/>
                <w:szCs w:val="20"/>
                <w:color w:val="auto"/>
              </w:rPr>
            </w:pPr>
            <w:r>
              <w:rPr>
                <w:rFonts w:ascii="Arial" w:cs="Arial" w:eastAsia="Arial" w:hAnsi="Arial"/>
                <w:sz w:val="17"/>
                <w:szCs w:val="17"/>
                <w:color w:val="auto"/>
              </w:rPr>
              <w:t>3,485,000</w:t>
            </w:r>
            <w:r>
              <w:rPr>
                <w:rFonts w:ascii="Arial" w:cs="Arial" w:eastAsia="Arial" w:hAnsi="Arial"/>
                <w:sz w:val="28"/>
                <w:szCs w:val="28"/>
                <w:color w:val="auto"/>
                <w:vertAlign w:val="superscript"/>
              </w:rPr>
              <w:t>(3)</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center"/>
              <w:ind w:left="159"/>
              <w:spacing w:after="0"/>
              <w:rPr>
                <w:sz w:val="20"/>
                <w:szCs w:val="20"/>
                <w:color w:val="auto"/>
              </w:rPr>
            </w:pPr>
            <w:r>
              <w:rPr>
                <w:rFonts w:ascii="Arial" w:cs="Arial" w:eastAsia="Arial" w:hAnsi="Arial"/>
                <w:sz w:val="17"/>
                <w:szCs w:val="17"/>
                <w:color w:val="auto"/>
                <w:w w:val="99"/>
              </w:rPr>
              <w:t>97.2%</w:t>
            </w:r>
          </w:p>
        </w:tc>
        <w:tc>
          <w:tcPr>
            <w:tcW w:w="1340" w:type="dxa"/>
            <w:vAlign w:val="bottom"/>
            <w:gridSpan w:val="3"/>
            <w:shd w:val="clear" w:color="auto" w:fill="CCEEFF"/>
          </w:tcPr>
          <w:p>
            <w:pPr>
              <w:ind w:left="680"/>
              <w:spacing w:after="0" w:line="270" w:lineRule="exact"/>
              <w:rPr>
                <w:sz w:val="20"/>
                <w:szCs w:val="20"/>
                <w:color w:val="auto"/>
              </w:rPr>
            </w:pPr>
            <w:r>
              <w:rPr>
                <w:rFonts w:ascii="Arial" w:cs="Arial" w:eastAsia="Arial" w:hAnsi="Arial"/>
                <w:sz w:val="17"/>
                <w:szCs w:val="17"/>
                <w:color w:val="auto"/>
                <w:w w:val="90"/>
              </w:rPr>
              <w:t>21.7%</w:t>
            </w:r>
            <w:r>
              <w:rPr>
                <w:rFonts w:ascii="Arial" w:cs="Arial" w:eastAsia="Arial" w:hAnsi="Arial"/>
                <w:sz w:val="28"/>
                <w:szCs w:val="28"/>
                <w:color w:val="auto"/>
                <w:w w:val="90"/>
                <w:vertAlign w:val="superscript"/>
              </w:rPr>
              <w:t>(4)</w:t>
            </w:r>
          </w:p>
        </w:tc>
        <w:tc>
          <w:tcPr>
            <w:tcW w:w="0" w:type="dxa"/>
            <w:vAlign w:val="bottom"/>
          </w:tcPr>
          <w:p>
            <w:pPr>
              <w:spacing w:after="0"/>
              <w:rPr>
                <w:sz w:val="1"/>
                <w:szCs w:val="1"/>
                <w:color w:val="auto"/>
              </w:rPr>
            </w:pPr>
          </w:p>
        </w:tc>
      </w:tr>
      <w:tr>
        <w:trPr>
          <w:trHeight w:val="270"/>
        </w:trPr>
        <w:tc>
          <w:tcPr>
            <w:tcW w:w="5060" w:type="dxa"/>
            <w:vAlign w:val="bottom"/>
            <w:gridSpan w:val="2"/>
          </w:tcPr>
          <w:p>
            <w:pPr>
              <w:spacing w:after="0"/>
              <w:rPr>
                <w:sz w:val="20"/>
                <w:szCs w:val="20"/>
                <w:color w:val="auto"/>
              </w:rPr>
            </w:pPr>
            <w:r>
              <w:rPr>
                <w:rFonts w:ascii="Arial" w:cs="Arial" w:eastAsia="Arial" w:hAnsi="Arial"/>
                <w:sz w:val="17"/>
                <w:szCs w:val="17"/>
                <w:color w:val="auto"/>
              </w:rPr>
              <w:t>Michael Altman</w:t>
            </w:r>
          </w:p>
        </w:tc>
        <w:tc>
          <w:tcPr>
            <w:tcW w:w="1420" w:type="dxa"/>
            <w:vAlign w:val="bottom"/>
          </w:tcPr>
          <w:p>
            <w:pPr>
              <w:ind w:left="300"/>
              <w:spacing w:after="0" w:line="270" w:lineRule="exact"/>
              <w:rPr>
                <w:sz w:val="20"/>
                <w:szCs w:val="20"/>
                <w:color w:val="auto"/>
              </w:rPr>
            </w:pPr>
            <w:r>
              <w:rPr>
                <w:rFonts w:ascii="Arial" w:cs="Arial" w:eastAsia="Arial" w:hAnsi="Arial"/>
                <w:sz w:val="17"/>
                <w:szCs w:val="17"/>
                <w:color w:val="auto"/>
              </w:rPr>
              <w:t>3,485,000</w:t>
            </w:r>
            <w:r>
              <w:rPr>
                <w:rFonts w:ascii="Arial" w:cs="Arial" w:eastAsia="Arial" w:hAnsi="Arial"/>
                <w:sz w:val="28"/>
                <w:szCs w:val="28"/>
                <w:color w:val="auto"/>
                <w:vertAlign w:val="superscript"/>
              </w:rPr>
              <w:t>(3)</w:t>
            </w:r>
          </w:p>
        </w:tc>
        <w:tc>
          <w:tcPr>
            <w:tcW w:w="300" w:type="dxa"/>
            <w:vAlign w:val="bottom"/>
          </w:tcPr>
          <w:p>
            <w:pPr>
              <w:spacing w:after="0"/>
              <w:rPr>
                <w:sz w:val="23"/>
                <w:szCs w:val="23"/>
                <w:color w:val="auto"/>
              </w:rPr>
            </w:pPr>
          </w:p>
        </w:tc>
        <w:tc>
          <w:tcPr>
            <w:tcW w:w="960" w:type="dxa"/>
            <w:vAlign w:val="bottom"/>
          </w:tcPr>
          <w:p>
            <w:pPr>
              <w:jc w:val="center"/>
              <w:ind w:left="159"/>
              <w:spacing w:after="0"/>
              <w:rPr>
                <w:sz w:val="20"/>
                <w:szCs w:val="20"/>
                <w:color w:val="auto"/>
              </w:rPr>
            </w:pPr>
            <w:r>
              <w:rPr>
                <w:rFonts w:ascii="Arial" w:cs="Arial" w:eastAsia="Arial" w:hAnsi="Arial"/>
                <w:sz w:val="17"/>
                <w:szCs w:val="17"/>
                <w:color w:val="auto"/>
                <w:w w:val="99"/>
              </w:rPr>
              <w:t>97.2%</w:t>
            </w:r>
          </w:p>
        </w:tc>
        <w:tc>
          <w:tcPr>
            <w:tcW w:w="1340" w:type="dxa"/>
            <w:vAlign w:val="bottom"/>
            <w:gridSpan w:val="3"/>
          </w:tcPr>
          <w:p>
            <w:pPr>
              <w:ind w:left="680"/>
              <w:spacing w:after="0" w:line="270" w:lineRule="exact"/>
              <w:rPr>
                <w:sz w:val="20"/>
                <w:szCs w:val="20"/>
                <w:color w:val="auto"/>
              </w:rPr>
            </w:pPr>
            <w:r>
              <w:rPr>
                <w:rFonts w:ascii="Arial" w:cs="Arial" w:eastAsia="Arial" w:hAnsi="Arial"/>
                <w:sz w:val="17"/>
                <w:szCs w:val="17"/>
                <w:color w:val="auto"/>
                <w:w w:val="90"/>
              </w:rPr>
              <w:t>21.7%</w:t>
            </w:r>
            <w:r>
              <w:rPr>
                <w:rFonts w:ascii="Arial" w:cs="Arial" w:eastAsia="Arial" w:hAnsi="Arial"/>
                <w:sz w:val="28"/>
                <w:szCs w:val="28"/>
                <w:color w:val="auto"/>
                <w:w w:val="90"/>
                <w:vertAlign w:val="superscript"/>
              </w:rPr>
              <w:t>(4)</w:t>
            </w: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Konstantin Poukalov</w:t>
            </w:r>
          </w:p>
        </w:tc>
        <w:tc>
          <w:tcPr>
            <w:tcW w:w="17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(5)</w:t>
            </w:r>
          </w:p>
        </w:tc>
        <w:tc>
          <w:tcPr>
            <w:tcW w:w="960" w:type="dxa"/>
            <w:vAlign w:val="bottom"/>
            <w:tcBorders>
              <w:bottom w:val="single" w:sz="8" w:color="CCEEFF"/>
            </w:tcBorders>
            <w:shd w:val="clear" w:color="auto" w:fill="CCEEFF"/>
          </w:tcPr>
          <w:p>
            <w:pPr>
              <w:jc w:val="center"/>
              <w:ind w:left="139"/>
              <w:spacing w:after="0"/>
              <w:rPr>
                <w:sz w:val="20"/>
                <w:szCs w:val="20"/>
                <w:color w:val="auto"/>
              </w:rPr>
            </w:pPr>
            <w:r>
              <w:rPr>
                <w:rFonts w:ascii="Arial" w:cs="Arial" w:eastAsia="Arial" w:hAnsi="Arial"/>
                <w:sz w:val="17"/>
                <w:szCs w:val="17"/>
                <w:color w:val="auto"/>
                <w:w w:val="99"/>
              </w:rPr>
              <w:t>—</w:t>
            </w:r>
            <w:r>
              <w:rPr>
                <w:rFonts w:ascii="Arial" w:cs="Arial" w:eastAsia="Arial" w:hAnsi="Arial"/>
                <w:sz w:val="14"/>
                <w:szCs w:val="14"/>
                <w:color w:val="auto"/>
                <w:w w:val="99"/>
              </w:rPr>
              <w:t>(5)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39"/>
        </w:trPr>
        <w:tc>
          <w:tcPr>
            <w:tcW w:w="5060" w:type="dxa"/>
            <w:vAlign w:val="bottom"/>
            <w:gridSpan w:val="2"/>
          </w:tcPr>
          <w:p>
            <w:pPr>
              <w:spacing w:after="0"/>
              <w:rPr>
                <w:sz w:val="20"/>
                <w:szCs w:val="20"/>
                <w:color w:val="auto"/>
              </w:rPr>
            </w:pPr>
            <w:r>
              <w:rPr>
                <w:rFonts w:ascii="Arial" w:cs="Arial" w:eastAsia="Arial" w:hAnsi="Arial"/>
                <w:sz w:val="17"/>
                <w:szCs w:val="17"/>
                <w:color w:val="auto"/>
              </w:rPr>
              <w:t>Todd Wider</w:t>
            </w:r>
          </w:p>
        </w:tc>
        <w:tc>
          <w:tcPr>
            <w:tcW w:w="1420" w:type="dxa"/>
            <w:vAlign w:val="bottom"/>
          </w:tcPr>
          <w:p>
            <w:pPr>
              <w:ind w:left="540"/>
              <w:spacing w:after="0"/>
              <w:rPr>
                <w:sz w:val="20"/>
                <w:szCs w:val="20"/>
                <w:color w:val="auto"/>
              </w:rPr>
            </w:pPr>
            <w:r>
              <w:rPr>
                <w:rFonts w:ascii="Arial" w:cs="Arial" w:eastAsia="Arial" w:hAnsi="Arial"/>
                <w:sz w:val="17"/>
                <w:szCs w:val="17"/>
                <w:color w:val="auto"/>
              </w:rPr>
              <w:t>30,000</w:t>
            </w:r>
          </w:p>
        </w:tc>
        <w:tc>
          <w:tcPr>
            <w:tcW w:w="300" w:type="dxa"/>
            <w:vAlign w:val="bottom"/>
          </w:tcPr>
          <w:p>
            <w:pPr>
              <w:spacing w:after="0"/>
              <w:rPr>
                <w:sz w:val="20"/>
                <w:szCs w:val="20"/>
                <w:color w:val="auto"/>
              </w:rPr>
            </w:pPr>
          </w:p>
        </w:tc>
        <w:tc>
          <w:tcPr>
            <w:tcW w:w="960" w:type="dxa"/>
            <w:vAlign w:val="bottom"/>
          </w:tcPr>
          <w:p>
            <w:pPr>
              <w:jc w:val="right"/>
              <w:ind w:right="99"/>
              <w:spacing w:after="0"/>
              <w:rPr>
                <w:sz w:val="20"/>
                <w:szCs w:val="20"/>
                <w:color w:val="auto"/>
              </w:rPr>
            </w:pPr>
            <w:r>
              <w:rPr>
                <w:rFonts w:ascii="Arial" w:cs="Arial" w:eastAsia="Arial" w:hAnsi="Arial"/>
                <w:sz w:val="17"/>
                <w:szCs w:val="17"/>
                <w:color w:val="auto"/>
              </w:rPr>
              <w:t>*</w:t>
            </w:r>
          </w:p>
        </w:tc>
        <w:tc>
          <w:tcPr>
            <w:tcW w:w="1340" w:type="dxa"/>
            <w:vAlign w:val="bottom"/>
            <w:gridSpan w:val="3"/>
          </w:tcPr>
          <w:p>
            <w:pPr>
              <w:jc w:val="right"/>
              <w:ind w:right="16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4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7"/>
                <w:szCs w:val="17"/>
                <w:color w:val="auto"/>
              </w:rPr>
              <w:t>30,000</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gridSpan w:val="3"/>
            <w:shd w:val="clear" w:color="auto" w:fill="CCEEFF"/>
          </w:tcPr>
          <w:p>
            <w:pPr>
              <w:jc w:val="right"/>
              <w:ind w:right="16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4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ind w:left="540"/>
              <w:spacing w:after="0"/>
              <w:rPr>
                <w:sz w:val="20"/>
                <w:szCs w:val="20"/>
                <w:color w:val="auto"/>
              </w:rPr>
            </w:pPr>
            <w:r>
              <w:rPr>
                <w:rFonts w:ascii="Arial" w:cs="Arial" w:eastAsia="Arial" w:hAnsi="Arial"/>
                <w:sz w:val="17"/>
                <w:szCs w:val="17"/>
                <w:color w:val="auto"/>
              </w:rPr>
              <w:t>30,000</w:t>
            </w:r>
          </w:p>
        </w:tc>
        <w:tc>
          <w:tcPr>
            <w:tcW w:w="300" w:type="dxa"/>
            <w:vAlign w:val="bottom"/>
          </w:tcPr>
          <w:p>
            <w:pPr>
              <w:spacing w:after="0"/>
              <w:rPr>
                <w:sz w:val="20"/>
                <w:szCs w:val="20"/>
                <w:color w:val="auto"/>
              </w:rPr>
            </w:pPr>
          </w:p>
        </w:tc>
        <w:tc>
          <w:tcPr>
            <w:tcW w:w="960" w:type="dxa"/>
            <w:vAlign w:val="bottom"/>
          </w:tcPr>
          <w:p>
            <w:pPr>
              <w:jc w:val="right"/>
              <w:ind w:right="99"/>
              <w:spacing w:after="0"/>
              <w:rPr>
                <w:sz w:val="20"/>
                <w:szCs w:val="20"/>
                <w:color w:val="auto"/>
              </w:rPr>
            </w:pPr>
            <w:r>
              <w:rPr>
                <w:rFonts w:ascii="Arial" w:cs="Arial" w:eastAsia="Arial" w:hAnsi="Arial"/>
                <w:sz w:val="17"/>
                <w:szCs w:val="17"/>
                <w:color w:val="auto"/>
              </w:rPr>
              <w:t>*</w:t>
            </w:r>
          </w:p>
        </w:tc>
        <w:tc>
          <w:tcPr>
            <w:tcW w:w="1340" w:type="dxa"/>
            <w:vAlign w:val="bottom"/>
            <w:gridSpan w:val="3"/>
          </w:tcPr>
          <w:p>
            <w:pPr>
              <w:jc w:val="right"/>
              <w:ind w:right="16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4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All officers, directors and director nominees as a group</w:t>
            </w:r>
          </w:p>
        </w:tc>
        <w:tc>
          <w:tcPr>
            <w:tcW w:w="1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506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7"/>
                <w:szCs w:val="17"/>
                <w:color w:val="auto"/>
              </w:rPr>
              <w:t>(   individuals)</w:t>
            </w:r>
          </w:p>
        </w:tc>
        <w:tc>
          <w:tcPr>
            <w:tcW w:w="14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rPr>
              <w:t>3,575,000</w:t>
            </w: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7"/>
                <w:szCs w:val="17"/>
                <w:color w:val="auto"/>
              </w:rPr>
              <w:t>100%</w:t>
            </w:r>
          </w:p>
        </w:tc>
        <w:tc>
          <w:tcPr>
            <w:tcW w:w="1340" w:type="dxa"/>
            <w:vAlign w:val="bottom"/>
            <w:tcBorders>
              <w:bottom w:val="single" w:sz="8" w:color="auto"/>
            </w:tcBorders>
            <w:gridSpan w:val="3"/>
            <w:shd w:val="clear" w:color="auto" w:fill="CCEEFF"/>
          </w:tcPr>
          <w:p>
            <w:pPr>
              <w:ind w:left="680"/>
              <w:spacing w:after="0"/>
              <w:rPr>
                <w:sz w:val="20"/>
                <w:szCs w:val="20"/>
                <w:color w:val="auto"/>
              </w:rPr>
            </w:pPr>
            <w:r>
              <w:rPr>
                <w:rFonts w:ascii="Arial" w:cs="Arial" w:eastAsia="Arial" w:hAnsi="Arial"/>
                <w:sz w:val="17"/>
                <w:szCs w:val="17"/>
                <w:color w:val="auto"/>
              </w:rPr>
              <w:t>22.2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-1671320</wp:posOffset>
            </wp:positionV>
            <wp:extent cx="17145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-1671320</wp:posOffset>
            </wp:positionV>
            <wp:extent cx="18859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-1671320</wp:posOffset>
            </wp:positionV>
            <wp:extent cx="18859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28" w:lineRule="exact"/>
        <w:rPr>
          <w:sz w:val="20"/>
          <w:szCs w:val="20"/>
          <w:color w:val="auto"/>
        </w:rPr>
      </w:pPr>
    </w:p>
    <w:p>
      <w:pPr>
        <w:ind w:left="360" w:hanging="352"/>
        <w:spacing w:after="0"/>
        <w:tabs>
          <w:tab w:leader="none" w:pos="360" w:val="left"/>
        </w:tabs>
        <w:numPr>
          <w:ilvl w:val="0"/>
          <w:numId w:val="22"/>
        </w:numPr>
        <w:rPr>
          <w:rFonts w:ascii="Arial" w:cs="Arial" w:eastAsia="Arial" w:hAnsi="Arial"/>
          <w:sz w:val="13"/>
          <w:szCs w:val="13"/>
          <w:color w:val="auto"/>
        </w:rPr>
      </w:pPr>
      <w:r>
        <w:rPr>
          <w:rFonts w:ascii="Arial" w:cs="Arial" w:eastAsia="Arial" w:hAnsi="Arial"/>
          <w:sz w:val="13"/>
          <w:szCs w:val="13"/>
          <w:color w:val="auto"/>
        </w:rPr>
        <w:t>Less than one percent.</w:t>
      </w:r>
    </w:p>
    <w:p>
      <w:pPr>
        <w:spacing w:after="0" w:line="40" w:lineRule="exact"/>
        <w:rPr>
          <w:sz w:val="20"/>
          <w:szCs w:val="20"/>
          <w:color w:val="auto"/>
        </w:rPr>
      </w:pPr>
    </w:p>
    <w:p>
      <w:pPr>
        <w:ind w:left="360" w:hanging="352"/>
        <w:spacing w:after="0"/>
        <w:tabs>
          <w:tab w:leader="none" w:pos="360" w:val="left"/>
        </w:tabs>
        <w:numPr>
          <w:ilvl w:val="0"/>
          <w:numId w:val="23"/>
        </w:numPr>
        <w:rPr>
          <w:rFonts w:ascii="Arial" w:cs="Arial" w:eastAsia="Arial" w:hAnsi="Arial"/>
          <w:sz w:val="13"/>
          <w:szCs w:val="13"/>
          <w:color w:val="auto"/>
        </w:rPr>
      </w:pPr>
      <w:r>
        <w:rPr>
          <w:rFonts w:ascii="Arial" w:cs="Arial" w:eastAsia="Arial" w:hAnsi="Arial"/>
          <w:sz w:val="13"/>
          <w:szCs w:val="13"/>
          <w:color w:val="auto"/>
        </w:rPr>
        <w:t>Unless otherwise noted, the business address of the following entities or individuals is 51 Astor Place, 10th Floor, New York, New York 10003.</w:t>
      </w:r>
    </w:p>
    <w:p>
      <w:pPr>
        <w:spacing w:after="0" w:line="39" w:lineRule="exact"/>
        <w:rPr>
          <w:rFonts w:ascii="Arial" w:cs="Arial" w:eastAsia="Arial" w:hAnsi="Arial"/>
          <w:sz w:val="13"/>
          <w:szCs w:val="13"/>
          <w:color w:val="auto"/>
        </w:rPr>
      </w:pPr>
    </w:p>
    <w:p>
      <w:pPr>
        <w:ind w:left="360" w:right="320" w:hanging="352"/>
        <w:spacing w:after="0" w:line="225" w:lineRule="auto"/>
        <w:tabs>
          <w:tab w:leader="none" w:pos="36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Interests shown consist solely of founder shares, classified as Class B ordinary shares, and private placement shares. The Class B ordinary shares will automatically convert into Class A ordinary shares at the time of our initial business combination as described in the section entitled “Description of Securities.”</w:t>
      </w:r>
    </w:p>
    <w:p>
      <w:pPr>
        <w:spacing w:after="0" w:line="38" w:lineRule="exact"/>
        <w:rPr>
          <w:rFonts w:ascii="Arial" w:cs="Arial" w:eastAsia="Arial" w:hAnsi="Arial"/>
          <w:sz w:val="13"/>
          <w:szCs w:val="13"/>
          <w:color w:val="auto"/>
        </w:rPr>
      </w:pPr>
    </w:p>
    <w:p>
      <w:pPr>
        <w:ind w:left="360" w:right="100" w:hanging="352"/>
        <w:spacing w:after="0" w:line="225" w:lineRule="auto"/>
        <w:tabs>
          <w:tab w:leader="none" w:pos="36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shares reported above are held in the name of our sponsor. Our sponsor is governed by a board of directors consisting of two directors, Messrs. Stone and Altman. As such, Messrs. Stone and Altman have voting and investment discretion with respect to the Class B ordinary shares held of record by our sponsor and may be deemed to have shared beneficial ownership of the Class B ordinary shares held directly by our sponsor.</w:t>
      </w:r>
    </w:p>
    <w:p>
      <w:pPr>
        <w:spacing w:after="0" w:line="38" w:lineRule="exact"/>
        <w:rPr>
          <w:rFonts w:ascii="Arial" w:cs="Arial" w:eastAsia="Arial" w:hAnsi="Arial"/>
          <w:sz w:val="13"/>
          <w:szCs w:val="13"/>
          <w:color w:val="auto"/>
        </w:rPr>
      </w:pPr>
    </w:p>
    <w:p>
      <w:pPr>
        <w:ind w:left="360" w:hanging="352"/>
        <w:spacing w:after="0"/>
        <w:tabs>
          <w:tab w:leader="none" w:pos="36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Includes 450,000 private placement shares.</w:t>
      </w:r>
    </w:p>
    <w:p>
      <w:pPr>
        <w:spacing w:after="0" w:line="39" w:lineRule="exact"/>
        <w:rPr>
          <w:rFonts w:ascii="Arial" w:cs="Arial" w:eastAsia="Arial" w:hAnsi="Arial"/>
          <w:sz w:val="13"/>
          <w:szCs w:val="13"/>
          <w:color w:val="auto"/>
        </w:rPr>
      </w:pPr>
    </w:p>
    <w:p>
      <w:pPr>
        <w:ind w:left="360" w:hanging="352"/>
        <w:spacing w:after="0"/>
        <w:tabs>
          <w:tab w:leader="none" w:pos="360" w:val="left"/>
        </w:tabs>
        <w:numPr>
          <w:ilvl w:val="0"/>
          <w:numId w:val="23"/>
        </w:numPr>
        <w:rPr>
          <w:rFonts w:ascii="Arial" w:cs="Arial" w:eastAsia="Arial" w:hAnsi="Arial"/>
          <w:sz w:val="13"/>
          <w:szCs w:val="13"/>
          <w:color w:val="auto"/>
        </w:rPr>
      </w:pPr>
      <w:r>
        <w:rPr>
          <w:rFonts w:ascii="Arial" w:cs="Arial" w:eastAsia="Arial" w:hAnsi="Arial"/>
          <w:sz w:val="13"/>
          <w:szCs w:val="13"/>
          <w:color w:val="auto"/>
        </w:rPr>
        <w:t>Does not include any shares indirectly owned by this individual as a result of his ownership interest in our sponsor.</w:t>
      </w:r>
    </w:p>
    <w:p>
      <w:pPr>
        <w:spacing w:after="0" w:line="161"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Immediately after this offering, our initial shareholders will beneficially own 20% of the then issued and outstanding ordinary shares (excluding the private placement shares) and will have the right to elect all of our directors prior to the completion of our initial business combination. If we increase or decrease the size of this offering, we will effect a share capitalization or a share surrender or other appropriate mechanism, as applicable, with respect to our Class B ordinary shares immediately prior to the consummation of the offering in such amount as to maintain the ownership of our initial</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106" w:name="page107"/>
    <w:bookmarkEnd w:id="10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59"/>
        <w:spacing w:after="0" w:line="235" w:lineRule="auto"/>
        <w:rPr>
          <w:sz w:val="20"/>
          <w:szCs w:val="20"/>
          <w:color w:val="auto"/>
        </w:rPr>
      </w:pPr>
      <w:r>
        <w:rPr>
          <w:rFonts w:ascii="Arial" w:cs="Arial" w:eastAsia="Arial" w:hAnsi="Arial"/>
          <w:sz w:val="17"/>
          <w:szCs w:val="17"/>
          <w:color w:val="auto"/>
        </w:rPr>
        <w:t>shareholders (and their permitted transferees, if any) at 20% of the issued and outstanding ordinary shares (excluding the private placement shares) upon the consummation of this offering. Holders of our public shares will not have the right to elect any directors to our board of directors prior to the completion of our initial business combination. Because of this ownership block, our initial shareholders may be able to effectively influence the outcome of all other matters requiring approval by our shareholders, including amendments to our amended and restated memorandum and articles of association and approval of significant corporate transactions including our initial business combination.</w:t>
      </w:r>
    </w:p>
    <w:p>
      <w:pPr>
        <w:spacing w:after="0" w:line="161" w:lineRule="exact"/>
        <w:rPr>
          <w:sz w:val="20"/>
          <w:szCs w:val="20"/>
          <w:color w:val="auto"/>
        </w:rPr>
      </w:pPr>
    </w:p>
    <w:p>
      <w:pPr>
        <w:ind w:right="119"/>
        <w:spacing w:after="0" w:line="232" w:lineRule="auto"/>
        <w:rPr>
          <w:sz w:val="20"/>
          <w:szCs w:val="20"/>
          <w:color w:val="auto"/>
        </w:rPr>
      </w:pPr>
      <w:r>
        <w:rPr>
          <w:rFonts w:ascii="Arial" w:cs="Arial" w:eastAsia="Arial" w:hAnsi="Arial"/>
          <w:sz w:val="17"/>
          <w:szCs w:val="17"/>
          <w:color w:val="auto"/>
        </w:rPr>
        <w:t>Our sponsor and our management team have entered into an agreement with us, pursuant to which they have agreed to waive their redemption rights with respect to their founder shares, private placement shares and any public shares purchased during or after this offering in connection with (i) the completion of our initial business combination and (ii) a shareholder vote to approve an amendment to our amended and restated memorandum and articles of association</w:t>
      </w:r>
    </w:p>
    <w:p>
      <w:pPr>
        <w:ind w:right="39" w:firstLine="8"/>
        <w:spacing w:after="0" w:line="232" w:lineRule="auto"/>
        <w:tabs>
          <w:tab w:leader="none" w:pos="275"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w:t>
      </w:r>
    </w:p>
    <w:p>
      <w:pPr>
        <w:jc w:val="both"/>
        <w:ind w:right="499" w:firstLine="8"/>
        <w:spacing w:after="0" w:line="238" w:lineRule="auto"/>
        <w:tabs>
          <w:tab w:leader="none" w:pos="275" w:val="left"/>
        </w:tabs>
        <w:numPr>
          <w:ilvl w:val="0"/>
          <w:numId w:val="24"/>
        </w:numPr>
        <w:rPr>
          <w:rFonts w:ascii="Arial" w:cs="Arial" w:eastAsia="Arial" w:hAnsi="Arial"/>
          <w:sz w:val="17"/>
          <w:szCs w:val="17"/>
          <w:color w:val="auto"/>
        </w:rPr>
      </w:pPr>
      <w:r>
        <w:rPr>
          <w:rFonts w:ascii="Arial" w:cs="Arial" w:eastAsia="Arial" w:hAnsi="Arial"/>
          <w:sz w:val="17"/>
          <w:szCs w:val="17"/>
          <w:color w:val="auto"/>
        </w:rPr>
        <w:t>with respect to any other provision relating to the rights of holders of our Class A ordinary shares. Further, our sponsor and each member of our management team have agreed to vote their founder shares, private placement shares and public shares purchased during or after this offering in favor of our initial business combination.</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Our sponsor is deemed to be our “promoter” as such term is defined under the federal securities laws.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Transfers of Founder Shares and Private Placement Shares</w:t>
      </w:r>
    </w:p>
    <w:p>
      <w:pPr>
        <w:spacing w:after="0" w:line="189" w:lineRule="exact"/>
        <w:rPr>
          <w:sz w:val="20"/>
          <w:szCs w:val="20"/>
          <w:color w:val="auto"/>
        </w:rPr>
      </w:pPr>
    </w:p>
    <w:p>
      <w:pPr>
        <w:ind w:right="39"/>
        <w:spacing w:after="0" w:line="232" w:lineRule="auto"/>
        <w:rPr>
          <w:sz w:val="20"/>
          <w:szCs w:val="20"/>
          <w:color w:val="auto"/>
        </w:rPr>
      </w:pPr>
      <w:r>
        <w:rPr>
          <w:rFonts w:ascii="Arial" w:cs="Arial" w:eastAsia="Arial" w:hAnsi="Arial"/>
          <w:sz w:val="17"/>
          <w:szCs w:val="17"/>
          <w:color w:val="auto"/>
        </w:rPr>
        <w:t>The founder shares and private placement shares are each subject to transfer restrictions pursuant to lock-up provisions in the agreements entered into by our sponsor and management team. Our sponsor and our management team have agreed not to transfer, assign or sell (i) any of their founder shares until the earliest of (A) one year after the completion of our initial business combination and (B) subsequent to our initial business combination, (x) if the closing price of our Class A ordinary shares equals or exceeds $12.00 per share (as adjusted for share splits, share capitalizations, reorganizations, recapitalizations and the like) for any 20 trading days within any 30-trading day period commencing at least 150 days after our initial business combination, or (y) the date on which we complete a liquidation, merger, share exchange, reorganization or other similar transaction that results in all of our public shareholders having the right to exchange their ordinary shares for cash, securities or other property, and (ii) any of their private placement shares until 30 days after the completion of our initial business combination. The foregoing restrictions are not applicable to transfers (a) to our officers or directors, any affiliates or family members of any of our officers or directors, any members or partners of our sponsor or their affiliates, any affiliates of our sponsor, or any employees of such affiliates; (b) in the case of an individual, by gift to a member of one of the individual’s immediate family or to a trust, the beneficiary of which is a member of the individual’s immediate family, an affiliate of such person or to a charitable organization; (c) in the case of an individual, by virtue of laws of descent and distribution upon death of the individual;</w:t>
      </w:r>
    </w:p>
    <w:p>
      <w:pPr>
        <w:spacing w:after="0" w:line="1" w:lineRule="exact"/>
        <w:rPr>
          <w:sz w:val="20"/>
          <w:szCs w:val="20"/>
          <w:color w:val="auto"/>
        </w:rPr>
      </w:pPr>
    </w:p>
    <w:p>
      <w:pPr>
        <w:ind w:right="19" w:firstLine="8"/>
        <w:spacing w:after="0" w:line="233" w:lineRule="auto"/>
        <w:tabs>
          <w:tab w:leader="none" w:pos="256"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in the case of an individual, pursuant to a qualified domestic relations order; (e) by private sales or transfers made in connection with the consummation of a business combination at prices no greater than the price at which the founder shares or private placement shares, as applicable, were originally purchased; (f) by virtue of our sponsor’s organizational documents upon liquidation or dissolution of our sponsor; (g) to the Company for no value for cancellation in connection with the consummation of our initial business combination; (h) in the event of our liquidation prior to the completion of our initial business combination; or (i) in the event of our completion of a liquidation, merger, share exchange or other similar transaction which results in all of our public shareholders having the right to exchange their Class A ordinary shares for cash, securities or other property subsequent to our completion of our initial business combination;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the case of clauses (a) through (f) these permitted transferees must enter into a written agreement agreeing to be bound by these transfer restrictions and the other restrictions contained in the letter agreement.</w:t>
      </w: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bookmarkStart w:id="107" w:name="page108"/>
    <w:bookmarkEnd w:id="10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88" w:lineRule="exact"/>
        <w:rPr>
          <w:sz w:val="20"/>
          <w:szCs w:val="20"/>
          <w:color w:val="auto"/>
        </w:rPr>
      </w:pPr>
    </w:p>
    <w:p>
      <w:pPr>
        <w:ind w:right="120"/>
        <w:spacing w:after="0" w:line="232" w:lineRule="auto"/>
        <w:rPr>
          <w:sz w:val="20"/>
          <w:szCs w:val="20"/>
          <w:color w:val="auto"/>
        </w:rPr>
      </w:pPr>
      <w:r>
        <w:rPr>
          <w:rFonts w:ascii="Arial" w:cs="Arial" w:eastAsia="Arial" w:hAnsi="Arial"/>
          <w:sz w:val="17"/>
          <w:szCs w:val="17"/>
          <w:color w:val="auto"/>
        </w:rPr>
        <w:t>On April 2, 2020, we issued 3,593,750 founder shares to our sponsor in exchange for a capital contribution of $25,000, or approximately $0.007 per share. In April , 2020, our sponsor transferred 30,000 founder shares to each of</w:t>
      </w:r>
    </w:p>
    <w:p>
      <w:pPr>
        <w:ind w:right="40"/>
        <w:spacing w:after="0" w:line="233" w:lineRule="auto"/>
        <w:rPr>
          <w:sz w:val="20"/>
          <w:szCs w:val="20"/>
          <w:color w:val="auto"/>
        </w:rPr>
      </w:pPr>
      <w:r>
        <w:rPr>
          <w:rFonts w:ascii="Arial" w:cs="Arial" w:eastAsia="Arial" w:hAnsi="Arial"/>
          <w:sz w:val="17"/>
          <w:szCs w:val="17"/>
          <w:color w:val="auto"/>
        </w:rPr>
        <w:t>Messrs. , and . Such shares will not be subject to forfeiture in the event the underwriters’ over-allotment option is not exercised. The number of founder shares issued was determined based on the expectation that such founder shares would represent 20% of the issued and outstanding shares (excluding the private placement shares) upon completion of this offering. If we increase or decrease the size of this offering, we will effect a share capitalization or a share surrender or other appropriate mechanism, as applicable, with respect to our Class B ordinary shares immediately prior to the consummation of the offering in such amount as to maintain the ownership of our initial shareholders (and their permitted transferees, if any) at 20% of the issued and outstanding ordinary shares (excluding the private placement shares) upon the consummation of this offering. Up to 468,750 founder shares held by our sponsor are subject to forfeiture by our sponsor depending on the extent to which the underwriters’ over-allotment option is exercised. The founder shares (including the Class A ordinary shares issuable upon exercise thereof) may not, subject to certain limited exceptions, be transferred, assigned or sold by the holder.</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Our sponsor has committed, pursuant to a written agreement, to purchase 450,000 private placement shares</w:t>
      </w:r>
    </w:p>
    <w:p>
      <w:pPr>
        <w:ind w:right="120"/>
        <w:spacing w:after="0" w:line="235" w:lineRule="auto"/>
        <w:rPr>
          <w:sz w:val="20"/>
          <w:szCs w:val="20"/>
          <w:color w:val="auto"/>
        </w:rPr>
      </w:pPr>
      <w:r>
        <w:rPr>
          <w:rFonts w:ascii="Arial" w:cs="Arial" w:eastAsia="Arial" w:hAnsi="Arial"/>
          <w:sz w:val="17"/>
          <w:szCs w:val="17"/>
          <w:color w:val="auto"/>
        </w:rPr>
        <w:t>(or 487,500 private placement shares if the over-allotment option is exercised in full) for a purchase price of $10.00 per share in a private placement that will occur simultaneously with the closing of this offering. As such, our sponsor’s interest in this transaction is valued at between $4,500,000 and $4,875,000, depending on the number of private placement shares purchased. The private placement shares may not, subject to certain limited exceptions, be transferred, assigned or sold by the holder.</w:t>
      </w:r>
    </w:p>
    <w:p>
      <w:pPr>
        <w:spacing w:after="0" w:line="150"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As more fully discussed in the section of this prospectus entitled “Management — Conflicts of Interest,” if any of our officers or directors becomes aware of a business combination opportunity that falls within the line of business of any entity to which he or she has then-current fiduciary or contractual obligations, he or she will honor his or her fiduciary or contractual obligations to present such opportunity to such entity. Our officers and directors currently have certain relevant fiduciary duties or contractual obligations that may take priority over their duties to us.</w:t>
      </w:r>
    </w:p>
    <w:p>
      <w:pPr>
        <w:spacing w:after="0" w:line="162" w:lineRule="exact"/>
        <w:rPr>
          <w:sz w:val="20"/>
          <w:szCs w:val="20"/>
          <w:color w:val="auto"/>
        </w:rPr>
      </w:pPr>
    </w:p>
    <w:p>
      <w:pPr>
        <w:spacing w:after="0" w:line="204" w:lineRule="auto"/>
        <w:rPr>
          <w:sz w:val="20"/>
          <w:szCs w:val="20"/>
          <w:color w:val="auto"/>
        </w:rPr>
      </w:pPr>
      <w:r>
        <w:rPr>
          <w:rFonts w:ascii="Arial" w:cs="Arial" w:eastAsia="Arial" w:hAnsi="Arial"/>
          <w:sz w:val="17"/>
          <w:szCs w:val="17"/>
          <w:color w:val="auto"/>
        </w:rPr>
        <w:t>We currently maintain our executive offices at 51 Astor Place, 10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New York 10003. The cost for our use of this space is included in the $10,000 per month fee we will pay to our sponsor for office space, administrative and support services, commencing on the date that our securities are first listed on the Nasdaq. Upon completion of our initial business combination or our liquidation, we will cease paying these monthly fees.</w:t>
      </w:r>
    </w:p>
    <w:p>
      <w:pPr>
        <w:spacing w:after="0" w:line="161"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No compensation of any kind, including finder’s and consulting fees, will be paid to our sponsor, officers and directors, or any of their respective affiliates, for services rendered prior to or in connection with the completion of an initial business combination. However, these individuals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by us to our sponsor, officers, directors or our or their affiliates and will determine which expenses and the amount of expenses that will be reimbursed. There is no cap or ceiling on the reimbursement of out-of-pocket expenses incurred by such persons in connection with activities on our behalf.</w:t>
      </w:r>
    </w:p>
    <w:p>
      <w:pPr>
        <w:spacing w:after="0" w:line="149" w:lineRule="exact"/>
        <w:rPr>
          <w:sz w:val="20"/>
          <w:szCs w:val="20"/>
          <w:color w:val="auto"/>
        </w:rPr>
      </w:pPr>
    </w:p>
    <w:p>
      <w:pPr>
        <w:ind w:right="240"/>
        <w:spacing w:after="0" w:line="236" w:lineRule="auto"/>
        <w:rPr>
          <w:sz w:val="20"/>
          <w:szCs w:val="20"/>
          <w:color w:val="auto"/>
        </w:rPr>
      </w:pPr>
      <w:r>
        <w:rPr>
          <w:rFonts w:ascii="Arial" w:cs="Arial" w:eastAsia="Arial" w:hAnsi="Arial"/>
          <w:sz w:val="17"/>
          <w:szCs w:val="17"/>
          <w:color w:val="auto"/>
        </w:rPr>
        <w:t>Our sponsor may loan us funds to be used for a portion of the expenses of this offering. These loans would be non-interest bearing, unsecured and are due at the earlier of December 31, 2020 and the closing of this offering. The loan will be repaid upon the closing of this offering out of the estimated $1,000,000 of offering proceeds that has been allocated to the payment of offering expenses and that is not held in the trust account.</w:t>
      </w:r>
    </w:p>
    <w:p>
      <w:pPr>
        <w:spacing w:after="0" w:line="163"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If we complete an initial business combination, we may repay such loaned amounts out of the proceeds of the trust account released to us. In the event that the initial business combination does not close, we may use a portion of the working capital held outside the trust account to repay such loaned amounts but no proceeds from our trust account would be used for such repayment. Up to $1,500,000 of such loans may be convertible into shares at a price of $10.00 per share at the option of the lender. The shares would be identical to the private placement shares. The terms of such loans by our officers and directors, if any, have not been determined and no written agreements exist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108" w:name="page109"/>
    <w:bookmarkEnd w:id="10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540"/>
        <w:spacing w:after="0" w:line="238" w:lineRule="auto"/>
        <w:rPr>
          <w:sz w:val="20"/>
          <w:szCs w:val="20"/>
          <w:color w:val="auto"/>
        </w:rPr>
      </w:pPr>
      <w:r>
        <w:rPr>
          <w:rFonts w:ascii="Arial" w:cs="Arial" w:eastAsia="Arial" w:hAnsi="Arial"/>
          <w:sz w:val="17"/>
          <w:szCs w:val="17"/>
          <w:color w:val="auto"/>
        </w:rPr>
        <w:t>with respect to such loans. We do not expect to seek loans from parties other than our sponsor, members of our management team or any of their affiliates as we do not believe third parties will be willing to loan such funds and provide a waiver against any and all rights to seek access to funds in our trust account.</w:t>
      </w:r>
    </w:p>
    <w:p>
      <w:pPr>
        <w:spacing w:after="0" w:line="16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After our initial business combination, members of our management team who remain with us may be paid consulting, management or other fees from the combined company with any and all amounts being fully disclosed to our shareholders, to the extent then known, in the tender offer or proxy solicitation materials, as applicable, furnished to our shareholders. It is unlikely the amount of such compensation will be known at the time of distribution of such tender offer materials or at the time of a shareholder meeting held to consider our initial business combination, as applicable, as it will be up to the directors of the post-combination business to determine executive and director compensation.</w:t>
      </w:r>
    </w:p>
    <w:p>
      <w:pPr>
        <w:spacing w:after="0" w:line="161"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We will enter into a registration and shareholder rights agreement pursuant to which our initial shareholders, and their permitted transferees, if any, will be entitled to certain registration rights with respect to the private placement shares, including the private placement shares issuable upon conversion of working capital loans (if any) and the Class A ordinary shares issuable upon conversion of the founder shares. Further, pursuant to an agreement to be entered into on or prior to the closing of this offering, our sponsor, upon and following consummation of an initial business combination, will be entitled to nominate three individuals for election to our board of directors, as long as the sponsor holds any securities covered by the registration and shareholder rights agreement, which is described under the section of this prospectus entitled “Description of Securities — Registration and Shareholder Rights.”</w:t>
      </w:r>
    </w:p>
    <w:p>
      <w:pPr>
        <w:spacing w:after="0" w:line="149"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Our sponsor has indicated an interest to purchase up to an aggregate of $25,000,000 of our ordinary shares in a private placement that would occur concurrently with the consummation of our initial business combination. The funds from such private placement would be used as part of the consideration to the sellers in our initial business combination, and any excess funds from such private placement would be used for working capital in the post-business combination company. However, because indications of interest are not binding agreements or commitments to purchase, our sponsor may determine not to purchase any such shares, or to purchase fewer shares than it has indicated an interest in purchasing. Furthermore, we are not under any obligation to sell any such shares. Such investment would be made on terms and conditions determined at the time of the business combination.</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Policy for Approval of Related Party Transactions</w:t>
      </w:r>
    </w:p>
    <w:p>
      <w:pPr>
        <w:spacing w:after="0" w:line="176"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The audit committee of our board of directors will adopt a charter, providing for the review, approval and/or ratification of “related party transactions,” which are those transactions required to be disclosed pursuant to Item 404 of Regulation S-K as promulgated by the SEC, by the audit committee. At its meetings, the audit committee shall be provided with the details of each new, existing, or proposed related party transaction, including the terms of the transaction, any contractual restrictions that the company has already committed to, the business purpose of the transaction, and the benefits of the transaction to the company and to the relevant related party. Any member of the committee who has an interest in the related party transaction under review by the committee shall abstain from voting on the approval of the related party transaction, but may, if so requested by the chairman of the committee, participate in some or all of the committee’s discussions of the related party transaction. Upon completion of its review of the related party transaction, the committee may determine to permit or to prohibit the related party transaction.</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109" w:name="page110"/>
    <w:bookmarkEnd w:id="10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SECURITIES</w:t>
      </w:r>
    </w:p>
    <w:p>
      <w:pPr>
        <w:spacing w:after="0" w:line="188" w:lineRule="exact"/>
        <w:rPr>
          <w:sz w:val="20"/>
          <w:szCs w:val="20"/>
          <w:color w:val="auto"/>
        </w:rPr>
      </w:pPr>
    </w:p>
    <w:p>
      <w:pPr>
        <w:ind w:right="39"/>
        <w:spacing w:after="0" w:line="234" w:lineRule="auto"/>
        <w:rPr>
          <w:sz w:val="20"/>
          <w:szCs w:val="20"/>
          <w:color w:val="auto"/>
        </w:rPr>
      </w:pPr>
      <w:r>
        <w:rPr>
          <w:rFonts w:ascii="Arial" w:cs="Arial" w:eastAsia="Arial" w:hAnsi="Arial"/>
          <w:sz w:val="17"/>
          <w:szCs w:val="17"/>
          <w:color w:val="auto"/>
        </w:rPr>
        <w:t>We are a Cayman Islands exempted company and our affairs will be governed by our amended and restated memorandum and articles of association, the Companies Law and the common law of the Cayman Islands. Pursuant to our amended and restated memorandum and articles of association which will be adopted prior to the consummation of this offering, we will be authorized to issue 479,000,000 Class A ordinary shares and 20,000,000 Class B ordinary shares, as well as 1,000,000 preference shares, $0.0001 par value each. The following description summarizes certain terms of our shares as set out more particularly in our amended and restated memorandum and articles of association. Because it is only a summary, it may not contain all the information that is important to you.</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Ordinary Shares</w:t>
      </w:r>
    </w:p>
    <w:p>
      <w:pPr>
        <w:spacing w:after="0" w:line="189" w:lineRule="exact"/>
        <w:rPr>
          <w:sz w:val="20"/>
          <w:szCs w:val="20"/>
          <w:color w:val="auto"/>
        </w:rPr>
      </w:pPr>
    </w:p>
    <w:p>
      <w:pPr>
        <w:ind w:right="59"/>
        <w:spacing w:after="0" w:line="235" w:lineRule="auto"/>
        <w:rPr>
          <w:sz w:val="20"/>
          <w:szCs w:val="20"/>
          <w:color w:val="auto"/>
        </w:rPr>
      </w:pPr>
      <w:r>
        <w:rPr>
          <w:rFonts w:ascii="Arial" w:cs="Arial" w:eastAsia="Arial" w:hAnsi="Arial"/>
          <w:sz w:val="17"/>
          <w:szCs w:val="17"/>
          <w:color w:val="auto"/>
        </w:rPr>
        <w:t>Prior to the date of this prospectus, there were 3,593,750 Class B ordinary shares issued and outstanding, all of which were held of record by our initial shareholders, so that our initial shareholders will own 20% of our issued and outstanding shares (excluding the private placement shares and assuming our initial shareholders do not purchase any shares in this offering) after this offering. Upon the closing of this offering, 16,075,000 of our ordinary shares will be outstanding (assuming no exercise of the underwriters’ over-allotment option) including:</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12,500,000 Class A ordinary shares issued as part of this offering;</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450,000 private placement shares issued simultaneously with the closing of this offering; and</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3,125,000 Class B ordinary shares held by our initial shareholders.</w:t>
      </w:r>
    </w:p>
    <w:p>
      <w:pPr>
        <w:spacing w:after="0" w:line="169" w:lineRule="exact"/>
        <w:rPr>
          <w:sz w:val="20"/>
          <w:szCs w:val="20"/>
          <w:color w:val="auto"/>
        </w:rPr>
      </w:pPr>
    </w:p>
    <w:p>
      <w:pPr>
        <w:ind w:right="79"/>
        <w:spacing w:after="0" w:line="235" w:lineRule="auto"/>
        <w:rPr>
          <w:sz w:val="20"/>
          <w:szCs w:val="20"/>
          <w:color w:val="auto"/>
        </w:rPr>
      </w:pPr>
      <w:r>
        <w:rPr>
          <w:rFonts w:ascii="Arial" w:cs="Arial" w:eastAsia="Arial" w:hAnsi="Arial"/>
          <w:sz w:val="17"/>
          <w:szCs w:val="17"/>
          <w:color w:val="auto"/>
        </w:rPr>
        <w:t>If we increase or decrease the size of this offering, we will effect a share capitalization or share compulsory redemption or redemption or other appropriate mechanism, as applicable, with respect to our Class B ordinary shares immediately prior to the consummation of this offering in such amount as to maintain the ownership of our initial shareholders (and their permitted transferees, if any) at 20% of our issued and outstanding ordinary shares (excluding the private placement shares) upon the consummation of this offering.</w:t>
      </w:r>
    </w:p>
    <w:p>
      <w:pPr>
        <w:spacing w:after="0" w:line="150" w:lineRule="exact"/>
        <w:rPr>
          <w:sz w:val="20"/>
          <w:szCs w:val="20"/>
          <w:color w:val="auto"/>
        </w:rPr>
      </w:pPr>
    </w:p>
    <w:p>
      <w:pPr>
        <w:ind w:right="19"/>
        <w:spacing w:after="0" w:line="233" w:lineRule="auto"/>
        <w:rPr>
          <w:sz w:val="20"/>
          <w:szCs w:val="20"/>
          <w:color w:val="auto"/>
        </w:rPr>
      </w:pPr>
      <w:r>
        <w:rPr>
          <w:rFonts w:ascii="Arial" w:cs="Arial" w:eastAsia="Arial" w:hAnsi="Arial"/>
          <w:sz w:val="17"/>
          <w:szCs w:val="17"/>
          <w:color w:val="auto"/>
        </w:rPr>
        <w:t>Ordinary shareholders of record are entitled to one vote for each share held on all matters to be voted on by shareholders. Except as described below, holders of Class A ordinary shares and holders of Class B ordinary shares will vote together as a single class on all matters submitted to a vote of our shareholders except as required by law. Unless specified in our amended and restated memorandum and articles of association, or as required by applicable provisions of the Companies Law or applicable stock exchange rules, the affirmative vote of a majority of our ordinary shares that are voted is required to approve any such matter voted on by our shareholders. Approval of certain actions will require a special resolution under Cayman Islands law, being the affirmative vote of at least two-thirds of our ordinary shares that are voted, and pursuant to our amended and restated memorandum and articles of association; such actions include amending our amended and restated memorandum and articles of association and approving a statutory merger or consolidation with another company. Our board of directors is divided into three classes, each of which will generally serve for terms of three years with only one class of directors being elected in each year. There is no cumulative voting with respect to the election of directors, with the result that the holders of more than 50% of the shares voted for the election of directors can elect all of the directors. Our shareholders are entitled to receive ratable dividends when, as and if declared by the board of directors out of funds legally available therefor. Prior to our initial business combination, only holders of our founder shares will have the right to vote on the election of directors. Holders of our public shares will not be entitled to vote on the election of directors during such time. In addition, prior to the completion of an initial business combination, holders of a majority of our founder shares may remove a member of the board of directors for any reason. The provisions of our amended and restated memorandum and articles of association governing the appointment or removal of directors prior to our initial business combination may only be amended by a special resolution passed by holders representing at least two-thirds of our outstanding Class B ordinary shares.</w:t>
      </w:r>
    </w:p>
    <w:p>
      <w:pPr>
        <w:spacing w:after="0" w:line="160" w:lineRule="exact"/>
        <w:rPr>
          <w:sz w:val="20"/>
          <w:szCs w:val="20"/>
          <w:color w:val="auto"/>
        </w:rPr>
      </w:pPr>
    </w:p>
    <w:p>
      <w:pPr>
        <w:ind w:right="19"/>
        <w:spacing w:after="0" w:line="235" w:lineRule="auto"/>
        <w:rPr>
          <w:sz w:val="20"/>
          <w:szCs w:val="20"/>
          <w:color w:val="auto"/>
        </w:rPr>
      </w:pPr>
      <w:r>
        <w:rPr>
          <w:rFonts w:ascii="Arial" w:cs="Arial" w:eastAsia="Arial" w:hAnsi="Arial"/>
          <w:sz w:val="17"/>
          <w:szCs w:val="17"/>
          <w:color w:val="auto"/>
        </w:rPr>
        <w:t>Because our amended and restated memorandum and articles of association will authorize the issuance of up to 479,000,000 Class A ordinary shares, if we were to enter into a business combination, we may (depending on the terms of such a business combination) be required to increase the number of Class A ordinary shares which we are authorized to issue at the same time as our shareholders vote on the business combination to the extent we seek shareholder approval in connection with our initial business combination.</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bookmarkStart w:id="110" w:name="page111"/>
    <w:bookmarkEnd w:id="11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Our board of directors is divided into three classes with only one class of directors being elected in each year and each class (except for those directors appointed prior to our first annual meeting of shareholders) serving a three-year term. In accordance with Nasdaq corporate governance requirements, we are not required to hold an annual meeting until one year after our first fiscal year end following our listing on Nasdaq. As an exempted company, there is no requirement under the Companies Law for us to hold annual or shareholder meetings to elect directors. We may not hold an annual meeting of shareholders to elect new directors prior to the consummation of our initial business combination. Prior to the completion of an initial business combination, any vacancy on the board of directors may be filled by a nominee chosen by holders of a majority of our founder shares. In addition, prior to the completion of an initial business combination, holders of a majority of our founder shares may remove a member of the board of directors for any reason.</w:t>
      </w:r>
    </w:p>
    <w:p>
      <w:pPr>
        <w:spacing w:after="0" w:line="168"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We will provide our public shareholders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our initial business combination, including interest earned on the funds held in the trust account and not previously released to us to pay our income taxes, if any, divided by the number of the then-outstanding public shares, subject to the limitations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The redemption rights may include the requirement that a beneficial owner must identify itself in order to valid redeem its shares. Our sponsor and our management team have entered into an agreement with us, pursuant to which they have agreed to waive their redemption rights with respect to their founder shares, private placement shares and any public shares purchased during or after this offering in connection with (i) the completion of our initial business combination and (ii) a shareholder vote to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 Unlike many blank check companies that hold shareholder votes and conduct proxy solicitations in conjunction with their initial business combinations and provide for related redemptions of public shares for cash upon completion of such initial business combinations even when a vote is not required by law, if a shareholder vote is not required by applicable law or stock exchange rule and we do not decide to hold a shareholder vote for business or other reasons, we will, pursuant to our amended and restated memorandum and articles of association, conduct the redemptions pursuant to the tender offer rules of the SEC, and file tender offer documents with the SEC prior to completing our initial business combination. Our amended and restated memorandum and articles of association will require these tender offer documents to contain substantially the same financial and other information about the initial business combination and the redemption rights as is required under the SEC’s proxy rules. If, however, a shareholder approval of the transaction is required by applicable law or stock exchange rule, or we decide to obtain shareholder approval for business or other reasons, we will, like many blank check companies, offer to redeem shares in conjunction with a proxy solicitation pursuant to the proxy rules and not pursuant to the tender offer rules. If we seek shareholder approval, we will complete our initial business combination only if a majority of the ordinary shares, represented in person or by proxy and entitled to vote thereon, voted at a shareholder meeting are voted in favor of the business combination. However, the participation of our sponsor, officers, directors, advisors or their affiliates in privately-negotiated transactions (as described in this prospectus), if any, could result in the approval of our initial business combination even if a majority of our public shareholders vote, or indicate their intention to vote, against such initial business combination unless restricted by applicable Nasdaq rules. For purposes of seeking approval of the majority of our issued and outstanding ordinary shares, non-votes will have no effect on the approval of our initial business combination once a quorum is obtained. Our amended and restated memorandum and articles of association will require that at least five clear days’ notice will be given of any shareholder meeting.</w:t>
      </w:r>
    </w:p>
    <w:p>
      <w:pPr>
        <w:spacing w:after="0" w:line="177" w:lineRule="exact"/>
        <w:rPr>
          <w:sz w:val="20"/>
          <w:szCs w:val="20"/>
          <w:color w:val="auto"/>
        </w:rPr>
      </w:pPr>
    </w:p>
    <w:p>
      <w:pPr>
        <w:ind w:right="120"/>
        <w:spacing w:after="0" w:line="234"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redeeming its shares with respect to Excess Shares, without our prior consent. However, we would not be restricting our shareholders’ ability to vote all of their shares (including Excess Shares) for or against our</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111" w:name="page112"/>
    <w:bookmarkEnd w:id="11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240"/>
        <w:spacing w:after="0" w:line="235" w:lineRule="auto"/>
        <w:rPr>
          <w:sz w:val="20"/>
          <w:szCs w:val="20"/>
          <w:color w:val="auto"/>
        </w:rPr>
      </w:pPr>
      <w:r>
        <w:rPr>
          <w:rFonts w:ascii="Arial" w:cs="Arial" w:eastAsia="Arial" w:hAnsi="Arial"/>
          <w:sz w:val="17"/>
          <w:szCs w:val="17"/>
          <w:color w:val="auto"/>
        </w:rPr>
        <w:t>initial business combination. Our shareholders’ inability to redeem the Excess Shares will reduce their influence over our ability to complete our initial business combination, and such shareholders could suffer a material loss in their investment if they sell such Excess Shares on the open market. Additionally, such shareholders will not receive redemption distributions with respect to the Excess Shares if we complete our initial business combination. And, as a result, such shareholders will continue to hold that number of shares exceeding 15% and, in order to dispose such shares would be required to sell their shares in open market transactions, potentially at a loss.</w:t>
      </w:r>
    </w:p>
    <w:p>
      <w:pPr>
        <w:spacing w:after="0" w:line="161"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If we seek shareholder approval, we will complete our initial business combination only if a majority of the ordinary shares, represented in person or by proxy and entitled to vote thereon, voted at a shareholder meeting are voted in favor of the business combination. In such case, our sponsor and each member of our management team have agreed to vote their founder shares, private placement shares and public shares purchased during or after this offering in favor of our initial business combination. As a result, in addition to our initial shareholders’ founder shares and private placement shares, we would need 4,462,501, or 35.70%, of the 12,500,000 public shares sold in this offering to be voted in favor of an initial business combination in order to have our initial business combination approved (assuming all issued and outstanding shares are voted, the private placement shares to be issued to our sponsor are voted in favor of the transaction and the over-allotment option is not exercised). The other members of our management team are subject to the same arrangements with respect to any public shares acquired by them in or after this offering. Additionally, each public shareholder may elect to redeem their public shares irrespective of whether they vote for or against the proposed transaction or vote at all.</w:t>
      </w:r>
    </w:p>
    <w:p>
      <w:pPr>
        <w:spacing w:after="0" w:line="166"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Pursuant to our amended and restated memorandum and articles of association, if we do not consummate an initial business combination within 24 months from the closing of this offering, we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each case of clause (ii) and (iii), to our obligations under Cayman Islands law to provide for claims of creditors and the requirements of other applicable law. Our sponsor and each member of our management team have entered into an agreement with us, pursuant to which they have agreed to waive their rights to liquidating distributions from the trust account with respect to any founder shares or private placement shares they hold if we fail to consummate an initial business combination within 24 months from the closing of this offering (although they will be entitled to liquidating distributions from the trust account with respect to any public shares they hold if we fail to complete our initial business combination within 24 months from the closing of this offering).</w:t>
      </w:r>
    </w:p>
    <w:p>
      <w:pPr>
        <w:spacing w:after="0" w:line="150"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In the event of a liquidation, dissolution or winding up of the company after a business combination, our shareholders are entitled to share ratably in all assets remaining available for distribution to them after payment of liabilities and after provision is made for each class of shares, if any, having preference over the ordinary shares. Our shareholders have no preemptive or other subscription rights. There are no sinking fund provisions applicable to the ordinary shares, except that we will provide our public shareholders with the opportunity to redeem their public shares for cash at a per share price equal to the aggregate amount then on deposit in the trust account, including interest earned on the funds held in the trust account and not previously released to us to pay our income taxes, if any, divided by the number of the then-outstanding public shares, upon the completion of our initial business combination, subject to the limitations described herein.</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Private Placement Shares</w:t>
      </w:r>
    </w:p>
    <w:p>
      <w:pPr>
        <w:spacing w:after="0" w:line="176"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private placement shares will not be transferable or salable until 30 days after the completion of our initial business combination (except, among other limited exceptions as described under “Principal Shareholders — Transfers of Founder Shares and Private Placement Shares,” to our officers and directors and other persons or entities affiliated with our sponsor). Holders of our private placement shares are entitled to certain registration rights. If we do not consummate an initial business combination within 24 months from the closing of this offering, the proceeds from the sale of the private placement shares held in the trust account will be used to fund the redemption of our public shares (subject to the</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112" w:name="page113"/>
    <w:bookmarkEnd w:id="11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120"/>
        <w:spacing w:after="0" w:line="234" w:lineRule="auto"/>
        <w:rPr>
          <w:sz w:val="20"/>
          <w:szCs w:val="20"/>
          <w:color w:val="auto"/>
        </w:rPr>
      </w:pPr>
      <w:r>
        <w:rPr>
          <w:rFonts w:ascii="Arial" w:cs="Arial" w:eastAsia="Arial" w:hAnsi="Arial"/>
          <w:sz w:val="17"/>
          <w:szCs w:val="17"/>
          <w:color w:val="auto"/>
        </w:rPr>
        <w:t>requirements of applicable law) and the private placement shares will be worthless. Further, if we seek shareholder approval, we will complete our initial business combination only if a majority of the ordinary shares, represented in person or by proxy and entitled to vote thereon, voted at a shareholder meeting are voted in favor of the business combination. In such case, our sponsor and each member of our management team have agreed to vote their founder shares, private placement shares and any public shares purchased during or after this offering in favor of our initial business combination. Otherwise, the private placement shares are identical to the Class A ordinary shares sold in this offering.</w:t>
      </w:r>
    </w:p>
    <w:p>
      <w:pPr>
        <w:spacing w:after="0" w:line="164" w:lineRule="exact"/>
        <w:rPr>
          <w:sz w:val="20"/>
          <w:szCs w:val="20"/>
          <w:color w:val="auto"/>
        </w:rPr>
      </w:pPr>
    </w:p>
    <w:p>
      <w:pPr>
        <w:ind w:right="220"/>
        <w:spacing w:after="0" w:line="235" w:lineRule="auto"/>
        <w:rPr>
          <w:sz w:val="20"/>
          <w:szCs w:val="20"/>
          <w:color w:val="auto"/>
        </w:rPr>
      </w:pPr>
      <w:r>
        <w:rPr>
          <w:rFonts w:ascii="Arial" w:cs="Arial" w:eastAsia="Arial" w:hAnsi="Arial"/>
          <w:sz w:val="17"/>
          <w:szCs w:val="17"/>
          <w:color w:val="auto"/>
        </w:rPr>
        <w:t>Our sponsor and our management team have agreed not to transfer, assign or sell any of their private placement shares, until 30 days after the completion of our initial business combination, except that, among other limited exceptions as described under the section of this prospectus entitled “Principal Shareholders — Transfers of Founder Shares and Private Placement Shares,” to our officers and directors and other persons or entities affiliated with our sponsor” made to our officers and directors and other persons or entities affiliated with our sponsor.</w:t>
      </w:r>
    </w:p>
    <w:p>
      <w:pPr>
        <w:spacing w:after="0" w:line="163"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In order to fund working capital deficiencies or finance transaction costs in connection with an intended initial business combination, our sponsor or an affiliate of our sponsor or certain of our officers and directors may, but are not obligated to, loan us funds as may be required. Up to $1,500,000 of such loans may be convertible into shares of the post-business combination company at a price of $10.00 per share at the option of the lender. Such shares would be identical to the private placement shares.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Founder Shares</w:t>
      </w:r>
    </w:p>
    <w:p>
      <w:pPr>
        <w:spacing w:after="0" w:line="189"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The founder shares are designated as Class B ordinary shares and, except as described below, are identical to the Class A ordinary shares being sold in this offering, and holders of founder shares have the same shareholder rights as public shareholders, except that:</w:t>
      </w:r>
    </w:p>
    <w:p>
      <w:pPr>
        <w:spacing w:after="0" w:line="9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founder shares are subject to certain transfer restrictions, as described in more detail below;</w:t>
      </w:r>
    </w:p>
    <w:p>
      <w:pPr>
        <w:spacing w:after="0" w:line="102" w:lineRule="exact"/>
        <w:rPr>
          <w:sz w:val="20"/>
          <w:szCs w:val="20"/>
          <w:color w:val="auto"/>
        </w:rPr>
      </w:pPr>
    </w:p>
    <w:p>
      <w:pPr>
        <w:ind w:left="580" w:right="20"/>
        <w:spacing w:after="0" w:line="233" w:lineRule="auto"/>
        <w:rPr>
          <w:sz w:val="20"/>
          <w:szCs w:val="20"/>
          <w:color w:val="auto"/>
        </w:rPr>
      </w:pPr>
      <w:r>
        <w:rPr>
          <w:rFonts w:ascii="Arial" w:cs="Arial" w:eastAsia="Arial" w:hAnsi="Arial"/>
          <w:sz w:val="17"/>
          <w:szCs w:val="17"/>
          <w:color w:val="auto"/>
        </w:rPr>
        <w:t>our sponsor and our management team have entered into an agreement with us, pursuant to which they have agreed to (i) waive their redemption rights with respect to any founder shares, private placement shares and public shares they hold, (ii) to waive their redemption rights with respect to any founder shares, private placement shares and any public shares purchased during or after this offering in connection with a shareholder vote to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 and (iii) waive their rights to liquidating distributions from the trust account with respect to any founder shares or private placement shares they hold if we fail to consummate an initial business combination within 24 months from the closing of this offering (although they will be entitled to liquidating distributions from the trust account with respect to any public shares they hold if we fail to complete our initial business combination within 24 months from the closing of this offering);</w:t>
      </w:r>
    </w:p>
    <w:p>
      <w:pPr>
        <w:spacing w:after="0" w:line="97" w:lineRule="exact"/>
        <w:rPr>
          <w:sz w:val="20"/>
          <w:szCs w:val="20"/>
          <w:color w:val="auto"/>
        </w:rPr>
      </w:pPr>
    </w:p>
    <w:p>
      <w:pPr>
        <w:ind w:left="580"/>
        <w:spacing w:after="0" w:line="238" w:lineRule="auto"/>
        <w:rPr>
          <w:sz w:val="20"/>
          <w:szCs w:val="20"/>
          <w:color w:val="auto"/>
        </w:rPr>
      </w:pPr>
      <w:r>
        <w:rPr>
          <w:rFonts w:ascii="Arial" w:cs="Arial" w:eastAsia="Arial" w:hAnsi="Arial"/>
          <w:sz w:val="17"/>
          <w:szCs w:val="17"/>
          <w:color w:val="auto"/>
        </w:rPr>
        <w:t>the founder shares will automatically convert into our Class A ordinary shares at the time of our initial business combination as described below adjacent to the caption “Founder shares conversion and anti-dilution rights” and in our amended and restated memorandum and articles of association; and</w:t>
      </w:r>
    </w:p>
    <w:p>
      <w:pPr>
        <w:spacing w:after="0" w:line="9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founder shares are entitled to registration rights.</w:t>
      </w:r>
    </w:p>
    <w:p>
      <w:pPr>
        <w:spacing w:after="0" w:line="156" w:lineRule="exact"/>
        <w:rPr>
          <w:sz w:val="20"/>
          <w:szCs w:val="20"/>
          <w:color w:val="auto"/>
        </w:rPr>
      </w:pPr>
    </w:p>
    <w:p>
      <w:pPr>
        <w:ind w:right="40"/>
        <w:spacing w:after="0"/>
        <w:rPr>
          <w:sz w:val="20"/>
          <w:szCs w:val="20"/>
          <w:color w:val="auto"/>
        </w:rPr>
      </w:pPr>
      <w:r>
        <w:rPr>
          <w:rFonts w:ascii="Arial" w:cs="Arial" w:eastAsia="Arial" w:hAnsi="Arial"/>
          <w:sz w:val="17"/>
          <w:szCs w:val="17"/>
          <w:color w:val="auto"/>
        </w:rPr>
        <w:t>If we submit our initial business combination to our public shareholders for a vote, our sponsor and our management team have agreed to vote their founder shares, private placement shares and any public shares purchased during or after this offering in favor of our initial business combination. If we seek shareholder approval, we will complete our initial business combination only if a majority of the ordinary shares, represented in person or by proxy and entitled to vote thereon, voted at a shareholder meeting are voted in favor of the business combination. In such case, our sponsor and each member of our management team have agreed to vote their founder shares, private placement shares and any public shares purchased during or after this offering in favor of our initial business combination. As a result, in addition to our initial shareholders’ founder shares and private placement shares, we would need 4,462,501, or 35.70%, of the</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113" w:name="page114"/>
    <w:bookmarkEnd w:id="11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12,500,000 public shares sold in this offering to be voted in favor of an initial business combination in order to have our initial business combination approved (assuming all issued and outstanding shares are voted, the private placement shares to be issued to our sponsor are voted in favor of the transaction and the over-allotment option is not exercised);</w:t>
      </w:r>
    </w:p>
    <w:p>
      <w:pPr>
        <w:spacing w:after="0" w:line="161"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The founder shares will automatically convert into Class A ordinary shares on the first business day following the consummation of our initial business combination at a ratio such that the number of Class A ordinary shares issuable upon conversion of all founder shares will equal, in the aggregate, on an as-converted basis, 20% of the sum of (i) the total number of ordinary shares issued and outstanding (excluding the private placement shares) upon completion of this offering, plus (ii) the sum of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shares issued to our sponsor, members of our management team or any of their affiliates upon conversion of working capital loans. In no event will the Class B ordinary shares convert into Class A ordinary shares at a rate of less than one to one.</w:t>
      </w:r>
    </w:p>
    <w:p>
      <w:pPr>
        <w:spacing w:after="0" w:line="167" w:lineRule="exact"/>
        <w:rPr>
          <w:sz w:val="20"/>
          <w:szCs w:val="20"/>
          <w:color w:val="auto"/>
        </w:rPr>
      </w:pPr>
    </w:p>
    <w:p>
      <w:pPr>
        <w:ind w:right="220"/>
        <w:spacing w:after="0" w:line="232" w:lineRule="auto"/>
        <w:rPr>
          <w:sz w:val="20"/>
          <w:szCs w:val="20"/>
          <w:color w:val="auto"/>
        </w:rPr>
      </w:pPr>
      <w:r>
        <w:rPr>
          <w:rFonts w:ascii="Arial" w:cs="Arial" w:eastAsia="Arial" w:hAnsi="Arial"/>
          <w:sz w:val="17"/>
          <w:szCs w:val="17"/>
          <w:color w:val="auto"/>
        </w:rPr>
        <w:t>Except as described herein, our sponsor and our management team have agreed not to transfer, assign or sell any of their founder shares until the earliest of (A) one year after the completion of our initial business combination and</w:t>
      </w:r>
    </w:p>
    <w:p>
      <w:pPr>
        <w:ind w:right="20" w:firstLine="8"/>
        <w:spacing w:after="0" w:line="233" w:lineRule="auto"/>
        <w:tabs>
          <w:tab w:leader="none" w:pos="275" w:val="left"/>
        </w:tabs>
        <w:numPr>
          <w:ilvl w:val="0"/>
          <w:numId w:val="26"/>
        </w:numPr>
        <w:rPr>
          <w:rFonts w:ascii="Arial" w:cs="Arial" w:eastAsia="Arial" w:hAnsi="Arial"/>
          <w:sz w:val="17"/>
          <w:szCs w:val="17"/>
          <w:color w:val="auto"/>
        </w:rPr>
      </w:pPr>
      <w:r>
        <w:rPr>
          <w:rFonts w:ascii="Arial" w:cs="Arial" w:eastAsia="Arial" w:hAnsi="Arial"/>
          <w:sz w:val="17"/>
          <w:szCs w:val="17"/>
          <w:color w:val="auto"/>
        </w:rPr>
        <w:t>subsequent to our initial business combination, (x) if the closing price of our Class A ordinary shares equals or exceeds $12.00 per share (as adjusted for share splits, share capitalizations, reorganizations, recapitalizations and the like) for any 20 trading days within any 30-trading day period commencing at least 150 days after our initial business combination, or (y) the date on which we complete a liquidation, merger, share exchange, reorganization or other similar transaction that results in all of our public shareholders having the right to exchange their ordinary shares for cash, securities or other property. Any permitted transferees will be subject to the same restrictions and other agreements of our sponsor and management team with respect to any founder shares and private placement shares. We refer to such transfer restrictions throughout this prospectus as the lock-up. Notwithstanding the foregoing, if the closing price of our Class A ordinary shares equals or exceeds $12.00 per share (as adjusted for share splits, share capitalizations, reorganizations, recapitalizations and the like) for any 20 trading days within any 30-trading day period commencing at least 150 days after our initial business combination, the founder shares will be released from the lock-up.</w:t>
      </w:r>
    </w:p>
    <w:p>
      <w:pPr>
        <w:spacing w:after="0" w:line="154"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Prior to the completion of our initial business combination, only holders of our founder shares will have the right to vote on the election of directors. Holders of our public shares will not be entitled to vote on the election of directors during such time. In addition, prior to the completion of an initial business combination, holders of a majority of our founder shares may remove a member of the board of directors for any reason. These provisions of our amended and restated memorandum and articles of association may only be amended by a special resolution passed by holders representing at least two-thirds of our outstanding Class B ordinary shares. With respect to any other matter submitted to a vote of our shareholders, including any vote in connection with our initial business combination, except as required by law, holders of our founder shares and holders of our public shares will vote together as a single class, with each share entitling the holder to one vote.</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Register of Members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Under the Companies Law, we must keep a register of members and there should be entered therein:</w:t>
      </w:r>
    </w:p>
    <w:p>
      <w:pPr>
        <w:spacing w:after="0" w:line="102" w:lineRule="exact"/>
        <w:rPr>
          <w:sz w:val="20"/>
          <w:szCs w:val="20"/>
          <w:color w:val="auto"/>
        </w:rPr>
      </w:pPr>
    </w:p>
    <w:p>
      <w:pPr>
        <w:ind w:left="580" w:right="340"/>
        <w:spacing w:after="0" w:line="243" w:lineRule="auto"/>
        <w:rPr>
          <w:sz w:val="20"/>
          <w:szCs w:val="20"/>
          <w:color w:val="auto"/>
        </w:rPr>
      </w:pPr>
      <w:r>
        <w:rPr>
          <w:rFonts w:ascii="Arial" w:cs="Arial" w:eastAsia="Arial" w:hAnsi="Arial"/>
          <w:sz w:val="17"/>
          <w:szCs w:val="17"/>
          <w:color w:val="auto"/>
        </w:rPr>
        <w:t>the names and addresses of the members of the company, a statement of the shares held by each member, which:</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distinguishes each share by its number (so long as the share has a number);</w:t>
      </w:r>
    </w:p>
    <w:p>
      <w:pPr>
        <w:spacing w:after="0" w:line="102" w:lineRule="exact"/>
        <w:rPr>
          <w:sz w:val="20"/>
          <w:szCs w:val="20"/>
          <w:color w:val="auto"/>
        </w:rPr>
      </w:pPr>
    </w:p>
    <w:p>
      <w:pPr>
        <w:ind w:left="920" w:right="1060"/>
        <w:spacing w:after="0" w:line="364" w:lineRule="auto"/>
        <w:rPr>
          <w:sz w:val="20"/>
          <w:szCs w:val="20"/>
          <w:color w:val="auto"/>
        </w:rPr>
      </w:pPr>
      <w:r>
        <w:rPr>
          <w:rFonts w:ascii="Arial" w:cs="Arial" w:eastAsia="Arial" w:hAnsi="Arial"/>
          <w:sz w:val="17"/>
          <w:szCs w:val="17"/>
          <w:color w:val="auto"/>
        </w:rPr>
        <w:t>confirms the amount paid, or agreed to be considered as paid, on the shares of each member; confirms the number and category of shares held by each member; and</w:t>
      </w:r>
    </w:p>
    <w:p>
      <w:pPr>
        <w:spacing w:after="0" w:line="1" w:lineRule="exact"/>
        <w:rPr>
          <w:sz w:val="20"/>
          <w:szCs w:val="20"/>
          <w:color w:val="auto"/>
        </w:rPr>
      </w:pPr>
    </w:p>
    <w:p>
      <w:pPr>
        <w:ind w:left="920" w:right="620"/>
        <w:spacing w:after="0" w:line="243" w:lineRule="auto"/>
        <w:rPr>
          <w:sz w:val="20"/>
          <w:szCs w:val="20"/>
          <w:color w:val="auto"/>
        </w:rPr>
      </w:pPr>
      <w:r>
        <w:rPr>
          <w:rFonts w:ascii="Arial" w:cs="Arial" w:eastAsia="Arial" w:hAnsi="Arial"/>
          <w:sz w:val="17"/>
          <w:szCs w:val="17"/>
          <w:color w:val="auto"/>
        </w:rPr>
        <w:t>confirms whether each relevant category of shares held by a member carries voting rights under the Articles, and if so, whether such voting rights are conditional;</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date on which the name of any person was entered on the register as a member; and</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114" w:name="page115"/>
    <w:bookmarkEnd w:id="11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date on which any person ceased to be a member.</w:t>
      </w:r>
    </w:p>
    <w:p>
      <w:pPr>
        <w:spacing w:after="0" w:line="169" w:lineRule="exact"/>
        <w:rPr>
          <w:sz w:val="20"/>
          <w:szCs w:val="20"/>
          <w:color w:val="auto"/>
        </w:rPr>
      </w:pPr>
    </w:p>
    <w:p>
      <w:pPr>
        <w:jc w:val="both"/>
        <w:ind w:right="360"/>
        <w:spacing w:after="0" w:line="238" w:lineRule="auto"/>
        <w:rPr>
          <w:sz w:val="20"/>
          <w:szCs w:val="20"/>
          <w:color w:val="auto"/>
        </w:rPr>
      </w:pPr>
      <w:r>
        <w:rPr>
          <w:rFonts w:ascii="Arial" w:cs="Arial" w:eastAsia="Arial" w:hAnsi="Arial"/>
          <w:sz w:val="17"/>
          <w:szCs w:val="17"/>
          <w:color w:val="auto"/>
        </w:rPr>
        <w:t>For these purposes, “voting rights” means rights conferred on shareholders, including the right to appoint or remove directors, in respect of their shares to vote at general meetings of the company on all or substantially all matters. A voting right is conditional where the voting right arises only in certain circumstances.</w:t>
      </w:r>
    </w:p>
    <w:p>
      <w:pPr>
        <w:spacing w:after="0" w:line="161"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will be deemed as a matter of Cayman Islands law to have legal title to the shares as set against its name in the register of members. Upon the closing of this public offering, the register of members will be immediately updated to reflect the issue of shares by us. Once our register of members has been updated, the shareholders recorded in the register of members will be deemed to have legal title to the shares set against their name. However, there are certain limited circumstances where an application may be made to a Cayman Islands court for a determination on whether the register of members reflects the correct legal position. Further, the Cayman Islands court has the power to order that the register of members maintained by a company should be rectified where it considers that the register of members does not reflect the correct legal position. If an application for an order for rectification of the register of members were made in respect of our ordinary shares, then the validity of such shares may be subject to re-examination by a Cayman Islands court.</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Preference Shares</w:t>
      </w:r>
    </w:p>
    <w:p>
      <w:pPr>
        <w:spacing w:after="0" w:line="189"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Our amended and restated memorandum and articles of association will authorize 1,000,000 preference shares and will provide that preference shares may be issued from time to time in one or more series. Our board of directors will be authorized to fix the voting rights, if any, designations, powers, preferences, the relative, participating, optional or other special rights and any qualifications, limitations and restrictions thereof, applicable to the shares of each series. Our board of directors will be able to, without shareholder approval, issue preference shares with voting and other rights that could adversely affect the voting power and other rights of the holders of the ordinary shares and could have anti-takeover effects. The ability of our board of directors to issue preference shares without shareholder approval could have the effect of delaying, deferring or preventing a change of control of us or the removal of existing management. We have no preference shares issued and outstanding at the date hereof. Although we do not currently intend to issue any preference shares, we cannot assure you that we will not do so in the future. No preference shares are being issued or registered in this offering.</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189" w:lineRule="exact"/>
        <w:rPr>
          <w:sz w:val="20"/>
          <w:szCs w:val="20"/>
          <w:color w:val="auto"/>
        </w:rPr>
      </w:pPr>
    </w:p>
    <w:p>
      <w:pPr>
        <w:ind w:right="80"/>
        <w:spacing w:after="0" w:line="233" w:lineRule="auto"/>
        <w:rPr>
          <w:sz w:val="20"/>
          <w:szCs w:val="20"/>
          <w:color w:val="auto"/>
        </w:rPr>
      </w:pPr>
      <w:r>
        <w:rPr>
          <w:rFonts w:ascii="Arial" w:cs="Arial" w:eastAsia="Arial" w:hAnsi="Arial"/>
          <w:sz w:val="17"/>
          <w:szCs w:val="17"/>
          <w:color w:val="auto"/>
        </w:rPr>
        <w:t>We have not paid any cash dividends on our ordinary shares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and we will only pay such dividend out of our profits or share premium (subject to solvency requirements) as permitted under Cayman Islands law. If we increase the size of this offering, we will effect a share capitalization or other appropriate mechanism immediately prior to the consummation of this offering in such amount as to maintain the number of founder shares, on an as-converted basis, at 20% of our issued and outstanding ordinary shares (excluding the private placement shares) upon the consummation of this offering. Further, if we incur any indebtedness in connection with a business combination, our ability to declare dividends may be limited by restrictive covenants we may agree to in connection therewith.</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Transfer Agent</w:t>
      </w:r>
    </w:p>
    <w:p>
      <w:pPr>
        <w:spacing w:after="0" w:line="18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transfer agent for our ordinary shares is Continental Stock Transfer &amp; Trust Company. We have agreed to indemnify Continental Stock Transfer &amp; Trust Company in its roles as transfer agent, its agents and each of its shareholders, directors, officers and employees against all claims and losses that may arise out of acts performed or omitted for its activities in that capacity, except for any claims and losses due to any gross negligence or intentional misconduct of the indemnified person or entity.</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115" w:name="page116"/>
    <w:bookmarkEnd w:id="11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Differences in Corporate Law</w:t>
      </w:r>
    </w:p>
    <w:p>
      <w:pPr>
        <w:spacing w:after="0" w:line="189"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Cayman Islands companies are governed by the Companies Law. The Companies Law is modeled on English Law but does not follow recent English Law statutory enactments, and differs from laws applicable to United States corporations and their shareholders. Set forth below is a summary of the material differences between the provisions of the Companies Law applicable to us and the laws applicable to companies incorporated in the United States and their shareholders.</w:t>
      </w:r>
    </w:p>
    <w:p>
      <w:pPr>
        <w:spacing w:after="0" w:line="145"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i w:val="1"/>
          <w:iCs w:val="1"/>
          <w:color w:val="auto"/>
        </w:rPr>
        <w:t>Mergers and Similar Arrangements</w:t>
      </w:r>
      <w:r>
        <w:rPr>
          <w:rFonts w:ascii="Arial" w:cs="Arial" w:eastAsia="Arial" w:hAnsi="Arial"/>
          <w:sz w:val="17"/>
          <w:szCs w:val="17"/>
          <w:color w:val="auto"/>
        </w:rPr>
        <w:t>. In certain circumstances, the Companies Law allows for mergers or consolidations</w:t>
      </w:r>
      <w:r>
        <w:rPr>
          <w:rFonts w:ascii="Arial" w:cs="Arial" w:eastAsia="Arial" w:hAnsi="Arial"/>
          <w:sz w:val="17"/>
          <w:szCs w:val="17"/>
          <w:i w:val="1"/>
          <w:iCs w:val="1"/>
          <w:color w:val="auto"/>
        </w:rPr>
        <w:t xml:space="preserve"> </w:t>
      </w:r>
      <w:r>
        <w:rPr>
          <w:rFonts w:ascii="Arial" w:cs="Arial" w:eastAsia="Arial" w:hAnsi="Arial"/>
          <w:sz w:val="17"/>
          <w:szCs w:val="17"/>
          <w:color w:val="auto"/>
        </w:rPr>
        <w:t>between two Cayman Islands companies, or between a Cayman Islands exempted company and a company incorporated in another jurisdiction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is facilitated by the laws of that other jurisdiction) so as to form a single surviving company.</w:t>
      </w:r>
    </w:p>
    <w:p>
      <w:pPr>
        <w:spacing w:after="0" w:line="144" w:lineRule="exact"/>
        <w:rPr>
          <w:sz w:val="20"/>
          <w:szCs w:val="20"/>
          <w:color w:val="auto"/>
        </w:rPr>
      </w:pPr>
    </w:p>
    <w:p>
      <w:pPr>
        <w:ind w:right="140"/>
        <w:spacing w:after="0" w:line="233" w:lineRule="auto"/>
        <w:rPr>
          <w:sz w:val="20"/>
          <w:szCs w:val="20"/>
          <w:color w:val="auto"/>
        </w:rPr>
      </w:pPr>
      <w:r>
        <w:rPr>
          <w:rFonts w:ascii="Arial" w:cs="Arial" w:eastAsia="Arial" w:hAnsi="Arial"/>
          <w:sz w:val="17"/>
          <w:szCs w:val="17"/>
          <w:color w:val="auto"/>
        </w:rPr>
        <w:t>Where the merger or consolidation is between two Cayman Islands companies, the directors of each company must approve and enter into a written plan of merger or consolidation containing certain prescribed information. That plan or merger or consolidation must then be authorized by either (a) a special resolution (usually a majority of two-thirds in value of the voting shares voted at a shareholder meeting) of the shareholders of each company; or (b) such other authorization, if any, as may be specified in such constituent company’s articles of association. No shareholder resolution is required for a merger between a parent company (i.e., a company that owns at least 90% of the issued shares of each class in a subsidiary company) and its subsidiary company. The consent of each holder of a fixed or floating security interest of a constituent company must be obtained, unless the court waives such requirement. If the Cayman Islands Registrar of Companies is satisfied that the requirements of the Companies Law (which includes certain other formalities) have been complied with, the Registrar of Companies will register the plan of merger or consolidation.</w:t>
      </w:r>
    </w:p>
    <w:p>
      <w:pPr>
        <w:spacing w:after="0" w:line="167"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Where the merger or consolidation involves a foreign company, the procedure is similar, save that with respect to the foreign company, the directors of the Cayman Islands exempted company are required to make a declaration to the effect that, having made due enquiry, they are of the opinion that the requirements set out below have been met: (i) that the merger or consolidation is permitted or not prohibited by the constitutional documents of the foreign company and by the laws of the jurisdiction in which the foreign company is incorporated, and that those laws and any requirements of those constitutional documents have been or will be complied with; (ii) that no petition or other similar proceeding has been filed and remains outstanding or order made or resolution adopted to wind up or liquidate the foreign company in any jurisdictions; (iii) that no receiver, trustee, administrator or other similar person has been appointed in any jurisdiction and is acting in respect of the foreign company, its affairs or its property or any part thereof; and (iv) that no scheme, order, compromise or other similar arrangement has been entered into or made in any jurisdiction whereby the rights of creditors of the foreign company are and continue to be suspended or restricted.</w:t>
      </w:r>
    </w:p>
    <w:p>
      <w:pPr>
        <w:spacing w:after="0" w:line="167" w:lineRule="exact"/>
        <w:rPr>
          <w:sz w:val="20"/>
          <w:szCs w:val="20"/>
          <w:color w:val="auto"/>
        </w:rPr>
      </w:pPr>
    </w:p>
    <w:p>
      <w:pPr>
        <w:ind w:right="100"/>
        <w:spacing w:after="0" w:line="233" w:lineRule="auto"/>
        <w:rPr>
          <w:sz w:val="20"/>
          <w:szCs w:val="20"/>
          <w:color w:val="auto"/>
        </w:rPr>
      </w:pPr>
      <w:r>
        <w:rPr>
          <w:rFonts w:ascii="Arial" w:cs="Arial" w:eastAsia="Arial" w:hAnsi="Arial"/>
          <w:sz w:val="17"/>
          <w:szCs w:val="17"/>
          <w:color w:val="auto"/>
        </w:rPr>
        <w:t>Where the surviving company is the Cayman Islands exempted company, the directors of the Cayman Islands exempted company are further required to make a declaration to the effect that, having made due enquiry, they are of the opinion that the requirements set out below have been met: (i) that the foreign company is able to pay its debts as they fall due and that the merger or consolidated is bona fide and not intended to defraud unsecured creditors of the foreign company; (ii) that in respect of the transfer of any security interest granted by the foreign company to the surviving or consolidated company (a) consent or approval to the transfer has been obtained, released or waived; (b) the transfer is permitted by and has been approved in accordance with the constitutional documents of the foreign company; and (c) the laws of the jurisdiction of the foreign company with respect to the transfer have been or will be complied with; (iii) that the foreign company will, upon the merger or consolidation becoming effective, cease to be incorporated, registered or exist under the laws of the relevant foreign jurisdiction; and (iv) that there is no other reason why it would be against the public interest to permit the merger or consolidation.</w:t>
      </w:r>
    </w:p>
    <w:p>
      <w:pPr>
        <w:spacing w:after="0" w:line="154"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Where the above procedures are adopted, the Companies Law provides certain limited appraisal rights for dissenting shareholders to be paid a payment of the fair value of his shares upon their dissenting to the merger or consolidation if they follow a prescribed procedure. In essence, that procedure is as follows: (a) the shareholder must give his written objection to the merger or consolidation to the constituent company before the vote on the merger or consolidation, including a statement that the shareholder proposes to demand payment for his shares if the merger or consolidation is authorized by the vote; (b) within 20 days following the date on which the merger or consolidation is approved by the shareholders, the constituent company must give written notice to each shareholder who made a written objection; (c) a shareholder must within 20 days following receipt of such notice from the constituent company, give the constituent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116" w:name="page117"/>
    <w:bookmarkEnd w:id="11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company a written notice of his intention to dissent including, among other details, a demand for payment of the fair value of his shares; (d) within seven days following the date of the expiration of the period set out in paragraph (b) above or seven days following the date on which the plan of merger or consolidation is filed, whichever is later, the constituent company, the surviving company or the consolidated company must make a written offer to each dissenting shareholder to purchase his shares at a price that the company determines is the fair value and if the company and the shareholder agree the price within 30 days following the date on which the offer was made, the company must pay the shareholder such amount; and (e) if the company and the shareholder fail to agree a price within such 30 day period, within 20 days following the date on which such 30 day period expires, the company (and any dissenting shareholder) must file a petition with the Cayman Islands Grand Court to determine the fair value and such petition must be accompanied by a list of the names and addresses of the dissenting shareholders with whom agreements as to the fair value of their shares have not been reached by the company. At the hearing of that petition, the court has the power to determine the fair value of the shares together with a fair rate of interest, if any, to be paid by the company upon the amount determined to be the fair value. Any dissenting shareholder whose name appears on the list filed by the company may participate fully in all proceedings until the determination of fair value is reached. These rights of a dissenting shareholder are not available in certain circumstances, for example, to dissenters holding shares of any class in respect of which an open market exists on a recognized stock exchange or recognized interdealer quotation system at the relevant date or where the consideration for such shares to be contributed are shares of any company listed on a national securities exchange or shares of the surviving or consolidated company.</w:t>
      </w:r>
    </w:p>
    <w:p>
      <w:pPr>
        <w:spacing w:after="0" w:line="162"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Moreover, Cayman Islands law has separate statutory provisions that facilitate the reconstruction or amalgamation of companies in certain circumstances, schemes of arrangement will generally be more suited for complex mergers or other transactions involving widely held companies, commonly referred to in the Cayman Islands as a “scheme of arrangement” which may be tantamount to a merger. In the event that a merger was sought pursuant to a scheme of arrangement (the procedures for which are more rigorous and take longer to complete than the procedures typically required to consummate a merger in the United States), the arrangement in question must be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 summoned for that purpose. The convening of the meetings and subsequently the terms of the arrangement must be sanctioned by the Grand Court of the Cayman Islands. While a dissenting shareholder would have the right to express to the court the view that the transaction should not be approved, the court can be expected to approve the arrangement if it satisfies itself that:</w:t>
      </w:r>
    </w:p>
    <w:p>
      <w:pPr>
        <w:spacing w:after="0" w:line="99" w:lineRule="exact"/>
        <w:rPr>
          <w:sz w:val="20"/>
          <w:szCs w:val="20"/>
          <w:color w:val="auto"/>
        </w:rPr>
      </w:pPr>
    </w:p>
    <w:p>
      <w:pPr>
        <w:ind w:left="580" w:right="120"/>
        <w:spacing w:after="0" w:line="243" w:lineRule="auto"/>
        <w:rPr>
          <w:sz w:val="20"/>
          <w:szCs w:val="20"/>
          <w:color w:val="auto"/>
        </w:rPr>
      </w:pPr>
      <w:r>
        <w:rPr>
          <w:rFonts w:ascii="Arial" w:cs="Arial" w:eastAsia="Arial" w:hAnsi="Arial"/>
          <w:sz w:val="17"/>
          <w:szCs w:val="17"/>
          <w:color w:val="auto"/>
        </w:rPr>
        <w:t>we are not proposing to act illegally or beyond the scope of our corporate authority and the statutory provisions as to majority vote have been complied with;</w:t>
      </w:r>
    </w:p>
    <w:p>
      <w:pPr>
        <w:spacing w:after="0" w:line="90" w:lineRule="exact"/>
        <w:rPr>
          <w:sz w:val="20"/>
          <w:szCs w:val="20"/>
          <w:color w:val="auto"/>
        </w:rPr>
      </w:pPr>
    </w:p>
    <w:p>
      <w:pPr>
        <w:ind w:left="580" w:right="2800"/>
        <w:spacing w:after="0" w:line="364" w:lineRule="auto"/>
        <w:rPr>
          <w:sz w:val="20"/>
          <w:szCs w:val="20"/>
          <w:color w:val="auto"/>
        </w:rPr>
      </w:pPr>
      <w:r>
        <w:rPr>
          <w:rFonts w:ascii="Arial" w:cs="Arial" w:eastAsia="Arial" w:hAnsi="Arial"/>
          <w:sz w:val="17"/>
          <w:szCs w:val="17"/>
          <w:color w:val="auto"/>
        </w:rPr>
        <w:t>the shareholders have been fairly represented at the meeting in question; the arrangement is such as a businessman would reasonably approve; and</w:t>
      </w:r>
    </w:p>
    <w:p>
      <w:pPr>
        <w:spacing w:after="0" w:line="1" w:lineRule="exact"/>
        <w:rPr>
          <w:sz w:val="20"/>
          <w:szCs w:val="20"/>
          <w:color w:val="auto"/>
        </w:rPr>
      </w:pPr>
    </w:p>
    <w:p>
      <w:pPr>
        <w:ind w:left="580" w:right="800"/>
        <w:spacing w:after="0" w:line="243" w:lineRule="auto"/>
        <w:rPr>
          <w:sz w:val="20"/>
          <w:szCs w:val="20"/>
          <w:color w:val="auto"/>
        </w:rPr>
      </w:pPr>
      <w:r>
        <w:rPr>
          <w:rFonts w:ascii="Arial" w:cs="Arial" w:eastAsia="Arial" w:hAnsi="Arial"/>
          <w:sz w:val="17"/>
          <w:szCs w:val="17"/>
          <w:color w:val="auto"/>
        </w:rPr>
        <w:t>the arrangement is not one that would more properly be sanctioned under some other provision of the Companies Law or that would amount to a “fraud on the minority.”</w:t>
      </w:r>
    </w:p>
    <w:p>
      <w:pPr>
        <w:spacing w:after="0" w:line="158" w:lineRule="exact"/>
        <w:rPr>
          <w:sz w:val="20"/>
          <w:szCs w:val="20"/>
          <w:color w:val="auto"/>
        </w:rPr>
      </w:pPr>
    </w:p>
    <w:p>
      <w:pPr>
        <w:jc w:val="both"/>
        <w:ind w:right="80"/>
        <w:spacing w:after="0" w:line="238" w:lineRule="auto"/>
        <w:rPr>
          <w:sz w:val="20"/>
          <w:szCs w:val="20"/>
          <w:color w:val="auto"/>
        </w:rPr>
      </w:pPr>
      <w:r>
        <w:rPr>
          <w:rFonts w:ascii="Arial" w:cs="Arial" w:eastAsia="Arial" w:hAnsi="Arial"/>
          <w:sz w:val="17"/>
          <w:szCs w:val="17"/>
          <w:color w:val="auto"/>
        </w:rPr>
        <w:t>If a scheme of arrangement or takeover offer (as described below) is approved, any dissenting shareholder would have no rights comparable to appraisal rights (providing rights to receive payment in cash for the judicially determined value of the shares), which would otherwise ordinarily be available to dissenting shareholders of United States corporations.</w:t>
      </w:r>
    </w:p>
    <w:p>
      <w:pPr>
        <w:spacing w:after="0" w:line="129" w:lineRule="exact"/>
        <w:rPr>
          <w:sz w:val="20"/>
          <w:szCs w:val="20"/>
          <w:color w:val="auto"/>
        </w:rPr>
      </w:pPr>
    </w:p>
    <w:p>
      <w:pPr>
        <w:ind w:right="40"/>
        <w:spacing w:after="0"/>
        <w:rPr>
          <w:sz w:val="20"/>
          <w:szCs w:val="20"/>
          <w:color w:val="auto"/>
        </w:rPr>
      </w:pPr>
      <w:r>
        <w:rPr>
          <w:rFonts w:ascii="Arial" w:cs="Arial" w:eastAsia="Arial" w:hAnsi="Arial"/>
          <w:sz w:val="17"/>
          <w:szCs w:val="17"/>
          <w:i w:val="1"/>
          <w:iCs w:val="1"/>
          <w:color w:val="auto"/>
        </w:rPr>
        <w:t>Squeeze-out Provisions</w:t>
      </w:r>
      <w:r>
        <w:rPr>
          <w:rFonts w:ascii="Arial" w:cs="Arial" w:eastAsia="Arial" w:hAnsi="Arial"/>
          <w:sz w:val="17"/>
          <w:szCs w:val="17"/>
          <w:color w:val="auto"/>
        </w:rPr>
        <w:t>. When a tender offer is made and accepted by holders of 90% of the shares to whom the offer</w:t>
      </w:r>
      <w:r>
        <w:rPr>
          <w:rFonts w:ascii="Arial" w:cs="Arial" w:eastAsia="Arial" w:hAnsi="Arial"/>
          <w:sz w:val="17"/>
          <w:szCs w:val="17"/>
          <w:i w:val="1"/>
          <w:iCs w:val="1"/>
          <w:color w:val="auto"/>
        </w:rPr>
        <w:t xml:space="preserve"> </w:t>
      </w:r>
      <w:r>
        <w:rPr>
          <w:rFonts w:ascii="Arial" w:cs="Arial" w:eastAsia="Arial" w:hAnsi="Arial"/>
          <w:sz w:val="17"/>
          <w:szCs w:val="17"/>
          <w:color w:val="auto"/>
        </w:rPr>
        <w:t>relates within four months, the offeror may, within a two-month period, require the holders of the remaining shares to transfer such shares on the terms of the offer. An objection can be made to the Grand Court of the Cayman Islands, but this is unlikely to succeed unless there is evidence of fraud, bad faith, collusion or inequitable treatment of the shareholders.</w:t>
      </w:r>
    </w:p>
    <w:p>
      <w:pPr>
        <w:spacing w:after="0" w:line="161" w:lineRule="exact"/>
        <w:rPr>
          <w:sz w:val="20"/>
          <w:szCs w:val="20"/>
          <w:color w:val="auto"/>
        </w:rPr>
      </w:pPr>
    </w:p>
    <w:p>
      <w:pPr>
        <w:ind w:right="200"/>
        <w:spacing w:after="0" w:line="238" w:lineRule="auto"/>
        <w:rPr>
          <w:sz w:val="20"/>
          <w:szCs w:val="20"/>
          <w:color w:val="auto"/>
        </w:rPr>
      </w:pPr>
      <w:r>
        <w:rPr>
          <w:rFonts w:ascii="Arial" w:cs="Arial" w:eastAsia="Arial" w:hAnsi="Arial"/>
          <w:sz w:val="17"/>
          <w:szCs w:val="17"/>
          <w:color w:val="auto"/>
        </w:rPr>
        <w:t>Further, transactions similar to a merger, reconstruction and/or an amalgamation may in some circumstances be achieved through means other than these statutory provisions, such as a share capital exchange, asset acquisition or control, or through contractual arrangements of an operating business.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117" w:name="page118"/>
    <w:bookmarkEnd w:id="11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1" w:lineRule="exact"/>
        <w:rPr>
          <w:sz w:val="20"/>
          <w:szCs w:val="20"/>
          <w:color w:val="auto"/>
        </w:rPr>
      </w:pPr>
    </w:p>
    <w:p>
      <w:pPr>
        <w:ind w:right="140"/>
        <w:spacing w:after="0" w:line="237" w:lineRule="auto"/>
        <w:rPr>
          <w:sz w:val="20"/>
          <w:szCs w:val="20"/>
          <w:color w:val="auto"/>
        </w:rPr>
      </w:pPr>
      <w:r>
        <w:rPr>
          <w:rFonts w:ascii="Arial" w:cs="Arial" w:eastAsia="Arial" w:hAnsi="Arial"/>
          <w:sz w:val="17"/>
          <w:szCs w:val="17"/>
          <w:i w:val="1"/>
          <w:iCs w:val="1"/>
          <w:color w:val="auto"/>
        </w:rPr>
        <w:t>Shareholders’ Suits</w:t>
      </w:r>
      <w:r>
        <w:rPr>
          <w:rFonts w:ascii="Arial" w:cs="Arial" w:eastAsia="Arial" w:hAnsi="Arial"/>
          <w:sz w:val="17"/>
          <w:szCs w:val="17"/>
          <w:color w:val="auto"/>
        </w:rPr>
        <w:t>. Our Cayman Islands counsel is not aware of any reported class action having been brought in a</w:t>
      </w:r>
      <w:r>
        <w:rPr>
          <w:rFonts w:ascii="Arial" w:cs="Arial" w:eastAsia="Arial" w:hAnsi="Arial"/>
          <w:sz w:val="17"/>
          <w:szCs w:val="17"/>
          <w:i w:val="1"/>
          <w:iCs w:val="1"/>
          <w:color w:val="auto"/>
        </w:rPr>
        <w:t xml:space="preserve"> </w:t>
      </w:r>
      <w:r>
        <w:rPr>
          <w:rFonts w:ascii="Arial" w:cs="Arial" w:eastAsia="Arial" w:hAnsi="Arial"/>
          <w:sz w:val="17"/>
          <w:szCs w:val="17"/>
          <w:color w:val="auto"/>
        </w:rPr>
        <w:t>Cayman Islands court. Derivative actions have been brought in the Cayman Islands courts, and the Cayman Islands courts have confirmed the availability for such actions. In most cases, we will be the proper plaintiff in any claim based on a breach of duty owed to us, and a claim against (for example) our officers or directors usually may not be brought by a shareholder. However, based both on Cayman Islands authorities and on English authorities, which would in all likelihood be of persuasive authority and be applied by a court in the Cayman Islands, exceptions to the foregoing principle apply in circumstances in which:</w:t>
      </w:r>
    </w:p>
    <w:p>
      <w:pPr>
        <w:spacing w:after="0" w:line="9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 company is acting, or proposing to act, illegally or ultra vires (beyond the scope of its authority);</w:t>
      </w:r>
    </w:p>
    <w:p>
      <w:pPr>
        <w:spacing w:after="0" w:line="102" w:lineRule="exact"/>
        <w:rPr>
          <w:sz w:val="20"/>
          <w:szCs w:val="20"/>
          <w:color w:val="auto"/>
        </w:rPr>
      </w:pPr>
    </w:p>
    <w:p>
      <w:pPr>
        <w:ind w:left="580" w:right="280"/>
        <w:spacing w:after="0" w:line="243" w:lineRule="auto"/>
        <w:rPr>
          <w:sz w:val="20"/>
          <w:szCs w:val="20"/>
          <w:color w:val="auto"/>
        </w:rPr>
      </w:pPr>
      <w:r>
        <w:rPr>
          <w:rFonts w:ascii="Arial" w:cs="Arial" w:eastAsia="Arial" w:hAnsi="Arial"/>
          <w:sz w:val="17"/>
          <w:szCs w:val="17"/>
          <w:color w:val="auto"/>
        </w:rPr>
        <w:t>the act complained of, although not beyond the scope of the authority, could be effected if duly authorized by more than the number of votes which have actually been obtained; or</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those who control the company are perpetrating a “fraud on the minority.”</w:t>
      </w:r>
    </w:p>
    <w:p>
      <w:pPr>
        <w:spacing w:after="0" w:line="169" w:lineRule="exact"/>
        <w:rPr>
          <w:sz w:val="20"/>
          <w:szCs w:val="20"/>
          <w:color w:val="auto"/>
        </w:rPr>
      </w:pPr>
    </w:p>
    <w:p>
      <w:pPr>
        <w:ind w:right="360"/>
        <w:spacing w:after="0" w:line="243" w:lineRule="auto"/>
        <w:rPr>
          <w:sz w:val="20"/>
          <w:szCs w:val="20"/>
          <w:color w:val="auto"/>
        </w:rPr>
      </w:pPr>
      <w:r>
        <w:rPr>
          <w:rFonts w:ascii="Arial" w:cs="Arial" w:eastAsia="Arial" w:hAnsi="Arial"/>
          <w:sz w:val="17"/>
          <w:szCs w:val="17"/>
          <w:color w:val="auto"/>
        </w:rPr>
        <w:t>A shareholder may have a direct right of action against us where the individual rights of that shareholder have been infringed or are about to be infringed.</w:t>
      </w:r>
    </w:p>
    <w:p>
      <w:pPr>
        <w:spacing w:after="0" w:line="140"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i w:val="1"/>
          <w:iCs w:val="1"/>
          <w:color w:val="auto"/>
        </w:rPr>
        <w:t>Enforcement of Civil Liabilities</w:t>
      </w:r>
      <w:r>
        <w:rPr>
          <w:rFonts w:ascii="Arial" w:cs="Arial" w:eastAsia="Arial" w:hAnsi="Arial"/>
          <w:sz w:val="17"/>
          <w:szCs w:val="17"/>
          <w:color w:val="auto"/>
        </w:rPr>
        <w:t>. The Cayman Islands has a different body of securities laws as compared to the United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States and provides less protection to investors. Additionally, Cayman Islands companies may not have standing to sue before the Federal courts of the United States.</w:t>
      </w:r>
    </w:p>
    <w:p>
      <w:pPr>
        <w:spacing w:after="0" w:line="141"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 xml:space="preserve">We have been advised by our Cayman Islands legal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46" w:lineRule="exact"/>
        <w:rPr>
          <w:sz w:val="20"/>
          <w:szCs w:val="20"/>
          <w:color w:val="auto"/>
        </w:rPr>
      </w:pPr>
    </w:p>
    <w:p>
      <w:pPr>
        <w:spacing w:after="0" w:line="237" w:lineRule="auto"/>
        <w:rPr>
          <w:sz w:val="20"/>
          <w:szCs w:val="20"/>
          <w:color w:val="auto"/>
        </w:rPr>
      </w:pPr>
      <w:r>
        <w:rPr>
          <w:rFonts w:ascii="Arial" w:cs="Arial" w:eastAsia="Arial" w:hAnsi="Arial"/>
          <w:sz w:val="17"/>
          <w:szCs w:val="17"/>
          <w:i w:val="1"/>
          <w:iCs w:val="1"/>
          <w:color w:val="auto"/>
        </w:rPr>
        <w:t>Special Considerations for Exempted Companies</w:t>
      </w:r>
      <w:r>
        <w:rPr>
          <w:rFonts w:ascii="Arial" w:cs="Arial" w:eastAsia="Arial" w:hAnsi="Arial"/>
          <w:sz w:val="17"/>
          <w:szCs w:val="17"/>
          <w:color w:val="auto"/>
        </w:rPr>
        <w:t>. We are an exempted company with limited liability (meaning our</w:t>
      </w:r>
      <w:r>
        <w:rPr>
          <w:rFonts w:ascii="Arial" w:cs="Arial" w:eastAsia="Arial" w:hAnsi="Arial"/>
          <w:sz w:val="17"/>
          <w:szCs w:val="17"/>
          <w:i w:val="1"/>
          <w:iCs w:val="1"/>
          <w:color w:val="auto"/>
        </w:rPr>
        <w:t xml:space="preserve"> </w:t>
      </w:r>
      <w:r>
        <w:rPr>
          <w:rFonts w:ascii="Arial" w:cs="Arial" w:eastAsia="Arial" w:hAnsi="Arial"/>
          <w:sz w:val="17"/>
          <w:szCs w:val="17"/>
          <w:color w:val="auto"/>
        </w:rPr>
        <w:t>public shareholders have no liability, as members of the company, for liabilities of the company over and above the amount paid for their shares) under the Companies Law. The Companies Law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spacing w:after="0" w:line="98" w:lineRule="exact"/>
        <w:rPr>
          <w:sz w:val="20"/>
          <w:szCs w:val="20"/>
          <w:color w:val="auto"/>
        </w:rPr>
      </w:pPr>
    </w:p>
    <w:p>
      <w:pPr>
        <w:ind w:left="580" w:right="160"/>
        <w:spacing w:after="0" w:line="238" w:lineRule="auto"/>
        <w:rPr>
          <w:sz w:val="20"/>
          <w:szCs w:val="20"/>
          <w:color w:val="auto"/>
        </w:rPr>
      </w:pPr>
      <w:r>
        <w:rPr>
          <w:rFonts w:ascii="Arial" w:cs="Arial" w:eastAsia="Arial" w:hAnsi="Arial"/>
          <w:sz w:val="17"/>
          <w:szCs w:val="17"/>
          <w:color w:val="auto"/>
        </w:rPr>
        <w:t>annual reporting requirements are minimal and consist mainly of a statement that the company has conducted its operations mainly outside of the Cayman Islands and has complied with the provisions of the Companies Law;</w:t>
      </w:r>
    </w:p>
    <w:p>
      <w:pPr>
        <w:spacing w:after="0" w:line="9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an exempted company’s register of members is not open to inspection;</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an exempted company does not have to hold an annual shareholder meeting;</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an exempted company may issue negotiable or bearer shares or shares with no par value;</w:t>
      </w:r>
    </w:p>
    <w:p>
      <w:pPr>
        <w:spacing w:after="0" w:line="102" w:lineRule="exact"/>
        <w:rPr>
          <w:sz w:val="20"/>
          <w:szCs w:val="20"/>
          <w:color w:val="auto"/>
        </w:rPr>
      </w:pPr>
    </w:p>
    <w:p>
      <w:pPr>
        <w:ind w:left="580" w:right="880"/>
        <w:spacing w:after="0" w:line="243" w:lineRule="auto"/>
        <w:rPr>
          <w:sz w:val="20"/>
          <w:szCs w:val="20"/>
          <w:color w:val="auto"/>
        </w:rPr>
      </w:pPr>
      <w:r>
        <w:rPr>
          <w:rFonts w:ascii="Arial" w:cs="Arial" w:eastAsia="Arial" w:hAnsi="Arial"/>
          <w:sz w:val="17"/>
          <w:szCs w:val="17"/>
          <w:color w:val="auto"/>
        </w:rPr>
        <w:t>an exempted company may obtain an undertaking against the imposition of any future taxation (such undertakings are usually given for 20 years in the first instance);</w:t>
      </w:r>
    </w:p>
    <w:p>
      <w:pPr>
        <w:spacing w:after="0" w:line="90" w:lineRule="exact"/>
        <w:rPr>
          <w:sz w:val="20"/>
          <w:szCs w:val="20"/>
          <w:color w:val="auto"/>
        </w:rPr>
      </w:pPr>
    </w:p>
    <w:p>
      <w:pPr>
        <w:ind w:left="580" w:right="320"/>
        <w:spacing w:after="0" w:line="243" w:lineRule="auto"/>
        <w:rPr>
          <w:sz w:val="20"/>
          <w:szCs w:val="20"/>
          <w:color w:val="auto"/>
        </w:rPr>
      </w:pPr>
      <w:r>
        <w:rPr>
          <w:rFonts w:ascii="Arial" w:cs="Arial" w:eastAsia="Arial" w:hAnsi="Arial"/>
          <w:sz w:val="17"/>
          <w:szCs w:val="17"/>
          <w:color w:val="auto"/>
        </w:rPr>
        <w:t>an exempted company may register by way of continuation in another jurisdiction and be deregistered in the Cayman Islands;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118" w:name="page119"/>
    <w:bookmarkEnd w:id="11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jc w:val="both"/>
        <w:ind w:left="580" w:right="3060"/>
        <w:spacing w:after="0" w:line="375" w:lineRule="auto"/>
        <w:rPr>
          <w:sz w:val="20"/>
          <w:szCs w:val="20"/>
          <w:color w:val="auto"/>
        </w:rPr>
      </w:pPr>
      <w:r>
        <w:rPr>
          <w:rFonts w:ascii="Arial" w:cs="Arial" w:eastAsia="Arial" w:hAnsi="Arial"/>
          <w:sz w:val="17"/>
          <w:szCs w:val="17"/>
          <w:color w:val="auto"/>
        </w:rPr>
        <w:t>an exempted company may register as a limited duration company; and an exempted company may register as a segregated portfolio company.</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Amended and Restated Memorandum and Articles of Association</w:t>
      </w:r>
    </w:p>
    <w:p>
      <w:pPr>
        <w:spacing w:after="0" w:line="176"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Our amended and restated memorandum and articles of association will contain provisions designed to provide certain rights and protections relating to this offering that will apply to us until the completion of our initial business combination. These provisions cannot be amended without a special resolution. As a matter of Cayman Islands law, a resolution is deemed to be a special resolution where it has been approved by either (i) the affirmative vote of at least two-thirds (or any higher threshold specified in a company’s articles of association) of a company’s shareholders entitled to vote and so voting at a shareholder meeting for which notice specifying the intention to propose the resolution as a special resolution has been given; or (ii) if so authorized by a company’s articles of association, by a unanimous written resolution of all of the company’s shareholders. Our amended and restated memorandum and articles of association will provide that special resolutions must be approved either by at least two-thirds of our shareholders who attend and vote at a shareholder meeting of the company (i.e., the lowest threshold permissible under Cayman Islands law), or by a unanimous written resolution of all of our shareholders. Further, our amended and restated memorandum and articles of association will provide that a quorum at our shareholder meetings will consist of one or more shareholders who together hold not less than one-third of the ordinary shares entitled to vote at such meeting being individuals present in person or by proxy; provided that a quorum in connection with any meeting that is convened to vote on a business combination or any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 shall be a majority of the ordinary shares entitled to vote at such meeting being individuals present in person or by proxy or if a corporation or other non-natural person by its duly authorized representative or proxy.</w:t>
      </w:r>
    </w:p>
    <w:p>
      <w:pPr>
        <w:spacing w:after="0" w:line="176"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Our initial shareholders and their permitted transferees, if any, who will collectively beneficially own 20% of our ordinary shares (excluding the private placement shares and assuming they do not purchase any public shares in this offering) upon the closing of this offering, will participate in any vote to amend our amended and restated memorandum and articles of association and will have the discretion to vote in any manner they choose. Specifically, our amended and restated memorandum and articles of association will provide, among other things, that:</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if we do not consummate an initial business combination within 24 months from the closing of this offering,</w:t>
      </w:r>
    </w:p>
    <w:p>
      <w:pPr>
        <w:ind w:left="580" w:right="60"/>
        <w:spacing w:after="0" w:line="233" w:lineRule="auto"/>
        <w:rPr>
          <w:sz w:val="20"/>
          <w:szCs w:val="20"/>
          <w:color w:val="auto"/>
        </w:rPr>
      </w:pPr>
      <w:r>
        <w:rPr>
          <w:rFonts w:ascii="Arial" w:cs="Arial" w:eastAsia="Arial" w:hAnsi="Arial"/>
          <w:sz w:val="17"/>
          <w:szCs w:val="17"/>
          <w:color w:val="auto"/>
        </w:rPr>
        <w:t>we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the requirements of other applicable law;</w:t>
      </w:r>
    </w:p>
    <w:p>
      <w:pPr>
        <w:spacing w:after="0" w:line="100" w:lineRule="exact"/>
        <w:rPr>
          <w:sz w:val="20"/>
          <w:szCs w:val="20"/>
          <w:color w:val="auto"/>
        </w:rPr>
      </w:pPr>
    </w:p>
    <w:p>
      <w:pPr>
        <w:ind w:left="580" w:right="80"/>
        <w:spacing w:after="0" w:line="232" w:lineRule="auto"/>
        <w:rPr>
          <w:sz w:val="20"/>
          <w:szCs w:val="20"/>
          <w:color w:val="auto"/>
        </w:rPr>
      </w:pPr>
      <w:r>
        <w:rPr>
          <w:rFonts w:ascii="Arial" w:cs="Arial" w:eastAsia="Arial" w:hAnsi="Arial"/>
          <w:sz w:val="17"/>
          <w:szCs w:val="17"/>
          <w:color w:val="auto"/>
        </w:rPr>
        <w:t>prior to the completion of our initial business combination, we may not issue additional securities that would entitle the holders thereof to (i) receive funds from the trust account or (ii) vote as a class with our public shares</w:t>
      </w:r>
    </w:p>
    <w:p>
      <w:pPr>
        <w:ind w:left="580" w:right="100" w:firstLine="8"/>
        <w:spacing w:after="0" w:line="235" w:lineRule="auto"/>
        <w:tabs>
          <w:tab w:leader="none" w:pos="836" w:val="left"/>
        </w:tabs>
        <w:numPr>
          <w:ilvl w:val="0"/>
          <w:numId w:val="27"/>
        </w:numPr>
        <w:rPr>
          <w:rFonts w:ascii="Arial" w:cs="Arial" w:eastAsia="Arial" w:hAnsi="Arial"/>
          <w:sz w:val="17"/>
          <w:szCs w:val="17"/>
          <w:color w:val="auto"/>
        </w:rPr>
      </w:pPr>
      <w:r>
        <w:rPr>
          <w:rFonts w:ascii="Arial" w:cs="Arial" w:eastAsia="Arial" w:hAnsi="Arial"/>
          <w:sz w:val="17"/>
          <w:szCs w:val="17"/>
          <w:color w:val="auto"/>
        </w:rPr>
        <w:t>on our initial business combination or on any other proposal presented to shareholders prior to or in connection with the completion of an initial business combination or (b) to approve an amendment to our amended and restated memorandum and articles of association to (x) extend the time we have to consummate a business combination beyond 24 months from the closing of this offering or (y) amend the foregoing provisions;</w:t>
      </w:r>
    </w:p>
    <w:p>
      <w:pPr>
        <w:spacing w:after="0" w:line="96" w:lineRule="exact"/>
        <w:rPr>
          <w:sz w:val="20"/>
          <w:szCs w:val="20"/>
          <w:color w:val="auto"/>
        </w:rPr>
      </w:pPr>
    </w:p>
    <w:p>
      <w:pPr>
        <w:ind w:left="580" w:right="180"/>
        <w:spacing w:after="0" w:line="243" w:lineRule="auto"/>
        <w:rPr>
          <w:sz w:val="20"/>
          <w:szCs w:val="20"/>
          <w:color w:val="auto"/>
        </w:rPr>
      </w:pPr>
      <w:r>
        <w:rPr>
          <w:rFonts w:ascii="Arial" w:cs="Arial" w:eastAsia="Arial" w:hAnsi="Arial"/>
          <w:sz w:val="17"/>
          <w:szCs w:val="17"/>
          <w:color w:val="auto"/>
        </w:rPr>
        <w:t>although we do not intend to enter into a business combination with a target business that is affiliated with our sponsor, our directors or our executive officers, we are not prohibited from doing so. In the event we enter into</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119" w:name="page120"/>
    <w:bookmarkEnd w:id="11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left="600"/>
        <w:spacing w:after="0" w:line="238" w:lineRule="auto"/>
        <w:rPr>
          <w:sz w:val="20"/>
          <w:szCs w:val="20"/>
          <w:color w:val="auto"/>
        </w:rPr>
      </w:pPr>
      <w:r>
        <w:rPr>
          <w:rFonts w:ascii="Arial" w:cs="Arial" w:eastAsia="Arial" w:hAnsi="Arial"/>
          <w:sz w:val="17"/>
          <w:szCs w:val="17"/>
          <w:color w:val="auto"/>
        </w:rPr>
        <w:t>such a transaction, we, or a committee of independent directors, will obtain an opinion from an independent investment banking firm which is a member of FINRA or an independent valuation or accounting firm that such a business combination or transaction is fair to our company from a financial point of view;</w:t>
      </w:r>
    </w:p>
    <w:p>
      <w:pPr>
        <w:spacing w:after="0" w:line="93" w:lineRule="exact"/>
        <w:rPr>
          <w:sz w:val="20"/>
          <w:szCs w:val="20"/>
          <w:color w:val="auto"/>
        </w:rPr>
      </w:pPr>
    </w:p>
    <w:p>
      <w:pPr>
        <w:ind w:left="580" w:right="20"/>
        <w:spacing w:after="0" w:line="235" w:lineRule="auto"/>
        <w:rPr>
          <w:sz w:val="20"/>
          <w:szCs w:val="20"/>
          <w:color w:val="auto"/>
        </w:rPr>
      </w:pPr>
      <w:r>
        <w:rPr>
          <w:rFonts w:ascii="Arial" w:cs="Arial" w:eastAsia="Arial" w:hAnsi="Arial"/>
          <w:sz w:val="17"/>
          <w:szCs w:val="17"/>
          <w:color w:val="auto"/>
        </w:rPr>
        <w:t>if a shareholder vote on our initial business combination is not required by applicable law or stock exchange rule and we do not decide to hold a shareholder vote for business or other reasons, we will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w:t>
      </w:r>
    </w:p>
    <w:p>
      <w:pPr>
        <w:spacing w:after="0" w:line="94" w:lineRule="exact"/>
        <w:rPr>
          <w:sz w:val="20"/>
          <w:szCs w:val="20"/>
          <w:color w:val="auto"/>
        </w:rPr>
      </w:pPr>
    </w:p>
    <w:p>
      <w:pPr>
        <w:ind w:left="580" w:right="20"/>
        <w:spacing w:after="0" w:line="236" w:lineRule="auto"/>
        <w:rPr>
          <w:sz w:val="20"/>
          <w:szCs w:val="20"/>
          <w:color w:val="auto"/>
        </w:rPr>
      </w:pPr>
      <w:r>
        <w:rPr>
          <w:rFonts w:ascii="Arial" w:cs="Arial" w:eastAsia="Arial" w:hAnsi="Arial"/>
          <w:sz w:val="17"/>
          <w:szCs w:val="17"/>
          <w:color w:val="auto"/>
        </w:rPr>
        <w:t>our initial business combination must occur with one or more target businesses that together have an aggregate fair market value of at least 80% of the net assets held in the trust account (excluding the amount of deferred underwriting discounts held in trust and taxes payable on the interest earned on the trust account) at the time of signing the agreement to enter into the initial business combination;</w:t>
      </w:r>
    </w:p>
    <w:p>
      <w:pPr>
        <w:spacing w:after="0" w:line="95" w:lineRule="exact"/>
        <w:rPr>
          <w:sz w:val="20"/>
          <w:szCs w:val="20"/>
          <w:color w:val="auto"/>
        </w:rPr>
      </w:pPr>
    </w:p>
    <w:p>
      <w:pPr>
        <w:ind w:left="580" w:right="40"/>
        <w:spacing w:after="0" w:line="233" w:lineRule="auto"/>
        <w:rPr>
          <w:sz w:val="20"/>
          <w:szCs w:val="20"/>
          <w:color w:val="auto"/>
        </w:rPr>
      </w:pPr>
      <w:r>
        <w:rPr>
          <w:rFonts w:ascii="Arial" w:cs="Arial" w:eastAsia="Arial" w:hAnsi="Arial"/>
          <w:sz w:val="17"/>
          <w:szCs w:val="17"/>
          <w:color w:val="auto"/>
        </w:rPr>
        <w:t>if our shareholders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 we will provide our public shareholders with the opportunity to redeem all or a portion of their ordinary shares upon such approval at a per-share price, payable in cash, equal to the aggregate amount then on deposit in the trust account, including interest earned on the funds held in the trust account and not previously released to us to pay our income taxes, if any, divided by the number of the then-outstanding public shares, subject to the limitations described herein; and</w:t>
      </w:r>
    </w:p>
    <w:p>
      <w:pPr>
        <w:spacing w:after="0" w:line="100" w:lineRule="exact"/>
        <w:rPr>
          <w:sz w:val="20"/>
          <w:szCs w:val="20"/>
          <w:color w:val="auto"/>
        </w:rPr>
      </w:pPr>
    </w:p>
    <w:p>
      <w:pPr>
        <w:ind w:left="580" w:right="440"/>
        <w:spacing w:after="0" w:line="243" w:lineRule="auto"/>
        <w:rPr>
          <w:sz w:val="20"/>
          <w:szCs w:val="20"/>
          <w:color w:val="auto"/>
        </w:rPr>
      </w:pPr>
      <w:r>
        <w:rPr>
          <w:rFonts w:ascii="Arial" w:cs="Arial" w:eastAsia="Arial" w:hAnsi="Arial"/>
          <w:sz w:val="17"/>
          <w:szCs w:val="17"/>
          <w:color w:val="auto"/>
        </w:rPr>
        <w:t>we will not effectuate our initial business combination solely with another blank check company or a similar company with nominal operations.</w:t>
      </w:r>
    </w:p>
    <w:p>
      <w:pPr>
        <w:spacing w:after="0" w:line="158"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In addition, our amended and restated memorandum and articles of association will provide that under no circumstances will we redeem our public shares in an amount that would cause our net tangible assets to be less than $5,000,001.</w:t>
      </w:r>
    </w:p>
    <w:p>
      <w:pPr>
        <w:spacing w:after="0" w:line="161"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 xml:space="preserve">The Companies Law permits a company incorporated in the Cayman Islands to amend its memorandum and articles of association with the approval of a special resolution. A company’s articles of association may specify that the approval of a higher majority is required but,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the approval of the required majority is obtained, any Cayman Islands exempted company may amend its memorandum and articles of association regardless of whether its memorandum and articles of association provides otherwise. Accordingly, although we could amend any of the provisions relating to our proposed offering, structure and business plan which are contained in our amended and restated memorandum and articles of association, we view all of these provisions as binding obligations to our shareholders and neither we, nor our officers or directors, will take any action to amend or waive any of these provisions unless we provide dissenting public shareholders with the opportunity to redeem their public shares.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Anti-Money Laundering — Cayman Islands</w:t>
      </w:r>
    </w:p>
    <w:p>
      <w:pPr>
        <w:spacing w:after="0" w:line="189" w:lineRule="exact"/>
        <w:rPr>
          <w:sz w:val="20"/>
          <w:szCs w:val="20"/>
          <w:color w:val="auto"/>
        </w:rPr>
      </w:pPr>
    </w:p>
    <w:p>
      <w:pPr>
        <w:jc w:val="both"/>
        <w:ind w:right="40"/>
        <w:spacing w:after="0" w:line="236" w:lineRule="auto"/>
        <w:rPr>
          <w:sz w:val="20"/>
          <w:szCs w:val="20"/>
          <w:color w:val="auto"/>
        </w:rPr>
      </w:pPr>
      <w:r>
        <w:rPr>
          <w:rFonts w:ascii="Arial" w:cs="Arial" w:eastAsia="Arial" w:hAnsi="Arial"/>
          <w:sz w:val="17"/>
          <w:szCs w:val="17"/>
          <w:color w:val="auto"/>
        </w:rPr>
        <w:t>In order to comply with legislation or regulations aimed at the prevention of money laundering, we are required to adopt and maintain anti-money laundering procedures, and may require subscribers to provide evidence to verify their identity and source of funds. Where permitted, and subject to certain conditions, we may also delegate the maintenance of our anti-money laundering procedures (including the acquisition of due diligence information) to a suitable person.</w:t>
      </w:r>
    </w:p>
    <w:p>
      <w:pPr>
        <w:spacing w:after="0" w:line="149"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We reserve the right to request such information as is necessary to verify the identity of a subscriber. In some cases the directors may be satisfied that no further information is required since an exemption applies under the Anti-Money Laundering Regulations (2020 Revision) of the Cayman Islands, as amended and revised from time to time (the “Regulations”). Depending on the circumstances of each application, a detailed verification of identity might not be required where: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120" w:name="page121"/>
    <w:bookmarkEnd w:id="12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left="720" w:right="359" w:hanging="352"/>
        <w:spacing w:after="0" w:line="243" w:lineRule="auto"/>
        <w:tabs>
          <w:tab w:leader="none" w:pos="7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subscriber makes the payment for their investment from an account held in the subscriber’s name at a recognized financial institution;</w:t>
      </w:r>
    </w:p>
    <w:p>
      <w:pPr>
        <w:spacing w:after="0" w:line="157" w:lineRule="exact"/>
        <w:rPr>
          <w:rFonts w:ascii="Arial" w:cs="Arial" w:eastAsia="Arial" w:hAnsi="Arial"/>
          <w:sz w:val="17"/>
          <w:szCs w:val="17"/>
          <w:color w:val="auto"/>
        </w:rPr>
      </w:pPr>
    </w:p>
    <w:p>
      <w:pPr>
        <w:ind w:left="720" w:right="359" w:hanging="352"/>
        <w:spacing w:after="0" w:line="243" w:lineRule="auto"/>
        <w:tabs>
          <w:tab w:leader="none" w:pos="7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subscriber is regulated by a recognized regulatory authority and is based or incorporated in, or formed under the law of, a recognized jurisdiction; or</w:t>
      </w:r>
    </w:p>
    <w:p>
      <w:pPr>
        <w:spacing w:after="0" w:line="157" w:lineRule="exact"/>
        <w:rPr>
          <w:rFonts w:ascii="Arial" w:cs="Arial" w:eastAsia="Arial" w:hAnsi="Arial"/>
          <w:sz w:val="17"/>
          <w:szCs w:val="17"/>
          <w:color w:val="auto"/>
        </w:rPr>
      </w:pPr>
    </w:p>
    <w:p>
      <w:pPr>
        <w:jc w:val="both"/>
        <w:ind w:left="720" w:right="59" w:hanging="352"/>
        <w:spacing w:after="0" w:line="238" w:lineRule="auto"/>
        <w:tabs>
          <w:tab w:leader="none" w:pos="7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application is made through an intermediary which is regulated by a recognized regulatory authority and is based in or incorporated in, or formed under the law of a recognized jurisdiction and an assurance is provided in relation to the procedures undertaken on the underlying investors.</w:t>
      </w:r>
    </w:p>
    <w:p>
      <w:pPr>
        <w:spacing w:after="0" w:line="147" w:lineRule="exact"/>
        <w:rPr>
          <w:sz w:val="20"/>
          <w:szCs w:val="20"/>
          <w:color w:val="auto"/>
        </w:rPr>
      </w:pPr>
    </w:p>
    <w:p>
      <w:pPr>
        <w:ind w:right="239"/>
        <w:spacing w:after="0" w:line="238" w:lineRule="auto"/>
        <w:rPr>
          <w:sz w:val="20"/>
          <w:szCs w:val="20"/>
          <w:color w:val="auto"/>
        </w:rPr>
      </w:pPr>
      <w:r>
        <w:rPr>
          <w:rFonts w:ascii="Arial" w:cs="Arial" w:eastAsia="Arial" w:hAnsi="Arial"/>
          <w:sz w:val="17"/>
          <w:szCs w:val="17"/>
          <w:color w:val="auto"/>
        </w:rPr>
        <w:t>For the purposes of these exceptions, recognition of a financial institution, regulatory authority or jurisdiction will be determined in accordance with the Regulations by reference to those jurisdictions recognized by the Cayman Islands Monetary Authority as having equivalent anti-money laundering regulations.</w:t>
      </w:r>
    </w:p>
    <w:p>
      <w:pPr>
        <w:spacing w:after="0" w:line="161" w:lineRule="exact"/>
        <w:rPr>
          <w:sz w:val="20"/>
          <w:szCs w:val="20"/>
          <w:color w:val="auto"/>
        </w:rPr>
      </w:pPr>
    </w:p>
    <w:p>
      <w:pPr>
        <w:ind w:right="59"/>
        <w:spacing w:after="0" w:line="238" w:lineRule="auto"/>
        <w:rPr>
          <w:sz w:val="20"/>
          <w:szCs w:val="20"/>
          <w:color w:val="auto"/>
        </w:rPr>
      </w:pPr>
      <w:r>
        <w:rPr>
          <w:rFonts w:ascii="Arial" w:cs="Arial" w:eastAsia="Arial" w:hAnsi="Arial"/>
          <w:sz w:val="17"/>
          <w:szCs w:val="17"/>
          <w:color w:val="auto"/>
        </w:rPr>
        <w:t>In the event of delay or failure on the part of the subscriber in producing any information required for verification purposes, we may refuse to accept the application, in which case any funds received will be returned without interest to the account from which they were originally debited.</w:t>
      </w:r>
    </w:p>
    <w:p>
      <w:pPr>
        <w:spacing w:after="0" w:line="161" w:lineRule="exact"/>
        <w:rPr>
          <w:sz w:val="20"/>
          <w:szCs w:val="20"/>
          <w:color w:val="auto"/>
        </w:rPr>
      </w:pPr>
    </w:p>
    <w:p>
      <w:pPr>
        <w:ind w:right="39"/>
        <w:spacing w:after="0" w:line="236" w:lineRule="auto"/>
        <w:rPr>
          <w:sz w:val="20"/>
          <w:szCs w:val="20"/>
          <w:color w:val="auto"/>
        </w:rPr>
      </w:pPr>
      <w:r>
        <w:rPr>
          <w:rFonts w:ascii="Arial" w:cs="Arial" w:eastAsia="Arial" w:hAnsi="Arial"/>
          <w:sz w:val="17"/>
          <w:szCs w:val="17"/>
          <w:color w:val="auto"/>
        </w:rPr>
        <w:t>We also reserve the right to refuse to make any distribution payment to a shareholder if our directors or officers suspect or are advised that the payment of such distribution to such shareholder might result in a breach of applicable anti-money laundering or other laws or regulations by any person in any relevant jurisdiction, or if such refusal is considered necessary or appropriate to ensure our compliance with any such laws or regulations in any applicable jurisdiction.</w:t>
      </w:r>
    </w:p>
    <w:p>
      <w:pPr>
        <w:spacing w:after="0" w:line="149" w:lineRule="exact"/>
        <w:rPr>
          <w:sz w:val="20"/>
          <w:szCs w:val="20"/>
          <w:color w:val="auto"/>
        </w:rPr>
      </w:pPr>
    </w:p>
    <w:p>
      <w:pPr>
        <w:ind w:right="59"/>
        <w:spacing w:after="0" w:line="233" w:lineRule="auto"/>
        <w:rPr>
          <w:sz w:val="20"/>
          <w:szCs w:val="20"/>
          <w:color w:val="auto"/>
        </w:rPr>
      </w:pPr>
      <w:r>
        <w:rPr>
          <w:rFonts w:ascii="Arial" w:cs="Arial" w:eastAsia="Arial" w:hAnsi="Arial"/>
          <w:sz w:val="17"/>
          <w:szCs w:val="17"/>
          <w:color w:val="auto"/>
        </w:rPr>
        <w:t>If any person resident in the Cayman Islands knows or suspects, or has reasonable grounds for knowing or suspecting, that another person is engaged in criminal conduct or is involved with terrorism or terrorist property and the information for that knowledge or suspicion came to their attention in the course of business in the regulated sector or other trade, profession, business or employment, the person will be required to report such knowledge or suspicion to (i) the Financial Reporting Authority of the Cayman Islands, pursuant to the Proceeds of Crime Law (2020 Revision) of the Cayman Islands if the disclosure relates to criminal conduct or money laundering or (ii) a police officer of the rank of constable or higher, or the Financial Reporting Authority, pursuant to the Terrorism Law (2018 Revision) of the Cayman Islands, if the disclosure relates to involvement with terrorism or terrorist financing and property. Such a report will not be treated as a breach of confidence or of any restriction upon the disclosure of information imposed by any enactment or otherwise.</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Date Protection in the Cayman Islands — Privacy Notice</w:t>
      </w:r>
    </w:p>
    <w:p>
      <w:pPr>
        <w:spacing w:after="0" w:line="176" w:lineRule="exact"/>
        <w:rPr>
          <w:sz w:val="20"/>
          <w:szCs w:val="20"/>
          <w:color w:val="auto"/>
        </w:rPr>
      </w:pPr>
    </w:p>
    <w:p>
      <w:pPr>
        <w:jc w:val="both"/>
        <w:ind w:right="179"/>
        <w:spacing w:after="0" w:line="238" w:lineRule="auto"/>
        <w:rPr>
          <w:sz w:val="20"/>
          <w:szCs w:val="20"/>
          <w:color w:val="auto"/>
        </w:rPr>
      </w:pPr>
      <w:r>
        <w:rPr>
          <w:rFonts w:ascii="Arial" w:cs="Arial" w:eastAsia="Arial" w:hAnsi="Arial"/>
          <w:sz w:val="17"/>
          <w:szCs w:val="17"/>
          <w:color w:val="auto"/>
        </w:rPr>
        <w:t>This privacy notice explains the manner in which the company collects, processes and maintains personal data about investors of the company pursuant to the Data Protection Law, 2017 of the Cayman Islands, as amended from time to time and any regulations, codes of practice or orders promulgated pursuant thereto (“DPL”).</w:t>
      </w:r>
    </w:p>
    <w:p>
      <w:pPr>
        <w:spacing w:after="0" w:line="161" w:lineRule="exact"/>
        <w:rPr>
          <w:sz w:val="20"/>
          <w:szCs w:val="20"/>
          <w:color w:val="auto"/>
        </w:rPr>
      </w:pPr>
    </w:p>
    <w:p>
      <w:pPr>
        <w:ind w:right="219"/>
        <w:spacing w:after="0" w:line="236" w:lineRule="auto"/>
        <w:rPr>
          <w:sz w:val="20"/>
          <w:szCs w:val="20"/>
          <w:color w:val="auto"/>
        </w:rPr>
      </w:pPr>
      <w:r>
        <w:rPr>
          <w:rFonts w:ascii="Arial" w:cs="Arial" w:eastAsia="Arial" w:hAnsi="Arial"/>
          <w:sz w:val="17"/>
          <w:szCs w:val="17"/>
          <w:color w:val="auto"/>
        </w:rPr>
        <w:t>The company is committed to processing personal data in accordance with the DPL. In its use of personal data, the company will be characterized under the DPL as a ‘data controller’, whilst certain of the company’s service providers, affiliates and delegates may act as ‘data processors’ under the DPL. These service providers may process personal information for their own lawful purposes in connection with services provided to the company.</w:t>
      </w:r>
    </w:p>
    <w:p>
      <w:pPr>
        <w:spacing w:after="0" w:line="163" w:lineRule="exact"/>
        <w:rPr>
          <w:sz w:val="20"/>
          <w:szCs w:val="20"/>
          <w:color w:val="auto"/>
        </w:rPr>
      </w:pPr>
    </w:p>
    <w:p>
      <w:pPr>
        <w:jc w:val="both"/>
        <w:ind w:right="279"/>
        <w:spacing w:after="0" w:line="238" w:lineRule="auto"/>
        <w:rPr>
          <w:sz w:val="20"/>
          <w:szCs w:val="20"/>
          <w:color w:val="auto"/>
        </w:rPr>
      </w:pPr>
      <w:r>
        <w:rPr>
          <w:rFonts w:ascii="Arial" w:cs="Arial" w:eastAsia="Arial" w:hAnsi="Arial"/>
          <w:sz w:val="17"/>
          <w:szCs w:val="17"/>
          <w:color w:val="auto"/>
        </w:rPr>
        <w:t>By virtue of making an investment in the company, the company and certain of the company’s service providers may collect, record, store, transfer and otherwise process personal data by which individuals may be directly or indirectly identified.</w:t>
      </w:r>
    </w:p>
    <w:p>
      <w:pPr>
        <w:spacing w:after="0" w:line="147" w:lineRule="exact"/>
        <w:rPr>
          <w:sz w:val="20"/>
          <w:szCs w:val="20"/>
          <w:color w:val="auto"/>
        </w:rPr>
      </w:pPr>
    </w:p>
    <w:p>
      <w:pPr>
        <w:ind w:right="39"/>
        <w:spacing w:after="0" w:line="235" w:lineRule="auto"/>
        <w:rPr>
          <w:sz w:val="20"/>
          <w:szCs w:val="20"/>
          <w:color w:val="auto"/>
        </w:rPr>
      </w:pPr>
      <w:r>
        <w:rPr>
          <w:rFonts w:ascii="Arial" w:cs="Arial" w:eastAsia="Arial" w:hAnsi="Arial"/>
          <w:sz w:val="17"/>
          <w:szCs w:val="17"/>
          <w:color w:val="auto"/>
        </w:rPr>
        <w:t>Your personal data will be processed fairly and for lawful purposes, including (a) where the processing is necessary for the company to perform a contract to which you are a party or for taking pre-contractual steps at your request (b) where the processing is necessary for compliance with any legal, tax or regulatory obligation to which the company is subject or (c) where the processing is for the purposes of legitimate interests pursued by the company or by a service provider to whom the data are disclosed. As a data controller, we will only use your personal data for the purposes for which we collected it. If we need to use your personal data for an unrelated purpose, we will contact you.</w:t>
      </w: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bookmarkStart w:id="121" w:name="page122"/>
    <w:bookmarkEnd w:id="12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We anticipate that we will share your personal data with the company’s service providers for the purposes set out in this privacy notice. We may also share relevant personal data where it is lawful to do so and necessary to comply with our contractual obligations or your instructions or where it is necessary or desirable to do so in connection with any regulatory reporting obligations. In exceptional circumstances, we will share your personal data with regulatory, prosecuting and other governmental agencies or departments, and parties to litigation (whether pending or threatened), in any country or territory including to any other person where we have a public or legal duty to do so (e.g. to assist with detecting and preventing fraud, tax evasion and financial crime or compliance with a court order).</w:t>
      </w:r>
    </w:p>
    <w:p>
      <w:pPr>
        <w:spacing w:after="0" w:line="164"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Your personal data shall not be held by the company for longer than necessary with regard to the purposes of the data processing.</w:t>
      </w:r>
    </w:p>
    <w:p>
      <w:pPr>
        <w:spacing w:after="0" w:line="158" w:lineRule="exact"/>
        <w:rPr>
          <w:sz w:val="20"/>
          <w:szCs w:val="20"/>
          <w:color w:val="auto"/>
        </w:rPr>
      </w:pPr>
    </w:p>
    <w:p>
      <w:pPr>
        <w:jc w:val="both"/>
        <w:ind w:right="60"/>
        <w:spacing w:after="0" w:line="238" w:lineRule="auto"/>
        <w:rPr>
          <w:sz w:val="20"/>
          <w:szCs w:val="20"/>
          <w:color w:val="auto"/>
        </w:rPr>
      </w:pPr>
      <w:r>
        <w:rPr>
          <w:rFonts w:ascii="Arial" w:cs="Arial" w:eastAsia="Arial" w:hAnsi="Arial"/>
          <w:sz w:val="17"/>
          <w:szCs w:val="17"/>
          <w:color w:val="auto"/>
        </w:rPr>
        <w:t>We will not sell your personal data. Any transfer of personal data outside of the Cayman Islands shall be in accordance with the requirements of the DPL. Where necessary, we will ensure that separate and appropriate legal agreements are put in place with the recipient of that data.</w:t>
      </w:r>
    </w:p>
    <w:p>
      <w:pPr>
        <w:spacing w:after="0" w:line="147"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company will only transfer personal data in accordance with the requirements of the DPL,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61"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to your investment into the company, this will be relevant for those individuals and you should inform such individuals of the content.</w:t>
      </w:r>
    </w:p>
    <w:p>
      <w:pPr>
        <w:spacing w:after="0" w:line="163"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You have certain rights under the DPL, including (a) the right to be informed as to how we collect and use your personal data (and this privacy notice fulfils the Company’s obligation in this respect) (b) the right to obtain a copy of your personal data (c) the right to require us to stop direct marketing (d) the right to have inaccurate or incomplete personal data corrected (e) the right to withdraw your consent and require us to stop processing or restrict the processing, or not begin the processing of your personal data (f) the right to be notified of a data breach (unless the breach is unlikely to be prejudicial) (g) the right to obtain information as to any countries or territories outside the Cayman Islands to which we, whether directly or indirectly, transfer, intend to transfer or wish to transfer your personal data, general measures we take to ensure the security of personal data and any information available to us as to the source of your personal data</w:t>
      </w:r>
    </w:p>
    <w:p>
      <w:pPr>
        <w:ind w:right="160" w:firstLine="8"/>
        <w:spacing w:after="0" w:line="243" w:lineRule="auto"/>
        <w:tabs>
          <w:tab w:leader="none" w:pos="256"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right to complain to the Office of the Ombudsman of the Cayman Islands and (i) the right to require us to delete your personal data in some limited circumstances.</w:t>
      </w:r>
    </w:p>
    <w:p>
      <w:pPr>
        <w:spacing w:after="0" w:line="144" w:lineRule="exact"/>
        <w:rPr>
          <w:sz w:val="20"/>
          <w:szCs w:val="20"/>
          <w:color w:val="auto"/>
        </w:rPr>
      </w:pPr>
    </w:p>
    <w:p>
      <w:pPr>
        <w:ind w:right="260"/>
        <w:spacing w:after="0" w:line="236" w:lineRule="auto"/>
        <w:rPr>
          <w:sz w:val="20"/>
          <w:szCs w:val="20"/>
          <w:color w:val="auto"/>
        </w:rPr>
      </w:pPr>
      <w:r>
        <w:rPr>
          <w:rFonts w:ascii="Arial" w:cs="Arial" w:eastAsia="Arial" w:hAnsi="Arial"/>
          <w:sz w:val="17"/>
          <w:szCs w:val="17"/>
          <w:color w:val="auto"/>
        </w:rPr>
        <w:t>If you consider that your personal data has not been handled correctly, or you are not satisfied with the company’s responses to any requests you have made regarding the use of your personal data, you have the right to complain to the Cayman Islands’ Ombudsman. The Ombudsman can be contacted by calling +1 (345) 946-6283 or by email at info@ombudsman.ky.</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Anti-Takeover Provisions of our Amended and Restated Memorandum and Articles of Association</w:t>
      </w:r>
    </w:p>
    <w:p>
      <w:pPr>
        <w:spacing w:after="0" w:line="176"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Our amended and restated memorandum and articles of association will provide that our board of directors will be classified into three classes of directors. As a result, in most circumstances, a person can gain control of our board only by successfully engaging in a proxy contest at two or more annual meetings.</w:t>
      </w:r>
    </w:p>
    <w:p>
      <w:pPr>
        <w:spacing w:after="0" w:line="161"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Our authorized but unissued Class A ordinary shares and preference shares are available for future issuances without shareholder approval and could be utilized for a variety of corporate purposes, including future offerings to raise additional capital, acquisitions and employee benefit plans. The existence of authorized but unissued and unreserved Class A ordinary shares and preference shares could render more difficult or discourage an attempt to obtain control of us by means of a proxy contest, tender offer, merger or otherwise.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Eligible for Future Sale</w:t>
      </w:r>
    </w:p>
    <w:p>
      <w:pPr>
        <w:spacing w:after="0" w:line="189"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Immediately after this offering we will have 16,075,000 Class A ordinary shares (or 18,456,250 Class A ordinary shares if the underwriters’ over-allotment option is exercised in full) issued and outstanding on an as-converted basis. Of these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122" w:name="page123"/>
    <w:bookmarkEnd w:id="12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shares, the Class A ordinary shares sold in this offering (12,500,000 Class A ordinary shares if the underwriters’ over-allotment option is not exercised and 14,375,000 Class A ordinary shares if the underwriters’ over-allotment option is exercised in full) will be freely tradable without restriction or further registration under the Securities Act, except for any Class A ordinary shares purchased by one of our affiliates within the meaning of Rule 144 under the Securities Act. All of the outstanding founder shares (3,125,000 founder shares if the underwriters’ over-allotment option is not exercised and 3,593,750 founder shares if the underwriters’ over-allotment option is exercised in full) and all of the outstanding private placement shares (450,000 private placement shares if the underwriters’ over-allotment option is not exercised and 487,500 private placement shares if the underwriters’ over-allotment option is exercised in full), and the securities underlying the foregoing, will be restricted securities under Rule 144, in that they were issued in private transactions not involving a public offering.</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Rule 144</w:t>
      </w:r>
    </w:p>
    <w:p>
      <w:pPr>
        <w:spacing w:after="0" w:line="54"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 xml:space="preserve">Pursuant to Rule 144, a person who has beneficially owned restricted shares for at least six months would be entitled to sell their securities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50"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Persons who have beneficially owned restricted shares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93" w:lineRule="exact"/>
        <w:rPr>
          <w:sz w:val="20"/>
          <w:szCs w:val="20"/>
          <w:color w:val="auto"/>
        </w:rPr>
      </w:pPr>
    </w:p>
    <w:p>
      <w:pPr>
        <w:ind w:left="580" w:right="200"/>
        <w:spacing w:after="0" w:line="243" w:lineRule="auto"/>
        <w:rPr>
          <w:sz w:val="20"/>
          <w:szCs w:val="20"/>
          <w:color w:val="auto"/>
        </w:rPr>
      </w:pPr>
      <w:r>
        <w:rPr>
          <w:rFonts w:ascii="Arial" w:cs="Arial" w:eastAsia="Arial" w:hAnsi="Arial"/>
          <w:sz w:val="17"/>
          <w:szCs w:val="17"/>
          <w:color w:val="auto"/>
        </w:rPr>
        <w:t>1% of the total number of ordinary shares then outstanding, which will equal 160,750 shares immediately after this offering (or 184,563 shares if the underwriters exercise their over-allotment option in full); and</w:t>
      </w:r>
    </w:p>
    <w:p>
      <w:pPr>
        <w:spacing w:after="0" w:line="90" w:lineRule="exact"/>
        <w:rPr>
          <w:sz w:val="20"/>
          <w:szCs w:val="20"/>
          <w:color w:val="auto"/>
        </w:rPr>
      </w:pPr>
    </w:p>
    <w:p>
      <w:pPr>
        <w:ind w:left="580" w:right="460"/>
        <w:spacing w:after="0" w:line="243" w:lineRule="auto"/>
        <w:rPr>
          <w:sz w:val="20"/>
          <w:szCs w:val="20"/>
          <w:color w:val="auto"/>
        </w:rPr>
      </w:pPr>
      <w:r>
        <w:rPr>
          <w:rFonts w:ascii="Arial" w:cs="Arial" w:eastAsia="Arial" w:hAnsi="Arial"/>
          <w:sz w:val="17"/>
          <w:szCs w:val="17"/>
          <w:color w:val="auto"/>
        </w:rPr>
        <w:t>the average weekly reported trading volume of the Class A ordinary shares during the four calendar weeks preceding the filing of a notice on Form 144 with respect to the sale.</w:t>
      </w:r>
    </w:p>
    <w:p>
      <w:pPr>
        <w:spacing w:after="0" w:line="158"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Sales by our affiliates under Rule 144 are also limited by manner of sale provisions and notice requirements and to the availability of current public information about us.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Restrictions on the Use of Rule 144 by Shell Companies or Former Shell Companies</w:t>
      </w:r>
    </w:p>
    <w:p>
      <w:pPr>
        <w:spacing w:after="0" w:line="41"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9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issuer of the securities that was formerly a shell company has ceased to be a shell company;</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issuer of the securities is subject to the reporting requirements of Section 13 or 15(d) of the Exchange Act;</w:t>
      </w:r>
    </w:p>
    <w:p>
      <w:pPr>
        <w:spacing w:after="0" w:line="102" w:lineRule="exact"/>
        <w:rPr>
          <w:sz w:val="20"/>
          <w:szCs w:val="20"/>
          <w:color w:val="auto"/>
        </w:rPr>
      </w:pPr>
    </w:p>
    <w:p>
      <w:pPr>
        <w:jc w:val="both"/>
        <w:ind w:left="580" w:right="340"/>
        <w:spacing w:after="0" w:line="238" w:lineRule="auto"/>
        <w:rPr>
          <w:sz w:val="20"/>
          <w:szCs w:val="20"/>
          <w:color w:val="auto"/>
        </w:rPr>
      </w:pPr>
      <w:r>
        <w:rPr>
          <w:rFonts w:ascii="Arial" w:cs="Arial" w:eastAsia="Arial" w:hAnsi="Arial"/>
          <w:sz w:val="17"/>
          <w:szCs w:val="17"/>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93" w:lineRule="exact"/>
        <w:rPr>
          <w:sz w:val="20"/>
          <w:szCs w:val="20"/>
          <w:color w:val="auto"/>
        </w:rPr>
      </w:pPr>
    </w:p>
    <w:p>
      <w:pPr>
        <w:ind w:left="580" w:right="180"/>
        <w:spacing w:after="0" w:line="243" w:lineRule="auto"/>
        <w:rPr>
          <w:sz w:val="20"/>
          <w:szCs w:val="20"/>
          <w:color w:val="auto"/>
        </w:rPr>
      </w:pPr>
      <w:r>
        <w:rPr>
          <w:rFonts w:ascii="Arial" w:cs="Arial" w:eastAsia="Arial" w:hAnsi="Arial"/>
          <w:sz w:val="17"/>
          <w:szCs w:val="17"/>
          <w:color w:val="auto"/>
        </w:rPr>
        <w:t>at least one year has elapsed from the time that the issuer filed current Form 10 type information with the SEC reflecting its status as an entity that is not a shell company.</w:t>
      </w:r>
    </w:p>
    <w:p>
      <w:pPr>
        <w:spacing w:after="0" w:line="158"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As a result, our initial shareholders will be able to sell their founder shares and our sponsor will be able to sell its private placement shares, pursuant to Rule 144 without registration one year after we have completed our initial business combination.</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and Shareholder Rights</w:t>
      </w:r>
    </w:p>
    <w:p>
      <w:pPr>
        <w:spacing w:after="0" w:line="18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holders of the founder shares and private placement shares, including the private placement shares that may be issued upon conversion of working capital loans and any Class A ordinary shares issuable upon conversion of founder shares will be entitled to registration rights pursuant to a registration and shareholder rights agreement to be signed prior to or on the effective date of this offering. The holders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123" w:name="page124"/>
    <w:bookmarkEnd w:id="12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combination. However, the registration and shareholder rights agreement provides that we will not permit any registration statement filed under the Securities Act to become effective until termination of the applicable lock-up period, which occurs (i) in the case of the founder shares, as described in the following paragraph, and (ii) in the case of the private placement shares, 30 days after the completion of our initial business combination. We will bear the expenses incurred in connection with the filing of any such registration statements.</w:t>
      </w:r>
    </w:p>
    <w:p>
      <w:pPr>
        <w:spacing w:after="0" w:line="163"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Except as described herein, our sponsor and our management team have agreed not to transfer, assign or sell (i) any of their founder shares until the earliest of (A) one year after the completion of our initial business combination and</w:t>
      </w:r>
    </w:p>
    <w:p>
      <w:pPr>
        <w:ind w:firstLine="8"/>
        <w:spacing w:after="0" w:line="234" w:lineRule="auto"/>
        <w:tabs>
          <w:tab w:leader="none" w:pos="275" w:val="left"/>
        </w:tabs>
        <w:numPr>
          <w:ilvl w:val="0"/>
          <w:numId w:val="30"/>
        </w:numPr>
        <w:rPr>
          <w:rFonts w:ascii="Arial" w:cs="Arial" w:eastAsia="Arial" w:hAnsi="Arial"/>
          <w:sz w:val="17"/>
          <w:szCs w:val="17"/>
          <w:color w:val="auto"/>
        </w:rPr>
      </w:pPr>
      <w:r>
        <w:rPr>
          <w:rFonts w:ascii="Arial" w:cs="Arial" w:eastAsia="Arial" w:hAnsi="Arial"/>
          <w:sz w:val="17"/>
          <w:szCs w:val="17"/>
          <w:color w:val="auto"/>
        </w:rPr>
        <w:t>subsequent to our initial business combination, (x) if the closing price of our Class A ordinary shares equals or exceeds $12.00 per share (as adjusted for share splits, share capitalizations, reorganizations, recapitalizations and the like) for any 20 trading days within any 30-trading day period commencing at least 150 days after our initial business combination, or (y) the date on which we complete a liquidation, merger, share exchange, reorganization or other similar transaction that results in all of our public shareholders having the right to exchange their ordinary shares for cash, securities or other property, and (ii) any of their private placement shares until 30 days after the completion of our initial business combination. Any permitted transferees will be subject to the same restrictions and other agreements of our sponsor and management team with respect to any founder shares and private placement shares. We refer to such transfer restrictions throughout this prospectus as the lock-up.</w:t>
      </w:r>
    </w:p>
    <w:p>
      <w:pPr>
        <w:spacing w:after="0" w:line="16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In addition, pursuant to an agreement to be entered into on or prior to the closing of this offering, our sponsor, upon and following consummation of an initial business combination, will be entitled to nominate three individuals for election to our board of directors, as long as the sponsor holds any securities covered by the registration and shareholder rights agreement.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 of Securities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We intend to apply to have our Class A ordinary shares listed on Nasdaq under the symbol “ARYA.”</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124" w:name="page125"/>
    <w:bookmarkEnd w:id="12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TAXATION</w:t>
      </w:r>
    </w:p>
    <w:p>
      <w:pPr>
        <w:spacing w:after="0" w:line="188" w:lineRule="exact"/>
        <w:rPr>
          <w:sz w:val="20"/>
          <w:szCs w:val="20"/>
          <w:color w:val="auto"/>
        </w:rPr>
      </w:pPr>
    </w:p>
    <w:p>
      <w:pPr>
        <w:ind w:right="159"/>
        <w:spacing w:after="0" w:line="235" w:lineRule="auto"/>
        <w:rPr>
          <w:sz w:val="20"/>
          <w:szCs w:val="20"/>
          <w:color w:val="auto"/>
        </w:rPr>
      </w:pPr>
      <w:r>
        <w:rPr>
          <w:rFonts w:ascii="Arial" w:cs="Arial" w:eastAsia="Arial" w:hAnsi="Arial"/>
          <w:sz w:val="17"/>
          <w:szCs w:val="17"/>
          <w:color w:val="auto"/>
        </w:rPr>
        <w:t>The following summary of certain Cayman Islands and U.S. federal income tax considerations of an investment in our Class A ordinary shares, which we also refer to as our securities, is based upon laws and relevant interpretations thereof in effect as of the date of this prospectus, all of which are subject to change. This summary does not deal with all possible tax consequences relating to an investment in our Class A ordinary shares, such as the tax consequences under state, local and other tax laws.</w:t>
      </w:r>
    </w:p>
    <w:p>
      <w:pPr>
        <w:spacing w:after="0" w:line="163" w:lineRule="exact"/>
        <w:rPr>
          <w:sz w:val="20"/>
          <w:szCs w:val="20"/>
          <w:color w:val="auto"/>
        </w:rPr>
      </w:pPr>
    </w:p>
    <w:p>
      <w:pPr>
        <w:ind w:right="439"/>
        <w:spacing w:after="0" w:line="243" w:lineRule="auto"/>
        <w:rPr>
          <w:sz w:val="20"/>
          <w:szCs w:val="20"/>
          <w:color w:val="auto"/>
        </w:rPr>
      </w:pPr>
      <w:r>
        <w:rPr>
          <w:rFonts w:ascii="Arial" w:cs="Arial" w:eastAsia="Arial" w:hAnsi="Arial"/>
          <w:sz w:val="17"/>
          <w:szCs w:val="17"/>
          <w:color w:val="auto"/>
        </w:rPr>
        <w:t>Prospective investors should consult their advisors on the possible tax consequences of investing in our securities under the laws of their country of citizenship, residence or domicile.</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Cayman Islands Tax Considerations</w:t>
      </w:r>
    </w:p>
    <w:p>
      <w:pPr>
        <w:spacing w:after="0" w:line="189" w:lineRule="exact"/>
        <w:rPr>
          <w:sz w:val="20"/>
          <w:szCs w:val="20"/>
          <w:color w:val="auto"/>
        </w:rPr>
      </w:pPr>
    </w:p>
    <w:p>
      <w:pPr>
        <w:ind w:right="59"/>
        <w:spacing w:after="0" w:line="236" w:lineRule="auto"/>
        <w:rPr>
          <w:sz w:val="20"/>
          <w:szCs w:val="20"/>
          <w:color w:val="auto"/>
        </w:rPr>
      </w:pPr>
      <w:r>
        <w:rPr>
          <w:rFonts w:ascii="Arial" w:cs="Arial" w:eastAsia="Arial" w:hAnsi="Arial"/>
          <w:sz w:val="17"/>
          <w:szCs w:val="17"/>
          <w:color w:val="auto"/>
        </w:rPr>
        <w:t>The following is a discussion on certain Cayman Islands income tax consequences of an investment in the securities of the Company. The discussion is a general summary of present law, which is subject to prospective and retroactive change. It is not intended as tax advice, does not consider any investor’s particular circumstances, and does not consider tax consequences other than those arising under Cayman Islands law.</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Under Existing Cayman Islands Laws</w:t>
      </w:r>
    </w:p>
    <w:p>
      <w:pPr>
        <w:spacing w:after="0" w:line="189" w:lineRule="exact"/>
        <w:rPr>
          <w:sz w:val="20"/>
          <w:szCs w:val="20"/>
          <w:color w:val="auto"/>
        </w:rPr>
      </w:pPr>
    </w:p>
    <w:p>
      <w:pPr>
        <w:ind w:right="119"/>
        <w:spacing w:after="0" w:line="236" w:lineRule="auto"/>
        <w:rPr>
          <w:sz w:val="20"/>
          <w:szCs w:val="20"/>
          <w:color w:val="auto"/>
        </w:rPr>
      </w:pPr>
      <w:r>
        <w:rPr>
          <w:rFonts w:ascii="Arial" w:cs="Arial" w:eastAsia="Arial" w:hAnsi="Arial"/>
          <w:sz w:val="17"/>
          <w:szCs w:val="17"/>
          <w:color w:val="auto"/>
        </w:rPr>
        <w:t>Payments of dividends and capital in respect of our securities will not be subject to taxation in the Cayman Islands and no withholding will be required on the payment of a dividend or capital to any holder of the securities nor will gains derived from the disposal of the securities be subject to Cayman Islands income or corporation tax. The Cayman Islands currently have no income, corporation or capital gains tax and no estate duty, inheritance tax or gift tax.</w:t>
      </w:r>
    </w:p>
    <w:p>
      <w:pPr>
        <w:spacing w:after="0" w:line="149" w:lineRule="exact"/>
        <w:rPr>
          <w:sz w:val="20"/>
          <w:szCs w:val="20"/>
          <w:color w:val="auto"/>
        </w:rPr>
      </w:pPr>
    </w:p>
    <w:p>
      <w:pPr>
        <w:ind w:right="579"/>
        <w:spacing w:after="0" w:line="243" w:lineRule="auto"/>
        <w:rPr>
          <w:sz w:val="20"/>
          <w:szCs w:val="20"/>
          <w:color w:val="auto"/>
        </w:rPr>
      </w:pPr>
      <w:r>
        <w:rPr>
          <w:rFonts w:ascii="Arial" w:cs="Arial" w:eastAsia="Arial" w:hAnsi="Arial"/>
          <w:sz w:val="17"/>
          <w:szCs w:val="17"/>
          <w:color w:val="auto"/>
        </w:rPr>
        <w:t>No stamp duty is payable in respect of the issue of our Class A ordinary shares or on an instrument of transfer in respect of such shares.</w:t>
      </w:r>
    </w:p>
    <w:p>
      <w:pPr>
        <w:spacing w:after="0" w:line="158" w:lineRule="exact"/>
        <w:rPr>
          <w:sz w:val="20"/>
          <w:szCs w:val="20"/>
          <w:color w:val="auto"/>
        </w:rPr>
      </w:pPr>
    </w:p>
    <w:p>
      <w:pPr>
        <w:ind w:right="79"/>
        <w:spacing w:after="0" w:line="238" w:lineRule="auto"/>
        <w:rPr>
          <w:sz w:val="20"/>
          <w:szCs w:val="20"/>
          <w:color w:val="auto"/>
        </w:rPr>
      </w:pPr>
      <w:r>
        <w:rPr>
          <w:rFonts w:ascii="Arial" w:cs="Arial" w:eastAsia="Arial" w:hAnsi="Arial"/>
          <w:sz w:val="17"/>
          <w:szCs w:val="17"/>
          <w:color w:val="auto"/>
        </w:rPr>
        <w:t>The Company has been incorporated under the laws of the Cayman Islands as an exempted company with limited liability and, as such, has applied for and expects to obtain after the effectiveness of the registration statement of which this prospectus forms a part an undertaking from the Financial Secretary of the Cayman Islands in the following form:</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TAX CONCESSIONS LAW</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(2018 Revision)</w:t>
      </w:r>
    </w:p>
    <w:p>
      <w:pPr>
        <w:jc w:val="center"/>
        <w:ind w:right="-20"/>
        <w:spacing w:after="0"/>
        <w:rPr>
          <w:sz w:val="20"/>
          <w:szCs w:val="20"/>
          <w:color w:val="auto"/>
        </w:rPr>
      </w:pPr>
      <w:r>
        <w:rPr>
          <w:rFonts w:ascii="Arial" w:cs="Arial" w:eastAsia="Arial" w:hAnsi="Arial"/>
          <w:sz w:val="18"/>
          <w:szCs w:val="18"/>
          <w:b w:val="1"/>
          <w:bCs w:val="1"/>
          <w:color w:val="auto"/>
        </w:rPr>
        <w:t>UNDERTAKING AS TO TAX CONCESSIONS</w:t>
      </w:r>
    </w:p>
    <w:p>
      <w:pPr>
        <w:spacing w:after="0" w:line="166" w:lineRule="exact"/>
        <w:rPr>
          <w:sz w:val="20"/>
          <w:szCs w:val="20"/>
          <w:color w:val="auto"/>
        </w:rPr>
      </w:pPr>
    </w:p>
    <w:p>
      <w:pPr>
        <w:ind w:right="339"/>
        <w:spacing w:after="0" w:line="243" w:lineRule="auto"/>
        <w:rPr>
          <w:sz w:val="20"/>
          <w:szCs w:val="20"/>
          <w:color w:val="auto"/>
        </w:rPr>
      </w:pPr>
      <w:r>
        <w:rPr>
          <w:rFonts w:ascii="Arial" w:cs="Arial" w:eastAsia="Arial" w:hAnsi="Arial"/>
          <w:sz w:val="17"/>
          <w:szCs w:val="17"/>
          <w:color w:val="auto"/>
        </w:rPr>
        <w:t>In accordance with the provision of Section 6 of The Tax Concessions Law (2018 Revision), the Financial Secretary undertakes with ARYA Sciences Acquisition Corp III (the “Company”):</w:t>
      </w:r>
    </w:p>
    <w:p>
      <w:pPr>
        <w:spacing w:after="0" w:line="144" w:lineRule="exact"/>
        <w:rPr>
          <w:sz w:val="20"/>
          <w:szCs w:val="20"/>
          <w:color w:val="auto"/>
        </w:rPr>
      </w:pPr>
    </w:p>
    <w:p>
      <w:pPr>
        <w:ind w:left="720" w:right="19" w:hanging="352"/>
        <w:spacing w:after="0" w:line="236" w:lineRule="auto"/>
        <w:tabs>
          <w:tab w:leader="none" w:pos="7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That no law which is hereafter enacted in the Islands imposing any tax to be levied on profits, income, gains or appreciations shall apply to the Company or its operations; and 3. In addition, that no tax to be levied on profits, income, gains or appreciations or which is in the nature of estate duty or inheritance tax shall be payable:</w:t>
      </w:r>
    </w:p>
    <w:p>
      <w:pPr>
        <w:spacing w:after="0" w:line="162" w:lineRule="exact"/>
        <w:rPr>
          <w:rFonts w:ascii="Arial" w:cs="Arial" w:eastAsia="Arial" w:hAnsi="Arial"/>
          <w:sz w:val="17"/>
          <w:szCs w:val="17"/>
          <w:color w:val="auto"/>
        </w:rPr>
      </w:pPr>
    </w:p>
    <w:p>
      <w:pPr>
        <w:ind w:left="720"/>
        <w:spacing w:after="0"/>
        <w:rPr>
          <w:rFonts w:ascii="Arial" w:cs="Arial" w:eastAsia="Arial" w:hAnsi="Arial"/>
          <w:sz w:val="17"/>
          <w:szCs w:val="17"/>
          <w:color w:val="auto"/>
        </w:rPr>
      </w:pPr>
      <w:r>
        <w:rPr>
          <w:rFonts w:ascii="Arial" w:cs="Arial" w:eastAsia="Arial" w:hAnsi="Arial"/>
          <w:sz w:val="17"/>
          <w:szCs w:val="17"/>
          <w:color w:val="auto"/>
        </w:rPr>
        <w:t>3.2 On or in respect of the shares, debentures or other obligations of the Company; or</w:t>
      </w:r>
    </w:p>
    <w:p>
      <w:pPr>
        <w:spacing w:after="0" w:line="169" w:lineRule="exact"/>
        <w:rPr>
          <w:rFonts w:ascii="Arial" w:cs="Arial" w:eastAsia="Arial" w:hAnsi="Arial"/>
          <w:sz w:val="17"/>
          <w:szCs w:val="17"/>
          <w:color w:val="auto"/>
        </w:rPr>
      </w:pPr>
    </w:p>
    <w:p>
      <w:pPr>
        <w:ind w:left="1080" w:right="159" w:hanging="351"/>
        <w:spacing w:after="0" w:line="243" w:lineRule="auto"/>
        <w:rPr>
          <w:rFonts w:ascii="Arial" w:cs="Arial" w:eastAsia="Arial" w:hAnsi="Arial"/>
          <w:sz w:val="17"/>
          <w:szCs w:val="17"/>
          <w:color w:val="auto"/>
        </w:rPr>
      </w:pPr>
      <w:r>
        <w:rPr>
          <w:rFonts w:ascii="Arial" w:cs="Arial" w:eastAsia="Arial" w:hAnsi="Arial"/>
          <w:sz w:val="17"/>
          <w:szCs w:val="17"/>
          <w:color w:val="auto"/>
        </w:rPr>
        <w:t>3.3 by way of the withholding in whole or part, of any relevant payment as defined in Section 6(3) of the Tax Concessions Law (2018 Revision).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These concessions shall be for a period of 20 years from the date hereof.</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United States Federal Income Tax Considerations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w:t>
      </w:r>
    </w:p>
    <w:p>
      <w:pPr>
        <w:spacing w:after="0" w:line="41" w:lineRule="exact"/>
        <w:rPr>
          <w:sz w:val="20"/>
          <w:szCs w:val="20"/>
          <w:color w:val="auto"/>
        </w:rPr>
      </w:pPr>
    </w:p>
    <w:p>
      <w:pPr>
        <w:ind w:right="359"/>
        <w:spacing w:after="0" w:line="238" w:lineRule="auto"/>
        <w:rPr>
          <w:sz w:val="20"/>
          <w:szCs w:val="20"/>
          <w:color w:val="auto"/>
        </w:rPr>
      </w:pPr>
      <w:r>
        <w:rPr>
          <w:rFonts w:ascii="Arial" w:cs="Arial" w:eastAsia="Arial" w:hAnsi="Arial"/>
          <w:sz w:val="17"/>
          <w:szCs w:val="17"/>
          <w:color w:val="auto"/>
        </w:rPr>
        <w:t>The following discussion summarizes certain U.S. federal income tax considerations generally applicable to the acquisition, ownership and disposition of our Class A ordinary shares, other than private placement shares, that are purchased in this offering by U.S. Holders (as defined below) and Non-U.S. Holders (as defined below).</w:t>
      </w: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bookmarkStart w:id="125" w:name="page126"/>
    <w:bookmarkEnd w:id="12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39"/>
        <w:spacing w:after="0" w:line="234" w:lineRule="auto"/>
        <w:rPr>
          <w:sz w:val="20"/>
          <w:szCs w:val="20"/>
          <w:color w:val="auto"/>
        </w:rPr>
      </w:pPr>
      <w:r>
        <w:rPr>
          <w:rFonts w:ascii="Arial" w:cs="Arial" w:eastAsia="Arial" w:hAnsi="Arial"/>
          <w:sz w:val="17"/>
          <w:szCs w:val="17"/>
          <w:color w:val="auto"/>
        </w:rPr>
        <w:t>This discussion is limited to certain U.S. federal income tax considerations to beneficial owners of our Class A ordinary shares who are initial purchasers of a Class A ordinary share (other than a private placement share) pursuant to this offering and hold the Class A ordinary share as a capital asset under the U.S. Internal Revenue Code of 1986, as amended (the “Code”). This discussion assumes that the Class A ordinary shares will trade separately and that any distributions made (or deemed made) by us on our Class A ordinary shares and any consideration received (or deemed received) by a holder in consideration for the sale or other disposition of our securities will be in U.S. dollars. This discussion is a summary only and does not consider all aspects of U.S. federal income taxation that may be relevant to the acquisition, ownership and disposition of a unit by a prospective investor in light of its particular circumstances, including:</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our sponsor, founders, officers or directors;</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banks, financial institutions or financial services entities;</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broker-dealers;</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taxpayers that are subject to the mark-to-market accounting rules;</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S-corporations;</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tax-exempt entities;</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governments or agencies or instrumentalities thereof;</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insurance companies;</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regulated investment companies;</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real estate investment trusts;</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controlled foreign corporations;</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passive foreign investment companies;</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expatriates or former long-term residents of the United States;</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persons that actually or constructively own five percent or more of our shares;</w:t>
      </w:r>
    </w:p>
    <w:p>
      <w:pPr>
        <w:spacing w:after="0" w:line="102" w:lineRule="exact"/>
        <w:rPr>
          <w:sz w:val="20"/>
          <w:szCs w:val="20"/>
          <w:color w:val="auto"/>
        </w:rPr>
      </w:pPr>
    </w:p>
    <w:p>
      <w:pPr>
        <w:ind w:left="580" w:right="439"/>
        <w:spacing w:after="0" w:line="243" w:lineRule="auto"/>
        <w:rPr>
          <w:sz w:val="20"/>
          <w:szCs w:val="20"/>
          <w:color w:val="auto"/>
        </w:rPr>
      </w:pPr>
      <w:r>
        <w:rPr>
          <w:rFonts w:ascii="Arial" w:cs="Arial" w:eastAsia="Arial" w:hAnsi="Arial"/>
          <w:sz w:val="17"/>
          <w:szCs w:val="17"/>
          <w:color w:val="auto"/>
        </w:rPr>
        <w:t>persons that acquired our securities pursuant to an exercise of employee share options, in connection with employee share incentive plans or otherwise as compensation or in connection with services;</w:t>
      </w:r>
    </w:p>
    <w:p>
      <w:pPr>
        <w:spacing w:after="0" w:line="90" w:lineRule="exact"/>
        <w:rPr>
          <w:sz w:val="20"/>
          <w:szCs w:val="20"/>
          <w:color w:val="auto"/>
        </w:rPr>
      </w:pPr>
    </w:p>
    <w:p>
      <w:pPr>
        <w:ind w:left="580" w:right="99"/>
        <w:spacing w:after="0" w:line="243" w:lineRule="auto"/>
        <w:rPr>
          <w:sz w:val="20"/>
          <w:szCs w:val="20"/>
          <w:color w:val="auto"/>
        </w:rPr>
      </w:pPr>
      <w:r>
        <w:rPr>
          <w:rFonts w:ascii="Arial" w:cs="Arial" w:eastAsia="Arial" w:hAnsi="Arial"/>
          <w:sz w:val="17"/>
          <w:szCs w:val="17"/>
          <w:color w:val="auto"/>
        </w:rPr>
        <w:t>persons that hold our securities as part of a straddle, constructive sale, hedging, conversion or other integrated or similar transaction; or</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U.S. Holders (as defined below) whose functional currency is not the U.S. dollar.</w:t>
      </w:r>
    </w:p>
    <w:p>
      <w:pPr>
        <w:spacing w:after="0" w:line="169" w:lineRule="exact"/>
        <w:rPr>
          <w:sz w:val="20"/>
          <w:szCs w:val="20"/>
          <w:color w:val="auto"/>
        </w:rPr>
      </w:pPr>
    </w:p>
    <w:p>
      <w:pPr>
        <w:ind w:right="79"/>
        <w:spacing w:after="0" w:line="235" w:lineRule="auto"/>
        <w:rPr>
          <w:sz w:val="20"/>
          <w:szCs w:val="20"/>
          <w:color w:val="auto"/>
        </w:rPr>
      </w:pPr>
      <w:r>
        <w:rPr>
          <w:rFonts w:ascii="Arial" w:cs="Arial" w:eastAsia="Arial" w:hAnsi="Arial"/>
          <w:sz w:val="17"/>
          <w:szCs w:val="17"/>
          <w:color w:val="auto"/>
        </w:rPr>
        <w:t>Moreover, the discussion below is based upon the provisions of the Code, the Treasury regulations promulgated thereunder and administrative and judicial interpretations thereof, all as of the date hereof. Those authorities may be repealed, revoked, modified or subject to differing interpretations, possibly on a retroactive basis, so as to result in U.S. federal income tax consequences different from those discussed below. Furthermore, this discussion does not address any aspect of U.S. federal non-income tax laws, such as gift, estate or Medicare contribution tax laws, or state, local or non-U.S. tax laws.</w:t>
      </w:r>
    </w:p>
    <w:p>
      <w:pPr>
        <w:spacing w:after="0" w:line="161" w:lineRule="exact"/>
        <w:rPr>
          <w:sz w:val="20"/>
          <w:szCs w:val="20"/>
          <w:color w:val="auto"/>
        </w:rPr>
      </w:pPr>
    </w:p>
    <w:p>
      <w:pPr>
        <w:ind w:right="39"/>
        <w:spacing w:after="0" w:line="236" w:lineRule="auto"/>
        <w:rPr>
          <w:sz w:val="20"/>
          <w:szCs w:val="20"/>
          <w:color w:val="auto"/>
        </w:rPr>
      </w:pPr>
      <w:r>
        <w:rPr>
          <w:rFonts w:ascii="Arial" w:cs="Arial" w:eastAsia="Arial" w:hAnsi="Arial"/>
          <w:sz w:val="17"/>
          <w:szCs w:val="17"/>
          <w:color w:val="auto"/>
        </w:rPr>
        <w:t>We have not sought, and will not seek, a ruling from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w:t>
      </w:r>
    </w:p>
    <w:p>
      <w:pPr>
        <w:spacing w:after="0" w:line="149" w:lineRule="exact"/>
        <w:rPr>
          <w:sz w:val="20"/>
          <w:szCs w:val="20"/>
          <w:color w:val="auto"/>
        </w:rPr>
      </w:pPr>
    </w:p>
    <w:p>
      <w:pPr>
        <w:ind w:right="19"/>
        <w:spacing w:after="0" w:line="235" w:lineRule="auto"/>
        <w:rPr>
          <w:sz w:val="20"/>
          <w:szCs w:val="20"/>
          <w:color w:val="auto"/>
        </w:rPr>
      </w:pPr>
      <w:r>
        <w:rPr>
          <w:rFonts w:ascii="Arial" w:cs="Arial" w:eastAsia="Arial" w:hAnsi="Arial"/>
          <w:sz w:val="17"/>
          <w:szCs w:val="17"/>
          <w:color w:val="auto"/>
        </w:rPr>
        <w:t>As used herein, the term “U.S. Holder” means a beneficial owner of Class A ordinary shares that is for U.S. federal income tax purposes: (i) an individual citizen or resident of the United States, (ii) a corporation (or other entity treated as a corporation for U.S. federal income tax purposes) that is created or organized (or treated as created or organized) in or under the laws of the United States, any state thereof or the District of Columbia, (iii) an estate the income of which is subject to U.S. federal income taxation regardless of its source or (iv) a trust if (A) a court within the United States is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bookmarkStart w:id="126" w:name="page127"/>
    <w:bookmarkEnd w:id="12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able to exercise primary supervision over the administration of the trust and one or more United States persons have the authority to control all substantial decisions of the trust, or (B) it has in effect a valid election to be treated as a U.S. person.</w:t>
      </w:r>
    </w:p>
    <w:p>
      <w:pPr>
        <w:spacing w:after="0" w:line="161"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This discussion does not consider the tax treatment of partnerships or other pass-through entities or persons who hold our securities through such entities. If a partnership (or other entity or arrangement classified as a partnership for U.S. federal income tax purposes) is the beneficial owner of our Class A ordinary shares, the U.S. federal income tax treatment of a partner in the partnership generally will depend on the status of the partner and the activities of the partner and the partnership. A U.S. Holders who is a partner of a partnership holding our Class A ordinary shares is urged to consult its tax advisor.</w:t>
      </w:r>
    </w:p>
    <w:p>
      <w:pPr>
        <w:spacing w:after="0" w:line="141"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b w:val="1"/>
          <w:bCs w:val="1"/>
          <w:color w:val="auto"/>
        </w:rPr>
        <w:t>THIS DISCUSSION IS ONLY A SUMMARY OF CERTAIN U.S. FEDERAL INCOME TAX CONSIDERATIONS ASSOCIATED WITH THE ACQUISITION, OWNERSHIP AND DISPOSITION OF OUR CLASS A ORDINARY SHARES. EACH PROSPECTIVE INVESTOR IN OUR SECURITIES IS URGED TO CONSULT ITS TAX ADVISOR WITH RESPECT TO THE PARTICULAR TAX CONSEQUENCES TO SUCH INVESTOR OF THE ACQUISITION, OWNERSHIP AND DISPOSITION OF OUR CLASS A ORDINARY SHARES, INCLUDING THE APPLICABILITY AND EFFECT OF ANY STATE, LOCAL, AND NON-U.S. TAX LAWS.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Holders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Taxation of Distributions</w:t>
      </w:r>
    </w:p>
    <w:p>
      <w:pPr>
        <w:spacing w:after="0" w:line="52"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Subject to the PFIC rules discussed below, a U.S. Holder generally will be required to include in gross income as dividends the amount of any cash distribution paid on our Class A ordinary shares to the extent the distribution is paid out of our current or accumulated earnings and profits (as determined under U.S. federal income tax principles). Such dividends paid by us will be taxable to a corporate U.S. Holder at regular rates and will not be eligible for the dividends-received deduction generally allowed to domestic corporations in respect of dividends received from other domestic corporations. Distributions in excess of such earnings and profits generally will be applied against and reduce the U.S. Holder’s basis in its Class A ordinary shares (but not below zero) and, to the extent in excess of such basis, will be treated as gain from the sale or exchange of such Class A ordinary shares (see “— Gain or Loss on Sale, Taxable Exchange or Other Taxable Disposition of Class A Ordinary Shares” below).</w:t>
      </w:r>
    </w:p>
    <w:p>
      <w:pPr>
        <w:spacing w:after="0" w:line="16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 xml:space="preserve">With respect to non-corporate U.S. Holders, under tax laws currently in effect and subject to certain exceptions (including, but not limited to, dividends treated as investment income for purposes of investment interest deduction limitations), dividends generally will be taxed at the lower applicable long-term capital gains rate (see “— Gain or Loss on Sale, Taxable Exchange or Other Taxable Disposition of Class A Ordinary Shares” below) only if our Class A ordinary shares are readily tradable on an established securities market in the United States, the Company is not treated as a PFIC at the time the dividend was paid or in the preceding taxable year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certain holding period requirements are met. It is unclear, however, whether certain redemption rights described in this prospectus may suspend the running of the applicable holding period for this purpose. U.S. Holders should consult their tax advisors regarding the availability of such lower rate for any dividends paid with respect to our Class A ordinary shares.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Gain or Loss on Sale, Taxable Exchange or Other Taxable Disposition of Class A Ordinary Shares</w:t>
      </w:r>
    </w:p>
    <w:p>
      <w:pPr>
        <w:spacing w:after="0" w:line="187"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Subject to the PFIC rules discussed below, a U.S. Holder generally will recognize capital gain or loss on the sale or other taxable disposition of our Class A ordinary shares (including on our dissolution and liquidation if we do not consummate an initial business combination within the required time period). Any such capital gain or loss generally will be long-term capital gain or loss if the U.S. Holder’s holding period for such Class A ordinary shares exceeds one year. It is unclear, however, whether certain redemption rights described in this prospectus may suspend the running of the applicable holding period for this purpose.</w:t>
      </w:r>
    </w:p>
    <w:p>
      <w:pPr>
        <w:spacing w:after="0" w:line="148" w:lineRule="exact"/>
        <w:rPr>
          <w:sz w:val="20"/>
          <w:szCs w:val="20"/>
          <w:color w:val="auto"/>
        </w:rPr>
      </w:pPr>
    </w:p>
    <w:p>
      <w:pPr>
        <w:ind w:right="280"/>
        <w:spacing w:after="0" w:line="232" w:lineRule="auto"/>
        <w:rPr>
          <w:sz w:val="20"/>
          <w:szCs w:val="20"/>
          <w:color w:val="auto"/>
        </w:rPr>
      </w:pPr>
      <w:r>
        <w:rPr>
          <w:rFonts w:ascii="Arial" w:cs="Arial" w:eastAsia="Arial" w:hAnsi="Arial"/>
          <w:sz w:val="17"/>
          <w:szCs w:val="17"/>
          <w:color w:val="auto"/>
        </w:rPr>
        <w:t>The amount of gain or loss recognized on a sale or other taxable disposition generally will be equal to the difference between (i) the sum of the amount of cash and the fair market value of any property received in such disposition and</w:t>
      </w:r>
    </w:p>
    <w:p>
      <w:pPr>
        <w:ind w:right="20" w:firstLine="8"/>
        <w:spacing w:after="0" w:line="236" w:lineRule="auto"/>
        <w:tabs>
          <w:tab w:leader="none" w:pos="237"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U.S. Holder’s adjusted tax basis in its Class A ordinary shares so disposed of. A U.S. Holder’s adjusted tax basis in its Class A ordinary shares generally will equal the U.S. Holder’s acquisition cost reduced by any prior distributions treated as a return of capital. Long-term capital gain realized by a non-corporate U.S. Holder is currently eligible to be taxed at reduced rates. The deduction of capital losses is subject to certain limitations.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127" w:name="page128"/>
    <w:bookmarkEnd w:id="12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Redemption of Class A Ordinary Shares</w:t>
      </w:r>
    </w:p>
    <w:p>
      <w:pPr>
        <w:spacing w:after="0" w:line="187"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Subject to the PFIC rules discussed below, in the event that a U.S. Holder’s Class A ordinary shares are redeemed pursuant to the redemption provisions described in this prospectus under “Description of Securities — Ordinary Shares” or if we purchase a U.S. Holder’s Class A ordinary shares in an open market transaction (referred to herein as a “redemption”), the treatment of the redemption for U.S. federal income tax purposes will depend on whether it qualifies as a sale of the Class A ordinary shares under Section 302 of the Code. If the redemption qualifies as a sale of Class A ordinary shares, the U.S. Holder will be treated as described under “— Gain or Loss on Sale, Taxable Exchange or Other Taxable Disposition of Class A Ordinary Shares” above. If the redemption does not qualify as a sale of Class A ordinary shares, the U.S. Holder will be treated as receiving a corporate distribution with the tax consequences described above under “— Taxation of Distributions.” Whether a redemption qualifies for sale treatment will depend largely on the total number of our shares treated as held by the U.S. Holder (including any shares constructively owned by the U.S. Holder described in the following paragraph) relative to all of our shares outstanding both before and after such redemption. The redemption of Class A ordinary shares generally will be treated as a sale of the Class A ordinary shares (rather than as a corporate distribution) if such redemption (i) is “substantially disproportionate” with respect to the U.S. Holder, (ii) results in a “complete termination” of the U.S. Holder’s interest in us or (iii) is “not essentially equivalent to a dividend” with respect to the U.S. Holder. These tests are explained more fully below.</w:t>
      </w:r>
    </w:p>
    <w:p>
      <w:pPr>
        <w:spacing w:after="0" w:line="164"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In determining whether any of the foregoing tests are satisfied, a U.S. Holder takes into account not only Class A ordinary shares actually owned by the U.S. Holder, but also our shares that are constructively owned by it. A U.S. Holder may constructively own, in addition to shares owned directly, shares owned by certain related individuals and entities in which the U.S. Holder has an interest or that have an interest in such U.S. Holder, as well as any shares the U.S. Holder has a right to acquire by exercise of an option. In order to meet the substantially disproportionate test, the percentage of our outstanding voting shares actually and constructively owned by the U.S. Holder immediately following the redemption of Class A ordinary shares must, among other requirements, be less than 80 percent of the percentage of our outstanding voting shares actually and constructively owned by the U.S. Holder immediately before the redemption. Prior to the completion of our initial business combination, the Class A ordinary shares may not be treated as voting stock for this purpose and, consequently, this substantially disproportionate test may not be applicable. There will be a complete termination of a U.S. Holder’s interest if either (i) all of our shares actually and constructively owned by the U.S. Holder are redeemed or (ii) all of our shares actually owned by the U.S. Holder are redeemed and the U.S. Holder is eligible to waive, and effectively waives in accordance with specific rules, the attribution of shares owned by certain family members and the U.S. Holder does not constructively own any other shares of ours. The redemption of the Class A ordinary shares will not be essentially equivalent to a dividend with respect to a U.S. Holder if it results in a “meaningful reduction” of the U.S. Holder’s proportionate interest in us. Whether the redemption will result in a meaningful reduction in a U.S. Holder’s proportionate interest in us will depend on the particular facts and circumstances. However, the IRS has indicated in a published ruling that even a small reduction in the proportionate interest of a small minority shareholder in a publicly held corporation who exercises no control over corporate affairs may constitute such a “meaningful reduction.” A U.S. Holder should consult with its tax advisors as to the tax consequences of a redemption.</w:t>
      </w:r>
    </w:p>
    <w:p>
      <w:pPr>
        <w:spacing w:after="0" w:line="163" w:lineRule="exact"/>
        <w:rPr>
          <w:sz w:val="20"/>
          <w:szCs w:val="20"/>
          <w:color w:val="auto"/>
        </w:rPr>
      </w:pPr>
    </w:p>
    <w:p>
      <w:pPr>
        <w:ind w:right="300"/>
        <w:spacing w:after="0" w:line="235" w:lineRule="auto"/>
        <w:rPr>
          <w:sz w:val="20"/>
          <w:szCs w:val="20"/>
          <w:color w:val="auto"/>
        </w:rPr>
      </w:pPr>
      <w:r>
        <w:rPr>
          <w:rFonts w:ascii="Arial" w:cs="Arial" w:eastAsia="Arial" w:hAnsi="Arial"/>
          <w:sz w:val="17"/>
          <w:szCs w:val="17"/>
          <w:color w:val="auto"/>
        </w:rPr>
        <w:t>If none of the foregoing tests are satisfied, then the redemption will be treated as a corporate distribution and the tax effects will be as described under “— Taxation of Distributions” above. After the application of those rules, any remaining tax basis of the U.S. Holder in the redeemed Class A ordinary shares will be added to the U.S. Holder’s adjusted tax basis in its remaining shares, or, if it has none, possibly to the U.S. Holder’s adjusted tax basis in other shares constructively owned by it.</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Passive Foreign Investment Company Rules</w:t>
      </w:r>
    </w:p>
    <w:p>
      <w:pPr>
        <w:spacing w:after="0" w:line="17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A foreign (i.e.,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128" w:name="page129"/>
    <w:bookmarkEnd w:id="12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Because we are a blank check company, with no current active business, we believe that it is likely that we will meet the PFIC asset and/or income test for our current taxable year. However, pursuant to a start-up exception, a corporation will not be a PFIC for the first taxable year the corporation has gross income (the “start-up year”), if (1) no predecessor of the corporation was a PFIC; (2) the corporation satisfies the IRS that it will not be a PFIC for either of the two taxable years following the start-up year; and (3) the corporation is not in fact a PFIC for either of those years. The applicability of the start-up exception to us is uncertain and will not be known until after the close of our current taxable year or, possibly, after the close of our two subsequent taxable years. After the acquisition of a company or assets in a business combination, we may still meet one of the PFIC tests depending on the timing of the acquisition and the amount of our passive income and assets as well as the passive income and assets of the acquired business. If the company that we acquire in a business combination is a PFIC (or we do not complete a business acquisition by the end of the first taxable year after the taxable year of our formation), then we will likely not qualify for the start-up exception and will be a PFIC for our current taxable year. Our actual PFIC status for our current taxable year or any subsequent taxable year, however, will not be determinable until after the end of such taxable year. Accordingly, there can be no assurance with respect to our status as a PFIC for our current taxable year or any future taxable year.</w:t>
      </w:r>
    </w:p>
    <w:p>
      <w:pPr>
        <w:spacing w:after="0" w:line="165"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Although our PFIC status is determined annually, an initial determination that our company is a PFIC will generally apply for subsequent years to a U.S. Holder who held Class A ordinary shares while we were a PFIC, whether or not we meet the test for PFIC status in those subsequent years. If we are determined to be a PFIC for any taxable year (or portion thereof) that is included in the holding period of a U.S. Holder of our Class A ordinary shares and, in the case of our Class A ordinary shares, the U.S. Holder did not make either a timely qualified electing fund (“QEF”) election or a mark-to-market election for our first taxable year as a PFIC, and in which the U.S. Holder held (or was deemed to hold)</w:t>
      </w:r>
    </w:p>
    <w:p>
      <w:pPr>
        <w:ind w:right="120"/>
        <w:spacing w:after="0" w:line="235" w:lineRule="auto"/>
        <w:rPr>
          <w:sz w:val="20"/>
          <w:szCs w:val="20"/>
          <w:color w:val="auto"/>
        </w:rPr>
      </w:pPr>
      <w:r>
        <w:rPr>
          <w:rFonts w:ascii="Arial" w:cs="Arial" w:eastAsia="Arial" w:hAnsi="Arial"/>
          <w:sz w:val="17"/>
          <w:szCs w:val="17"/>
          <w:color w:val="auto"/>
        </w:rPr>
        <w:t>Class A ordinary shares, as described below, such U.S. Holder generally will be subject to special and adverse rules with respect to (i) any gain recognized by the U.S. Holder on the sale or other disposition of its Class A ordinary shares and (ii) any “excess distribution” made to the U.S. Holder (generally, any distributions to such U.S. Holder during a taxable year of the U.S. Holder that are greater than 125% of the average annual distributions received by such U.S. Holder in respect of the Class A ordinary shares during the three preceding taxable years of such U.S. Holder or, if shorter, such U.S. Holder’s holding period for the Class A ordinary shares).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Under these rules:</w:t>
      </w:r>
    </w:p>
    <w:p>
      <w:pPr>
        <w:spacing w:after="0" w:line="102" w:lineRule="exact"/>
        <w:rPr>
          <w:sz w:val="20"/>
          <w:szCs w:val="20"/>
          <w:color w:val="auto"/>
        </w:rPr>
      </w:pPr>
    </w:p>
    <w:p>
      <w:pPr>
        <w:ind w:left="580" w:right="280"/>
        <w:spacing w:after="0" w:line="243" w:lineRule="auto"/>
        <w:rPr>
          <w:sz w:val="20"/>
          <w:szCs w:val="20"/>
          <w:color w:val="auto"/>
        </w:rPr>
      </w:pPr>
      <w:r>
        <w:rPr>
          <w:rFonts w:ascii="Arial" w:cs="Arial" w:eastAsia="Arial" w:hAnsi="Arial"/>
          <w:sz w:val="17"/>
          <w:szCs w:val="17"/>
          <w:color w:val="auto"/>
        </w:rPr>
        <w:t>the U.S. Holder’s gain or excess distribution will be allocated ratably over the U.S. Holder’s holding period for the Class A ordinary shares;</w:t>
      </w:r>
    </w:p>
    <w:p>
      <w:pPr>
        <w:spacing w:after="0" w:line="90" w:lineRule="exact"/>
        <w:rPr>
          <w:sz w:val="20"/>
          <w:szCs w:val="20"/>
          <w:color w:val="auto"/>
        </w:rPr>
      </w:pPr>
    </w:p>
    <w:p>
      <w:pPr>
        <w:jc w:val="both"/>
        <w:ind w:left="580" w:right="40"/>
        <w:spacing w:after="0" w:line="238" w:lineRule="auto"/>
        <w:rPr>
          <w:sz w:val="20"/>
          <w:szCs w:val="20"/>
          <w:color w:val="auto"/>
        </w:rPr>
      </w:pPr>
      <w:r>
        <w:rPr>
          <w:rFonts w:ascii="Arial" w:cs="Arial" w:eastAsia="Arial" w:hAnsi="Arial"/>
          <w:sz w:val="17"/>
          <w:szCs w:val="17"/>
          <w:color w:val="auto"/>
        </w:rPr>
        <w:t>the amount allocated to the U.S. Holder’s taxable year in which the U.S. Holder recognized the gain or received the excess distribution, or to the period in the U.S. Holder’s holding period before the first day of our first taxable year in which we are a PFIC, will be taxed as ordinary income;</w:t>
      </w:r>
    </w:p>
    <w:p>
      <w:pPr>
        <w:spacing w:after="0" w:line="93" w:lineRule="exact"/>
        <w:rPr>
          <w:sz w:val="20"/>
          <w:szCs w:val="20"/>
          <w:color w:val="auto"/>
        </w:rPr>
      </w:pPr>
    </w:p>
    <w:p>
      <w:pPr>
        <w:ind w:left="580" w:right="240"/>
        <w:spacing w:after="0" w:line="243" w:lineRule="auto"/>
        <w:rPr>
          <w:sz w:val="20"/>
          <w:szCs w:val="20"/>
          <w:color w:val="auto"/>
        </w:rPr>
      </w:pPr>
      <w:r>
        <w:rPr>
          <w:rFonts w:ascii="Arial" w:cs="Arial" w:eastAsia="Arial" w:hAnsi="Arial"/>
          <w:sz w:val="17"/>
          <w:szCs w:val="17"/>
          <w:color w:val="auto"/>
        </w:rPr>
        <w:t>the amount allocated to other taxable years (or portions thereof) of the U.S. Holder and included in its holding period will be taxed at the highest tax rate in effect for that year and applicable to the U.S. Holder; and</w:t>
      </w:r>
    </w:p>
    <w:p>
      <w:pPr>
        <w:spacing w:after="0" w:line="90" w:lineRule="exact"/>
        <w:rPr>
          <w:sz w:val="20"/>
          <w:szCs w:val="20"/>
          <w:color w:val="auto"/>
        </w:rPr>
      </w:pPr>
    </w:p>
    <w:p>
      <w:pPr>
        <w:ind w:left="580" w:right="240"/>
        <w:spacing w:after="0" w:line="243" w:lineRule="auto"/>
        <w:rPr>
          <w:sz w:val="20"/>
          <w:szCs w:val="20"/>
          <w:color w:val="auto"/>
        </w:rPr>
      </w:pPr>
      <w:r>
        <w:rPr>
          <w:rFonts w:ascii="Arial" w:cs="Arial" w:eastAsia="Arial" w:hAnsi="Arial"/>
          <w:sz w:val="17"/>
          <w:szCs w:val="17"/>
          <w:color w:val="auto"/>
        </w:rPr>
        <w:t>an additional tax equal to the interest charge generally applicable to underpayments of tax will be imposed on the U.S. Holder with respect to the tax attributable to each such other taxable year of the U.S. Holder.</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PFIC Elections</w:t>
      </w:r>
    </w:p>
    <w:p>
      <w:pPr>
        <w:spacing w:after="0" w:line="187" w:lineRule="exact"/>
        <w:rPr>
          <w:sz w:val="20"/>
          <w:szCs w:val="20"/>
          <w:color w:val="auto"/>
        </w:rPr>
      </w:pPr>
    </w:p>
    <w:p>
      <w:pPr>
        <w:jc w:val="both"/>
        <w:ind w:right="40"/>
        <w:spacing w:after="0" w:line="232" w:lineRule="auto"/>
        <w:rPr>
          <w:sz w:val="20"/>
          <w:szCs w:val="20"/>
          <w:color w:val="auto"/>
        </w:rPr>
      </w:pPr>
      <w:r>
        <w:rPr>
          <w:rFonts w:ascii="Arial" w:cs="Arial" w:eastAsia="Arial" w:hAnsi="Arial"/>
          <w:sz w:val="17"/>
          <w:szCs w:val="17"/>
          <w:color w:val="auto"/>
        </w:rPr>
        <w:t>In general, if we are determined to be a PFIC, a U.S. Holder may avoid the adverse PFIC tax consequences described above in respect of our Class A ordinary shares by making and maintaining a timely and valid QEF election (if eligible to do so) to include in income its pro rata share of our net capital gains (as long-term capital gain) and other earnings and profits (as ordinary income), on a current basis, in each case whether or not distributed, in the taxable year of the U.S.</w:t>
      </w:r>
    </w:p>
    <w:p>
      <w:pPr>
        <w:jc w:val="both"/>
        <w:ind w:right="40"/>
        <w:spacing w:after="0" w:line="238" w:lineRule="auto"/>
        <w:rPr>
          <w:sz w:val="20"/>
          <w:szCs w:val="20"/>
          <w:color w:val="auto"/>
        </w:rPr>
      </w:pPr>
      <w:r>
        <w:rPr>
          <w:rFonts w:ascii="Arial" w:cs="Arial" w:eastAsia="Arial" w:hAnsi="Arial"/>
          <w:sz w:val="17"/>
          <w:szCs w:val="17"/>
          <w:color w:val="auto"/>
        </w:rPr>
        <w:t>Holder in which or with which our taxable year ends. A U.S. Holder generally may make a separate election to defer the payment of taxes on undistributed income inclusions under the QEF rules, but if deferred, any such taxes will be subject to an interest charge.</w:t>
      </w:r>
    </w:p>
    <w:p>
      <w:pPr>
        <w:spacing w:after="0" w:line="161"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including the information provided in a PFIC Annual Information Statement, to a timely filed U.S. federal income tax return for the tax year to</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129" w:name="page130"/>
    <w:bookmarkEnd w:id="12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which the election relates. Retroactive QEF elections generally may be made only by filing a protective statement with such return and if certain other conditions are met or with the consent of the IRS. U.S. Holders should consult their tax advisors regarding the availability and tax consequences of a retroactive QEF election under their particular circumstances.</w:t>
      </w:r>
    </w:p>
    <w:p>
      <w:pPr>
        <w:spacing w:after="0" w:line="163" w:lineRule="exact"/>
        <w:rPr>
          <w:sz w:val="20"/>
          <w:szCs w:val="20"/>
          <w:color w:val="auto"/>
        </w:rPr>
      </w:pPr>
    </w:p>
    <w:p>
      <w:pPr>
        <w:ind w:right="260"/>
        <w:spacing w:after="0" w:line="235" w:lineRule="auto"/>
        <w:rPr>
          <w:sz w:val="20"/>
          <w:szCs w:val="20"/>
          <w:color w:val="auto"/>
        </w:rPr>
      </w:pPr>
      <w:r>
        <w:rPr>
          <w:rFonts w:ascii="Arial" w:cs="Arial" w:eastAsia="Arial" w:hAnsi="Arial"/>
          <w:sz w:val="17"/>
          <w:szCs w:val="17"/>
          <w:color w:val="auto"/>
        </w:rPr>
        <w:t>In order to comply with the requirements of a QEF election, a U.S. Holder must receive a PFIC Annual Information Statement from us. If we determine we are a PFIC for any taxable year, upon written request, we will endeavor to provide to a U.S. Holder such information as the IRS may require, including a PFIC Annual Information Statement, in order to enable the U.S. Holder to make and maintain a QEF election, but there is no assurance that we will timely provide such required information. There is also no assurance that we will have timely knowledge of our status as a PFIC in the future or of the required information to be provided.</w:t>
      </w:r>
    </w:p>
    <w:p>
      <w:pPr>
        <w:spacing w:after="0" w:line="161"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If a U.S. Holder has made a QEF election with respect to our Class A ordinary shares, and the excess distribution rules discussed above do not apply to such shares (because of a timely QEF election for our first taxable year as a PFIC in which the U.S. Holder holds (or is deemed to hold) such shares or a purge of the PFIC taint pursuant to a purging election, as described above), any gain recognized on the sale of our Class A ordinary shares generally will be taxable as capital gain and no additional tax charge will be imposed under the PFIC rules. As discussed above, if we are a PFIC for any taxable year, a U.S. Holder of our Class A ordinary shares that has made a QEF election will be currently taxed on its pro rata share of our earnings and profits, whether or not distributed for such year. A subsequent distribution of such earnings and profits that were previously included in income generally should not be taxable when distributed to such U.S. Holder. The tax basis of a U.S. Holder’s shares in a QEF will be increased by amounts that are included in income, and decreased by amounts distributed but not taxed as dividends, under the above rules. In addition, if we are not a PFIC for any taxable year, such U.S. Holder will not be subject to the QEF inclusion regime with respect to our Class A ordinary shares for such taxable year.</w:t>
      </w:r>
    </w:p>
    <w:p>
      <w:pPr>
        <w:spacing w:after="0" w:line="153" w:lineRule="exact"/>
        <w:rPr>
          <w:sz w:val="20"/>
          <w:szCs w:val="20"/>
          <w:color w:val="auto"/>
        </w:rPr>
      </w:pPr>
    </w:p>
    <w:p>
      <w:pPr>
        <w:ind w:right="80"/>
        <w:spacing w:after="0" w:line="233" w:lineRule="auto"/>
        <w:rPr>
          <w:sz w:val="20"/>
          <w:szCs w:val="20"/>
          <w:color w:val="auto"/>
        </w:rPr>
      </w:pPr>
      <w:r>
        <w:rPr>
          <w:rFonts w:ascii="Arial" w:cs="Arial" w:eastAsia="Arial" w:hAnsi="Arial"/>
          <w:sz w:val="17"/>
          <w:szCs w:val="17"/>
          <w:color w:val="auto"/>
        </w:rPr>
        <w:t>Alternatively, if we are a PFIC and our Class A ordinary shares constitute “marketable stock,” a U.S. Holder may avoid the adverse PFIC tax consequences discussed above if such U.S. Holder, at the close of the first taxable year in which it holds (or is deemed to hold) our Class A ordinary shares, makes a mark-to-market election with respect to such shares for such taxable year. Such U.S. Holder generally will include for each of its taxable years as ordinary income the excess, if any, of the fair market value of its Class A ordinary shares at the end of such year over its adjusted basis in its Class A ordinary shares. The U.S. Holder also will recognize an ordinary loss in respect of the excess, if any, of its adjusted basis of its Class A ordinary shares over the fair market value of its Class A ordinary shares at the end of its taxable year (but only to the extent of the net amount of previously included income as a result of the mark-to-market election). The U.S. Holder’s basis in its Class A ordinary shares will be adjusted to reflect any such income or loss amounts, and any further gain recognized on a sale or other taxable disposition of its Class A ordinary shares will be treated as ordinary income.</w:t>
      </w:r>
    </w:p>
    <w:p>
      <w:pPr>
        <w:spacing w:after="0" w:line="167"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mark-to-market election is available only for “marketable stock,” generally, stock that is regularly traded on a national securities exchange that is registered with the SEC, including Nasdaq (on which we intend to list the Class A ordinary shares), or on a foreign exchange or market that the IRS determines has rules sufficient to ensure that the market price represents a legitimate and sound fair market value. U.S. Holders should consult their tax advisors regarding the availability and tax consequences of a mark-to-market election with respect to our Class A ordinary shares under their particular circumstances.</w:t>
      </w:r>
    </w:p>
    <w:p>
      <w:pPr>
        <w:spacing w:after="0" w:line="161" w:lineRule="exact"/>
        <w:rPr>
          <w:sz w:val="20"/>
          <w:szCs w:val="20"/>
          <w:color w:val="auto"/>
        </w:rPr>
      </w:pPr>
    </w:p>
    <w:p>
      <w:pPr>
        <w:ind w:right="80"/>
        <w:spacing w:after="0" w:line="233" w:lineRule="auto"/>
        <w:rPr>
          <w:sz w:val="20"/>
          <w:szCs w:val="20"/>
          <w:color w:val="auto"/>
        </w:rPr>
      </w:pPr>
      <w:r>
        <w:rPr>
          <w:rFonts w:ascii="Arial" w:cs="Arial" w:eastAsia="Arial" w:hAnsi="Arial"/>
          <w:sz w:val="17"/>
          <w:szCs w:val="17"/>
          <w:color w:val="auto"/>
        </w:rPr>
        <w:t>If we are a PFIC and, at any time, have a foreign subsidiary that is classified as a PFIC, U.S. Holders generally would be deemed to own a portion of the shares of such lower-tier PFIC, and generally could incur liability for the deferred tax and interest charge described above if we receive a distribution from, or dispose of all or part of our interest in, the lower-tier PFIC or the U.S. Holders otherwise were deemed to have disposed of an interest in the lower-tier PFIC. We will endeavor to cause any lower-tier PFIC to provide to a U.S. Holder the information that may be required to make or maintain a QEF election with respect to the lower-tier PFIC. There can be no assurance that we will have timely knowledge of the status of any such lower-tier PFIC. In addition, we may not hold a controlling interest in any such lower-tier PFIC and thus there can be no assurance we will be able to cause the lower-tier PFIC to provide such required information. U.S. Holders are urged to consult their tax advisors regarding the tax issues raised by lower-tier PFICs.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130" w:name="page131"/>
    <w:bookmarkEnd w:id="13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39"/>
        <w:spacing w:after="0" w:line="236" w:lineRule="auto"/>
        <w:rPr>
          <w:sz w:val="20"/>
          <w:szCs w:val="20"/>
          <w:color w:val="auto"/>
        </w:rPr>
      </w:pPr>
      <w:r>
        <w:rPr>
          <w:rFonts w:ascii="Arial" w:cs="Arial" w:eastAsia="Arial" w:hAnsi="Arial"/>
          <w:sz w:val="17"/>
          <w:szCs w:val="17"/>
          <w:color w:val="auto"/>
        </w:rPr>
        <w:t>A U.S. Holder that owns (or is deemed to own) shares in a PFIC during any taxable year of the U.S. Holder, may have to file an IRS Form 8621 (whether or not a QEF or market-to-market election is made) and such other information as may be required by the U.S. Treasury Department. Failure to do so, if required, will extend the statute of limitations until such required information is furnished to the IRS.</w:t>
      </w:r>
    </w:p>
    <w:p>
      <w:pPr>
        <w:spacing w:after="0" w:line="163" w:lineRule="exact"/>
        <w:rPr>
          <w:sz w:val="20"/>
          <w:szCs w:val="20"/>
          <w:color w:val="auto"/>
        </w:rPr>
      </w:pPr>
    </w:p>
    <w:p>
      <w:pPr>
        <w:ind w:right="239"/>
        <w:spacing w:after="0" w:line="236" w:lineRule="auto"/>
        <w:rPr>
          <w:sz w:val="20"/>
          <w:szCs w:val="20"/>
          <w:color w:val="auto"/>
        </w:rPr>
      </w:pPr>
      <w:r>
        <w:rPr>
          <w:rFonts w:ascii="Arial" w:cs="Arial" w:eastAsia="Arial" w:hAnsi="Arial"/>
          <w:sz w:val="17"/>
          <w:szCs w:val="17"/>
          <w:color w:val="auto"/>
        </w:rPr>
        <w:t>The rules dealing with PFICs and with the QEF and mark-to-market elections are very complex and are affected by various factors in addition to those described above. Accordingly, U.S. Holders of our Class A ordinary shares should consult their tax advisors concerning the application of the PFIC rules to our securities under their particular circumstances.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Tax Reporting</w:t>
      </w:r>
    </w:p>
    <w:p>
      <w:pPr>
        <w:spacing w:after="0" w:line="187" w:lineRule="exact"/>
        <w:rPr>
          <w:sz w:val="20"/>
          <w:szCs w:val="20"/>
          <w:color w:val="auto"/>
        </w:rPr>
      </w:pPr>
    </w:p>
    <w:p>
      <w:pPr>
        <w:ind w:right="19"/>
        <w:spacing w:after="0" w:line="233" w:lineRule="auto"/>
        <w:rPr>
          <w:sz w:val="20"/>
          <w:szCs w:val="20"/>
          <w:color w:val="auto"/>
        </w:rPr>
      </w:pPr>
      <w:r>
        <w:rPr>
          <w:rFonts w:ascii="Arial" w:cs="Arial" w:eastAsia="Arial" w:hAnsi="Arial"/>
          <w:sz w:val="17"/>
          <w:szCs w:val="17"/>
          <w:color w:val="auto"/>
        </w:rPr>
        <w:t>Certain U.S. Holders may be required to file an IRS Form 926 (Return by a U.S. Transferor of Property to a Foreign Corporation) to report a transfer of property (including cash) to us. Substantial penalties may be imposed on a U.S. Holder that fails to comply with this reporting requirement and the period of limitations on assessment and collection of U.S. federal income taxes will be extended in the event of a failure to comply. Furthermore, certain U.S. Holders who are individuals and certain entities will be required to report information with respect to such U.S. Holder’s investment in “specified foreign financial assets” on IRS Form 8938 (Statement of Specified Foreign Financial Assets), subject to certain exceptions. An interest in the Company constitutes a specified foreign financial asset for these purposes. Persons who are required to report specified foreign financial assets and fail to do so may be subject to substantial penalties and the period of limitations on assessment and collection of U.S. federal income taxes will be extended in the event of a failure to comply. Potential investors are urged to consult their tax advisors regarding the foreign financial asset and other reporting obligations and their application to an investment in our Class A ordinary shares.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Non-U.S. Holders</w:t>
      </w:r>
    </w:p>
    <w:p>
      <w:pPr>
        <w:spacing w:after="0" w:line="41" w:lineRule="exact"/>
        <w:rPr>
          <w:sz w:val="20"/>
          <w:szCs w:val="20"/>
          <w:color w:val="auto"/>
        </w:rPr>
      </w:pPr>
    </w:p>
    <w:p>
      <w:pPr>
        <w:ind w:right="299"/>
        <w:spacing w:after="0" w:line="238" w:lineRule="auto"/>
        <w:rPr>
          <w:sz w:val="20"/>
          <w:szCs w:val="20"/>
          <w:color w:val="auto"/>
        </w:rPr>
      </w:pPr>
      <w:r>
        <w:rPr>
          <w:rFonts w:ascii="Arial" w:cs="Arial" w:eastAsia="Arial" w:hAnsi="Arial"/>
          <w:sz w:val="17"/>
          <w:szCs w:val="17"/>
          <w:color w:val="auto"/>
        </w:rPr>
        <w:t>This section applies to you if you are a “Non-U.S. Holder.” As used herein, the term “Non-U.S. Holder” means a beneficial owner of our Class A ordinary shares (other than a partnership or other entity or arrangement treated as a partnership for U.S. federal income tax purposes) who or that is for U.S. federal income tax purposes:</w:t>
      </w:r>
    </w:p>
    <w:p>
      <w:pPr>
        <w:spacing w:after="0" w:line="93" w:lineRule="exact"/>
        <w:rPr>
          <w:sz w:val="20"/>
          <w:szCs w:val="20"/>
          <w:color w:val="auto"/>
        </w:rPr>
      </w:pPr>
    </w:p>
    <w:p>
      <w:pPr>
        <w:ind w:left="580" w:right="219"/>
        <w:spacing w:after="0" w:line="243" w:lineRule="auto"/>
        <w:rPr>
          <w:sz w:val="20"/>
          <w:szCs w:val="20"/>
          <w:color w:val="auto"/>
        </w:rPr>
      </w:pPr>
      <w:r>
        <w:rPr>
          <w:rFonts w:ascii="Arial" w:cs="Arial" w:eastAsia="Arial" w:hAnsi="Arial"/>
          <w:sz w:val="17"/>
          <w:szCs w:val="17"/>
          <w:color w:val="auto"/>
        </w:rPr>
        <w:t>a non-resident alien individual (other than certain former citizens and residents of the United States subject to U.S. tax as expatriates);</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 foreign corporation; or</w:t>
      </w:r>
    </w:p>
    <w:p>
      <w:pPr>
        <w:spacing w:after="0" w:line="102" w:lineRule="exact"/>
        <w:rPr>
          <w:sz w:val="20"/>
          <w:szCs w:val="20"/>
          <w:color w:val="auto"/>
        </w:rPr>
      </w:pPr>
    </w:p>
    <w:p>
      <w:pPr>
        <w:ind w:left="580" w:right="259"/>
        <w:spacing w:after="0" w:line="236" w:lineRule="auto"/>
        <w:rPr>
          <w:sz w:val="20"/>
          <w:szCs w:val="20"/>
          <w:color w:val="auto"/>
        </w:rPr>
      </w:pPr>
      <w:r>
        <w:rPr>
          <w:rFonts w:ascii="Arial" w:cs="Arial" w:eastAsia="Arial" w:hAnsi="Arial"/>
          <w:sz w:val="17"/>
          <w:szCs w:val="17"/>
          <w:color w:val="auto"/>
        </w:rPr>
        <w:t>an estate or trust that is not a U.S. Holder; but generally does not include an individual who is present in the United States for 183 days or more in the taxable year of disposition. A U.S. Holder who is such an individual should consult its tax advisor regarding the U.S. federal income tax consequences of the sale or other disposition of our securities.</w:t>
      </w:r>
    </w:p>
    <w:p>
      <w:pPr>
        <w:spacing w:after="0" w:line="163" w:lineRule="exact"/>
        <w:rPr>
          <w:sz w:val="20"/>
          <w:szCs w:val="20"/>
          <w:color w:val="auto"/>
        </w:rPr>
      </w:pPr>
    </w:p>
    <w:p>
      <w:pPr>
        <w:ind w:right="39"/>
        <w:spacing w:after="0" w:line="234" w:lineRule="auto"/>
        <w:rPr>
          <w:sz w:val="20"/>
          <w:szCs w:val="20"/>
          <w:color w:val="auto"/>
        </w:rPr>
      </w:pPr>
      <w:r>
        <w:rPr>
          <w:rFonts w:ascii="Arial" w:cs="Arial" w:eastAsia="Arial" w:hAnsi="Arial"/>
          <w:sz w:val="17"/>
          <w:szCs w:val="17"/>
          <w:color w:val="auto"/>
        </w:rPr>
        <w:t>Dividends (including constructive dividends) paid or deemed paid to a Non-U.S. Holder in respect of our Class A ordinary shares generally will not be subject to U.S. federal income tax, unless the dividends are effectively connected with the Non-U.S. Holder’s conduct of a trade or business within the United States (and, if required by an applicable income tax treaty, are attributable to a permanent establishment or fixed base that such holder maintains in the United States). In addition, a Non-U.S. Holder generally will not be subject to U.S. federal income tax on any gain attributable to a sale or other disposition of our Class A ordinary shares unless such gain is effectively connected with its conduct of a trade or business in the United States (and, if required by an applicable income tax treaty, is attributable to a permanent establishment or fixed base that such holder maintains in the United States).</w:t>
      </w:r>
    </w:p>
    <w:p>
      <w:pPr>
        <w:spacing w:after="0" w:line="163" w:lineRule="exact"/>
        <w:rPr>
          <w:sz w:val="20"/>
          <w:szCs w:val="20"/>
          <w:color w:val="auto"/>
        </w:rPr>
      </w:pPr>
    </w:p>
    <w:p>
      <w:pPr>
        <w:ind w:right="19"/>
        <w:spacing w:after="0" w:line="235" w:lineRule="auto"/>
        <w:rPr>
          <w:sz w:val="20"/>
          <w:szCs w:val="20"/>
          <w:color w:val="auto"/>
        </w:rPr>
      </w:pPr>
      <w:r>
        <w:rPr>
          <w:rFonts w:ascii="Arial" w:cs="Arial" w:eastAsia="Arial" w:hAnsi="Arial"/>
          <w:sz w:val="17"/>
          <w:szCs w:val="17"/>
          <w:color w:val="auto"/>
        </w:rPr>
        <w:t>Dividends and gains that are effectively connected with the Non-U.S. Holder’s conduct of a trade or business in the United States (and, if required by an applicable income tax treaty, are attributable to a permanent establishment or fixed base in the United States) generally will be subject to U.S. federal income tax at the same regular U.S. federal income tax rates applicable to a comparable U.S. Holder and, in the case of a Non-U.S. Holder that is a corporation for U.S. federal income tax purposes, also may be subject to an additional branch profits tax at a 30% rate or a lower applicable tax treaty rate.</w:t>
      </w:r>
    </w:p>
    <w:p>
      <w:pPr>
        <w:spacing w:after="0" w:line="148" w:lineRule="exact"/>
        <w:rPr>
          <w:sz w:val="20"/>
          <w:szCs w:val="20"/>
          <w:color w:val="auto"/>
        </w:rPr>
      </w:pPr>
    </w:p>
    <w:p>
      <w:pPr>
        <w:ind w:right="19"/>
        <w:spacing w:after="0" w:line="243" w:lineRule="auto"/>
        <w:rPr>
          <w:sz w:val="20"/>
          <w:szCs w:val="20"/>
          <w:color w:val="auto"/>
        </w:rPr>
      </w:pPr>
      <w:r>
        <w:rPr>
          <w:rFonts w:ascii="Arial" w:cs="Arial" w:eastAsia="Arial" w:hAnsi="Arial"/>
          <w:sz w:val="17"/>
          <w:szCs w:val="17"/>
          <w:color w:val="auto"/>
        </w:rPr>
        <w:t>The characterization for U.S. federal income tax purposes of the redemption of a Non-U.S. Holder’s Class A ordinary shares will generally correspond to the U.S. federal income tax characterization of such a redemption of a U.S. Holder’s</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bookmarkStart w:id="131" w:name="page132"/>
    <w:bookmarkEnd w:id="13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Class A ordinary shares, as described under “U.S. Holders — Redemption of Class A Ordinary Shares” above, and the consequences of the redemption to the Non-U.S. Holder will be as described in the paragraphs above under the heading “Non-U.S. Holders” based on such characterization.</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Information Reporting and Backup Withholding</w:t>
      </w:r>
    </w:p>
    <w:p>
      <w:pPr>
        <w:spacing w:after="0" w:line="174"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Dividend payments with respect to our Class A ordinary shares and proceeds from the sale, exchange or redemption of our Class A ordinary shares may be subject to information reporting to the IRS and possible U.S. backup withholding. Backup withholding will not apply, however, to a U.S. Holder who furnishes a correct taxpayer identification number and makes other required certifications, or who is otherwise exempt from backup withholding and establishes such exempt status. A Non-U.S. Holder generally will eliminate the requirement for information reporting and backup withholding by providing certification of its foreign status, under penalties of perjury, on a duly executed applicable IRS Form W-8 or by otherwise establishing an exemption.</w:t>
      </w:r>
    </w:p>
    <w:p>
      <w:pPr>
        <w:spacing w:after="0" w:line="16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Backup withholding is not an additional tax. Amounts withheld as backup withholding may be credited against a holder’s U.S. federal income tax liability, and a holder generally may obtain a refund of any excess amounts withheld under the backup withholding rules by timely filing the appropriate claim for refund with the IRS and furnishing any required information.</w:t>
      </w:r>
    </w:p>
    <w:p>
      <w:pPr>
        <w:spacing w:after="0" w:line="143"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b w:val="1"/>
          <w:bCs w:val="1"/>
          <w:color w:val="auto"/>
        </w:rPr>
        <w:t>The U.S. federal income tax discussion set forth above is included for general information only and may not be applicable depending upon a holder’s particular situation. Holders are urged to consult their tax advisors with respect to the tax consequences to them of the acquisition, ownership and disposition of our Class A ordinary shares, including the tax consequences under state, local, estate, foreign and other tax laws and tax treaties and the possible effects of changes in U.S. or other tax laws.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132" w:name="page133"/>
    <w:bookmarkEnd w:id="13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Subject to the terms and conditions set forth in the underwriting agreement, dated , between us, Jefferies LLC and Goldman Sachs &amp; Co. LLC, as the representatives of the underwriters named below and the joint book-running managers of this offering, we have agreed to sell to the underwriters, and each of the underwriters has agreed, severally and not jointly, to purchase from us, the respective number of Class A ordinary shares shown opposite its name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57607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40" w:type="dxa"/>
            <w:vAlign w:val="bottom"/>
          </w:tcPr>
          <w:p>
            <w:pPr>
              <w:spacing w:after="0"/>
              <w:rPr>
                <w:sz w:val="14"/>
                <w:szCs w:val="14"/>
                <w:color w:val="auto"/>
              </w:rPr>
            </w:pPr>
          </w:p>
        </w:tc>
        <w:tc>
          <w:tcPr>
            <w:tcW w:w="940" w:type="dxa"/>
            <w:vAlign w:val="bottom"/>
            <w:gridSpan w:val="3"/>
          </w:tcPr>
          <w:p>
            <w:pPr>
              <w:jc w:val="center"/>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90"/>
        </w:trPr>
        <w:tc>
          <w:tcPr>
            <w:tcW w:w="8140" w:type="dxa"/>
            <w:vAlign w:val="bottom"/>
          </w:tcPr>
          <w:p>
            <w:pPr>
              <w:spacing w:after="0"/>
              <w:rPr>
                <w:sz w:val="16"/>
                <w:szCs w:val="16"/>
                <w:color w:val="auto"/>
              </w:rPr>
            </w:pPr>
          </w:p>
        </w:tc>
        <w:tc>
          <w:tcPr>
            <w:tcW w:w="9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OF SHARES</w:t>
            </w:r>
          </w:p>
        </w:tc>
        <w:tc>
          <w:tcPr>
            <w:tcW w:w="0" w:type="dxa"/>
            <w:vAlign w:val="bottom"/>
          </w:tcPr>
          <w:p>
            <w:pPr>
              <w:spacing w:after="0"/>
              <w:rPr>
                <w:sz w:val="1"/>
                <w:szCs w:val="1"/>
                <w:color w:val="auto"/>
              </w:rPr>
            </w:pPr>
          </w:p>
        </w:tc>
      </w:tr>
      <w:tr>
        <w:trPr>
          <w:trHeight w:val="39"/>
        </w:trPr>
        <w:tc>
          <w:tcPr>
            <w:tcW w:w="814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1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Underwriter</w:t>
            </w:r>
          </w:p>
        </w:tc>
        <w:tc>
          <w:tcPr>
            <w:tcW w:w="8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8140" w:type="dxa"/>
            <w:vAlign w:val="bottom"/>
          </w:tcPr>
          <w:p>
            <w:pPr>
              <w:spacing w:after="0"/>
              <w:rPr>
                <w:sz w:val="20"/>
                <w:szCs w:val="20"/>
                <w:color w:val="auto"/>
              </w:rPr>
            </w:pPr>
            <w:r>
              <w:rPr>
                <w:rFonts w:ascii="Arial" w:cs="Arial" w:eastAsia="Arial" w:hAnsi="Arial"/>
                <w:sz w:val="17"/>
                <w:szCs w:val="17"/>
                <w:color w:val="auto"/>
              </w:rPr>
              <w:t>Jefferies LLC</w:t>
            </w: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Goldman Sachs &amp; Co. LLC</w:t>
            </w:r>
          </w:p>
        </w:tc>
        <w:tc>
          <w:tcPr>
            <w:tcW w:w="84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140" w:type="dxa"/>
            <w:vAlign w:val="bottom"/>
            <w:tcBorders>
              <w:top w:val="single" w:sz="8" w:color="CCEEFF"/>
            </w:tcBorders>
            <w:vMerge w:val="restart"/>
          </w:tcPr>
          <w:p>
            <w:pPr>
              <w:ind w:left="180"/>
              <w:spacing w:after="0"/>
              <w:rPr>
                <w:sz w:val="20"/>
                <w:szCs w:val="20"/>
                <w:color w:val="auto"/>
              </w:rPr>
            </w:pPr>
            <w:r>
              <w:rPr>
                <w:rFonts w:ascii="Arial" w:cs="Arial" w:eastAsia="Arial" w:hAnsi="Arial"/>
                <w:sz w:val="17"/>
                <w:szCs w:val="17"/>
                <w:color w:val="auto"/>
              </w:rPr>
              <w:t>Total</w:t>
            </w:r>
          </w:p>
        </w:tc>
        <w:tc>
          <w:tcPr>
            <w:tcW w:w="860" w:type="dxa"/>
            <w:vAlign w:val="bottom"/>
            <w:tcBorders>
              <w:top w:val="single" w:sz="8" w:color="CCEEFF"/>
            </w:tcBorders>
            <w:gridSpan w:val="2"/>
          </w:tcPr>
          <w:p>
            <w:pPr>
              <w:jc w:val="right"/>
              <w:spacing w:after="0"/>
              <w:rPr>
                <w:sz w:val="20"/>
                <w:szCs w:val="20"/>
                <w:color w:val="auto"/>
              </w:rPr>
            </w:pPr>
            <w:r>
              <w:rPr>
                <w:rFonts w:ascii="Arial" w:cs="Arial" w:eastAsia="Arial" w:hAnsi="Arial"/>
                <w:sz w:val="17"/>
                <w:szCs w:val="17"/>
                <w:color w:val="auto"/>
                <w:w w:val="98"/>
              </w:rPr>
              <w:t>12,500,000</w:t>
            </w:r>
          </w:p>
        </w:tc>
        <w:tc>
          <w:tcPr>
            <w:tcW w:w="8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140" w:type="dxa"/>
            <w:vAlign w:val="bottom"/>
            <w:tcBorders>
              <w:top w:val="single" w:sz="8" w:color="CCEEFF"/>
            </w:tcBorders>
            <w:vMerge w:val="continue"/>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
        </w:trPr>
        <w:tc>
          <w:tcPr>
            <w:tcW w:w="8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-736600</wp:posOffset>
            </wp:positionV>
            <wp:extent cx="1111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49"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Class A ordinary shares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49"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The underwriters have advised us that, following the completion of this offering, they currently intend to make a market in the Class A ordinary shares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Class A ordinary shares, that you will be able to sell any of the Class A ordinary shares held by you at a particular time or that the prices that you receive when you sell will be favorable.</w:t>
      </w:r>
    </w:p>
    <w:p>
      <w:pPr>
        <w:spacing w:after="0" w:line="161" w:lineRule="exact"/>
        <w:rPr>
          <w:sz w:val="20"/>
          <w:szCs w:val="20"/>
          <w:color w:val="auto"/>
        </w:rPr>
      </w:pPr>
    </w:p>
    <w:p>
      <w:pPr>
        <w:ind w:right="180"/>
        <w:spacing w:after="0" w:line="236" w:lineRule="auto"/>
        <w:rPr>
          <w:sz w:val="20"/>
          <w:szCs w:val="20"/>
          <w:color w:val="auto"/>
        </w:rPr>
      </w:pPr>
      <w:r>
        <w:rPr>
          <w:rFonts w:ascii="Arial" w:cs="Arial" w:eastAsia="Arial" w:hAnsi="Arial"/>
          <w:sz w:val="17"/>
          <w:szCs w:val="17"/>
          <w:color w:val="auto"/>
        </w:rPr>
        <w:t>The underwriters are offering the Class A ordinary shares subject to their acceptance of the Class A ordinary shares from us and subject to prior sale. The underwriters reserve the right to withdraw, cancel or modify offers to the public and to reject orders in whole or in part. In addition, the underwriters have advised us that they do not intend to confirm sales to any account over which they exercise discretionary authority.</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Commission and Expenses</w:t>
      </w:r>
    </w:p>
    <w:p>
      <w:pPr>
        <w:spacing w:after="0" w:line="189" w:lineRule="exact"/>
        <w:rPr>
          <w:sz w:val="20"/>
          <w:szCs w:val="20"/>
          <w:color w:val="auto"/>
        </w:rPr>
      </w:pPr>
    </w:p>
    <w:p>
      <w:pPr>
        <w:ind w:right="40"/>
        <w:spacing w:after="0" w:line="232" w:lineRule="auto"/>
        <w:rPr>
          <w:sz w:val="20"/>
          <w:szCs w:val="20"/>
          <w:color w:val="auto"/>
        </w:rPr>
      </w:pPr>
      <w:r>
        <w:rPr>
          <w:rFonts w:ascii="Arial" w:cs="Arial" w:eastAsia="Arial" w:hAnsi="Arial"/>
          <w:sz w:val="17"/>
          <w:szCs w:val="17"/>
          <w:color w:val="auto"/>
        </w:rPr>
        <w:t>The underwriters have advised us that they propose to offer the Class A ordinary shares to the public at the initial public offering price set forth on the cover page of this prospectus and to certain dealers, which may include the underwriters,</w:t>
      </w:r>
    </w:p>
    <w:p>
      <w:pPr>
        <w:ind w:right="120"/>
        <w:spacing w:after="0" w:line="232" w:lineRule="auto"/>
        <w:rPr>
          <w:sz w:val="20"/>
          <w:szCs w:val="20"/>
          <w:color w:val="auto"/>
        </w:rPr>
      </w:pPr>
      <w:r>
        <w:rPr>
          <w:rFonts w:ascii="Arial" w:cs="Arial" w:eastAsia="Arial" w:hAnsi="Arial"/>
          <w:sz w:val="17"/>
          <w:szCs w:val="17"/>
          <w:color w:val="auto"/>
        </w:rPr>
        <w:t>at that price less a concession not in excess of $ per share. The underwriters may allow, and certain dealers may reallow, a discount from the concession not in excess of $ per share to certain brokers and dealers. After</w:t>
      </w:r>
    </w:p>
    <w:p>
      <w:pPr>
        <w:ind w:right="320"/>
        <w:spacing w:after="0" w:line="238" w:lineRule="auto"/>
        <w:rPr>
          <w:sz w:val="20"/>
          <w:szCs w:val="20"/>
          <w:color w:val="auto"/>
        </w:rPr>
      </w:pPr>
      <w:r>
        <w:rPr>
          <w:rFonts w:ascii="Arial" w:cs="Arial" w:eastAsia="Arial" w:hAnsi="Arial"/>
          <w:sz w:val="17"/>
          <w:szCs w:val="17"/>
          <w:color w:val="auto"/>
        </w:rPr>
        <w:t>the offering, the initial public offering price, concession and reallowance to dealers may be reduced by the representative. No such reduction will change the amount of proceeds to be received by us as set forth on the cover page of this prospectus.</w:t>
      </w:r>
    </w:p>
    <w:p>
      <w:pPr>
        <w:spacing w:after="0" w:line="161"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57607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gridSpan w:val="3"/>
          </w:tcPr>
          <w:p>
            <w:pPr>
              <w:jc w:val="center"/>
              <w:ind w:right="308"/>
              <w:spacing w:after="0"/>
              <w:rPr>
                <w:sz w:val="20"/>
                <w:szCs w:val="20"/>
                <w:color w:val="auto"/>
              </w:rPr>
            </w:pPr>
            <w:r>
              <w:rPr>
                <w:rFonts w:ascii="Arial" w:cs="Arial" w:eastAsia="Arial" w:hAnsi="Arial"/>
                <w:sz w:val="14"/>
                <w:szCs w:val="14"/>
                <w:b w:val="1"/>
                <w:bCs w:val="1"/>
                <w:color w:val="auto"/>
              </w:rPr>
              <w:t>PAID BY</w:t>
            </w:r>
          </w:p>
        </w:tc>
        <w:tc>
          <w:tcPr>
            <w:tcW w:w="720" w:type="dxa"/>
            <w:vAlign w:val="bottom"/>
          </w:tcPr>
          <w:p>
            <w:pPr>
              <w:spacing w:after="0"/>
              <w:rPr>
                <w:sz w:val="14"/>
                <w:szCs w:val="14"/>
                <w:color w:val="auto"/>
              </w:rPr>
            </w:pPr>
          </w:p>
        </w:tc>
      </w:tr>
      <w:tr>
        <w:trPr>
          <w:trHeight w:val="190"/>
        </w:trPr>
        <w:tc>
          <w:tcPr>
            <w:tcW w:w="6320" w:type="dxa"/>
            <w:vAlign w:val="bottom"/>
          </w:tcPr>
          <w:p>
            <w:pPr>
              <w:spacing w:after="0"/>
              <w:rPr>
                <w:sz w:val="16"/>
                <w:szCs w:val="16"/>
                <w:color w:val="auto"/>
              </w:rPr>
            </w:pPr>
          </w:p>
        </w:tc>
        <w:tc>
          <w:tcPr>
            <w:tcW w:w="2760" w:type="dxa"/>
            <w:vAlign w:val="bottom"/>
            <w:gridSpan w:val="6"/>
          </w:tcPr>
          <w:p>
            <w:pPr>
              <w:jc w:val="center"/>
              <w:spacing w:after="0"/>
              <w:rPr>
                <w:sz w:val="20"/>
                <w:szCs w:val="20"/>
                <w:color w:val="auto"/>
              </w:rPr>
            </w:pPr>
            <w:r>
              <w:rPr>
                <w:rFonts w:ascii="Arial" w:cs="Arial" w:eastAsia="Arial" w:hAnsi="Arial"/>
                <w:sz w:val="14"/>
                <w:szCs w:val="14"/>
                <w:b w:val="1"/>
                <w:bCs w:val="1"/>
                <w:color w:val="auto"/>
              </w:rPr>
              <w:t>ARYA SCIENCES ACQUISITION CORP III</w:t>
            </w:r>
          </w:p>
        </w:tc>
      </w:tr>
      <w:tr>
        <w:trPr>
          <w:trHeight w:val="39"/>
        </w:trPr>
        <w:tc>
          <w:tcPr>
            <w:tcW w:w="6320" w:type="dxa"/>
            <w:vAlign w:val="bottom"/>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r>
      <w:tr>
        <w:trPr>
          <w:trHeight w:val="225"/>
        </w:trPr>
        <w:tc>
          <w:tcPr>
            <w:tcW w:w="632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NO EXERCISE</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FULL EXERCISE</w:t>
            </w:r>
          </w:p>
        </w:tc>
      </w:tr>
      <w:tr>
        <w:trPr>
          <w:trHeight w:val="39"/>
        </w:trPr>
        <w:tc>
          <w:tcPr>
            <w:tcW w:w="63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264"/>
        </w:trPr>
        <w:tc>
          <w:tcPr>
            <w:tcW w:w="6320" w:type="dxa"/>
            <w:vAlign w:val="bottom"/>
            <w:shd w:val="clear" w:color="auto" w:fill="CCEEFF"/>
          </w:tcPr>
          <w:p>
            <w:pPr>
              <w:spacing w:after="0" w:line="263" w:lineRule="exact"/>
              <w:rPr>
                <w:sz w:val="20"/>
                <w:szCs w:val="20"/>
                <w:color w:val="auto"/>
              </w:rPr>
            </w:pPr>
            <w:r>
              <w:rPr>
                <w:rFonts w:ascii="Arial" w:cs="Arial" w:eastAsia="Arial" w:hAnsi="Arial"/>
                <w:sz w:val="17"/>
                <w:szCs w:val="17"/>
                <w:color w:val="auto"/>
              </w:rPr>
              <w:t>Per Class A ordinary share</w:t>
            </w:r>
            <w:r>
              <w:rPr>
                <w:rFonts w:ascii="Arial" w:cs="Arial" w:eastAsia="Arial" w:hAnsi="Arial"/>
                <w:sz w:val="28"/>
                <w:szCs w:val="28"/>
                <w:color w:val="auto"/>
                <w:vertAlign w:val="superscript"/>
              </w:rPr>
              <w:t>(1)</w:t>
            </w:r>
          </w:p>
        </w:tc>
        <w:tc>
          <w:tcPr>
            <w:tcW w:w="4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0.55</w:t>
            </w:r>
          </w:p>
        </w:tc>
        <w:tc>
          <w:tcPr>
            <w:tcW w:w="960" w:type="dxa"/>
            <w:vAlign w:val="bottom"/>
            <w:gridSpan w:val="3"/>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0.55</w:t>
            </w:r>
          </w:p>
        </w:tc>
      </w:tr>
      <w:tr>
        <w:trPr>
          <w:trHeight w:val="216"/>
        </w:trPr>
        <w:tc>
          <w:tcPr>
            <w:tcW w:w="6320" w:type="dxa"/>
            <w:vAlign w:val="bottom"/>
            <w:tcBorders>
              <w:bottom w:val="single" w:sz="8" w:color="auto"/>
            </w:tcBorders>
          </w:tcPr>
          <w:p>
            <w:pPr>
              <w:spacing w:after="0" w:line="216" w:lineRule="exact"/>
              <w:rPr>
                <w:sz w:val="20"/>
                <w:szCs w:val="20"/>
                <w:color w:val="auto"/>
              </w:rPr>
            </w:pPr>
            <w:r>
              <w:rPr>
                <w:rFonts w:ascii="Arial" w:cs="Arial" w:eastAsia="Arial" w:hAnsi="Arial"/>
                <w:sz w:val="16"/>
                <w:szCs w:val="16"/>
                <w:color w:val="auto"/>
              </w:rPr>
              <w:t>Total</w:t>
            </w:r>
            <w:r>
              <w:rPr>
                <w:rFonts w:ascii="Arial" w:cs="Arial" w:eastAsia="Arial" w:hAnsi="Arial"/>
                <w:sz w:val="25"/>
                <w:szCs w:val="25"/>
                <w:color w:val="auto"/>
                <w:vertAlign w:val="superscript"/>
              </w:rPr>
              <w:t>(1)</w:t>
            </w:r>
          </w:p>
        </w:tc>
        <w:tc>
          <w:tcPr>
            <w:tcW w:w="108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rPr>
              <w:t>$6,875,000</w:t>
            </w:r>
          </w:p>
        </w:tc>
        <w:tc>
          <w:tcPr>
            <w:tcW w:w="1680" w:type="dxa"/>
            <w:vAlign w:val="bottom"/>
            <w:tcBorders>
              <w:bottom w:val="single" w:sz="8" w:color="auto"/>
            </w:tcBorders>
            <w:gridSpan w:val="4"/>
          </w:tcPr>
          <w:p>
            <w:pPr>
              <w:ind w:left="640"/>
              <w:spacing w:after="0"/>
              <w:rPr>
                <w:sz w:val="20"/>
                <w:szCs w:val="20"/>
                <w:color w:val="auto"/>
              </w:rPr>
            </w:pPr>
            <w:r>
              <w:rPr>
                <w:rFonts w:ascii="Arial" w:cs="Arial" w:eastAsia="Arial" w:hAnsi="Arial"/>
                <w:sz w:val="17"/>
                <w:szCs w:val="17"/>
                <w:color w:val="auto"/>
              </w:rPr>
              <w:t>$7,906,250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-325120</wp:posOffset>
            </wp:positionV>
            <wp:extent cx="2743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-325120</wp:posOffset>
            </wp:positionV>
            <wp:extent cx="14605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spacing w:after="0" w:line="28" w:lineRule="exact"/>
        <w:rPr>
          <w:sz w:val="20"/>
          <w:szCs w:val="20"/>
          <w:color w:val="auto"/>
        </w:rPr>
      </w:pPr>
    </w:p>
    <w:p>
      <w:pPr>
        <w:ind w:left="360" w:right="20" w:hanging="352"/>
        <w:spacing w:after="0" w:line="222" w:lineRule="auto"/>
        <w:tabs>
          <w:tab w:leader="none" w:pos="3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$0.20 per share, or $2,500,000 in the aggregate (or $2,875,000 in the aggregate if the underwriters’ option to purchase additional shares is exercised in full), is payable upon the closing of this offering. $0.35 per share, or $4,375,000 in the aggregate (or $5,031,250 in the aggregate if the underwriters’ option to purchase additional shares is exercised in full) payable to the underwriters for deferred underwriting commissions will be placed in a trust account located in the United States as described herein. The deferred commissions will be released to the underwriters only on and concurrently with completion of an initial business combination.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133" w:name="page134"/>
    <w:bookmarkEnd w:id="13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If we do not complete our initial business combination within 24 months from the closing of this offering, the underwriters have agreed that (i) they will forfeit any rights or claims to their deferred underwriting discounts and commissions, including any accrued interest thereon, then in the trust account and (ii) the deferred underwriters’ discounts and commissions will be distributed on a pro rata basis, together with any accrued interest thereon (which interest will be net of taxes payable) to the public shareholders.</w:t>
      </w:r>
    </w:p>
    <w:p>
      <w:pPr>
        <w:spacing w:after="0" w:line="163" w:lineRule="exact"/>
        <w:rPr>
          <w:sz w:val="20"/>
          <w:szCs w:val="20"/>
          <w:color w:val="auto"/>
        </w:rPr>
      </w:pPr>
    </w:p>
    <w:p>
      <w:pPr>
        <w:ind w:right="200"/>
        <w:spacing w:after="0" w:line="238" w:lineRule="auto"/>
        <w:rPr>
          <w:sz w:val="20"/>
          <w:szCs w:val="20"/>
          <w:color w:val="auto"/>
        </w:rPr>
      </w:pPr>
      <w:r>
        <w:rPr>
          <w:rFonts w:ascii="Arial" w:cs="Arial" w:eastAsia="Arial" w:hAnsi="Arial"/>
          <w:sz w:val="17"/>
          <w:szCs w:val="17"/>
          <w:color w:val="auto"/>
        </w:rPr>
        <w:t>We estimate expenses payable by us in connection with this offering, other than the underwriting discounts and commissions referred to above, will be approximately $1,000,000. We have agreed to pay for FINRA-related fees and expenses of the underwriters’ legal counsel, not to exceed $25,000.</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Determination of Offering Price</w:t>
      </w:r>
    </w:p>
    <w:p>
      <w:pPr>
        <w:spacing w:after="0" w:line="189"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Prior to this offering, there has not been a public market for our Class A ordinary shares. Consequently, the initial public offering price for our Class A ordinary shares was determined by negotiations between us and the representative. Among the factors considered in these negotiations were the history and prospects of companies whose principal business is the acquisition of other companies, prior offerings of those companies, our management, our capital structure, and currently prevailing general conditions in equity securities markets, including current market valuations of publicly traded companies considered comparable to our company.</w:t>
      </w:r>
    </w:p>
    <w:p>
      <w:pPr>
        <w:spacing w:after="0" w:line="161"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We offer no assurances that the initial public offering price will correspond to the price at which the Class A ordinary shares will trade in the public market subsequent to the offering or that an active trading market for the Class A ordinary shares will develop and continue after the offering.</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We intend to apply to have our public shares listed on Nasdaq under the symbol “ARYA.”</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Stamp Taxes</w:t>
      </w:r>
    </w:p>
    <w:p>
      <w:pPr>
        <w:spacing w:after="0" w:line="189"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If you purchase Class A ordinary shares offered in this prospectus, you may be required to pay stamp taxes and other charges under the laws and practices of the country of purchase, in addition to the offering price listed on the cover page of this prospectus.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 to Purchase Additional Class A ordinary shares</w:t>
      </w:r>
    </w:p>
    <w:p>
      <w:pPr>
        <w:spacing w:after="0" w:line="189" w:lineRule="exact"/>
        <w:rPr>
          <w:sz w:val="20"/>
          <w:szCs w:val="20"/>
          <w:color w:val="auto"/>
        </w:rPr>
      </w:pPr>
    </w:p>
    <w:p>
      <w:pPr>
        <w:ind w:right="240"/>
        <w:spacing w:after="0" w:line="234" w:lineRule="auto"/>
        <w:rPr>
          <w:sz w:val="20"/>
          <w:szCs w:val="20"/>
          <w:color w:val="auto"/>
        </w:rPr>
      </w:pPr>
      <w:r>
        <w:rPr>
          <w:rFonts w:ascii="Arial" w:cs="Arial" w:eastAsia="Arial" w:hAnsi="Arial"/>
          <w:sz w:val="17"/>
          <w:szCs w:val="17"/>
          <w:color w:val="auto"/>
        </w:rPr>
        <w:t>We have granted to the underwriters an option, exercisable for 45 days from the date of this prospectus, to purchase, from time to time, in whole or in part, up to an aggregate of 1,875,000 Class A ordinary shares from us at the public offering price set forth on the cover page of this prospectus, less underwriting discounts and commissions. If the underwriters exercise this option, each underwriter will be obligated, subject to specified conditions, to purchase a number of additional Class A ordinary shares proportionate to that underwriter’s initial purchase commitment as indicated in the table above. This option may be exercised only if the underwriters sell more Class A ordinary shares than the total number set forth on the cover page of this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Letter Agreement</w:t>
      </w:r>
    </w:p>
    <w:p>
      <w:pPr>
        <w:spacing w:after="0" w:line="189"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We, our sponsor and our officers and directors have agreed that, for a period of 180 days from the date of this prospectus, we and they will not, without the prior written consent of Jefferies LLC and Goldman Sachs &amp; Co. LLC, offer, sell, contract to sell, pledge or otherwise dispose of, directly or indirectly, Class A ordinary shares or any other securities convertible into, or exercisable, or exchangeable for, Class A ordinary shares; provided, however, that we may</w:t>
      </w:r>
    </w:p>
    <w:p>
      <w:pPr>
        <w:ind w:right="60" w:firstLine="8"/>
        <w:spacing w:after="0" w:line="235" w:lineRule="auto"/>
        <w:tabs>
          <w:tab w:leader="none" w:pos="256" w:val="left"/>
        </w:tabs>
        <w:numPr>
          <w:ilvl w:val="0"/>
          <w:numId w:val="34"/>
        </w:numPr>
        <w:rPr>
          <w:rFonts w:ascii="Arial" w:cs="Arial" w:eastAsia="Arial" w:hAnsi="Arial"/>
          <w:sz w:val="17"/>
          <w:szCs w:val="17"/>
          <w:color w:val="auto"/>
        </w:rPr>
      </w:pPr>
      <w:r>
        <w:rPr>
          <w:rFonts w:ascii="Arial" w:cs="Arial" w:eastAsia="Arial" w:hAnsi="Arial"/>
          <w:sz w:val="17"/>
          <w:szCs w:val="17"/>
          <w:color w:val="auto"/>
        </w:rPr>
        <w:t>issue and sell the private placement shares, (2) issue and sell the additional Class A ordinary shares to cover our underwriters’ over-allotment option (if any), (3) register with the SEC pursuant to an agreement to be entered into concurrently with the issuance and sale of the securities in this offering, the resale of the founder shares and the private placement shares, and (4) issue securities in connection with an initial business combination. Jefferies LLC and Goldman Sachs &amp; Co. LLC in their sole discretion, may release any of the securities subject to this lock-up agreement at any time without notice.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134" w:name="page135"/>
    <w:bookmarkEnd w:id="13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100"/>
        <w:spacing w:after="0" w:line="233" w:lineRule="auto"/>
        <w:rPr>
          <w:sz w:val="20"/>
          <w:szCs w:val="20"/>
          <w:color w:val="auto"/>
        </w:rPr>
      </w:pPr>
      <w:r>
        <w:rPr>
          <w:rFonts w:ascii="Arial" w:cs="Arial" w:eastAsia="Arial" w:hAnsi="Arial"/>
          <w:sz w:val="17"/>
          <w:szCs w:val="17"/>
          <w:color w:val="auto"/>
        </w:rPr>
        <w:t>Our initial shareholders have agreed not to transfer, assign or sell any of their founder shares until the earlier to occur of: (A) one year after the completion of our initial business combination and (B) subsequent to our initial business combination, (x) if the closing price of our Class A ordinary shares equals or exceeds $12.00 per share (as adjusted for share splits, share capitalizations, reorganizations, recapitalizations and the like) for any 20 trading days within any 30-trading day period commencing at least 150 days after our initial business combination, or (y) the date on which we complete a liquidation, merger, share exchange, reorganization or other similar transaction that results in all of our public shareholders having the right to exchange their ordinary shares for cash, securities or other property (except as described herein under “Principal Shareholders — Transfers of Founder Shares and Private Placement Shares”). Any permitted transferees will be subject to the same restrictions and other agreements of our our sponsor and our management team with respect to any founder shares and private placement shares. We refer to such transfer restrictions throughout this prospectus as the lock-up.</w:t>
      </w:r>
    </w:p>
    <w:p>
      <w:pPr>
        <w:spacing w:after="0" w:line="167"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The private placement shares will not be transferable, assignable or salable until 30 days after the completion of our initial business combination (except with respect to permitted transferees as described herein under the section of this prospectus entitled “Principal Shareholders — Transfers of Founder Shares and Private Placement Shares”).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Stabilization</w:t>
      </w:r>
    </w:p>
    <w:p>
      <w:pPr>
        <w:spacing w:after="0" w:line="189" w:lineRule="exact"/>
        <w:rPr>
          <w:sz w:val="20"/>
          <w:szCs w:val="20"/>
          <w:color w:val="auto"/>
        </w:rPr>
      </w:pPr>
    </w:p>
    <w:p>
      <w:pPr>
        <w:ind w:right="180"/>
        <w:spacing w:after="0" w:line="235" w:lineRule="auto"/>
        <w:rPr>
          <w:sz w:val="20"/>
          <w:szCs w:val="20"/>
          <w:color w:val="auto"/>
        </w:rPr>
      </w:pPr>
      <w:r>
        <w:rPr>
          <w:rFonts w:ascii="Arial" w:cs="Arial" w:eastAsia="Arial" w:hAnsi="Arial"/>
          <w:sz w:val="17"/>
          <w:szCs w:val="17"/>
          <w:color w:val="auto"/>
        </w:rPr>
        <w:t>The underwriters have advised us that they, pursuant to Regulation M under the Exchange Act, and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Class A ordinary shares at a level above that which might otherwise prevail in the open market. Establishing short sales positions may involve either “covered” short sales or “naked” short sales.</w:t>
      </w:r>
    </w:p>
    <w:p>
      <w:pPr>
        <w:spacing w:after="0" w:line="16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“Covered” short sales are sales made in an amount not greater than the underwriters’ option to purchase additional Class A ordinary shares in this offering. The underwriters may close out any covered short position by either exercising their option to purchase additional Class A ordinary shares or purchasing Class A ordinary shares in the open market. In determining the source of Class A ordinary shares to close out the covered short position, the underwriters will consider, among other things, the price of Class A ordinary shares available for purchase in the open market as compared to the price at which they may purchase Class A ordinary shares through the option to purchase additional Class A ordinary shares.</w:t>
      </w:r>
    </w:p>
    <w:p>
      <w:pPr>
        <w:spacing w:after="0" w:line="15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“Naked” short sales are sales in excess of the option to purchase additional Class a ordinary shares. The underwriters must close out any naked short position by purchasing Class A ordinary shares in the open market. A naked short position is more likely to be created if the underwriters are concerned that there may be downward pressure on the price of our Class A ordinary shares in the open market after pricing that could adversely affect investors who purchase in this offering.</w:t>
      </w:r>
    </w:p>
    <w:p>
      <w:pPr>
        <w:spacing w:after="0" w:line="163"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A stabilizing bid is a bid for the purchase of Class A ordinary shares on behalf of the underwriters for the purpose of fixing or maintaining the price of the Class A ordinary shares. A syndicate covering transaction is the bid for or the purchase of Class A ordinary shares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Class A ordinary shares or preventing or retarding a decline in the market price of our Class A ordinary shares. As a result, the price of our Class A ordinary shares may be higher than the price that might otherwise exist in the open market. A penalty bid is an arrangement permitting the underwriters to reclaim the selling concession otherwise accruing to a syndicate member in connection with the offering if the Class A ordinary shares originally sold by such syndicate member are purchased in a syndicate covering transaction and therefore have not been effectively placed by such syndicate member.</w:t>
      </w:r>
    </w:p>
    <w:p>
      <w:pPr>
        <w:spacing w:after="0" w:line="168"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our Class A ordinary shares. The underwriters are not obligated to engage in these activities and, if commenced, any of the activities may be discontinued at any time.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135" w:name="page136"/>
    <w:bookmarkEnd w:id="13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79"/>
        <w:spacing w:after="0" w:line="235" w:lineRule="auto"/>
        <w:rPr>
          <w:sz w:val="20"/>
          <w:szCs w:val="20"/>
          <w:color w:val="auto"/>
        </w:rPr>
      </w:pPr>
      <w:r>
        <w:rPr>
          <w:rFonts w:ascii="Arial" w:cs="Arial" w:eastAsia="Arial" w:hAnsi="Arial"/>
          <w:sz w:val="17"/>
          <w:szCs w:val="17"/>
          <w:color w:val="auto"/>
        </w:rPr>
        <w:t>The underwriters may also engage in passive market making transactions in our Class A ordinary shares on Nasdaq in accordance with Rule 103 of Regulation M during a period before the commencement of offers or sales of our Class A ordinary shares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Electronic Distribution</w:t>
      </w:r>
    </w:p>
    <w:p>
      <w:pPr>
        <w:spacing w:after="0" w:line="176" w:lineRule="exact"/>
        <w:rPr>
          <w:sz w:val="20"/>
          <w:szCs w:val="20"/>
          <w:color w:val="auto"/>
        </w:rPr>
      </w:pPr>
    </w:p>
    <w:p>
      <w:pPr>
        <w:ind w:right="39"/>
        <w:spacing w:after="0" w:line="234" w:lineRule="auto"/>
        <w:rPr>
          <w:sz w:val="20"/>
          <w:szCs w:val="20"/>
          <w:color w:val="auto"/>
        </w:rPr>
      </w:pPr>
      <w:r>
        <w:rPr>
          <w:rFonts w:ascii="Arial" w:cs="Arial" w:eastAsia="Arial" w:hAnsi="Arial"/>
          <w:sz w:val="17"/>
          <w:szCs w:val="17"/>
          <w:color w:val="auto"/>
        </w:rPr>
        <w:t>A prospectus in electronic format may be made available by e-mail or on the web sites or through online services maintained by one or more of the underwriters or their affiliates. In those cases, prospective investors may view offering terms online and may be allowed to place orders online. The underwriters may agree with us to allocate a specific number of Class A ordinary shares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any of the underwriters is not part of this prospectus, has not been approved and/or endorsed by us or the underwriters and should not be relied upon by investors.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Activities and Relationships</w:t>
      </w:r>
    </w:p>
    <w:p>
      <w:pPr>
        <w:spacing w:after="0" w:line="176" w:lineRule="exact"/>
        <w:rPr>
          <w:sz w:val="20"/>
          <w:szCs w:val="20"/>
          <w:color w:val="auto"/>
        </w:rPr>
      </w:pPr>
    </w:p>
    <w:p>
      <w:pPr>
        <w:ind w:right="59"/>
        <w:spacing w:after="0" w:line="234" w:lineRule="auto"/>
        <w:rPr>
          <w:sz w:val="20"/>
          <w:szCs w:val="20"/>
          <w:color w:val="auto"/>
        </w:rPr>
      </w:pPr>
      <w:r>
        <w:rPr>
          <w:rFonts w:ascii="Arial" w:cs="Arial" w:eastAsia="Arial" w:hAnsi="Arial"/>
          <w:sz w:val="17"/>
          <w:szCs w:val="17"/>
          <w:color w:val="auto"/>
        </w:rPr>
        <w:t>We are not under any contractual obligation to engage any of the underwriters to provide any services for us after this offering, and have no present intent to do so. However, any of the underwriters may introduce us to potential target businesses or assist us in raising additional capital in the future. If any of the underwriters provide services to us after this offering, we may pay such underwriter fair and reasonable fees that would be determined at that time in an arm’s length negotiation; provided that no agreement will be entered into with any of the underwriters and no fees for such services will be paid to any of the underwriters prior to the date that is 90 days from the date of this prospectus, unless FINRA determines that such payment would not be deemed underwriters’ compensation in connection with this offering and we may pay the underwriters of this offering or any entity with which they are affiliated a finder’s fee or other compensation for services rendered to us in connection with the completion of a business combination.</w:t>
      </w:r>
    </w:p>
    <w:p>
      <w:pPr>
        <w:spacing w:after="0" w:line="161" w:lineRule="exact"/>
        <w:rPr>
          <w:sz w:val="20"/>
          <w:szCs w:val="20"/>
          <w:color w:val="auto"/>
        </w:rPr>
      </w:pPr>
    </w:p>
    <w:p>
      <w:pPr>
        <w:ind w:right="119"/>
        <w:spacing w:after="0" w:line="235" w:lineRule="auto"/>
        <w:rPr>
          <w:sz w:val="20"/>
          <w:szCs w:val="20"/>
          <w:color w:val="auto"/>
        </w:rPr>
      </w:pPr>
      <w:r>
        <w:rPr>
          <w:rFonts w:ascii="Arial" w:cs="Arial" w:eastAsia="Arial" w:hAnsi="Arial"/>
          <w:sz w:val="17"/>
          <w:szCs w:val="17"/>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161" w:lineRule="exact"/>
        <w:rPr>
          <w:sz w:val="20"/>
          <w:szCs w:val="20"/>
          <w:color w:val="auto"/>
        </w:rPr>
      </w:pPr>
    </w:p>
    <w:p>
      <w:pPr>
        <w:ind w:right="39"/>
        <w:spacing w:after="0" w:line="234" w:lineRule="auto"/>
        <w:rPr>
          <w:sz w:val="20"/>
          <w:szCs w:val="20"/>
          <w:color w:val="auto"/>
        </w:rPr>
      </w:pPr>
      <w:r>
        <w:rPr>
          <w:rFonts w:ascii="Arial" w:cs="Arial" w:eastAsia="Arial" w:hAnsi="Arial"/>
          <w:sz w:val="17"/>
          <w:szCs w:val="17"/>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Restrictions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Canada</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Resale Restrictions</w:t>
      </w:r>
    </w:p>
    <w:p>
      <w:pPr>
        <w:spacing w:after="0" w:line="52" w:lineRule="exact"/>
        <w:rPr>
          <w:sz w:val="20"/>
          <w:szCs w:val="20"/>
          <w:color w:val="auto"/>
        </w:rPr>
      </w:pPr>
    </w:p>
    <w:p>
      <w:pPr>
        <w:ind w:right="19"/>
        <w:spacing w:after="0" w:line="236" w:lineRule="auto"/>
        <w:rPr>
          <w:sz w:val="20"/>
          <w:szCs w:val="20"/>
          <w:color w:val="auto"/>
        </w:rPr>
      </w:pPr>
      <w:r>
        <w:rPr>
          <w:rFonts w:ascii="Arial" w:cs="Arial" w:eastAsia="Arial" w:hAnsi="Arial"/>
          <w:sz w:val="17"/>
          <w:szCs w:val="17"/>
          <w:color w:val="auto"/>
        </w:rPr>
        <w:t>The distribution of the securities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securities in Canada must be made under applicable securities laws which may vary depending on the relevant jurisdiction, and</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bookmarkStart w:id="136" w:name="page137"/>
    <w:bookmarkEnd w:id="13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Representations of Canadian Purchasers</w:t>
      </w:r>
    </w:p>
    <w:p>
      <w:pPr>
        <w:spacing w:after="0" w:line="174"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By purchasing the securities in Canada and accepting delivery of a purchase confirmation, a purchaser is representing to us and the dealer from whom the purchase confirmation is received that:</w:t>
      </w:r>
    </w:p>
    <w:p>
      <w:pPr>
        <w:spacing w:after="0" w:line="90" w:lineRule="exact"/>
        <w:rPr>
          <w:sz w:val="20"/>
          <w:szCs w:val="20"/>
          <w:color w:val="auto"/>
        </w:rPr>
      </w:pPr>
    </w:p>
    <w:p>
      <w:pPr>
        <w:ind w:left="580"/>
        <w:spacing w:after="0" w:line="238" w:lineRule="auto"/>
        <w:rPr>
          <w:sz w:val="20"/>
          <w:szCs w:val="20"/>
          <w:color w:val="auto"/>
        </w:rPr>
      </w:pPr>
      <w:r>
        <w:rPr>
          <w:rFonts w:ascii="Arial" w:cs="Arial" w:eastAsia="Arial" w:hAnsi="Arial"/>
          <w:sz w:val="17"/>
          <w:szCs w:val="17"/>
          <w:color w:val="auto"/>
        </w:rPr>
        <w:t xml:space="preserve">the purchaser is entitled under applicable provincial securities laws to purchase the securities without the benefit of a prospectus qualified under those securities laws as it is an “accredited investor” as defined under National Instrument 45-106 — </w:t>
      </w:r>
      <w:r>
        <w:rPr>
          <w:rFonts w:ascii="Arial" w:cs="Arial" w:eastAsia="Arial" w:hAnsi="Arial"/>
          <w:sz w:val="17"/>
          <w:szCs w:val="17"/>
          <w:i w:val="1"/>
          <w:iCs w:val="1"/>
          <w:color w:val="auto"/>
        </w:rPr>
        <w:t>Prospectus Exemptions</w:t>
      </w:r>
      <w:r>
        <w:rPr>
          <w:rFonts w:ascii="Arial" w:cs="Arial" w:eastAsia="Arial" w:hAnsi="Arial"/>
          <w:sz w:val="17"/>
          <w:szCs w:val="17"/>
          <w:color w:val="auto"/>
        </w:rPr>
        <w:t>,</w:t>
      </w:r>
    </w:p>
    <w:p>
      <w:pPr>
        <w:spacing w:after="0" w:line="75" w:lineRule="exact"/>
        <w:rPr>
          <w:sz w:val="20"/>
          <w:szCs w:val="20"/>
          <w:color w:val="auto"/>
        </w:rPr>
      </w:pPr>
    </w:p>
    <w:p>
      <w:pPr>
        <w:ind w:left="580" w:right="340"/>
        <w:spacing w:after="0" w:line="265" w:lineRule="auto"/>
        <w:rPr>
          <w:sz w:val="20"/>
          <w:szCs w:val="20"/>
          <w:color w:val="auto"/>
        </w:rPr>
      </w:pPr>
      <w:r>
        <w:rPr>
          <w:rFonts w:ascii="Arial" w:cs="Arial" w:eastAsia="Arial" w:hAnsi="Arial"/>
          <w:sz w:val="17"/>
          <w:szCs w:val="17"/>
          <w:color w:val="auto"/>
        </w:rPr>
        <w:t xml:space="preserve">the purchaser is a “permitted client” as defined in National Instrument 31-103 — </w:t>
      </w:r>
      <w:r>
        <w:rPr>
          <w:rFonts w:ascii="Arial" w:cs="Arial" w:eastAsia="Arial" w:hAnsi="Arial"/>
          <w:sz w:val="17"/>
          <w:szCs w:val="17"/>
          <w:i w:val="1"/>
          <w:iCs w:val="1"/>
          <w:color w:val="auto"/>
        </w:rPr>
        <w:t>Registration Requirements,</w:t>
      </w:r>
      <w:r>
        <w:rPr>
          <w:rFonts w:ascii="Arial" w:cs="Arial" w:eastAsia="Arial" w:hAnsi="Arial"/>
          <w:sz w:val="17"/>
          <w:szCs w:val="17"/>
          <w:color w:val="auto"/>
        </w:rPr>
        <w:t xml:space="preserve"> </w:t>
      </w:r>
      <w:r>
        <w:rPr>
          <w:rFonts w:ascii="Arial" w:cs="Arial" w:eastAsia="Arial" w:hAnsi="Arial"/>
          <w:sz w:val="17"/>
          <w:szCs w:val="17"/>
          <w:i w:val="1"/>
          <w:iCs w:val="1"/>
          <w:color w:val="auto"/>
        </w:rPr>
        <w:t>Exemptions and Ongoing Registrant Obligations</w:t>
      </w:r>
      <w:r>
        <w:rPr>
          <w:rFonts w:ascii="Arial" w:cs="Arial" w:eastAsia="Arial" w:hAnsi="Arial"/>
          <w:sz w:val="17"/>
          <w:szCs w:val="17"/>
          <w:color w:val="auto"/>
        </w:rPr>
        <w:t>,</w:t>
      </w:r>
    </w:p>
    <w:p>
      <w:pPr>
        <w:spacing w:after="0" w:line="72" w:lineRule="exact"/>
        <w:rPr>
          <w:sz w:val="20"/>
          <w:szCs w:val="20"/>
          <w:color w:val="auto"/>
        </w:rPr>
      </w:pPr>
    </w:p>
    <w:p>
      <w:pPr>
        <w:ind w:left="580" w:right="2000"/>
        <w:spacing w:after="0" w:line="375" w:lineRule="auto"/>
        <w:rPr>
          <w:sz w:val="20"/>
          <w:szCs w:val="20"/>
          <w:color w:val="auto"/>
        </w:rPr>
      </w:pPr>
      <w:r>
        <w:rPr>
          <w:rFonts w:ascii="Arial" w:cs="Arial" w:eastAsia="Arial" w:hAnsi="Arial"/>
          <w:sz w:val="17"/>
          <w:szCs w:val="17"/>
          <w:color w:val="auto"/>
        </w:rPr>
        <w:t>where required by law, the purchaser is purchasing as principal and not as agent, and the purchaser has reviewed the text above under Resale Restrictions.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Conflicts of Interest</w:t>
      </w:r>
    </w:p>
    <w:p>
      <w:pPr>
        <w:spacing w:after="0" w:line="174" w:lineRule="exact"/>
        <w:rPr>
          <w:sz w:val="20"/>
          <w:szCs w:val="20"/>
          <w:color w:val="auto"/>
        </w:rPr>
      </w:pPr>
    </w:p>
    <w:p>
      <w:pPr>
        <w:ind w:right="220"/>
        <w:spacing w:after="0" w:line="238" w:lineRule="auto"/>
        <w:rPr>
          <w:sz w:val="20"/>
          <w:szCs w:val="20"/>
          <w:color w:val="auto"/>
        </w:rPr>
      </w:pPr>
      <w:r>
        <w:rPr>
          <w:rFonts w:ascii="Arial" w:cs="Arial" w:eastAsia="Arial" w:hAnsi="Arial"/>
          <w:sz w:val="17"/>
          <w:szCs w:val="17"/>
          <w:color w:val="auto"/>
        </w:rPr>
        <w:t xml:space="preserve">Canadian purchasers are hereby notified that the underwriters are relying on the exemption set out in section 3A.3 or 3A.4, if applicable, of National Instrument 33-105 — </w:t>
      </w:r>
      <w:r>
        <w:rPr>
          <w:rFonts w:ascii="Arial" w:cs="Arial" w:eastAsia="Arial" w:hAnsi="Arial"/>
          <w:sz w:val="17"/>
          <w:szCs w:val="17"/>
          <w:i w:val="1"/>
          <w:iCs w:val="1"/>
          <w:color w:val="auto"/>
        </w:rPr>
        <w:t>Underwriting Conflicts</w:t>
      </w:r>
      <w:r>
        <w:rPr>
          <w:rFonts w:ascii="Arial" w:cs="Arial" w:eastAsia="Arial" w:hAnsi="Arial"/>
          <w:sz w:val="17"/>
          <w:szCs w:val="17"/>
          <w:color w:val="auto"/>
        </w:rPr>
        <w:t xml:space="preserve"> from having to provide certain conflict of interest disclosure in this document.</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Statutory Rights of Action</w:t>
      </w:r>
    </w:p>
    <w:p>
      <w:pPr>
        <w:spacing w:after="0" w:line="174"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 xml:space="preserve">Securities legislation in certain provinces or territories of Canada may provide a purchaser with remedies for rescission or damages if the prospectus (including any amendment thereto) such as this document contains a misrepresentation,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remedies for rescission or damages are exercised by the purchaser within the time limit prescribed by</w:t>
      </w:r>
      <w:r>
        <w:rPr>
          <w:rFonts w:ascii="Arial" w:cs="Arial" w:eastAsia="Arial" w:hAnsi="Arial"/>
          <w:sz w:val="17"/>
          <w:szCs w:val="17"/>
          <w:i w:val="1"/>
          <w:iCs w:val="1"/>
          <w:color w:val="auto"/>
        </w:rPr>
        <w:t xml:space="preserve"> </w:t>
      </w:r>
      <w:r>
        <w:rPr>
          <w:rFonts w:ascii="Arial" w:cs="Arial" w:eastAsia="Arial" w:hAnsi="Arial"/>
          <w:sz w:val="17"/>
          <w:szCs w:val="17"/>
          <w:color w:val="auto"/>
        </w:rPr>
        <w:t>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Enforcement of Legal Rights</w:t>
      </w:r>
    </w:p>
    <w:p>
      <w:pPr>
        <w:spacing w:after="0" w:line="174"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Taxation and Eligibility for Investment</w:t>
      </w:r>
    </w:p>
    <w:p>
      <w:pPr>
        <w:spacing w:after="0" w:line="174" w:lineRule="exact"/>
        <w:rPr>
          <w:sz w:val="20"/>
          <w:szCs w:val="20"/>
          <w:color w:val="auto"/>
        </w:rPr>
      </w:pPr>
    </w:p>
    <w:p>
      <w:pPr>
        <w:ind w:right="700"/>
        <w:spacing w:after="0" w:line="238" w:lineRule="auto"/>
        <w:rPr>
          <w:sz w:val="20"/>
          <w:szCs w:val="20"/>
          <w:color w:val="auto"/>
        </w:rPr>
      </w:pPr>
      <w:r>
        <w:rPr>
          <w:rFonts w:ascii="Arial" w:cs="Arial" w:eastAsia="Arial" w:hAnsi="Arial"/>
          <w:sz w:val="17"/>
          <w:szCs w:val="17"/>
          <w:color w:val="auto"/>
        </w:rPr>
        <w:t>Canadian purchasers of the securities should consult their own legal and tax advisors with respect to the tax consequences of an investment in the securities in their particular circumstances and about the eligibility of the securities for investment by the purchaser under relevant Canadian legislation.</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Australia</w:t>
      </w:r>
    </w:p>
    <w:p>
      <w:pPr>
        <w:spacing w:after="0" w:line="54"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This prospectus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in Australia:</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You confirm and warrant that you are either:</w:t>
      </w:r>
    </w:p>
    <w:p>
      <w:pPr>
        <w:spacing w:after="0" w:line="6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 “sophisticated investor” under section 708(8)(a) or (b) of the Corporations Act;</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137" w:name="page138"/>
    <w:bookmarkEnd w:id="13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left="580" w:right="40"/>
        <w:spacing w:after="0" w:line="238" w:lineRule="auto"/>
        <w:rPr>
          <w:sz w:val="20"/>
          <w:szCs w:val="20"/>
          <w:color w:val="auto"/>
        </w:rPr>
      </w:pPr>
      <w:r>
        <w:rPr>
          <w:rFonts w:ascii="Arial" w:cs="Arial" w:eastAsia="Arial" w:hAnsi="Arial"/>
          <w:sz w:val="17"/>
          <w:szCs w:val="17"/>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6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 person associated with the Company under Section 708(12) of the Corporations Act; or</w:t>
      </w:r>
    </w:p>
    <w:p>
      <w:pPr>
        <w:spacing w:after="0" w:line="6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 “professional investor” within the meaning of section 708(11)(a) or (b) of the Corporations Act.</w:t>
      </w:r>
    </w:p>
    <w:p>
      <w:pPr>
        <w:spacing w:after="0" w:line="169"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To the extent that you are unable to confirm or warrant that you are an exempt sophisticated investor, associated person or professional investor under the Corporations Act any offer made to you under this prospectus is void and incapable of acceptance.</w:t>
      </w:r>
    </w:p>
    <w:p>
      <w:pPr>
        <w:spacing w:after="0" w:line="147" w:lineRule="exact"/>
        <w:rPr>
          <w:sz w:val="20"/>
          <w:szCs w:val="20"/>
          <w:color w:val="auto"/>
        </w:rPr>
      </w:pPr>
    </w:p>
    <w:p>
      <w:pPr>
        <w:jc w:val="both"/>
        <w:ind w:right="60"/>
        <w:spacing w:after="0" w:line="238" w:lineRule="auto"/>
        <w:rPr>
          <w:sz w:val="20"/>
          <w:szCs w:val="20"/>
          <w:color w:val="auto"/>
        </w:rPr>
      </w:pPr>
      <w:r>
        <w:rPr>
          <w:rFonts w:ascii="Arial" w:cs="Arial" w:eastAsia="Arial" w:hAnsi="Arial"/>
          <w:sz w:val="17"/>
          <w:szCs w:val="17"/>
          <w:color w:val="auto"/>
        </w:rPr>
        <w:t>You warrant and agree that you will not offer any of the securities issued to you pursuant to this prospectus for resale in Australia within 12 months of those securities being issued unless any such resale offer is exempt from the requirement to issue a disclosure document under section 708 of the Corporations Act.</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European Economic Area</w:t>
      </w:r>
    </w:p>
    <w:p>
      <w:pPr>
        <w:spacing w:after="0" w:line="54" w:lineRule="exact"/>
        <w:rPr>
          <w:sz w:val="20"/>
          <w:szCs w:val="20"/>
          <w:color w:val="auto"/>
        </w:rPr>
      </w:pPr>
    </w:p>
    <w:p>
      <w:pPr>
        <w:ind w:right="60"/>
        <w:spacing w:after="0" w:line="232" w:lineRule="auto"/>
        <w:rPr>
          <w:sz w:val="20"/>
          <w:szCs w:val="20"/>
          <w:color w:val="auto"/>
        </w:rPr>
      </w:pPr>
      <w:r>
        <w:rPr>
          <w:rFonts w:ascii="Arial" w:cs="Arial" w:eastAsia="Arial" w:hAnsi="Arial"/>
          <w:sz w:val="17"/>
          <w:szCs w:val="17"/>
          <w:color w:val="auto"/>
        </w:rPr>
        <w:t>The Class A ordinary shares are not intended to be offered or sold to and should not be offered or sold to any retail investor in the European Economic Area (the “EEA”). For these purposes, a retail investor means a person who is one (or more) of: (i) a retail client as defined in point (11) of Article 4(1) of Directive 2014/65/EU, as amended (“MiFID II”); or</w:t>
      </w:r>
    </w:p>
    <w:p>
      <w:pPr>
        <w:ind w:right="20" w:firstLine="8"/>
        <w:spacing w:after="0" w:line="233" w:lineRule="auto"/>
        <w:tabs>
          <w:tab w:leader="none" w:pos="237" w:val="left"/>
        </w:tabs>
        <w:numPr>
          <w:ilvl w:val="0"/>
          <w:numId w:val="35"/>
        </w:numPr>
        <w:rPr>
          <w:rFonts w:ascii="Arial" w:cs="Arial" w:eastAsia="Arial" w:hAnsi="Arial"/>
          <w:sz w:val="17"/>
          <w:szCs w:val="17"/>
          <w:color w:val="auto"/>
        </w:rPr>
      </w:pPr>
      <w:r>
        <w:rPr>
          <w:rFonts w:ascii="Arial" w:cs="Arial" w:eastAsia="Arial" w:hAnsi="Arial"/>
          <w:sz w:val="17"/>
          <w:szCs w:val="17"/>
          <w:color w:val="auto"/>
        </w:rPr>
        <w:t>a customer within the meaning of Directive 2002/92/EC, as amended (the “Insurance Mediation Directive”), where that customer would not qualify as a professional client as defined in point (10) of Article 4(1) of MiFID II; or (iii) not a qualified investor as defined in the Directive 2003/71/EC (as amended, the “Prospectus Directive”). No key information document required by Regulation (EU) No 1286/2014, as amended (the “PRIIPs Regulation”) for offering or selling the Class A ordinary shares or otherwise making them available to retail investors in the EEA has been prepared. Offering or selling the Class A ordinary shares or otherwise making them available to any retail investor in the EEA may be unlawful under the PRIIPS Regulation. This prospectus has been prepared on the basis that any offer of the Class A ordinary shares in any member state of the EEA will be made pursuant to an exemption under the Prospectus Directive from a requirement to publish a prospectus for offers of Class A ordinary shares. This prospectus is not a prospectus for the purpose of the Prospectus Directive.</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Hong Kong</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No securities have been offered or sold, and no securities may be offered or sold, in Hong Kong, by means of any</w:t>
      </w:r>
    </w:p>
    <w:p>
      <w:pPr>
        <w:spacing w:after="0" w:line="232" w:lineRule="auto"/>
        <w:rPr>
          <w:sz w:val="20"/>
          <w:szCs w:val="20"/>
          <w:color w:val="auto"/>
        </w:rPr>
      </w:pPr>
      <w:r>
        <w:rPr>
          <w:rFonts w:ascii="Arial" w:cs="Arial" w:eastAsia="Arial" w:hAnsi="Arial"/>
          <w:sz w:val="17"/>
          <w:szCs w:val="17"/>
          <w:color w:val="auto"/>
        </w:rPr>
        <w:t>document, other than to persons whose ordinary business is to buy or sell shares or debentures, whether as principal or</w:t>
      </w:r>
    </w:p>
    <w:p>
      <w:pPr>
        <w:spacing w:after="0" w:line="232" w:lineRule="auto"/>
        <w:rPr>
          <w:sz w:val="20"/>
          <w:szCs w:val="20"/>
          <w:color w:val="auto"/>
        </w:rPr>
      </w:pPr>
      <w:r>
        <w:rPr>
          <w:rFonts w:ascii="Arial" w:cs="Arial" w:eastAsia="Arial" w:hAnsi="Arial"/>
          <w:sz w:val="17"/>
          <w:szCs w:val="17"/>
          <w:color w:val="auto"/>
        </w:rPr>
        <w:t>agent; or to “professional investors” as defined in the Securities and Futures Ordinance (Cap. 571) of Hong Kong</w:t>
      </w:r>
    </w:p>
    <w:p>
      <w:pPr>
        <w:spacing w:after="0" w:line="23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SFO</w:t>
      </w:r>
      <w:r>
        <w:rPr>
          <w:rFonts w:ascii="Arial" w:cs="Arial" w:eastAsia="Arial" w:hAnsi="Arial"/>
          <w:sz w:val="17"/>
          <w:szCs w:val="17"/>
          <w:color w:val="auto"/>
        </w:rPr>
        <w:t>”) and any rules made under that Ordinance; or in other circumstances which do not result in the document being</w:t>
      </w:r>
    </w:p>
    <w:p>
      <w:pPr>
        <w:spacing w:after="0" w:line="232" w:lineRule="auto"/>
        <w:rPr>
          <w:sz w:val="20"/>
          <w:szCs w:val="20"/>
          <w:color w:val="auto"/>
        </w:rPr>
      </w:pPr>
      <w:r>
        <w:rPr>
          <w:rFonts w:ascii="Arial" w:cs="Arial" w:eastAsia="Arial" w:hAnsi="Arial"/>
          <w:sz w:val="17"/>
          <w:szCs w:val="17"/>
          <w:color w:val="auto"/>
        </w:rPr>
        <w:t>a “prospectus” as defined in the Companies Ordinance (Cap. 32) of Hong Kong (“</w:t>
      </w:r>
      <w:r>
        <w:rPr>
          <w:rFonts w:ascii="Arial" w:cs="Arial" w:eastAsia="Arial" w:hAnsi="Arial"/>
          <w:sz w:val="17"/>
          <w:szCs w:val="17"/>
          <w:b w:val="1"/>
          <w:bCs w:val="1"/>
          <w:color w:val="auto"/>
        </w:rPr>
        <w:t>CO</w:t>
      </w:r>
      <w:r>
        <w:rPr>
          <w:rFonts w:ascii="Arial" w:cs="Arial" w:eastAsia="Arial" w:hAnsi="Arial"/>
          <w:sz w:val="17"/>
          <w:szCs w:val="17"/>
          <w:color w:val="auto"/>
        </w:rPr>
        <w:t>”) or which do not constitute an</w:t>
      </w:r>
    </w:p>
    <w:p>
      <w:pPr>
        <w:spacing w:after="0" w:line="232" w:lineRule="auto"/>
        <w:rPr>
          <w:sz w:val="20"/>
          <w:szCs w:val="20"/>
          <w:color w:val="auto"/>
        </w:rPr>
      </w:pPr>
      <w:r>
        <w:rPr>
          <w:rFonts w:ascii="Arial" w:cs="Arial" w:eastAsia="Arial" w:hAnsi="Arial"/>
          <w:sz w:val="17"/>
          <w:szCs w:val="17"/>
          <w:color w:val="auto"/>
        </w:rPr>
        <w:t>offer or invitation to the public for the purpose of the CO or the SFO. No document, invitation or advertisement relating</w:t>
      </w:r>
    </w:p>
    <w:p>
      <w:pPr>
        <w:spacing w:after="0" w:line="232" w:lineRule="auto"/>
        <w:rPr>
          <w:sz w:val="20"/>
          <w:szCs w:val="20"/>
          <w:color w:val="auto"/>
        </w:rPr>
      </w:pPr>
      <w:r>
        <w:rPr>
          <w:rFonts w:ascii="Arial" w:cs="Arial" w:eastAsia="Arial" w:hAnsi="Arial"/>
          <w:sz w:val="17"/>
          <w:szCs w:val="17"/>
          <w:color w:val="auto"/>
        </w:rPr>
        <w:t>to the securities has been issued or may be issued or may be in the possession of any person for the purpose of issue</w:t>
      </w:r>
    </w:p>
    <w:p>
      <w:pPr>
        <w:spacing w:after="0" w:line="232" w:lineRule="auto"/>
        <w:rPr>
          <w:sz w:val="20"/>
          <w:szCs w:val="20"/>
          <w:color w:val="auto"/>
        </w:rPr>
      </w:pPr>
      <w:r>
        <w:rPr>
          <w:rFonts w:ascii="Arial" w:cs="Arial" w:eastAsia="Arial" w:hAnsi="Arial"/>
          <w:sz w:val="17"/>
          <w:szCs w:val="17"/>
          <w:color w:val="auto"/>
        </w:rPr>
        <w:t>(in each case whether in Hong Kong or elsewhere), which is directed at, or the contents of which are likely to be</w:t>
      </w:r>
    </w:p>
    <w:p>
      <w:pPr>
        <w:spacing w:after="0" w:line="232" w:lineRule="auto"/>
        <w:rPr>
          <w:sz w:val="20"/>
          <w:szCs w:val="20"/>
          <w:color w:val="auto"/>
        </w:rPr>
      </w:pPr>
      <w:r>
        <w:rPr>
          <w:rFonts w:ascii="Arial" w:cs="Arial" w:eastAsia="Arial" w:hAnsi="Arial"/>
          <w:sz w:val="17"/>
          <w:szCs w:val="17"/>
          <w:color w:val="auto"/>
        </w:rPr>
        <w:t>accessed or read by, the public of Hong Kong (except if permitted under the securities laws of Hong Kong) other than</w:t>
      </w:r>
    </w:p>
    <w:p>
      <w:pPr>
        <w:spacing w:after="0" w:line="232" w:lineRule="auto"/>
        <w:rPr>
          <w:sz w:val="20"/>
          <w:szCs w:val="20"/>
          <w:color w:val="auto"/>
        </w:rPr>
      </w:pPr>
      <w:r>
        <w:rPr>
          <w:rFonts w:ascii="Arial" w:cs="Arial" w:eastAsia="Arial" w:hAnsi="Arial"/>
          <w:sz w:val="17"/>
          <w:szCs w:val="17"/>
          <w:color w:val="auto"/>
        </w:rPr>
        <w:t>with respect to securities which are or are intended to be disposed of only to persons outside Hong Kong or only to</w:t>
      </w:r>
    </w:p>
    <w:p>
      <w:pPr>
        <w:spacing w:after="0"/>
        <w:rPr>
          <w:sz w:val="20"/>
          <w:szCs w:val="20"/>
          <w:color w:val="auto"/>
        </w:rPr>
      </w:pPr>
      <w:r>
        <w:rPr>
          <w:rFonts w:ascii="Arial" w:cs="Arial" w:eastAsia="Arial" w:hAnsi="Arial"/>
          <w:sz w:val="17"/>
          <w:szCs w:val="17"/>
          <w:color w:val="auto"/>
        </w:rPr>
        <w:t>“professional investors” as defined in the SFO and any rules made under that Ordinance.</w:t>
      </w:r>
    </w:p>
    <w:p>
      <w:pPr>
        <w:spacing w:after="0" w:line="169"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This prospectus has not been registered with the Registrar of Companies in Hong Kong. Accordingly, this prospectus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and the relevant offering documents and that he is not acquiring, and has not been offered any securities in circumstances that contravene any such restrictions.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Israel</w:t>
      </w:r>
    </w:p>
    <w:p>
      <w:pPr>
        <w:spacing w:after="0" w:line="54"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This document does not constitute a prospectus under the Israeli Securities Law, 5728-1968, or the Securities Law, and has not been filed with or approved by the Israel Securities Authority. In Israel, this prospectus is being distributed only to, and is directed only at, and any offer of the Class A ordinary shares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138" w:name="page139"/>
    <w:bookmarkEnd w:id="13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39"/>
        <w:spacing w:after="0" w:line="235" w:lineRule="auto"/>
        <w:rPr>
          <w:sz w:val="20"/>
          <w:szCs w:val="20"/>
          <w:color w:val="auto"/>
        </w:rPr>
      </w:pPr>
      <w:r>
        <w:rPr>
          <w:rFonts w:ascii="Arial" w:cs="Arial" w:eastAsia="Arial" w:hAnsi="Arial"/>
          <w:sz w:val="17"/>
          <w:szCs w:val="17"/>
          <w:color w:val="auto"/>
        </w:rPr>
        <w:t>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Japan</w:t>
      </w:r>
    </w:p>
    <w:p>
      <w:pPr>
        <w:spacing w:after="0" w:line="54" w:lineRule="exact"/>
        <w:rPr>
          <w:sz w:val="20"/>
          <w:szCs w:val="20"/>
          <w:color w:val="auto"/>
        </w:rPr>
      </w:pPr>
    </w:p>
    <w:p>
      <w:pPr>
        <w:ind w:right="99"/>
        <w:spacing w:after="0" w:line="234" w:lineRule="auto"/>
        <w:rPr>
          <w:sz w:val="20"/>
          <w:szCs w:val="20"/>
          <w:color w:val="auto"/>
        </w:rPr>
      </w:pPr>
      <w:r>
        <w:rPr>
          <w:rFonts w:ascii="Arial" w:cs="Arial" w:eastAsia="Arial" w:hAnsi="Arial"/>
          <w:sz w:val="17"/>
          <w:szCs w:val="17"/>
          <w:color w:val="auto"/>
        </w:rPr>
        <w:t>The offering has not been and will not be registered under the Financial Instruments and Exchange Law of Japan (Law No. 25 of 1948 of Japan, as amended), or FIEL, and the Initial Purchaser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Singapore</w:t>
      </w:r>
    </w:p>
    <w:p>
      <w:pPr>
        <w:spacing w:after="0" w:line="54" w:lineRule="exact"/>
        <w:rPr>
          <w:sz w:val="20"/>
          <w:szCs w:val="20"/>
          <w:color w:val="auto"/>
        </w:rPr>
      </w:pPr>
    </w:p>
    <w:p>
      <w:pPr>
        <w:ind w:right="119"/>
        <w:spacing w:after="0" w:line="234" w:lineRule="auto"/>
        <w:rPr>
          <w:sz w:val="20"/>
          <w:szCs w:val="20"/>
          <w:color w:val="auto"/>
        </w:rPr>
      </w:pPr>
      <w:r>
        <w:rPr>
          <w:rFonts w:ascii="Arial" w:cs="Arial" w:eastAsia="Arial" w:hAnsi="Arial"/>
          <w:sz w:val="17"/>
          <w:szCs w:val="17"/>
          <w:color w:val="auto"/>
        </w:rPr>
        <w:t>This prospectus has not been and will not be lodged or registered as a prospectus with the Monetary Authority of Singapore. Accordingly, this prospectus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(the “</w:t>
      </w:r>
      <w:r>
        <w:rPr>
          <w:rFonts w:ascii="Arial" w:cs="Arial" w:eastAsia="Arial" w:hAnsi="Arial"/>
          <w:sz w:val="17"/>
          <w:szCs w:val="17"/>
          <w:b w:val="1"/>
          <w:bCs w:val="1"/>
          <w:color w:val="auto"/>
        </w:rPr>
        <w:t>SFA</w:t>
      </w:r>
      <w:r>
        <w:rPr>
          <w:rFonts w:ascii="Arial" w:cs="Arial" w:eastAsia="Arial" w:hAnsi="Arial"/>
          <w:sz w:val="17"/>
          <w:szCs w:val="17"/>
          <w:color w:val="auto"/>
        </w:rPr>
        <w:t>”),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Where the securities are subscribed or purchased under Section 275 of the SFA by a relevant person which is:</w:t>
      </w:r>
    </w:p>
    <w:p>
      <w:pPr>
        <w:spacing w:after="0" w:line="61" w:lineRule="exact"/>
        <w:rPr>
          <w:sz w:val="20"/>
          <w:szCs w:val="20"/>
          <w:color w:val="auto"/>
        </w:rPr>
      </w:pPr>
    </w:p>
    <w:p>
      <w:pPr>
        <w:ind w:left="580" w:right="139"/>
        <w:spacing w:after="0" w:line="238" w:lineRule="auto"/>
        <w:rPr>
          <w:sz w:val="20"/>
          <w:szCs w:val="20"/>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6" w:lineRule="exact"/>
        <w:rPr>
          <w:sz w:val="20"/>
          <w:szCs w:val="20"/>
          <w:color w:val="auto"/>
        </w:rPr>
      </w:pPr>
    </w:p>
    <w:p>
      <w:pPr>
        <w:ind w:left="580" w:right="99"/>
        <w:spacing w:after="0" w:line="235" w:lineRule="auto"/>
        <w:rPr>
          <w:sz w:val="20"/>
          <w:szCs w:val="20"/>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55" w:lineRule="exact"/>
        <w:rPr>
          <w:sz w:val="20"/>
          <w:szCs w:val="20"/>
          <w:color w:val="auto"/>
        </w:rPr>
      </w:pPr>
    </w:p>
    <w:p>
      <w:pPr>
        <w:ind w:left="580" w:right="119"/>
        <w:spacing w:after="0" w:line="243" w:lineRule="auto"/>
        <w:rPr>
          <w:sz w:val="20"/>
          <w:szCs w:val="20"/>
          <w:color w:val="auto"/>
        </w:rPr>
      </w:pPr>
      <w:r>
        <w:rPr>
          <w:rFonts w:ascii="Arial" w:cs="Arial" w:eastAsia="Arial" w:hAnsi="Arial"/>
          <w:sz w:val="17"/>
          <w:szCs w:val="17"/>
          <w:color w:val="auto"/>
        </w:rPr>
        <w:t>to an institutional investor or to a relevant person defined in Section 275(2) of the SFA, or to any person arising from an offer referred to in Section 275(1A) or Section 276(4)(i)(B) of the SFA;</w:t>
      </w:r>
    </w:p>
    <w:p>
      <w:pPr>
        <w:spacing w:after="0" w:line="5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where no consideration is or will be given for the transfer;</w:t>
      </w:r>
    </w:p>
    <w:p>
      <w:pPr>
        <w:spacing w:after="0" w:line="75"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where the transfer is by operation of law;</w:t>
      </w:r>
    </w:p>
    <w:p>
      <w:pPr>
        <w:spacing w:after="0" w:line="6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as specified in Section 276(7) of the SFA; or</w:t>
      </w:r>
    </w:p>
    <w:p>
      <w:pPr>
        <w:spacing w:after="0" w:line="61" w:lineRule="exact"/>
        <w:rPr>
          <w:sz w:val="20"/>
          <w:szCs w:val="20"/>
          <w:color w:val="auto"/>
        </w:rPr>
      </w:pPr>
    </w:p>
    <w:p>
      <w:pPr>
        <w:ind w:left="580" w:right="299"/>
        <w:spacing w:after="0" w:line="243" w:lineRule="auto"/>
        <w:rPr>
          <w:sz w:val="20"/>
          <w:szCs w:val="20"/>
          <w:color w:val="auto"/>
        </w:rPr>
      </w:pPr>
      <w:r>
        <w:rPr>
          <w:rFonts w:ascii="Arial" w:cs="Arial" w:eastAsia="Arial" w:hAnsi="Arial"/>
          <w:sz w:val="17"/>
          <w:szCs w:val="17"/>
          <w:color w:val="auto"/>
        </w:rPr>
        <w:t>as specified in Regulation 32 of the Securities and Futures (Offers of Investments) (Shares and Debentures) Regulations 2005 of Singapore.</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Switzerland</w:t>
      </w:r>
    </w:p>
    <w:p>
      <w:pPr>
        <w:spacing w:after="0" w:line="34" w:lineRule="exact"/>
        <w:rPr>
          <w:sz w:val="20"/>
          <w:szCs w:val="20"/>
          <w:color w:val="auto"/>
        </w:rPr>
      </w:pPr>
    </w:p>
    <w:p>
      <w:pPr>
        <w:ind w:right="19"/>
        <w:spacing w:after="0" w:line="238" w:lineRule="auto"/>
        <w:rPr>
          <w:sz w:val="20"/>
          <w:szCs w:val="20"/>
          <w:color w:val="auto"/>
        </w:rPr>
      </w:pPr>
      <w:r>
        <w:rPr>
          <w:rFonts w:ascii="Arial" w:cs="Arial" w:eastAsia="Arial" w:hAnsi="Arial"/>
          <w:sz w:val="17"/>
          <w:szCs w:val="17"/>
          <w:color w:val="auto"/>
        </w:rPr>
        <w:t>The securities may not be publicly offered in Switzerland and will not be listed on the SIX Swiss Exchange (“</w:t>
      </w:r>
      <w:r>
        <w:rPr>
          <w:rFonts w:ascii="Arial" w:cs="Arial" w:eastAsia="Arial" w:hAnsi="Arial"/>
          <w:sz w:val="17"/>
          <w:szCs w:val="17"/>
          <w:b w:val="1"/>
          <w:bCs w:val="1"/>
          <w:color w:val="auto"/>
        </w:rPr>
        <w:t>SIX</w:t>
      </w:r>
      <w:r>
        <w:rPr>
          <w:rFonts w:ascii="Arial" w:cs="Arial" w:eastAsia="Arial" w:hAnsi="Arial"/>
          <w:sz w:val="17"/>
          <w:szCs w:val="17"/>
          <w:color w:val="auto"/>
        </w:rPr>
        <w:t>”)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securities or the offering may be publicly distributed or otherwise made publicly available in Switzerland.</w:t>
      </w:r>
    </w:p>
    <w:p>
      <w:pPr>
        <w:spacing w:after="0" w:line="148" w:lineRule="exact"/>
        <w:rPr>
          <w:sz w:val="20"/>
          <w:szCs w:val="20"/>
          <w:color w:val="auto"/>
        </w:rPr>
      </w:pPr>
    </w:p>
    <w:p>
      <w:pPr>
        <w:ind w:right="39"/>
        <w:spacing w:after="0" w:line="243" w:lineRule="auto"/>
        <w:rPr>
          <w:sz w:val="20"/>
          <w:szCs w:val="20"/>
          <w:color w:val="auto"/>
        </w:rPr>
      </w:pPr>
      <w:r>
        <w:rPr>
          <w:rFonts w:ascii="Arial" w:cs="Arial" w:eastAsia="Arial" w:hAnsi="Arial"/>
          <w:sz w:val="17"/>
          <w:szCs w:val="17"/>
          <w:color w:val="auto"/>
        </w:rPr>
        <w:t>Neither this prospectus nor any other offering or marketing material relating to the offering, the Company or the securities have been or will be filed with or approved by any Swiss regulatory authority. In particular, this prospectus will</w:t>
      </w: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bookmarkStart w:id="139" w:name="page140"/>
    <w:bookmarkEnd w:id="13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not be filed with, and the offer of securities will not be supervised by, the Swiss Financial Market Supervisory Authority FINMA, and the offer of securities has not been and will not be authorized under the Swiss Federal Act on Collective Investment Schemes (“</w:t>
      </w:r>
      <w:r>
        <w:rPr>
          <w:rFonts w:ascii="Arial" w:cs="Arial" w:eastAsia="Arial" w:hAnsi="Arial"/>
          <w:sz w:val="17"/>
          <w:szCs w:val="17"/>
          <w:b w:val="1"/>
          <w:bCs w:val="1"/>
          <w:color w:val="auto"/>
        </w:rPr>
        <w:t>CISA</w:t>
      </w:r>
      <w:r>
        <w:rPr>
          <w:rFonts w:ascii="Arial" w:cs="Arial" w:eastAsia="Arial" w:hAnsi="Arial"/>
          <w:sz w:val="17"/>
          <w:szCs w:val="17"/>
          <w:color w:val="auto"/>
        </w:rPr>
        <w:t>”). The investor protection afforded to acquirers of interests in collective investment schemes under the CISA does not extend to acquirers of securities.</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United Kingdom</w:t>
      </w:r>
    </w:p>
    <w:p>
      <w:pPr>
        <w:spacing w:after="0" w:line="54" w:lineRule="exact"/>
        <w:rPr>
          <w:sz w:val="20"/>
          <w:szCs w:val="20"/>
          <w:color w:val="auto"/>
        </w:rPr>
      </w:pPr>
    </w:p>
    <w:p>
      <w:pPr>
        <w:ind w:right="320"/>
        <w:spacing w:after="0" w:line="235" w:lineRule="auto"/>
        <w:rPr>
          <w:sz w:val="20"/>
          <w:szCs w:val="20"/>
          <w:color w:val="auto"/>
        </w:rPr>
      </w:pPr>
      <w:r>
        <w:rPr>
          <w:rFonts w:ascii="Arial" w:cs="Arial" w:eastAsia="Arial" w:hAnsi="Arial"/>
          <w:sz w:val="17"/>
          <w:szCs w:val="17"/>
          <w:color w:val="auto"/>
        </w:rPr>
        <w:t>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as amended (the “</w:t>
      </w:r>
      <w:r>
        <w:rPr>
          <w:rFonts w:ascii="Arial" w:cs="Arial" w:eastAsia="Arial" w:hAnsi="Arial"/>
          <w:sz w:val="17"/>
          <w:szCs w:val="17"/>
          <w:b w:val="1"/>
          <w:bCs w:val="1"/>
          <w:color w:val="auto"/>
        </w:rPr>
        <w:t>Order</w:t>
      </w:r>
      <w:r>
        <w:rPr>
          <w:rFonts w:ascii="Arial" w:cs="Arial" w:eastAsia="Arial" w:hAnsi="Arial"/>
          <w:sz w:val="17"/>
          <w:szCs w:val="17"/>
          <w:color w:val="auto"/>
        </w:rPr>
        <w:t>”) and/or (ii) high net worth entities falling within Article 49(2)(a) to (d) of the Order and other persons to whom it may lawfully be communicated (each such person being referred to as a “</w:t>
      </w:r>
      <w:r>
        <w:rPr>
          <w:rFonts w:ascii="Arial" w:cs="Arial" w:eastAsia="Arial" w:hAnsi="Arial"/>
          <w:sz w:val="17"/>
          <w:szCs w:val="17"/>
          <w:b w:val="1"/>
          <w:bCs w:val="1"/>
          <w:color w:val="auto"/>
        </w:rPr>
        <w:t>relevant person</w:t>
      </w:r>
      <w:r>
        <w:rPr>
          <w:rFonts w:ascii="Arial" w:cs="Arial" w:eastAsia="Arial" w:hAnsi="Arial"/>
          <w:sz w:val="17"/>
          <w:szCs w:val="17"/>
          <w:color w:val="auto"/>
        </w:rPr>
        <w:t>”).</w:t>
      </w:r>
    </w:p>
    <w:p>
      <w:pPr>
        <w:spacing w:after="0" w:line="150"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4"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Kirkland &amp; Ellis LLP, New York, New York is acting as United States counsel in connection with the registration of our ordinary shares under the Securities Act. Ogier will pass upon the validity of the securities offered in this prospectus with respect to the ordinary shares and matters of Cayman Islands law. In connection with this offering, Skadden, Arps, Slate, Meagher &amp; Flom LLP, Palo Alto, California advised the underwriters in connection with the offering of the Class A ordinary shares.</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4" w:lineRule="exact"/>
        <w:rPr>
          <w:sz w:val="20"/>
          <w:szCs w:val="20"/>
          <w:color w:val="auto"/>
        </w:rPr>
      </w:pPr>
    </w:p>
    <w:p>
      <w:pPr>
        <w:ind w:right="200"/>
        <w:spacing w:after="0" w:line="235" w:lineRule="auto"/>
        <w:rPr>
          <w:sz w:val="20"/>
          <w:szCs w:val="20"/>
          <w:color w:val="auto"/>
        </w:rPr>
      </w:pPr>
      <w:r>
        <w:rPr>
          <w:rFonts w:ascii="Arial" w:cs="Arial" w:eastAsia="Arial" w:hAnsi="Arial"/>
          <w:sz w:val="17"/>
          <w:szCs w:val="17"/>
          <w:color w:val="auto"/>
        </w:rPr>
        <w:t>The financial statements of ARYA Sciences Acquisition Corp III as of April 2, 2020 and for the period from March 27, 2020 (inception) through April 2, 2020 appearing in this prospectus have been audited by WithumSmith+Brown, PC, independent registered public accounting firm, as set forth in their report thereon, appearing elsewhere in this prospectus, and are included in reliance upon such report given on the authority of such firm as experts in accounting and auditing.</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7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securities we are offering by this prospectus. This prospectus does not contain all of the information included in the registration statement. For further information about us and our securities, you should refer to the registration statement and the exhibits and schedules filed with the registration statement.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 for copies of the actual contract, agreement or other document.</w:t>
      </w:r>
    </w:p>
    <w:p>
      <w:pPr>
        <w:spacing w:after="0" w:line="164" w:lineRule="exact"/>
        <w:rPr>
          <w:sz w:val="20"/>
          <w:szCs w:val="20"/>
          <w:color w:val="auto"/>
        </w:rPr>
      </w:pPr>
    </w:p>
    <w:p>
      <w:pPr>
        <w:jc w:val="both"/>
        <w:ind w:right="340"/>
        <w:spacing w:after="0" w:line="238" w:lineRule="auto"/>
        <w:rPr>
          <w:sz w:val="20"/>
          <w:szCs w:val="20"/>
          <w:color w:val="auto"/>
        </w:rPr>
      </w:pPr>
      <w:r>
        <w:rPr>
          <w:rFonts w:ascii="Arial" w:cs="Arial" w:eastAsia="Arial" w:hAnsi="Arial"/>
          <w:sz w:val="17"/>
          <w:szCs w:val="17"/>
          <w:color w:val="auto"/>
        </w:rPr>
        <w:t xml:space="preserve">Upon completion of this offering, we will be subject to the information requirements of the Exchange Act and will file annual, quarterly and current event reports, proxy statements and other information with the SEC. You can read our SEC filings, including the registration statement, over the Internet at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140" w:name="page141"/>
    <w:bookmarkEnd w:id="140"/>
    <w:p>
      <w:pPr>
        <w:ind w:left="96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131445</wp:posOffset>
            </wp:positionV>
            <wp:extent cx="57607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80"/>
        </w:trPr>
        <w:tc>
          <w:tcPr>
            <w:tcW w:w="960" w:type="dxa"/>
            <w:vAlign w:val="bottom"/>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960" w:type="dxa"/>
            <w:vAlign w:val="bottom"/>
            <w:tcBorders>
              <w:bottom w:val="single" w:sz="8" w:color="CCEEFF"/>
            </w:tcBorders>
          </w:tcPr>
          <w:p>
            <w:pPr>
              <w:spacing w:after="0"/>
              <w:rPr>
                <w:sz w:val="6"/>
                <w:szCs w:val="6"/>
                <w:color w:val="auto"/>
              </w:rPr>
            </w:pPr>
          </w:p>
        </w:tc>
        <w:tc>
          <w:tcPr>
            <w:tcW w:w="6520" w:type="dxa"/>
            <w:vAlign w:val="bottom"/>
            <w:tcBorders>
              <w:bottom w:val="single" w:sz="8" w:color="CCEEFF"/>
            </w:tcBorders>
          </w:tcPr>
          <w:p>
            <w:pPr>
              <w:spacing w:after="0"/>
              <w:rPr>
                <w:sz w:val="6"/>
                <w:szCs w:val="6"/>
                <w:color w:val="auto"/>
              </w:rPr>
            </w:pPr>
          </w:p>
        </w:tc>
        <w:tc>
          <w:tcPr>
            <w:tcW w:w="106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4"/>
        </w:trPr>
        <w:tc>
          <w:tcPr>
            <w:tcW w:w="960" w:type="dxa"/>
            <w:vAlign w:val="bottom"/>
          </w:tcPr>
          <w:p>
            <w:pPr>
              <w:spacing w:after="0"/>
              <w:rPr>
                <w:sz w:val="24"/>
                <w:szCs w:val="24"/>
                <w:color w:val="auto"/>
              </w:rPr>
            </w:pPr>
          </w:p>
        </w:tc>
        <w:tc>
          <w:tcPr>
            <w:tcW w:w="87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7"/>
                <w:szCs w:val="17"/>
                <w:color w:val="auto"/>
              </w:rPr>
              <w:t>Audited Financial Statements of ARYA Sciences Acquisition Corp III:</w:t>
            </w:r>
          </w:p>
        </w:tc>
        <w:tc>
          <w:tcPr>
            <w:tcW w:w="360" w:type="dxa"/>
            <w:vAlign w:val="bottom"/>
            <w:tcBorders>
              <w:bottom w:val="single" w:sz="8" w:color="CCEEFF"/>
            </w:tcBorders>
            <w:shd w:val="clear" w:color="auto" w:fill="CCEEFF"/>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960" w:type="dxa"/>
            <w:vAlign w:val="bottom"/>
          </w:tcPr>
          <w:p>
            <w:pPr>
              <w:spacing w:after="0"/>
              <w:rPr>
                <w:sz w:val="23"/>
                <w:szCs w:val="23"/>
                <w:color w:val="auto"/>
              </w:rPr>
            </w:pPr>
          </w:p>
        </w:tc>
        <w:tc>
          <w:tcPr>
            <w:tcW w:w="8720" w:type="dxa"/>
            <w:vAlign w:val="bottom"/>
            <w:gridSpan w:val="4"/>
          </w:tcPr>
          <w:p>
            <w:pPr>
              <w:spacing w:after="0"/>
              <w:rPr>
                <w:rFonts w:ascii="Arial" w:cs="Arial" w:eastAsia="Arial" w:hAnsi="Arial"/>
                <w:sz w:val="17"/>
                <w:szCs w:val="17"/>
                <w:u w:val="single" w:color="auto"/>
                <w:color w:val="0000EE"/>
              </w:rPr>
            </w:pPr>
            <w:hyperlink w:anchor="page142">
              <w:r>
                <w:rPr>
                  <w:rFonts w:ascii="Arial" w:cs="Arial" w:eastAsia="Arial" w:hAnsi="Arial"/>
                  <w:sz w:val="17"/>
                  <w:szCs w:val="17"/>
                  <w:u w:val="single" w:color="auto"/>
                  <w:color w:val="0000EE"/>
                </w:rPr>
                <w:t>Report of Independent Registered Public Accounting Firm</w:t>
              </w:r>
            </w:hyperlink>
          </w:p>
        </w:tc>
        <w:tc>
          <w:tcPr>
            <w:tcW w:w="1340" w:type="dxa"/>
            <w:vAlign w:val="bottom"/>
            <w:gridSpan w:val="2"/>
          </w:tcPr>
          <w:p>
            <w:pPr>
              <w:ind w:left="20"/>
              <w:spacing w:after="0"/>
              <w:rPr>
                <w:rFonts w:ascii="Arial" w:cs="Arial" w:eastAsia="Arial" w:hAnsi="Arial"/>
                <w:sz w:val="17"/>
                <w:szCs w:val="17"/>
                <w:u w:val="single" w:color="auto"/>
                <w:color w:val="0000EE"/>
              </w:rPr>
            </w:pPr>
            <w:hyperlink w:anchor="page142">
              <w:r>
                <w:rPr>
                  <w:rFonts w:ascii="Arial" w:cs="Arial" w:eastAsia="Arial" w:hAnsi="Arial"/>
                  <w:sz w:val="17"/>
                  <w:szCs w:val="17"/>
                  <w:u w:val="single" w:color="auto"/>
                  <w:color w:val="0000EE"/>
                </w:rPr>
                <w:t>F-2</w:t>
              </w:r>
            </w:hyperlink>
          </w:p>
        </w:tc>
        <w:tc>
          <w:tcPr>
            <w:tcW w:w="0" w:type="dxa"/>
            <w:vAlign w:val="bottom"/>
          </w:tcPr>
          <w:p>
            <w:pPr>
              <w:spacing w:after="0"/>
              <w:rPr>
                <w:sz w:val="1"/>
                <w:szCs w:val="1"/>
                <w:color w:val="auto"/>
              </w:rPr>
            </w:pPr>
          </w:p>
        </w:tc>
      </w:tr>
      <w:tr>
        <w:trPr>
          <w:trHeight w:val="58"/>
        </w:trPr>
        <w:tc>
          <w:tcPr>
            <w:tcW w:w="9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65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34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960" w:type="dxa"/>
            <w:vAlign w:val="bottom"/>
          </w:tcPr>
          <w:p>
            <w:pPr>
              <w:spacing w:after="0"/>
              <w:rPr>
                <w:sz w:val="24"/>
                <w:szCs w:val="24"/>
                <w:color w:val="auto"/>
              </w:rPr>
            </w:pPr>
          </w:p>
        </w:tc>
        <w:tc>
          <w:tcPr>
            <w:tcW w:w="8720" w:type="dxa"/>
            <w:vAlign w:val="bottom"/>
            <w:tcBorders>
              <w:bottom w:val="single" w:sz="8" w:color="CCEEFF"/>
            </w:tcBorders>
            <w:gridSpan w:val="4"/>
            <w:shd w:val="clear" w:color="auto" w:fill="CCEEFF"/>
          </w:tcPr>
          <w:p>
            <w:pPr>
              <w:spacing w:after="0"/>
              <w:rPr>
                <w:rFonts w:ascii="Arial" w:cs="Arial" w:eastAsia="Arial" w:hAnsi="Arial"/>
                <w:sz w:val="17"/>
                <w:szCs w:val="17"/>
                <w:u w:val="single" w:color="auto"/>
                <w:color w:val="0000EE"/>
              </w:rPr>
            </w:pPr>
            <w:hyperlink w:anchor="page143">
              <w:r>
                <w:rPr>
                  <w:rFonts w:ascii="Arial" w:cs="Arial" w:eastAsia="Arial" w:hAnsi="Arial"/>
                  <w:sz w:val="17"/>
                  <w:szCs w:val="17"/>
                  <w:u w:val="single" w:color="auto"/>
                  <w:color w:val="0000EE"/>
                </w:rPr>
                <w:t>Balance Sheet as of April 2, 2020</w:t>
              </w:r>
            </w:hyperlink>
          </w:p>
        </w:tc>
        <w:tc>
          <w:tcPr>
            <w:tcW w:w="360" w:type="dxa"/>
            <w:vAlign w:val="bottom"/>
            <w:tcBorders>
              <w:bottom w:val="single" w:sz="8" w:color="CCEEFF"/>
            </w:tcBorders>
            <w:shd w:val="clear" w:color="auto" w:fill="CCEEFF"/>
          </w:tcPr>
          <w:p>
            <w:pPr>
              <w:ind w:left="20"/>
              <w:spacing w:after="0"/>
              <w:rPr>
                <w:rFonts w:ascii="Arial" w:cs="Arial" w:eastAsia="Arial" w:hAnsi="Arial"/>
                <w:sz w:val="17"/>
                <w:szCs w:val="17"/>
                <w:u w:val="single" w:color="auto"/>
                <w:color w:val="0000EE"/>
              </w:rPr>
            </w:pPr>
            <w:hyperlink w:anchor="page143">
              <w:r>
                <w:rPr>
                  <w:rFonts w:ascii="Arial" w:cs="Arial" w:eastAsia="Arial" w:hAnsi="Arial"/>
                  <w:sz w:val="17"/>
                  <w:szCs w:val="17"/>
                  <w:u w:val="single" w:color="auto"/>
                  <w:color w:val="0000EE"/>
                </w:rPr>
                <w:t>F-3</w:t>
              </w:r>
            </w:hyperlink>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960" w:type="dxa"/>
            <w:vAlign w:val="bottom"/>
          </w:tcPr>
          <w:p>
            <w:pPr>
              <w:spacing w:after="0"/>
              <w:rPr>
                <w:sz w:val="23"/>
                <w:szCs w:val="23"/>
                <w:color w:val="auto"/>
              </w:rPr>
            </w:pPr>
          </w:p>
        </w:tc>
        <w:tc>
          <w:tcPr>
            <w:tcW w:w="8720" w:type="dxa"/>
            <w:vAlign w:val="bottom"/>
            <w:gridSpan w:val="4"/>
          </w:tcPr>
          <w:p>
            <w:pPr>
              <w:spacing w:after="0"/>
              <w:rPr>
                <w:rFonts w:ascii="Arial" w:cs="Arial" w:eastAsia="Arial" w:hAnsi="Arial"/>
                <w:sz w:val="17"/>
                <w:szCs w:val="17"/>
                <w:u w:val="single" w:color="auto"/>
                <w:color w:val="0000EE"/>
              </w:rPr>
            </w:pPr>
            <w:hyperlink w:anchor="page144">
              <w:r>
                <w:rPr>
                  <w:rFonts w:ascii="Arial" w:cs="Arial" w:eastAsia="Arial" w:hAnsi="Arial"/>
                  <w:sz w:val="17"/>
                  <w:szCs w:val="17"/>
                  <w:u w:val="single" w:color="auto"/>
                  <w:color w:val="0000EE"/>
                </w:rPr>
                <w:t>Statement of Operations for the period from March 27, 2020 (inception) through April 2, 2020</w:t>
              </w:r>
            </w:hyperlink>
          </w:p>
        </w:tc>
        <w:tc>
          <w:tcPr>
            <w:tcW w:w="1340" w:type="dxa"/>
            <w:vAlign w:val="bottom"/>
            <w:gridSpan w:val="2"/>
          </w:tcPr>
          <w:p>
            <w:pPr>
              <w:ind w:left="20"/>
              <w:spacing w:after="0"/>
              <w:rPr>
                <w:rFonts w:ascii="Arial" w:cs="Arial" w:eastAsia="Arial" w:hAnsi="Arial"/>
                <w:sz w:val="17"/>
                <w:szCs w:val="17"/>
                <w:u w:val="single" w:color="auto"/>
                <w:color w:val="0000EE"/>
              </w:rPr>
            </w:pPr>
            <w:hyperlink w:anchor="page144">
              <w:r>
                <w:rPr>
                  <w:rFonts w:ascii="Arial" w:cs="Arial" w:eastAsia="Arial" w:hAnsi="Arial"/>
                  <w:sz w:val="17"/>
                  <w:szCs w:val="17"/>
                  <w:u w:val="single" w:color="auto"/>
                  <w:color w:val="0000EE"/>
                </w:rPr>
                <w:t>F-4</w:t>
              </w:r>
            </w:hyperlink>
          </w:p>
        </w:tc>
        <w:tc>
          <w:tcPr>
            <w:tcW w:w="0" w:type="dxa"/>
            <w:vAlign w:val="bottom"/>
          </w:tcPr>
          <w:p>
            <w:pPr>
              <w:spacing w:after="0"/>
              <w:rPr>
                <w:sz w:val="1"/>
                <w:szCs w:val="1"/>
                <w:color w:val="auto"/>
              </w:rPr>
            </w:pPr>
          </w:p>
        </w:tc>
      </w:tr>
      <w:tr>
        <w:trPr>
          <w:trHeight w:val="58"/>
        </w:trPr>
        <w:tc>
          <w:tcPr>
            <w:tcW w:w="9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65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8720" w:type="dxa"/>
            <w:vAlign w:val="bottom"/>
            <w:gridSpan w:val="4"/>
            <w:shd w:val="clear" w:color="auto" w:fill="CCEEFF"/>
          </w:tcPr>
          <w:p>
            <w:pPr>
              <w:spacing w:after="0"/>
              <w:rPr>
                <w:rFonts w:ascii="Arial" w:cs="Arial" w:eastAsia="Arial" w:hAnsi="Arial"/>
                <w:sz w:val="17"/>
                <w:szCs w:val="17"/>
                <w:color w:val="0000EE"/>
              </w:rPr>
            </w:pPr>
            <w:hyperlink w:anchor="page145">
              <w:r>
                <w:rPr>
                  <w:rFonts w:ascii="Arial" w:cs="Arial" w:eastAsia="Arial" w:hAnsi="Arial"/>
                  <w:sz w:val="17"/>
                  <w:szCs w:val="17"/>
                  <w:color w:val="0000EE"/>
                </w:rPr>
                <w:t>Statement of Changes in Shareholder’s Equity for the period from March 27, 2020 (inception) through</w:t>
              </w:r>
            </w:hyperlink>
          </w:p>
        </w:tc>
        <w:tc>
          <w:tcPr>
            <w:tcW w:w="360" w:type="dxa"/>
            <w:vAlign w:val="bottom"/>
            <w:vMerge w:val="restart"/>
            <w:shd w:val="clear" w:color="auto" w:fill="CCEEFF"/>
          </w:tcPr>
          <w:p>
            <w:pPr>
              <w:ind w:left="20"/>
              <w:spacing w:after="0"/>
              <w:rPr>
                <w:rFonts w:ascii="Arial" w:cs="Arial" w:eastAsia="Arial" w:hAnsi="Arial"/>
                <w:sz w:val="17"/>
                <w:szCs w:val="17"/>
                <w:u w:val="single" w:color="auto"/>
                <w:color w:val="0000EE"/>
              </w:rPr>
            </w:pPr>
            <w:hyperlink w:anchor="page145">
              <w:r>
                <w:rPr>
                  <w:rFonts w:ascii="Arial" w:cs="Arial" w:eastAsia="Arial" w:hAnsi="Arial"/>
                  <w:sz w:val="17"/>
                  <w:szCs w:val="17"/>
                  <w:u w:val="single" w:color="auto"/>
                  <w:color w:val="0000EE"/>
                </w:rPr>
                <w:t>F-5</w:t>
              </w:r>
            </w:hyperlink>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7660" w:type="dxa"/>
            <w:vAlign w:val="bottom"/>
            <w:tcBorders>
              <w:top w:val="single" w:sz="8" w:color="0000EE"/>
            </w:tcBorders>
            <w:gridSpan w:val="3"/>
            <w:shd w:val="clear" w:color="auto" w:fill="CCEEFF"/>
          </w:tcPr>
          <w:p>
            <w:pPr>
              <w:ind w:left="180"/>
              <w:spacing w:after="0" w:line="169" w:lineRule="exact"/>
              <w:rPr>
                <w:rFonts w:ascii="Arial" w:cs="Arial" w:eastAsia="Arial" w:hAnsi="Arial"/>
                <w:sz w:val="17"/>
                <w:szCs w:val="17"/>
                <w:color w:val="0000EE"/>
              </w:rPr>
            </w:pPr>
            <w:hyperlink w:anchor="page145">
              <w:r>
                <w:rPr>
                  <w:rFonts w:ascii="Arial" w:cs="Arial" w:eastAsia="Arial" w:hAnsi="Arial"/>
                  <w:sz w:val="17"/>
                  <w:szCs w:val="17"/>
                  <w:color w:val="0000EE"/>
                </w:rPr>
                <w:t>April 2, 2020</w:t>
              </w:r>
            </w:hyperlink>
          </w:p>
        </w:tc>
        <w:tc>
          <w:tcPr>
            <w:tcW w:w="106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CCEEFF"/>
            </w:tcBorders>
            <w:vMerge w:val="continue"/>
            <w:shd w:val="clear" w:color="auto" w:fill="CCEEFF"/>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96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960" w:type="dxa"/>
            <w:vAlign w:val="bottom"/>
            <w:tcBorders>
              <w:top w:val="single" w:sz="8" w:color="0000EE"/>
            </w:tcBorders>
            <w:shd w:val="clear" w:color="auto" w:fill="CCEEFF"/>
          </w:tcPr>
          <w:p>
            <w:pPr>
              <w:spacing w:after="0"/>
              <w:rPr>
                <w:sz w:val="6"/>
                <w:szCs w:val="6"/>
                <w:color w:val="auto"/>
              </w:rPr>
            </w:pPr>
          </w:p>
        </w:tc>
        <w:tc>
          <w:tcPr>
            <w:tcW w:w="652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6"/>
        </w:trPr>
        <w:tc>
          <w:tcPr>
            <w:tcW w:w="960" w:type="dxa"/>
            <w:vAlign w:val="bottom"/>
          </w:tcPr>
          <w:p>
            <w:pPr>
              <w:spacing w:after="0"/>
              <w:rPr>
                <w:sz w:val="23"/>
                <w:szCs w:val="23"/>
                <w:color w:val="auto"/>
              </w:rPr>
            </w:pPr>
          </w:p>
        </w:tc>
        <w:tc>
          <w:tcPr>
            <w:tcW w:w="8720" w:type="dxa"/>
            <w:vAlign w:val="bottom"/>
            <w:gridSpan w:val="4"/>
          </w:tcPr>
          <w:p>
            <w:pPr>
              <w:spacing w:after="0"/>
              <w:rPr>
                <w:rFonts w:ascii="Arial" w:cs="Arial" w:eastAsia="Arial" w:hAnsi="Arial"/>
                <w:sz w:val="17"/>
                <w:szCs w:val="17"/>
                <w:u w:val="single" w:color="auto"/>
                <w:color w:val="0000EE"/>
              </w:rPr>
            </w:pPr>
            <w:hyperlink w:anchor="page146">
              <w:r>
                <w:rPr>
                  <w:rFonts w:ascii="Arial" w:cs="Arial" w:eastAsia="Arial" w:hAnsi="Arial"/>
                  <w:sz w:val="17"/>
                  <w:szCs w:val="17"/>
                  <w:u w:val="single" w:color="auto"/>
                  <w:color w:val="0000EE"/>
                </w:rPr>
                <w:t>Statement of Cash Flows for the period from March 27, 2020 (inception) through April 2, 2020</w:t>
              </w:r>
            </w:hyperlink>
          </w:p>
        </w:tc>
        <w:tc>
          <w:tcPr>
            <w:tcW w:w="1340" w:type="dxa"/>
            <w:vAlign w:val="bottom"/>
            <w:gridSpan w:val="2"/>
          </w:tcPr>
          <w:p>
            <w:pPr>
              <w:ind w:left="20"/>
              <w:spacing w:after="0"/>
              <w:rPr>
                <w:rFonts w:ascii="Arial" w:cs="Arial" w:eastAsia="Arial" w:hAnsi="Arial"/>
                <w:sz w:val="17"/>
                <w:szCs w:val="17"/>
                <w:u w:val="single" w:color="auto"/>
                <w:color w:val="0000EE"/>
              </w:rPr>
            </w:pPr>
            <w:hyperlink w:anchor="page146">
              <w:r>
                <w:rPr>
                  <w:rFonts w:ascii="Arial" w:cs="Arial" w:eastAsia="Arial" w:hAnsi="Arial"/>
                  <w:sz w:val="17"/>
                  <w:szCs w:val="17"/>
                  <w:u w:val="single" w:color="auto"/>
                  <w:color w:val="0000EE"/>
                </w:rPr>
                <w:t>F-6</w:t>
              </w:r>
            </w:hyperlink>
          </w:p>
        </w:tc>
        <w:tc>
          <w:tcPr>
            <w:tcW w:w="0" w:type="dxa"/>
            <w:vAlign w:val="bottom"/>
          </w:tcPr>
          <w:p>
            <w:pPr>
              <w:spacing w:after="0"/>
              <w:rPr>
                <w:sz w:val="1"/>
                <w:szCs w:val="1"/>
                <w:color w:val="auto"/>
              </w:rPr>
            </w:pPr>
          </w:p>
        </w:tc>
      </w:tr>
      <w:tr>
        <w:trPr>
          <w:trHeight w:val="58"/>
        </w:trPr>
        <w:tc>
          <w:tcPr>
            <w:tcW w:w="9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65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34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960" w:type="dxa"/>
            <w:vAlign w:val="bottom"/>
          </w:tcPr>
          <w:p>
            <w:pPr>
              <w:spacing w:after="0"/>
              <w:rPr>
                <w:sz w:val="22"/>
                <w:szCs w:val="22"/>
                <w:color w:val="auto"/>
              </w:rPr>
            </w:pPr>
          </w:p>
        </w:tc>
        <w:tc>
          <w:tcPr>
            <w:tcW w:w="8720" w:type="dxa"/>
            <w:vAlign w:val="bottom"/>
            <w:tcBorders>
              <w:bottom w:val="single" w:sz="8" w:color="auto"/>
            </w:tcBorders>
            <w:gridSpan w:val="4"/>
            <w:shd w:val="clear" w:color="auto" w:fill="CCEEFF"/>
          </w:tcPr>
          <w:p>
            <w:pPr>
              <w:spacing w:after="0"/>
              <w:rPr>
                <w:rFonts w:ascii="Arial" w:cs="Arial" w:eastAsia="Arial" w:hAnsi="Arial"/>
                <w:sz w:val="17"/>
                <w:szCs w:val="17"/>
                <w:u w:val="single" w:color="auto"/>
                <w:color w:val="0000EE"/>
              </w:rPr>
            </w:pPr>
            <w:hyperlink w:anchor="page147">
              <w:r>
                <w:rPr>
                  <w:rFonts w:ascii="Arial" w:cs="Arial" w:eastAsia="Arial" w:hAnsi="Arial"/>
                  <w:sz w:val="17"/>
                  <w:szCs w:val="17"/>
                  <w:u w:val="single" w:color="auto"/>
                  <w:color w:val="0000EE"/>
                </w:rPr>
                <w:t>Notes to Financial Statements</w:t>
              </w:r>
            </w:hyperlink>
          </w:p>
        </w:tc>
        <w:tc>
          <w:tcPr>
            <w:tcW w:w="360" w:type="dxa"/>
            <w:vAlign w:val="bottom"/>
            <w:tcBorders>
              <w:bottom w:val="single" w:sz="8" w:color="auto"/>
            </w:tcBorders>
            <w:shd w:val="clear" w:color="auto" w:fill="CCEEFF"/>
          </w:tcPr>
          <w:p>
            <w:pPr>
              <w:ind w:left="20"/>
              <w:spacing w:after="0"/>
              <w:rPr>
                <w:rFonts w:ascii="Arial" w:cs="Arial" w:eastAsia="Arial" w:hAnsi="Arial"/>
                <w:sz w:val="17"/>
                <w:szCs w:val="17"/>
                <w:u w:val="single" w:color="auto"/>
                <w:color w:val="0000EE"/>
              </w:rPr>
            </w:pPr>
            <w:hyperlink w:anchor="page147">
              <w:r>
                <w:rPr>
                  <w:rFonts w:ascii="Arial" w:cs="Arial" w:eastAsia="Arial" w:hAnsi="Arial"/>
                  <w:sz w:val="17"/>
                  <w:szCs w:val="17"/>
                  <w:u w:val="single" w:color="auto"/>
                  <w:color w:val="0000EE"/>
                </w:rPr>
                <w:t>F-7</w:t>
              </w:r>
            </w:hyperlink>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6"/>
        </w:trPr>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580" w:type="dxa"/>
            <w:vAlign w:val="bottom"/>
            <w:gridSpan w:val="2"/>
          </w:tcPr>
          <w:p>
            <w:pPr>
              <w:ind w:left="3280"/>
              <w:spacing w:after="0"/>
              <w:rPr>
                <w:sz w:val="20"/>
                <w:szCs w:val="20"/>
                <w:color w:val="auto"/>
              </w:rPr>
            </w:pPr>
            <w:r>
              <w:rPr>
                <w:rFonts w:ascii="Arial" w:cs="Arial" w:eastAsia="Arial" w:hAnsi="Arial"/>
                <w:sz w:val="16"/>
                <w:szCs w:val="16"/>
                <w:color w:val="auto"/>
              </w:rPr>
              <w:t>F-1</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9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6040755</wp:posOffset>
            </wp:positionH>
            <wp:positionV relativeFrom="paragraph">
              <wp:posOffset>-1936750</wp:posOffset>
            </wp:positionV>
            <wp:extent cx="1111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41" w:name="page142"/>
    <w:bookmarkEnd w:id="14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 and the Board of Directors of</w:t>
      </w:r>
    </w:p>
    <w:p>
      <w:pPr>
        <w:spacing w:after="0"/>
        <w:rPr>
          <w:sz w:val="20"/>
          <w:szCs w:val="20"/>
          <w:color w:val="auto"/>
        </w:rPr>
      </w:pPr>
      <w:r>
        <w:rPr>
          <w:rFonts w:ascii="Arial" w:cs="Arial" w:eastAsia="Arial" w:hAnsi="Arial"/>
          <w:sz w:val="17"/>
          <w:szCs w:val="17"/>
          <w:color w:val="auto"/>
        </w:rPr>
        <w:t>ARYA Sciences Acquisition Corp III</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189" w:lineRule="exact"/>
        <w:rPr>
          <w:sz w:val="20"/>
          <w:szCs w:val="20"/>
          <w:color w:val="auto"/>
        </w:rPr>
      </w:pPr>
    </w:p>
    <w:p>
      <w:pPr>
        <w:ind w:right="19"/>
        <w:spacing w:after="0" w:line="234" w:lineRule="auto"/>
        <w:rPr>
          <w:sz w:val="20"/>
          <w:szCs w:val="20"/>
          <w:color w:val="auto"/>
        </w:rPr>
      </w:pPr>
      <w:r>
        <w:rPr>
          <w:rFonts w:ascii="Arial" w:cs="Arial" w:eastAsia="Arial" w:hAnsi="Arial"/>
          <w:sz w:val="17"/>
          <w:szCs w:val="17"/>
          <w:color w:val="auto"/>
        </w:rPr>
        <w:t>We have audited the accompanying balance sheet of ARYA Sciences Acquisition Corp III (the “Company”) as of April 2, 2020, and the related statements of operations, changes in shareholder’s equity and cash flows for the period from March 27, 2020 (inception) through April 2, 2020, and the related notes (collectively referred to as the “financial statements”). In our opinion, the financial statements present fairly, in all material respects, the financial position of the Company as of April 2, 2020, and the results of its operations and its cash flows for the period from March 27, 2020 (inception) through April 2, 2020, in conformity with accounting principles generally accepted in the United States of America.</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89" w:lineRule="exact"/>
        <w:rPr>
          <w:sz w:val="20"/>
          <w:szCs w:val="20"/>
          <w:color w:val="auto"/>
        </w:rPr>
      </w:pPr>
    </w:p>
    <w:p>
      <w:pPr>
        <w:ind w:right="119"/>
        <w:spacing w:after="0" w:line="235"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(the “PCAOB”) and are required to be independent with respect to the Company in accordance with the U.S. federal securities laws and the applicable rules and regulations of the Securities and Exchange Commission and the PCAOB.</w:t>
      </w:r>
    </w:p>
    <w:p>
      <w:pPr>
        <w:spacing w:after="0" w:line="163" w:lineRule="exact"/>
        <w:rPr>
          <w:sz w:val="20"/>
          <w:szCs w:val="20"/>
          <w:color w:val="auto"/>
        </w:rPr>
      </w:pPr>
    </w:p>
    <w:p>
      <w:pPr>
        <w:ind w:right="19"/>
        <w:spacing w:after="0" w:line="235"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entity’s internal control over financial reporting. Accordingly, we express no such opinion.</w:t>
      </w:r>
    </w:p>
    <w:p>
      <w:pPr>
        <w:spacing w:after="0" w:line="148" w:lineRule="exact"/>
        <w:rPr>
          <w:sz w:val="20"/>
          <w:szCs w:val="20"/>
          <w:color w:val="auto"/>
        </w:rPr>
      </w:pPr>
    </w:p>
    <w:p>
      <w:pPr>
        <w:ind w:right="19"/>
        <w:spacing w:after="0" w:line="235" w:lineRule="auto"/>
        <w:rPr>
          <w:sz w:val="20"/>
          <w:szCs w:val="20"/>
          <w:color w:val="auto"/>
        </w:rPr>
      </w:pPr>
      <w:r>
        <w:rPr>
          <w:rFonts w:ascii="Arial" w:cs="Arial" w:eastAsia="Arial" w:hAnsi="Arial"/>
          <w:sz w:val="17"/>
          <w:szCs w:val="17"/>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/s/ WithumSmith+Brown, PC</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2020.</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rPr>
          <w:sz w:val="20"/>
          <w:szCs w:val="20"/>
          <w:color w:val="auto"/>
        </w:rPr>
      </w:pPr>
      <w:r>
        <w:rPr>
          <w:rFonts w:ascii="Arial" w:cs="Arial" w:eastAsia="Arial" w:hAnsi="Arial"/>
          <w:sz w:val="17"/>
          <w:szCs w:val="17"/>
          <w:color w:val="auto"/>
        </w:rPr>
        <w:t>July 20, 2020</w:t>
      </w: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bookmarkStart w:id="142" w:name="page143"/>
    <w:bookmarkEnd w:id="14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ARYA SCIENCES ACQUISITION CORP III</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w:t>
      </w:r>
    </w:p>
    <w:p>
      <w:pPr>
        <w:jc w:val="center"/>
        <w:spacing w:after="0"/>
        <w:rPr>
          <w:sz w:val="20"/>
          <w:szCs w:val="20"/>
          <w:color w:val="auto"/>
        </w:rPr>
      </w:pPr>
      <w:r>
        <w:rPr>
          <w:rFonts w:ascii="Arial" w:cs="Arial" w:eastAsia="Arial" w:hAnsi="Arial"/>
          <w:sz w:val="18"/>
          <w:szCs w:val="18"/>
          <w:b w:val="1"/>
          <w:bCs w:val="1"/>
          <w:color w:val="auto"/>
        </w:rPr>
        <w:t>April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5760720" cy="2654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760720" cy="265430"/>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80" w:type="dxa"/>
            <w:vAlign w:val="bottom"/>
          </w:tcPr>
          <w:p>
            <w:pPr>
              <w:ind w:left="180"/>
              <w:spacing w:after="0"/>
              <w:rPr>
                <w:sz w:val="20"/>
                <w:szCs w:val="20"/>
                <w:color w:val="auto"/>
              </w:rPr>
            </w:pPr>
            <w:r>
              <w:rPr>
                <w:rFonts w:ascii="Arial" w:cs="Arial" w:eastAsia="Arial" w:hAnsi="Arial"/>
                <w:sz w:val="17"/>
                <w:szCs w:val="17"/>
                <w:color w:val="auto"/>
              </w:rPr>
              <w:t>Deferred offering costs associated with initial public offering</w:t>
            </w:r>
          </w:p>
        </w:tc>
        <w:tc>
          <w:tcPr>
            <w:tcW w:w="620" w:type="dxa"/>
            <w:vAlign w:val="bottom"/>
            <w:tcBorders>
              <w:bottom w:val="single" w:sz="8" w:color="auto"/>
            </w:tcBorders>
            <w:gridSpan w:val="2"/>
          </w:tcPr>
          <w:p>
            <w:pPr>
              <w:spacing w:after="0"/>
              <w:rPr>
                <w:sz w:val="20"/>
                <w:szCs w:val="20"/>
                <w:color w:val="auto"/>
              </w:rPr>
            </w:pPr>
            <w:r>
              <w:rPr>
                <w:rFonts w:ascii="Arial" w:cs="Arial" w:eastAsia="Arial" w:hAnsi="Arial"/>
                <w:sz w:val="17"/>
                <w:szCs w:val="17"/>
                <w:u w:val="single" w:color="auto"/>
                <w:color w:val="auto"/>
                <w:w w:val="97"/>
              </w:rPr>
              <w:t>$</w:t>
            </w:r>
            <w:r>
              <w:rPr>
                <w:rFonts w:ascii="Arial" w:cs="Arial" w:eastAsia="Arial" w:hAnsi="Arial"/>
                <w:sz w:val="17"/>
                <w:szCs w:val="17"/>
                <w:color w:val="auto"/>
                <w:w w:val="97"/>
              </w:rPr>
              <w:t>25,000</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74"/>
        </w:trPr>
        <w:tc>
          <w:tcPr>
            <w:tcW w:w="8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324"/>
        </w:trPr>
        <w:tc>
          <w:tcPr>
            <w:tcW w:w="8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assets</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w w:val="84"/>
              </w:rPr>
              <w:t>$</w:t>
            </w:r>
          </w:p>
        </w:tc>
        <w:tc>
          <w:tcPr>
            <w:tcW w:w="58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25,000</w:t>
            </w:r>
          </w:p>
        </w:tc>
        <w:tc>
          <w:tcPr>
            <w:tcW w:w="20" w:type="dxa"/>
            <w:vAlign w:val="bottom"/>
            <w:tcBorders>
              <w:bottom w:val="single" w:sz="8" w:color="CCEEFF"/>
            </w:tcBorders>
            <w:shd w:val="clear" w:color="auto" w:fill="CCEEFF"/>
          </w:tcPr>
          <w:p>
            <w:pPr>
              <w:spacing w:after="0"/>
              <w:rPr>
                <w:sz w:val="24"/>
                <w:szCs w:val="24"/>
                <w:color w:val="auto"/>
              </w:rPr>
            </w:pPr>
          </w:p>
        </w:tc>
      </w:tr>
      <w:tr>
        <w:trPr>
          <w:trHeight w:val="115"/>
        </w:trPr>
        <w:tc>
          <w:tcPr>
            <w:tcW w:w="8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364"/>
        </w:trPr>
        <w:tc>
          <w:tcPr>
            <w:tcW w:w="8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8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Liabilities and Shareholder’s Equity</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66"/>
        </w:trPr>
        <w:tc>
          <w:tcPr>
            <w:tcW w:w="8380" w:type="dxa"/>
            <w:vAlign w:val="bottom"/>
          </w:tcPr>
          <w:p>
            <w:pPr>
              <w:ind w:left="180"/>
              <w:spacing w:after="0"/>
              <w:rPr>
                <w:sz w:val="20"/>
                <w:szCs w:val="20"/>
                <w:color w:val="auto"/>
              </w:rPr>
            </w:pPr>
            <w:r>
              <w:rPr>
                <w:rFonts w:ascii="Arial" w:cs="Arial" w:eastAsia="Arial" w:hAnsi="Arial"/>
                <w:sz w:val="17"/>
                <w:szCs w:val="17"/>
                <w:color w:val="auto"/>
              </w:rPr>
              <w:t>Current liabilities:</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8"/>
        </w:trPr>
        <w:tc>
          <w:tcPr>
            <w:tcW w:w="8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57"/>
        </w:trPr>
        <w:tc>
          <w:tcPr>
            <w:tcW w:w="8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Accrued expenses</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4,245</w:t>
            </w: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r>
      <w:tr>
        <w:trPr>
          <w:trHeight w:val="74"/>
        </w:trPr>
        <w:tc>
          <w:tcPr>
            <w:tcW w:w="83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r>
      <w:tr>
        <w:trPr>
          <w:trHeight w:val="283"/>
        </w:trPr>
        <w:tc>
          <w:tcPr>
            <w:tcW w:w="8380" w:type="dxa"/>
            <w:vAlign w:val="bottom"/>
          </w:tcPr>
          <w:p>
            <w:pPr>
              <w:ind w:left="180"/>
              <w:spacing w:after="0"/>
              <w:rPr>
                <w:sz w:val="20"/>
                <w:szCs w:val="20"/>
                <w:color w:val="auto"/>
              </w:rPr>
            </w:pPr>
            <w:r>
              <w:rPr>
                <w:rFonts w:ascii="Arial" w:cs="Arial" w:eastAsia="Arial" w:hAnsi="Arial"/>
                <w:sz w:val="17"/>
                <w:szCs w:val="17"/>
                <w:b w:val="1"/>
                <w:bCs w:val="1"/>
                <w:color w:val="auto"/>
              </w:rPr>
              <w:t>Total current liabilities</w:t>
            </w: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7"/>
                <w:szCs w:val="17"/>
                <w:b w:val="1"/>
                <w:bCs w:val="1"/>
                <w:color w:val="auto"/>
              </w:rPr>
              <w:t>4,245</w:t>
            </w:r>
          </w:p>
        </w:tc>
        <w:tc>
          <w:tcPr>
            <w:tcW w:w="20" w:type="dxa"/>
            <w:vAlign w:val="bottom"/>
          </w:tcPr>
          <w:p>
            <w:pPr>
              <w:spacing w:after="0"/>
              <w:rPr>
                <w:sz w:val="24"/>
                <w:szCs w:val="24"/>
                <w:color w:val="auto"/>
              </w:rPr>
            </w:pPr>
          </w:p>
        </w:tc>
      </w:tr>
      <w:tr>
        <w:trPr>
          <w:trHeight w:val="74"/>
        </w:trPr>
        <w:tc>
          <w:tcPr>
            <w:tcW w:w="8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351"/>
        </w:trPr>
        <w:tc>
          <w:tcPr>
            <w:tcW w:w="8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66"/>
        </w:trPr>
        <w:tc>
          <w:tcPr>
            <w:tcW w:w="8380" w:type="dxa"/>
            <w:vAlign w:val="bottom"/>
          </w:tcPr>
          <w:p>
            <w:pPr>
              <w:spacing w:after="0"/>
              <w:rPr>
                <w:sz w:val="20"/>
                <w:szCs w:val="20"/>
                <w:color w:val="auto"/>
              </w:rPr>
            </w:pPr>
            <w:r>
              <w:rPr>
                <w:rFonts w:ascii="Arial" w:cs="Arial" w:eastAsia="Arial" w:hAnsi="Arial"/>
                <w:sz w:val="17"/>
                <w:szCs w:val="17"/>
                <w:b w:val="1"/>
                <w:bCs w:val="1"/>
                <w:color w:val="auto"/>
              </w:rPr>
              <w:t>Commitments and Contingencies</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8"/>
        </w:trPr>
        <w:tc>
          <w:tcPr>
            <w:tcW w:w="8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324"/>
        </w:trPr>
        <w:tc>
          <w:tcPr>
            <w:tcW w:w="8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66"/>
        </w:trPr>
        <w:tc>
          <w:tcPr>
            <w:tcW w:w="8380" w:type="dxa"/>
            <w:vAlign w:val="bottom"/>
          </w:tcPr>
          <w:p>
            <w:pPr>
              <w:spacing w:after="0"/>
              <w:rPr>
                <w:sz w:val="20"/>
                <w:szCs w:val="20"/>
                <w:color w:val="auto"/>
              </w:rPr>
            </w:pPr>
            <w:r>
              <w:rPr>
                <w:rFonts w:ascii="Arial" w:cs="Arial" w:eastAsia="Arial" w:hAnsi="Arial"/>
                <w:sz w:val="17"/>
                <w:szCs w:val="17"/>
                <w:b w:val="1"/>
                <w:bCs w:val="1"/>
                <w:color w:val="auto"/>
              </w:rPr>
              <w:t>Shareholder’s Equity:</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8"/>
        </w:trPr>
        <w:tc>
          <w:tcPr>
            <w:tcW w:w="8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304"/>
        </w:trPr>
        <w:tc>
          <w:tcPr>
            <w:tcW w:w="8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Preference shares, $0.0001 par value; 1,000,000 shares authorized; none issued and outstanding</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w:t>
            </w:r>
          </w:p>
        </w:tc>
      </w:tr>
      <w:tr>
        <w:trPr>
          <w:trHeight w:val="250"/>
        </w:trPr>
        <w:tc>
          <w:tcPr>
            <w:tcW w:w="8380" w:type="dxa"/>
            <w:vAlign w:val="bottom"/>
          </w:tcPr>
          <w:p>
            <w:pPr>
              <w:ind w:left="180"/>
              <w:spacing w:after="0"/>
              <w:rPr>
                <w:sz w:val="20"/>
                <w:szCs w:val="20"/>
                <w:color w:val="auto"/>
              </w:rPr>
            </w:pPr>
            <w:r>
              <w:rPr>
                <w:rFonts w:ascii="Arial" w:cs="Arial" w:eastAsia="Arial" w:hAnsi="Arial"/>
                <w:sz w:val="17"/>
                <w:szCs w:val="17"/>
                <w:color w:val="auto"/>
              </w:rPr>
              <w:t>Class A ordinary shares, $0.0001 par value; 479,000,000 shares authorized; none issued and</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5"/>
        </w:trPr>
        <w:tc>
          <w:tcPr>
            <w:tcW w:w="8380" w:type="dxa"/>
            <w:vAlign w:val="bottom"/>
          </w:tcPr>
          <w:p>
            <w:pPr>
              <w:ind w:left="360"/>
              <w:spacing w:after="0"/>
              <w:rPr>
                <w:sz w:val="20"/>
                <w:szCs w:val="20"/>
                <w:color w:val="auto"/>
              </w:rPr>
            </w:pPr>
            <w:r>
              <w:rPr>
                <w:rFonts w:ascii="Arial" w:cs="Arial" w:eastAsia="Arial" w:hAnsi="Arial"/>
                <w:sz w:val="17"/>
                <w:szCs w:val="17"/>
                <w:color w:val="auto"/>
              </w:rPr>
              <w:t>outstanding</w:t>
            </w:r>
          </w:p>
        </w:tc>
        <w:tc>
          <w:tcPr>
            <w:tcW w:w="100" w:type="dxa"/>
            <w:vAlign w:val="bottom"/>
          </w:tcPr>
          <w:p>
            <w:pPr>
              <w:spacing w:after="0"/>
              <w:rPr>
                <w:sz w:val="17"/>
                <w:szCs w:val="17"/>
                <w:color w:val="auto"/>
              </w:rPr>
            </w:pPr>
          </w:p>
        </w:tc>
        <w:tc>
          <w:tcPr>
            <w:tcW w:w="600" w:type="dxa"/>
            <w:vAlign w:val="bottom"/>
            <w:gridSpan w:val="4"/>
          </w:tcPr>
          <w:p>
            <w:pPr>
              <w:jc w:val="right"/>
              <w:ind w:right="40"/>
              <w:spacing w:after="0"/>
              <w:rPr>
                <w:sz w:val="20"/>
                <w:szCs w:val="20"/>
                <w:color w:val="auto"/>
              </w:rPr>
            </w:pPr>
            <w:r>
              <w:rPr>
                <w:rFonts w:ascii="Arial" w:cs="Arial" w:eastAsia="Arial" w:hAnsi="Arial"/>
                <w:sz w:val="17"/>
                <w:szCs w:val="17"/>
                <w:color w:val="auto"/>
              </w:rPr>
              <w:t>—</w:t>
            </w:r>
          </w:p>
        </w:tc>
      </w:tr>
      <w:tr>
        <w:trPr>
          <w:trHeight w:val="58"/>
        </w:trPr>
        <w:tc>
          <w:tcPr>
            <w:tcW w:w="8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49"/>
        </w:trPr>
        <w:tc>
          <w:tcPr>
            <w:tcW w:w="8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Class B ordinary shares, $0.0001 par value; 20,000,000 shares authorized; 3,593,750 shares issued</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64"/>
        </w:trPr>
        <w:tc>
          <w:tcPr>
            <w:tcW w:w="8380" w:type="dxa"/>
            <w:vAlign w:val="bottom"/>
            <w:shd w:val="clear" w:color="auto" w:fill="CCEEFF"/>
          </w:tcPr>
          <w:p>
            <w:pPr>
              <w:ind w:left="360"/>
              <w:spacing w:after="0" w:line="263" w:lineRule="exact"/>
              <w:rPr>
                <w:sz w:val="20"/>
                <w:szCs w:val="20"/>
                <w:color w:val="auto"/>
              </w:rPr>
            </w:pPr>
            <w:r>
              <w:rPr>
                <w:rFonts w:ascii="Arial" w:cs="Arial" w:eastAsia="Arial" w:hAnsi="Arial"/>
                <w:sz w:val="17"/>
                <w:szCs w:val="17"/>
                <w:color w:val="auto"/>
              </w:rPr>
              <w:t>and outstanding</w:t>
            </w:r>
            <w:r>
              <w:rPr>
                <w:rFonts w:ascii="Arial" w:cs="Arial" w:eastAsia="Arial" w:hAnsi="Arial"/>
                <w:sz w:val="28"/>
                <w:szCs w:val="28"/>
                <w:color w:val="auto"/>
                <w:vertAlign w:val="superscript"/>
              </w:rPr>
              <w:t>(1)</w:t>
            </w:r>
          </w:p>
        </w:tc>
        <w:tc>
          <w:tcPr>
            <w:tcW w:w="100" w:type="dxa"/>
            <w:vAlign w:val="bottom"/>
            <w:shd w:val="clear" w:color="auto" w:fill="CCEEFF"/>
          </w:tcPr>
          <w:p>
            <w:pPr>
              <w:spacing w:after="0"/>
              <w:rPr>
                <w:sz w:val="22"/>
                <w:szCs w:val="22"/>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359</w:t>
            </w:r>
          </w:p>
        </w:tc>
        <w:tc>
          <w:tcPr>
            <w:tcW w:w="20" w:type="dxa"/>
            <w:vAlign w:val="bottom"/>
            <w:shd w:val="clear" w:color="auto" w:fill="CCEEFF"/>
          </w:tcPr>
          <w:p>
            <w:pPr>
              <w:spacing w:after="0"/>
              <w:rPr>
                <w:sz w:val="22"/>
                <w:szCs w:val="22"/>
                <w:color w:val="auto"/>
              </w:rPr>
            </w:pPr>
          </w:p>
        </w:tc>
      </w:tr>
      <w:tr>
        <w:trPr>
          <w:trHeight w:val="266"/>
        </w:trPr>
        <w:tc>
          <w:tcPr>
            <w:tcW w:w="8380" w:type="dxa"/>
            <w:vAlign w:val="bottom"/>
          </w:tcPr>
          <w:p>
            <w:pPr>
              <w:ind w:left="180"/>
              <w:spacing w:after="0"/>
              <w:rPr>
                <w:sz w:val="20"/>
                <w:szCs w:val="20"/>
                <w:color w:val="auto"/>
              </w:rPr>
            </w:pPr>
            <w:r>
              <w:rPr>
                <w:rFonts w:ascii="Arial" w:cs="Arial" w:eastAsia="Arial" w:hAnsi="Arial"/>
                <w:sz w:val="17"/>
                <w:szCs w:val="17"/>
                <w:color w:val="auto"/>
              </w:rPr>
              <w:t>Additional paid-in capital</w:t>
            </w:r>
          </w:p>
        </w:tc>
        <w:tc>
          <w:tcPr>
            <w:tcW w:w="1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6"/>
              </w:rPr>
              <w:t>24,641</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8"/>
        </w:trPr>
        <w:tc>
          <w:tcPr>
            <w:tcW w:w="8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57"/>
        </w:trPr>
        <w:tc>
          <w:tcPr>
            <w:tcW w:w="8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Accumulated deficit</w:t>
            </w:r>
          </w:p>
        </w:tc>
        <w:tc>
          <w:tcPr>
            <w:tcW w:w="100" w:type="dxa"/>
            <w:vAlign w:val="bottom"/>
            <w:shd w:val="clear" w:color="auto" w:fill="CCEEFF"/>
          </w:tcPr>
          <w:p>
            <w:pPr>
              <w:spacing w:after="0"/>
              <w:rPr>
                <w:sz w:val="22"/>
                <w:szCs w:val="22"/>
                <w:color w:val="auto"/>
              </w:rPr>
            </w:pP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(4,245)</w:t>
            </w:r>
          </w:p>
        </w:tc>
      </w:tr>
      <w:tr>
        <w:trPr>
          <w:trHeight w:val="75"/>
        </w:trPr>
        <w:tc>
          <w:tcPr>
            <w:tcW w:w="83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83"/>
        </w:trPr>
        <w:tc>
          <w:tcPr>
            <w:tcW w:w="8380" w:type="dxa"/>
            <w:vAlign w:val="bottom"/>
          </w:tcPr>
          <w:p>
            <w:pPr>
              <w:ind w:left="180"/>
              <w:spacing w:after="0"/>
              <w:rPr>
                <w:sz w:val="20"/>
                <w:szCs w:val="20"/>
                <w:color w:val="auto"/>
              </w:rPr>
            </w:pPr>
            <w:r>
              <w:rPr>
                <w:rFonts w:ascii="Arial" w:cs="Arial" w:eastAsia="Arial" w:hAnsi="Arial"/>
                <w:sz w:val="17"/>
                <w:szCs w:val="17"/>
                <w:b w:val="1"/>
                <w:bCs w:val="1"/>
                <w:color w:val="auto"/>
              </w:rPr>
              <w:t>Total shareholder’s equity</w:t>
            </w: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7"/>
                <w:szCs w:val="17"/>
                <w:b w:val="1"/>
                <w:bCs w:val="1"/>
                <w:color w:val="auto"/>
              </w:rPr>
              <w:t>20,755</w:t>
            </w:r>
          </w:p>
        </w:tc>
        <w:tc>
          <w:tcPr>
            <w:tcW w:w="20" w:type="dxa"/>
            <w:vAlign w:val="bottom"/>
          </w:tcPr>
          <w:p>
            <w:pPr>
              <w:spacing w:after="0"/>
              <w:rPr>
                <w:sz w:val="24"/>
                <w:szCs w:val="24"/>
                <w:color w:val="auto"/>
              </w:rPr>
            </w:pPr>
          </w:p>
        </w:tc>
      </w:tr>
      <w:tr>
        <w:trPr>
          <w:trHeight w:val="75"/>
        </w:trPr>
        <w:tc>
          <w:tcPr>
            <w:tcW w:w="8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376"/>
        </w:trPr>
        <w:tc>
          <w:tcPr>
            <w:tcW w:w="8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Liabilities and Shareholder’s Equity</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w w:val="84"/>
              </w:rPr>
              <w:t>$</w:t>
            </w:r>
          </w:p>
        </w:tc>
        <w:tc>
          <w:tcPr>
            <w:tcW w:w="58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25,000</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0"/>
        </w:trPr>
        <w:tc>
          <w:tcPr>
            <w:tcW w:w="83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520" w:type="dxa"/>
            <w:vAlign w:val="bottom"/>
            <w:tcBorders>
              <w:top w:val="single" w:sz="8" w:color="CCEEFF"/>
            </w:tcBorders>
            <w:shd w:val="clear" w:color="auto" w:fill="000000"/>
          </w:tcPr>
          <w:p>
            <w:pPr>
              <w:spacing w:after="0" w:line="20" w:lineRule="exact"/>
              <w:rPr>
                <w:sz w:val="1"/>
                <w:szCs w:val="1"/>
                <w:color w:val="auto"/>
              </w:rPr>
            </w:pPr>
          </w:p>
        </w:tc>
        <w:tc>
          <w:tcPr>
            <w:tcW w:w="20" w:type="dxa"/>
            <w:vAlign w:val="bottom"/>
            <w:tcBorders>
              <w:top w:val="single" w:sz="8" w:color="CCEEFF"/>
            </w:tcBorders>
            <w:shd w:val="clear" w:color="auto" w:fill="000000"/>
          </w:tcPr>
          <w:p>
            <w:pPr>
              <w:spacing w:after="0" w:line="20" w:lineRule="exact"/>
              <w:rPr>
                <w:sz w:val="1"/>
                <w:szCs w:val="1"/>
                <w:color w:val="auto"/>
              </w:rPr>
            </w:pPr>
          </w:p>
        </w:tc>
        <w:tc>
          <w:tcPr>
            <w:tcW w:w="40" w:type="dxa"/>
            <w:vAlign w:val="bottom"/>
            <w:tcBorders>
              <w:top w:val="single" w:sz="8" w:color="CCEEFF"/>
            </w:tcBorders>
            <w:shd w:val="clear" w:color="auto" w:fill="000000"/>
          </w:tcPr>
          <w:p>
            <w:pPr>
              <w:spacing w:after="0" w:line="20" w:lineRule="exact"/>
              <w:rPr>
                <w:sz w:val="1"/>
                <w:szCs w:val="1"/>
                <w:color w:val="auto"/>
              </w:rPr>
            </w:pPr>
          </w:p>
        </w:tc>
        <w:tc>
          <w:tcPr>
            <w:tcW w:w="20" w:type="dxa"/>
            <w:vAlign w:val="bottom"/>
            <w:tcBorders>
              <w:top w:val="single" w:sz="8" w:color="CCEEFF"/>
            </w:tcBorders>
            <w:shd w:val="clear" w:color="auto" w:fill="000000"/>
          </w:tcPr>
          <w:p>
            <w:pPr>
              <w:spacing w:after="0" w:line="20" w:lineRule="exact"/>
              <w:rPr>
                <w:sz w:val="1"/>
                <w:szCs w:val="1"/>
                <w:color w:val="auto"/>
              </w:rPr>
            </w:pPr>
          </w:p>
        </w:tc>
      </w:tr>
    </w:tbl>
    <w:p>
      <w:pPr>
        <w:spacing w:after="0" w:line="36" w:lineRule="exact"/>
        <w:rPr>
          <w:sz w:val="20"/>
          <w:szCs w:val="20"/>
          <w:color w:val="auto"/>
        </w:rPr>
      </w:pPr>
    </w:p>
    <w:p>
      <w:pPr>
        <w:ind w:left="360" w:hanging="352"/>
        <w:spacing w:after="0"/>
        <w:tabs>
          <w:tab w:leader="none" w:pos="360" w:val="left"/>
        </w:tabs>
        <w:numPr>
          <w:ilvl w:val="0"/>
          <w:numId w:val="36"/>
        </w:numPr>
        <w:rPr>
          <w:rFonts w:ascii="Arial" w:cs="Arial" w:eastAsia="Arial" w:hAnsi="Arial"/>
          <w:sz w:val="13"/>
          <w:szCs w:val="13"/>
          <w:i w:val="1"/>
          <w:iCs w:val="1"/>
          <w:color w:val="auto"/>
        </w:rPr>
      </w:pPr>
      <w:r>
        <w:rPr>
          <w:rFonts w:ascii="Arial" w:cs="Arial" w:eastAsia="Arial" w:hAnsi="Arial"/>
          <w:sz w:val="13"/>
          <w:szCs w:val="13"/>
          <w:i w:val="1"/>
          <w:iCs w:val="1"/>
          <w:color w:val="auto"/>
        </w:rPr>
        <w:t>This number includes up to 468,750 shares subject to forfeiture if the over-allotment option is not exercised in full or in part by the underwriters.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143" w:name="page144"/>
    <w:bookmarkEnd w:id="14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ARYA SCIENCES ACQUISITION CORP III</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jc w:val="center"/>
        <w:spacing w:after="0"/>
        <w:rPr>
          <w:sz w:val="20"/>
          <w:szCs w:val="20"/>
          <w:color w:val="auto"/>
        </w:rPr>
      </w:pPr>
      <w:r>
        <w:rPr>
          <w:rFonts w:ascii="Arial" w:cs="Arial" w:eastAsia="Arial" w:hAnsi="Arial"/>
          <w:sz w:val="18"/>
          <w:szCs w:val="18"/>
          <w:b w:val="1"/>
          <w:bCs w:val="1"/>
          <w:color w:val="auto"/>
        </w:rPr>
        <w:t>For the period from March 27, 2020 (inception) through April 2, 2020</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351"/>
        </w:trPr>
        <w:tc>
          <w:tcPr>
            <w:tcW w:w="80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General and administrative expenses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4,245</w:t>
            </w:r>
          </w:p>
        </w:tc>
        <w:tc>
          <w:tcPr>
            <w:tcW w:w="40" w:type="dxa"/>
            <w:vAlign w:val="bottom"/>
            <w:tcBorders>
              <w:top w:val="single" w:sz="8" w:color="auto"/>
              <w:bottom w:val="single" w:sz="8" w:color="CCEEFF"/>
            </w:tcBorders>
            <w:shd w:val="clear" w:color="auto" w:fill="CCEEFF"/>
          </w:tcPr>
          <w:p>
            <w:pPr>
              <w:spacing w:after="0"/>
              <w:rPr>
                <w:sz w:val="24"/>
                <w:szCs w:val="24"/>
                <w:color w:val="auto"/>
              </w:rPr>
            </w:pPr>
          </w:p>
        </w:tc>
        <w:tc>
          <w:tcPr>
            <w:tcW w:w="60" w:type="dxa"/>
            <w:vAlign w:val="bottom"/>
            <w:tcBorders>
              <w:top w:val="single" w:sz="8" w:color="auto"/>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8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8080" w:type="dxa"/>
            <w:vAlign w:val="bottom"/>
            <w:vMerge w:val="restart"/>
          </w:tcPr>
          <w:p>
            <w:pPr>
              <w:ind w:left="180"/>
              <w:spacing w:after="0"/>
              <w:rPr>
                <w:sz w:val="20"/>
                <w:szCs w:val="20"/>
                <w:color w:val="auto"/>
              </w:rPr>
            </w:pPr>
            <w:r>
              <w:rPr>
                <w:rFonts w:ascii="Arial" w:cs="Arial" w:eastAsia="Arial" w:hAnsi="Arial"/>
                <w:sz w:val="17"/>
                <w:szCs w:val="17"/>
                <w:b w:val="1"/>
                <w:bCs w:val="1"/>
                <w:color w:val="auto"/>
              </w:rPr>
              <w:t>Net loss</w:t>
            </w: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900" w:type="dxa"/>
            <w:vAlign w:val="bottom"/>
            <w:gridSpan w:val="4"/>
          </w:tcPr>
          <w:p>
            <w:pPr>
              <w:jc w:val="right"/>
              <w:ind w:right="20"/>
              <w:spacing w:after="0"/>
              <w:rPr>
                <w:sz w:val="20"/>
                <w:szCs w:val="20"/>
                <w:color w:val="auto"/>
              </w:rPr>
            </w:pPr>
            <w:r>
              <w:rPr>
                <w:rFonts w:ascii="Arial" w:cs="Arial" w:eastAsia="Arial" w:hAnsi="Arial"/>
                <w:sz w:val="17"/>
                <w:szCs w:val="17"/>
                <w:b w:val="1"/>
                <w:bCs w:val="1"/>
                <w:color w:val="auto"/>
              </w:rPr>
              <w:t>(4,245)</w:t>
            </w:r>
          </w:p>
        </w:tc>
        <w:tc>
          <w:tcPr>
            <w:tcW w:w="0" w:type="dxa"/>
            <w:vAlign w:val="bottom"/>
          </w:tcPr>
          <w:p>
            <w:pPr>
              <w:spacing w:after="0"/>
              <w:rPr>
                <w:sz w:val="1"/>
                <w:szCs w:val="1"/>
                <w:color w:val="auto"/>
              </w:rPr>
            </w:pPr>
          </w:p>
        </w:tc>
      </w:tr>
      <w:tr>
        <w:trPr>
          <w:trHeight w:val="20"/>
        </w:trPr>
        <w:tc>
          <w:tcPr>
            <w:tcW w:w="8080" w:type="dxa"/>
            <w:vAlign w:val="bottom"/>
            <w:vMerge w:val="continue"/>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8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4"/>
        </w:trPr>
        <w:tc>
          <w:tcPr>
            <w:tcW w:w="8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080" w:type="dxa"/>
            <w:vAlign w:val="bottom"/>
            <w:vMerge w:val="restart"/>
          </w:tcPr>
          <w:p>
            <w:pPr>
              <w:spacing w:after="0" w:line="297" w:lineRule="exact"/>
              <w:rPr>
                <w:sz w:val="20"/>
                <w:szCs w:val="20"/>
                <w:color w:val="auto"/>
              </w:rPr>
            </w:pPr>
            <w:r>
              <w:rPr>
                <w:rFonts w:ascii="Arial" w:cs="Arial" w:eastAsia="Arial" w:hAnsi="Arial"/>
                <w:sz w:val="17"/>
                <w:szCs w:val="17"/>
                <w:color w:val="auto"/>
              </w:rPr>
              <w:t>Weighted average shares outstanding, basic and diluted</w:t>
            </w:r>
            <w:r>
              <w:rPr>
                <w:rFonts w:ascii="Arial" w:cs="Arial" w:eastAsia="Arial" w:hAnsi="Arial"/>
                <w:sz w:val="28"/>
                <w:szCs w:val="28"/>
                <w:color w:val="auto"/>
                <w:vertAlign w:val="superscript"/>
              </w:rPr>
              <w:t>(1)</w:t>
            </w:r>
          </w:p>
        </w:tc>
        <w:tc>
          <w:tcPr>
            <w:tcW w:w="100" w:type="dxa"/>
            <w:vAlign w:val="bottom"/>
          </w:tcPr>
          <w:p>
            <w:pPr>
              <w:spacing w:after="0"/>
              <w:rPr>
                <w:sz w:val="22"/>
                <w:szCs w:val="2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w w:val="97"/>
              </w:rPr>
              <w:t>3,125,000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8080" w:type="dxa"/>
            <w:vAlign w:val="bottom"/>
            <w:vMerge w:val="continue"/>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8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4"/>
        </w:trPr>
        <w:tc>
          <w:tcPr>
            <w:tcW w:w="8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080" w:type="dxa"/>
            <w:vAlign w:val="bottom"/>
            <w:vMerge w:val="restart"/>
          </w:tcPr>
          <w:p>
            <w:pPr>
              <w:spacing w:after="0"/>
              <w:rPr>
                <w:sz w:val="20"/>
                <w:szCs w:val="20"/>
                <w:color w:val="auto"/>
              </w:rPr>
            </w:pPr>
            <w:r>
              <w:rPr>
                <w:rFonts w:ascii="Arial" w:cs="Arial" w:eastAsia="Arial" w:hAnsi="Arial"/>
                <w:sz w:val="17"/>
                <w:szCs w:val="17"/>
                <w:b w:val="1"/>
                <w:bCs w:val="1"/>
                <w:color w:val="auto"/>
              </w:rPr>
              <w:t>Basic and diluted net loss per share</w:t>
            </w: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900" w:type="dxa"/>
            <w:vAlign w:val="bottom"/>
            <w:gridSpan w:val="4"/>
          </w:tcPr>
          <w:p>
            <w:pPr>
              <w:jc w:val="right"/>
              <w:ind w:right="20"/>
              <w:spacing w:after="0"/>
              <w:rPr>
                <w:sz w:val="20"/>
                <w:szCs w:val="20"/>
                <w:color w:val="auto"/>
              </w:rPr>
            </w:pPr>
            <w:r>
              <w:rPr>
                <w:rFonts w:ascii="Arial" w:cs="Arial" w:eastAsia="Arial" w:hAnsi="Arial"/>
                <w:sz w:val="17"/>
                <w:szCs w:val="17"/>
                <w:b w:val="1"/>
                <w:bCs w:val="1"/>
                <w:color w:val="auto"/>
              </w:rPr>
              <w:t>(0.00)</w:t>
            </w:r>
          </w:p>
        </w:tc>
        <w:tc>
          <w:tcPr>
            <w:tcW w:w="0" w:type="dxa"/>
            <w:vAlign w:val="bottom"/>
          </w:tcPr>
          <w:p>
            <w:pPr>
              <w:spacing w:after="0"/>
              <w:rPr>
                <w:sz w:val="1"/>
                <w:szCs w:val="1"/>
                <w:color w:val="auto"/>
              </w:rPr>
            </w:pPr>
          </w:p>
        </w:tc>
      </w:tr>
      <w:tr>
        <w:trPr>
          <w:trHeight w:val="21"/>
        </w:trPr>
        <w:tc>
          <w:tcPr>
            <w:tcW w:w="8080" w:type="dxa"/>
            <w:vAlign w:val="bottom"/>
            <w:vMerge w:val="continue"/>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
        </w:trPr>
        <w:tc>
          <w:tcPr>
            <w:tcW w:w="8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360" w:right="580" w:hanging="352"/>
        <w:spacing w:after="0"/>
        <w:tabs>
          <w:tab w:leader="none" w:pos="360" w:val="left"/>
        </w:tabs>
        <w:numPr>
          <w:ilvl w:val="0"/>
          <w:numId w:val="37"/>
        </w:numPr>
        <w:rPr>
          <w:rFonts w:ascii="Arial" w:cs="Arial" w:eastAsia="Arial" w:hAnsi="Arial"/>
          <w:sz w:val="13"/>
          <w:szCs w:val="13"/>
          <w:i w:val="1"/>
          <w:iCs w:val="1"/>
          <w:color w:val="auto"/>
        </w:rPr>
      </w:pPr>
      <w:r>
        <w:rPr>
          <w:rFonts w:ascii="Arial" w:cs="Arial" w:eastAsia="Arial" w:hAnsi="Arial"/>
          <w:sz w:val="13"/>
          <w:szCs w:val="13"/>
          <w:i w:val="1"/>
          <w:iCs w:val="1"/>
          <w:color w:val="auto"/>
        </w:rPr>
        <w:t>This number excludes an aggregate of up to 468,750 shares subject to forfeiture if the over-allotment option is not exercised in full or in part by the underwriters.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144" w:name="page145"/>
    <w:bookmarkEnd w:id="14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line="253" w:lineRule="auto"/>
        <w:rPr>
          <w:sz w:val="20"/>
          <w:szCs w:val="20"/>
          <w:color w:val="auto"/>
        </w:rPr>
      </w:pPr>
      <w:r>
        <w:rPr>
          <w:rFonts w:ascii="Arial" w:cs="Arial" w:eastAsia="Arial" w:hAnsi="Arial"/>
          <w:sz w:val="18"/>
          <w:szCs w:val="18"/>
          <w:b w:val="1"/>
          <w:bCs w:val="1"/>
          <w:color w:val="auto"/>
        </w:rPr>
        <w:t>ARYA SCIENCES ACQUISITION CORP III STATEMENT OF CHANGES IN SHAREHOLDER’S EQUITY For the period from March 27, 2020 (inception) through April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57607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Ordinary Shares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08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gridSpan w:val="3"/>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gridSpan w:val="2"/>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gridSpan w:val="2"/>
          </w:tcPr>
          <w:p>
            <w:pPr>
              <w:spacing w:after="0"/>
              <w:rPr>
                <w:sz w:val="6"/>
                <w:szCs w:val="6"/>
                <w:color w:val="auto"/>
              </w:rPr>
            </w:pPr>
          </w:p>
        </w:tc>
        <w:tc>
          <w:tcPr>
            <w:tcW w:w="220" w:type="dxa"/>
            <w:vAlign w:val="bottom"/>
            <w:gridSpan w:val="2"/>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Class A</w:t>
            </w:r>
          </w:p>
        </w:tc>
        <w:tc>
          <w:tcPr>
            <w:tcW w:w="160" w:type="dxa"/>
            <w:vAlign w:val="bottom"/>
          </w:tcPr>
          <w:p>
            <w:pPr>
              <w:spacing w:after="0"/>
              <w:rPr>
                <w:sz w:val="24"/>
                <w:szCs w:val="24"/>
                <w:color w:val="auto"/>
              </w:rPr>
            </w:pPr>
          </w:p>
        </w:tc>
        <w:tc>
          <w:tcPr>
            <w:tcW w:w="1120" w:type="dxa"/>
            <w:vAlign w:val="bottom"/>
            <w:gridSpan w:val="4"/>
          </w:tcPr>
          <w:p>
            <w:pPr>
              <w:ind w:left="520"/>
              <w:spacing w:after="0"/>
              <w:rPr>
                <w:sz w:val="20"/>
                <w:szCs w:val="20"/>
                <w:color w:val="auto"/>
              </w:rPr>
            </w:pPr>
            <w:r>
              <w:rPr>
                <w:rFonts w:ascii="Arial" w:cs="Arial" w:eastAsia="Arial" w:hAnsi="Arial"/>
                <w:sz w:val="14"/>
                <w:szCs w:val="14"/>
                <w:b w:val="1"/>
                <w:bCs w:val="1"/>
                <w:color w:val="auto"/>
              </w:rPr>
              <w:t>Class B</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7"/>
        </w:trPr>
        <w:tc>
          <w:tcPr>
            <w:tcW w:w="308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rPr>
              <w:t>Paid-in</w:t>
            </w:r>
          </w:p>
        </w:tc>
        <w:tc>
          <w:tcPr>
            <w:tcW w:w="1060" w:type="dxa"/>
            <w:vAlign w:val="bottom"/>
            <w:gridSpan w:val="6"/>
            <w:vMerge w:val="restart"/>
          </w:tcPr>
          <w:p>
            <w:pPr>
              <w:jc w:val="center"/>
              <w:ind w:right="160"/>
              <w:spacing w:after="0"/>
              <w:rPr>
                <w:sz w:val="20"/>
                <w:szCs w:val="20"/>
                <w:color w:val="auto"/>
              </w:rPr>
            </w:pPr>
            <w:r>
              <w:rPr>
                <w:rFonts w:ascii="Arial" w:cs="Arial" w:eastAsia="Arial" w:hAnsi="Arial"/>
                <w:sz w:val="14"/>
                <w:szCs w:val="14"/>
                <w:b w:val="1"/>
                <w:bCs w:val="1"/>
                <w:color w:val="auto"/>
              </w:rPr>
              <w:t>Accumulated</w:t>
            </w:r>
          </w:p>
        </w:tc>
        <w:tc>
          <w:tcPr>
            <w:tcW w:w="98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75"/>
        </w:trPr>
        <w:tc>
          <w:tcPr>
            <w:tcW w:w="3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1060" w:type="dxa"/>
            <w:vAlign w:val="bottom"/>
            <w:gridSpan w:val="6"/>
            <w:vMerge w:val="continue"/>
          </w:tcPr>
          <w:p>
            <w:pPr>
              <w:spacing w:after="0"/>
              <w:rPr>
                <w:sz w:val="6"/>
                <w:szCs w:val="6"/>
                <w:color w:val="auto"/>
              </w:rPr>
            </w:pPr>
          </w:p>
        </w:tc>
        <w:tc>
          <w:tcPr>
            <w:tcW w:w="98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080" w:type="dxa"/>
            <w:vAlign w:val="bottom"/>
          </w:tcPr>
          <w:p>
            <w:pPr>
              <w:spacing w:after="0"/>
              <w:rPr>
                <w:sz w:val="16"/>
                <w:szCs w:val="16"/>
                <w:color w:val="auto"/>
              </w:rPr>
            </w:pPr>
          </w:p>
        </w:tc>
        <w:tc>
          <w:tcPr>
            <w:tcW w:w="660" w:type="dxa"/>
            <w:vAlign w:val="bottom"/>
            <w:gridSpan w:val="4"/>
          </w:tcPr>
          <w:p>
            <w:pPr>
              <w:spacing w:after="0"/>
              <w:rPr>
                <w:sz w:val="20"/>
                <w:szCs w:val="20"/>
                <w:color w:val="auto"/>
              </w:rPr>
            </w:pPr>
            <w:r>
              <w:rPr>
                <w:rFonts w:ascii="Arial" w:cs="Arial" w:eastAsia="Arial" w:hAnsi="Arial"/>
                <w:sz w:val="14"/>
                <w:szCs w:val="14"/>
                <w:b w:val="1"/>
                <w:bCs w:val="1"/>
                <w:color w:val="auto"/>
              </w:rPr>
              <w:t>Shares</w:t>
            </w:r>
          </w:p>
        </w:tc>
        <w:tc>
          <w:tcPr>
            <w:tcW w:w="54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6"/>
                <w:szCs w:val="16"/>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560" w:type="dxa"/>
            <w:vAlign w:val="bottom"/>
            <w:gridSpan w:val="4"/>
          </w:tcPr>
          <w:p>
            <w:pPr>
              <w:ind w:left="20"/>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80"/>
        </w:trPr>
        <w:tc>
          <w:tcPr>
            <w:tcW w:w="308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3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 March 27, 2020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(inception)</w:t>
            </w:r>
          </w:p>
        </w:tc>
        <w:tc>
          <w:tcPr>
            <w:tcW w:w="66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w w:val="90"/>
              </w:rPr>
              <w:t>$—</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w w:val="84"/>
              </w:rPr>
              <w:t>$</w:t>
            </w: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CCEEFF"/>
            </w:tcBorders>
            <w:gridSpan w:val="4"/>
            <w:shd w:val="clear" w:color="auto" w:fill="CCEEFF"/>
          </w:tcPr>
          <w:p>
            <w:pPr>
              <w:jc w:val="right"/>
              <w:ind w:right="360"/>
              <w:spacing w:after="0"/>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49"/>
        </w:trPr>
        <w:tc>
          <w:tcPr>
            <w:tcW w:w="3080" w:type="dxa"/>
            <w:vAlign w:val="bottom"/>
          </w:tcPr>
          <w:p>
            <w:pPr>
              <w:ind w:left="180"/>
              <w:spacing w:after="0"/>
              <w:rPr>
                <w:sz w:val="20"/>
                <w:szCs w:val="20"/>
                <w:color w:val="auto"/>
              </w:rPr>
            </w:pPr>
            <w:r>
              <w:rPr>
                <w:rFonts w:ascii="Arial" w:cs="Arial" w:eastAsia="Arial" w:hAnsi="Arial"/>
                <w:sz w:val="17"/>
                <w:szCs w:val="17"/>
                <w:color w:val="auto"/>
              </w:rPr>
              <w:t>Issuance of Class B ordinary shares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080" w:type="dxa"/>
            <w:vAlign w:val="bottom"/>
          </w:tcPr>
          <w:p>
            <w:pPr>
              <w:ind w:left="360"/>
              <w:spacing w:after="0" w:line="263" w:lineRule="exact"/>
              <w:rPr>
                <w:sz w:val="20"/>
                <w:szCs w:val="20"/>
                <w:color w:val="auto"/>
              </w:rPr>
            </w:pPr>
            <w:r>
              <w:rPr>
                <w:rFonts w:ascii="Arial" w:cs="Arial" w:eastAsia="Arial" w:hAnsi="Arial"/>
                <w:sz w:val="17"/>
                <w:szCs w:val="17"/>
                <w:color w:val="auto"/>
              </w:rPr>
              <w:t>to Sponsor</w:t>
            </w:r>
            <w:r>
              <w:rPr>
                <w:rFonts w:ascii="Arial" w:cs="Arial" w:eastAsia="Arial" w:hAnsi="Arial"/>
                <w:sz w:val="28"/>
                <w:szCs w:val="28"/>
                <w:color w:val="auto"/>
                <w:vertAlign w:val="superscript"/>
              </w:rPr>
              <w:t>(1)</w:t>
            </w:r>
          </w:p>
        </w:tc>
        <w:tc>
          <w:tcPr>
            <w:tcW w:w="660" w:type="dxa"/>
            <w:vAlign w:val="bottom"/>
            <w:gridSpan w:val="4"/>
          </w:tcPr>
          <w:p>
            <w:pPr>
              <w:ind w:lef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2"/>
                <w:szCs w:val="22"/>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
              <w:spacing w:after="0"/>
              <w:rPr>
                <w:sz w:val="20"/>
                <w:szCs w:val="20"/>
                <w:color w:val="auto"/>
              </w:rPr>
            </w:pPr>
            <w:r>
              <w:rPr>
                <w:rFonts w:ascii="Arial" w:cs="Arial" w:eastAsia="Arial" w:hAnsi="Arial"/>
                <w:sz w:val="17"/>
                <w:szCs w:val="17"/>
                <w:color w:val="auto"/>
              </w:rPr>
              <w:t>3,593,750</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w w:val="91"/>
              </w:rPr>
              <w:t>359</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7"/>
                <w:szCs w:val="17"/>
                <w:color w:val="auto"/>
                <w:w w:val="99"/>
              </w:rPr>
              <w:t>24,641</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4"/>
          </w:tcPr>
          <w:p>
            <w:pPr>
              <w:jc w:val="right"/>
              <w:ind w:right="3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w w:val="96"/>
              </w:rPr>
              <w:t>25,000</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loss</w:t>
            </w:r>
          </w:p>
        </w:tc>
        <w:tc>
          <w:tcPr>
            <w:tcW w:w="660" w:type="dxa"/>
            <w:vAlign w:val="bottom"/>
            <w:gridSpan w:val="4"/>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3"/>
            <w:shd w:val="clear" w:color="auto" w:fill="CCEEFF"/>
          </w:tcPr>
          <w:p>
            <w:pPr>
              <w:jc w:val="center"/>
              <w:ind w:right="180"/>
              <w:spacing w:after="0"/>
              <w:rPr>
                <w:sz w:val="20"/>
                <w:szCs w:val="20"/>
                <w:color w:val="auto"/>
              </w:rPr>
            </w:pPr>
            <w:r>
              <w:rPr>
                <w:rFonts w:ascii="Arial" w:cs="Arial" w:eastAsia="Arial" w:hAnsi="Arial"/>
                <w:sz w:val="17"/>
                <w:szCs w:val="17"/>
                <w:color w:val="auto"/>
              </w:rPr>
              <w:t>(4,245)</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(4,245)</w:t>
            </w:r>
          </w:p>
        </w:tc>
        <w:tc>
          <w:tcPr>
            <w:tcW w:w="0" w:type="dxa"/>
            <w:vAlign w:val="bottom"/>
          </w:tcPr>
          <w:p>
            <w:pPr>
              <w:spacing w:after="0"/>
              <w:rPr>
                <w:sz w:val="1"/>
                <w:szCs w:val="1"/>
                <w:color w:val="auto"/>
              </w:rPr>
            </w:pPr>
          </w:p>
        </w:tc>
      </w:tr>
      <w:tr>
        <w:trPr>
          <w:trHeight w:val="74"/>
        </w:trPr>
        <w:tc>
          <w:tcPr>
            <w:tcW w:w="30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auto"/>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30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56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80" w:type="dxa"/>
            <w:vAlign w:val="bottom"/>
            <w:vMerge w:val="restart"/>
          </w:tcPr>
          <w:p>
            <w:pPr>
              <w:spacing w:after="0"/>
              <w:rPr>
                <w:sz w:val="20"/>
                <w:szCs w:val="20"/>
                <w:color w:val="auto"/>
              </w:rPr>
            </w:pPr>
            <w:r>
              <w:rPr>
                <w:rFonts w:ascii="Arial" w:cs="Arial" w:eastAsia="Arial" w:hAnsi="Arial"/>
                <w:sz w:val="17"/>
                <w:szCs w:val="17"/>
                <w:b w:val="1"/>
                <w:bCs w:val="1"/>
                <w:color w:val="auto"/>
              </w:rPr>
              <w:t>Balance - April 2, 2020</w:t>
            </w:r>
          </w:p>
        </w:tc>
        <w:tc>
          <w:tcPr>
            <w:tcW w:w="660" w:type="dxa"/>
            <w:vAlign w:val="bottom"/>
            <w:gridSpan w:val="4"/>
          </w:tcPr>
          <w:p>
            <w:pPr>
              <w:ind w:left="120"/>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24"/>
                <w:szCs w:val="24"/>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w w:val="90"/>
              </w:rPr>
              <w:t>$—</w:t>
            </w:r>
          </w:p>
        </w:tc>
        <w:tc>
          <w:tcPr>
            <w:tcW w:w="1000" w:type="dxa"/>
            <w:vAlign w:val="bottom"/>
            <w:gridSpan w:val="2"/>
          </w:tcPr>
          <w:p>
            <w:pPr>
              <w:jc w:val="right"/>
              <w:spacing w:after="0"/>
              <w:rPr>
                <w:sz w:val="20"/>
                <w:szCs w:val="20"/>
                <w:color w:val="auto"/>
              </w:rPr>
            </w:pPr>
            <w:r>
              <w:rPr>
                <w:rFonts w:ascii="Arial" w:cs="Arial" w:eastAsia="Arial" w:hAnsi="Arial"/>
                <w:sz w:val="17"/>
                <w:szCs w:val="17"/>
                <w:b w:val="1"/>
                <w:bCs w:val="1"/>
                <w:color w:val="auto"/>
              </w:rPr>
              <w:t>3,593,750</w:t>
            </w:r>
          </w:p>
        </w:tc>
        <w:tc>
          <w:tcPr>
            <w:tcW w:w="160" w:type="dxa"/>
            <w:vAlign w:val="bottom"/>
          </w:tcPr>
          <w:p>
            <w:pPr>
              <w:spacing w:after="0"/>
              <w:rPr>
                <w:sz w:val="24"/>
                <w:szCs w:val="24"/>
                <w:color w:val="auto"/>
              </w:rPr>
            </w:pPr>
          </w:p>
        </w:tc>
        <w:tc>
          <w:tcPr>
            <w:tcW w:w="120" w:type="dxa"/>
            <w:vAlign w:val="bottom"/>
            <w:gridSpan w:val="2"/>
          </w:tcPr>
          <w:p>
            <w:pPr>
              <w:ind w:left="20"/>
              <w:spacing w:after="0"/>
              <w:rPr>
                <w:sz w:val="20"/>
                <w:szCs w:val="20"/>
                <w:color w:val="auto"/>
              </w:rPr>
            </w:pPr>
            <w:r>
              <w:rPr>
                <w:rFonts w:ascii="Arial" w:cs="Arial" w:eastAsia="Arial" w:hAnsi="Arial"/>
                <w:sz w:val="17"/>
                <w:szCs w:val="17"/>
                <w:b w:val="1"/>
                <w:bCs w:val="1"/>
                <w:color w:val="auto"/>
                <w:w w:val="84"/>
              </w:rPr>
              <w:t>$</w:t>
            </w:r>
          </w:p>
        </w:tc>
        <w:tc>
          <w:tcPr>
            <w:tcW w:w="44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359</w:t>
            </w:r>
          </w:p>
        </w:tc>
        <w:tc>
          <w:tcPr>
            <w:tcW w:w="26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560" w:type="dxa"/>
            <w:vAlign w:val="bottom"/>
          </w:tcPr>
          <w:p>
            <w:pPr>
              <w:jc w:val="right"/>
              <w:spacing w:after="0"/>
              <w:rPr>
                <w:sz w:val="20"/>
                <w:szCs w:val="20"/>
                <w:color w:val="auto"/>
              </w:rPr>
            </w:pPr>
            <w:r>
              <w:rPr>
                <w:rFonts w:ascii="Arial" w:cs="Arial" w:eastAsia="Arial" w:hAnsi="Arial"/>
                <w:sz w:val="17"/>
                <w:szCs w:val="17"/>
                <w:b w:val="1"/>
                <w:bCs w:val="1"/>
                <w:color w:val="auto"/>
              </w:rPr>
              <w:t>24,641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740" w:type="dxa"/>
            <w:vAlign w:val="bottom"/>
            <w:gridSpan w:val="3"/>
          </w:tcPr>
          <w:p>
            <w:pPr>
              <w:jc w:val="right"/>
              <w:ind w:right="140"/>
              <w:spacing w:after="0"/>
              <w:rPr>
                <w:sz w:val="20"/>
                <w:szCs w:val="20"/>
                <w:color w:val="auto"/>
              </w:rPr>
            </w:pPr>
            <w:r>
              <w:rPr>
                <w:rFonts w:ascii="Arial" w:cs="Arial" w:eastAsia="Arial" w:hAnsi="Arial"/>
                <w:sz w:val="17"/>
                <w:szCs w:val="17"/>
                <w:b w:val="1"/>
                <w:bCs w:val="1"/>
                <w:color w:val="auto"/>
              </w:rPr>
              <w:t>(4,245)</w:t>
            </w:r>
          </w:p>
        </w:tc>
        <w:tc>
          <w:tcPr>
            <w:tcW w:w="16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800" w:type="dxa"/>
            <w:vAlign w:val="bottom"/>
            <w:gridSpan w:val="3"/>
          </w:tcPr>
          <w:p>
            <w:pPr>
              <w:jc w:val="right"/>
              <w:ind w:right="240"/>
              <w:spacing w:after="0"/>
              <w:rPr>
                <w:sz w:val="20"/>
                <w:szCs w:val="20"/>
                <w:color w:val="auto"/>
              </w:rPr>
            </w:pPr>
            <w:r>
              <w:rPr>
                <w:rFonts w:ascii="Arial" w:cs="Arial" w:eastAsia="Arial" w:hAnsi="Arial"/>
                <w:sz w:val="17"/>
                <w:szCs w:val="17"/>
                <w:b w:val="1"/>
                <w:bCs w:val="1"/>
                <w:color w:val="auto"/>
              </w:rPr>
              <w:t>20,755</w:t>
            </w:r>
          </w:p>
        </w:tc>
        <w:tc>
          <w:tcPr>
            <w:tcW w:w="0" w:type="dxa"/>
            <w:vAlign w:val="bottom"/>
          </w:tcPr>
          <w:p>
            <w:pPr>
              <w:spacing w:after="0"/>
              <w:rPr>
                <w:sz w:val="1"/>
                <w:szCs w:val="1"/>
                <w:color w:val="auto"/>
              </w:rPr>
            </w:pPr>
          </w:p>
        </w:tc>
      </w:tr>
      <w:tr>
        <w:trPr>
          <w:trHeight w:val="20"/>
        </w:trPr>
        <w:tc>
          <w:tcPr>
            <w:tcW w:w="30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
        </w:trPr>
        <w:tc>
          <w:tcPr>
            <w:tcW w:w="30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-1148080</wp:posOffset>
            </wp:positionV>
            <wp:extent cx="10287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-1148080</wp:posOffset>
            </wp:positionV>
            <wp:extent cx="10287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-1148080</wp:posOffset>
            </wp:positionV>
            <wp:extent cx="10287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-1148080</wp:posOffset>
            </wp:positionV>
            <wp:extent cx="514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-1148080</wp:posOffset>
            </wp:positionV>
            <wp:extent cx="10287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-1148080</wp:posOffset>
            </wp:positionV>
            <wp:extent cx="10287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-1148080</wp:posOffset>
            </wp:positionV>
            <wp:extent cx="10287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6" w:lineRule="exact"/>
        <w:rPr>
          <w:sz w:val="20"/>
          <w:szCs w:val="20"/>
          <w:color w:val="auto"/>
        </w:rPr>
      </w:pPr>
    </w:p>
    <w:p>
      <w:pPr>
        <w:ind w:left="360" w:hanging="352"/>
        <w:spacing w:after="0"/>
        <w:tabs>
          <w:tab w:leader="none" w:pos="360" w:val="left"/>
        </w:tabs>
        <w:numPr>
          <w:ilvl w:val="0"/>
          <w:numId w:val="38"/>
        </w:numPr>
        <w:rPr>
          <w:rFonts w:ascii="Arial" w:cs="Arial" w:eastAsia="Arial" w:hAnsi="Arial"/>
          <w:sz w:val="13"/>
          <w:szCs w:val="13"/>
          <w:i w:val="1"/>
          <w:iCs w:val="1"/>
          <w:color w:val="auto"/>
        </w:rPr>
      </w:pPr>
      <w:r>
        <w:rPr>
          <w:rFonts w:ascii="Arial" w:cs="Arial" w:eastAsia="Arial" w:hAnsi="Arial"/>
          <w:sz w:val="13"/>
          <w:szCs w:val="13"/>
          <w:i w:val="1"/>
          <w:iCs w:val="1"/>
          <w:color w:val="auto"/>
        </w:rPr>
        <w:t>This number includes up to 468,750 shares subject to forfeiture if the over-allotment option is not exercised in full or in part by the underwriters.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145" w:name="page146"/>
    <w:bookmarkEnd w:id="14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ARYA SCIENCES ACQUISITION CORP III</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w:t>
      </w:r>
    </w:p>
    <w:p>
      <w:pPr>
        <w:jc w:val="center"/>
        <w:spacing w:after="0"/>
        <w:rPr>
          <w:sz w:val="20"/>
          <w:szCs w:val="20"/>
          <w:color w:val="auto"/>
        </w:rPr>
      </w:pPr>
      <w:r>
        <w:rPr>
          <w:rFonts w:ascii="Arial" w:cs="Arial" w:eastAsia="Arial" w:hAnsi="Arial"/>
          <w:sz w:val="18"/>
          <w:szCs w:val="18"/>
          <w:b w:val="1"/>
          <w:bCs w:val="1"/>
          <w:color w:val="auto"/>
        </w:rPr>
        <w:t>For the period from March 27, 2020 (inception) through April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5760720" cy="2654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760720" cy="265430"/>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 from Operating Activities: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900" w:type="dxa"/>
            <w:vAlign w:val="bottom"/>
          </w:tcPr>
          <w:p>
            <w:pPr>
              <w:spacing w:after="0"/>
              <w:rPr>
                <w:sz w:val="20"/>
                <w:szCs w:val="20"/>
                <w:color w:val="auto"/>
              </w:rPr>
            </w:pPr>
            <w:r>
              <w:rPr>
                <w:rFonts w:ascii="Arial" w:cs="Arial" w:eastAsia="Arial" w:hAnsi="Arial"/>
                <w:sz w:val="17"/>
                <w:szCs w:val="17"/>
                <w:color w:val="auto"/>
              </w:rPr>
              <w:t>Net loss</w:t>
            </w:r>
          </w:p>
        </w:tc>
        <w:tc>
          <w:tcPr>
            <w:tcW w:w="2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gridSpan w:val="3"/>
          </w:tcPr>
          <w:p>
            <w:pPr>
              <w:jc w:val="right"/>
              <w:ind w:right="20"/>
              <w:spacing w:after="0"/>
              <w:rPr>
                <w:sz w:val="20"/>
                <w:szCs w:val="20"/>
                <w:color w:val="auto"/>
              </w:rPr>
            </w:pPr>
            <w:r>
              <w:rPr>
                <w:rFonts w:ascii="Arial" w:cs="Arial" w:eastAsia="Arial" w:hAnsi="Arial"/>
                <w:sz w:val="17"/>
                <w:szCs w:val="17"/>
                <w:color w:val="auto"/>
              </w:rPr>
              <w:t>(4,245)</w:t>
            </w:r>
          </w:p>
        </w:tc>
        <w:tc>
          <w:tcPr>
            <w:tcW w:w="0" w:type="dxa"/>
            <w:vAlign w:val="bottom"/>
          </w:tcPr>
          <w:p>
            <w:pPr>
              <w:spacing w:after="0"/>
              <w:rPr>
                <w:sz w:val="1"/>
                <w:szCs w:val="1"/>
                <w:color w:val="auto"/>
              </w:rPr>
            </w:pPr>
          </w:p>
        </w:tc>
      </w:tr>
      <w:tr>
        <w:trPr>
          <w:trHeight w:val="58"/>
        </w:trPr>
        <w:tc>
          <w:tcPr>
            <w:tcW w:w="590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Changes in operating assets and liabilities:</w:t>
            </w:r>
          </w:p>
        </w:tc>
        <w:tc>
          <w:tcPr>
            <w:tcW w:w="2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900" w:type="dxa"/>
            <w:vAlign w:val="bottom"/>
          </w:tcPr>
          <w:p>
            <w:pPr>
              <w:ind w:left="360"/>
              <w:spacing w:after="0"/>
              <w:rPr>
                <w:sz w:val="20"/>
                <w:szCs w:val="20"/>
                <w:color w:val="auto"/>
              </w:rPr>
            </w:pPr>
            <w:r>
              <w:rPr>
                <w:rFonts w:ascii="Arial" w:cs="Arial" w:eastAsia="Arial" w:hAnsi="Arial"/>
                <w:sz w:val="17"/>
                <w:szCs w:val="17"/>
                <w:color w:val="auto"/>
              </w:rPr>
              <w:t>Accrued expenses</w:t>
            </w:r>
          </w:p>
        </w:tc>
        <w:tc>
          <w:tcPr>
            <w:tcW w:w="25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4,245</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5"/>
        </w:trPr>
        <w:tc>
          <w:tcPr>
            <w:tcW w:w="590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5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b w:val="1"/>
                <w:bCs w:val="1"/>
                <w:color w:val="auto"/>
              </w:rPr>
              <w:t>Net cash used in operating activities</w:t>
            </w:r>
          </w:p>
        </w:tc>
        <w:tc>
          <w:tcPr>
            <w:tcW w:w="2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74"/>
        </w:trPr>
        <w:tc>
          <w:tcPr>
            <w:tcW w:w="5900" w:type="dxa"/>
            <w:vAlign w:val="bottom"/>
            <w:shd w:val="clear" w:color="auto" w:fill="CCEEFF"/>
          </w:tcPr>
          <w:p>
            <w:pPr>
              <w:spacing w:after="0"/>
              <w:rPr>
                <w:sz w:val="6"/>
                <w:szCs w:val="6"/>
                <w:color w:val="auto"/>
              </w:rPr>
            </w:pPr>
          </w:p>
        </w:tc>
        <w:tc>
          <w:tcPr>
            <w:tcW w:w="2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51"/>
        </w:trPr>
        <w:tc>
          <w:tcPr>
            <w:tcW w:w="59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Net change in cash</w:t>
            </w:r>
          </w:p>
        </w:tc>
        <w:tc>
          <w:tcPr>
            <w:tcW w:w="2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24"/>
        </w:trPr>
        <w:tc>
          <w:tcPr>
            <w:tcW w:w="59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Cash - beginning of the period</w:t>
            </w:r>
          </w:p>
        </w:tc>
        <w:tc>
          <w:tcPr>
            <w:tcW w:w="2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74"/>
        </w:trPr>
        <w:tc>
          <w:tcPr>
            <w:tcW w:w="5900" w:type="dxa"/>
            <w:vAlign w:val="bottom"/>
            <w:shd w:val="clear" w:color="auto" w:fill="CCEEFF"/>
          </w:tcPr>
          <w:p>
            <w:pPr>
              <w:spacing w:after="0"/>
              <w:rPr>
                <w:sz w:val="6"/>
                <w:szCs w:val="6"/>
                <w:color w:val="auto"/>
              </w:rPr>
            </w:pPr>
          </w:p>
        </w:tc>
        <w:tc>
          <w:tcPr>
            <w:tcW w:w="2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5900" w:type="dxa"/>
            <w:vAlign w:val="bottom"/>
            <w:vMerge w:val="restart"/>
          </w:tcPr>
          <w:p>
            <w:pPr>
              <w:spacing w:after="0"/>
              <w:rPr>
                <w:sz w:val="20"/>
                <w:szCs w:val="20"/>
                <w:color w:val="auto"/>
              </w:rPr>
            </w:pPr>
            <w:r>
              <w:rPr>
                <w:rFonts w:ascii="Arial" w:cs="Arial" w:eastAsia="Arial" w:hAnsi="Arial"/>
                <w:sz w:val="17"/>
                <w:szCs w:val="17"/>
                <w:b w:val="1"/>
                <w:bCs w:val="1"/>
                <w:color w:val="auto"/>
              </w:rPr>
              <w:t>Cash - end of the period</w:t>
            </w:r>
          </w:p>
        </w:tc>
        <w:tc>
          <w:tcPr>
            <w:tcW w:w="250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gridSpan w:val="2"/>
          </w:tcPr>
          <w:p>
            <w:pPr>
              <w:ind w:left="380"/>
              <w:spacing w:after="0"/>
              <w:rPr>
                <w:sz w:val="20"/>
                <w:szCs w:val="20"/>
                <w:color w:val="auto"/>
              </w:rPr>
            </w:pPr>
            <w:r>
              <w:rPr>
                <w:rFonts w:ascii="Arial" w:cs="Arial" w:eastAsia="Arial" w:hAnsi="Arial"/>
                <w:sz w:val="17"/>
                <w:szCs w:val="17"/>
                <w:color w:val="auto"/>
                <w:w w:val="93"/>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900" w:type="dxa"/>
            <w:vAlign w:val="bottom"/>
            <w:vMerge w:val="continu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590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4"/>
        </w:trPr>
        <w:tc>
          <w:tcPr>
            <w:tcW w:w="590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Supplemental disclosure of noncash investing and financing activities: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7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7"/>
                <w:szCs w:val="17"/>
                <w:color w:val="auto"/>
              </w:rPr>
              <w:t>Deferred offering costs paid by Sponsor in exchange for issuance of Class B ordinary shares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$25,000</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146" w:name="page147"/>
    <w:bookmarkEnd w:id="14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ARYA SCIENCES ACQUISITION CORP III</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 Description of Organization and Business Operations</w:t>
      </w:r>
    </w:p>
    <w:p>
      <w:pPr>
        <w:spacing w:after="0" w:line="176" w:lineRule="exact"/>
        <w:rPr>
          <w:sz w:val="20"/>
          <w:szCs w:val="20"/>
          <w:color w:val="auto"/>
        </w:rPr>
      </w:pPr>
    </w:p>
    <w:p>
      <w:pPr>
        <w:ind w:right="200"/>
        <w:spacing w:after="0" w:line="235" w:lineRule="auto"/>
        <w:rPr>
          <w:sz w:val="20"/>
          <w:szCs w:val="20"/>
          <w:color w:val="auto"/>
        </w:rPr>
      </w:pPr>
      <w:r>
        <w:rPr>
          <w:rFonts w:ascii="Arial" w:cs="Arial" w:eastAsia="Arial" w:hAnsi="Arial"/>
          <w:sz w:val="17"/>
          <w:szCs w:val="17"/>
          <w:color w:val="auto"/>
        </w:rPr>
        <w:t>ARYA Sciences Acquisition Corp III (the “Company”) was incorporated as a Cayman Islands exempted company on March 27, 2020. The Company was formed for the purpose of effecting a merger, share exchange, asset acquisition, share purchase, reorganization or similar business combination with one or more businesses (the “Business Combination”). The Company is an emerging growth company and, as such, the Company is subject to all of the risks associated with emerging growth companies.</w:t>
      </w:r>
    </w:p>
    <w:p>
      <w:pPr>
        <w:spacing w:after="0" w:line="163" w:lineRule="exact"/>
        <w:rPr>
          <w:sz w:val="20"/>
          <w:szCs w:val="20"/>
          <w:color w:val="auto"/>
        </w:rPr>
      </w:pPr>
    </w:p>
    <w:p>
      <w:pPr>
        <w:ind w:right="200"/>
        <w:spacing w:after="0" w:line="235" w:lineRule="auto"/>
        <w:rPr>
          <w:sz w:val="20"/>
          <w:szCs w:val="20"/>
          <w:color w:val="auto"/>
        </w:rPr>
      </w:pPr>
      <w:r>
        <w:rPr>
          <w:rFonts w:ascii="Arial" w:cs="Arial" w:eastAsia="Arial" w:hAnsi="Arial"/>
          <w:sz w:val="17"/>
          <w:szCs w:val="17"/>
          <w:color w:val="auto"/>
        </w:rPr>
        <w:t>As of April 2, 2020, the Company had not commenced any operations. All activity for the period from March 27, 2020 (inception) through April 2, 2020 relates to the Company’s formation and the proposed initial public offering described below. The Company will not generate any operating revenues until after the completion of its initial Business Combination, at the earliest. The Company will generate non-operating income in the form of interest income on cash and cash equivalents from the proceeds derived from the Proposed Public Offering (as defined below). The Company has selected December 31 as its fiscal year end.</w:t>
      </w:r>
    </w:p>
    <w:p>
      <w:pPr>
        <w:spacing w:after="0" w:line="161"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The Company’s sponsor is ARYA Sciences Holdings III, a Cayman Islands exempted limited company (the “Sponsor”). The Company’s ability to commence operations is contingent upon obtaining adequate financial resources through a proposed public offering (the “Proposed Public Offering”) of 12,500,000 Class A ordinary shares (each, a “Public Share” and collectively, the “Public Shares”) at $10.00 per Public Share (or 14,375,000 Public Shares if the underwriters’ over-allotment option is exercised in full), which is discussed in Note 3, and the sale of 450,000 Class A ordinary shares (or 487,500 Class A ordinary shares if the underwriters’ over-allotment option is exercised in full) (each, a “Private Placement Share” and collectively, the “Private Placement Shares”), at a price of $10.00 per Private Placement Share in a private placement to the Sponsor that will close simultaneously with the Proposed Public Offering.</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Proposed Public Offering and the sale of Private Placement Shares,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net assets held in the Trust Account (as defined below) (excluding the amount of deferred underwriting commissions and taxes payable on the interest earned on the Trust Account) at the time of the signing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 Upon the closing of the Proposed Public Offering, management has agreed that an amount equal to at least $10.00 per Public Share sold in the Proposed Public Offering, including the proceeds from the sale of the Private Placement Shares, will be held in a trust account (“Trust Account”), located in the United States at J.P. Morgan Chase Bank, N.A., with Continental Stock Transfer &amp; Trust Company acting as trustee, and will be invested only in U.S. government securities, within the meaning set forth in Section 2(a)(16) of the Investment Company Act, with a maturity of 185 days or less or in money market fund meeting the conditions of paragraphs (d)(1), (d)(2), (d)(3) and (d)(4) of Rule 2a-7 of the Investment Company Act, as determined by the Company, until the earlier of: (i) the completion of a Business Combination and (ii) the distribution of the Trust Account as described below.</w:t>
      </w:r>
    </w:p>
    <w:p>
      <w:pPr>
        <w:spacing w:after="0" w:line="24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Company will provide the holders (the “Public Shareholders”) of Public Shares,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(initially anticipated to be $10.00 per Public Share, plus any pro rata interest earned on the funds held in the Trust Account and not previously released to the Company to pay income taxes). The per-share amount to be distributed to Public Shareholders who redeem their Public Shares will not be reduced by the deferred underwriting commissions the Company will pay to the underwriters (as discussed in Note 5).</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147" w:name="page148"/>
    <w:bookmarkEnd w:id="14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These Public Shares will be classified as temporary equity upon the completion of the Proposed Public Offering in accordance with the Financial Accounting Standards Board’s (“FASB”) Accounting Standards Codification (“ASC”) Topic 480 “Distinguishing Liabilities from Equity.” In such case, the Company will proceed with a Business Combination if the Company has net tangible assets of at least $5,000,001 upon such consummation of a Business Combination and, only if a majority of the ordinary shares, represented in person or by proxy and entitled to vote thereon, voted at a shareholder meeting are voted in favor of the Business Combination. If a shareholder vote is not required by law and the Company does not decide to hold a shareholder vote for business or other reasons, the Company will, pursuant to the amended and restated memorandum and articles of association which the Company will adopt upon the consummation of the Proposed Public Offering (the “Amended and Restated Memorandum and Articles of Association”), conduct the redemptions pursuant to the tender offer rules of the U.S. Securities and Exchange Commission (“SEC”) and file tender offer documents with the SEC prior to completing a Business Combination. If, however, shareholder approval of the transactions is required by law, or the Company decides to obtain shareholder approval for business or reasons, the Company will offer to redeem shares in conjunction with a proxy solicitation pursuant to the proxy rules and not pursuant to the tender offer rules. Additionally, each Public Shareholder may elect to redeem their Public Shares irrespective of whether they vote for or against the proposed transaction or vote at all. If the Company seeks shareholder approval in connection with a Business Combination, the initial shareholders (as defined below) have agreed to vote their Founder Shares (as defined below in Note 4) and any Public Shares purchased during or after the Proposed Public Offering in favor of a Business Combination. Subsequent to the consummation of the Proposed Public Offering, the Company will adopt an insider trading policy which will require insiders to: (i) refrain from purchasing shares during certain blackout periods and when they are in possession of any material non-public information and (ii) to clear all trades with the Company’s legal counsel prior to execution. In addition, the initial shareholders have agreed to waive their redemption rights with respect to their Founder Shares, Private Placement Shares and Public Shares in connection with the completion of a Business Combination.</w:t>
      </w:r>
    </w:p>
    <w:p>
      <w:pPr>
        <w:spacing w:after="0" w:line="176"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Notwithstanding the foregoing, if the Company seeks shareholder approval of its Business Combination and does not conduct redemptions in connection with its Business Combination pursuant to the tender offer rules, the Amended and Restated Memorandum and Articles of Association will provide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of the Class A ordinary shares sold in the Proposed Public Offering, without the prior consent of the Company.</w:t>
      </w:r>
    </w:p>
    <w:p>
      <w:pPr>
        <w:spacing w:after="0" w:line="164"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The Company’s Sponsor, officers and directors (the “initial shareholders”) have agreed not to propose an amendment to the Amended and Restated Memorandum and Articles of Association (a) that would modify the substance or timing of the Company’s obligation to provide holders of its Public Shares the right to have their shares redeemed in connection with a Business Combination or to redeem 100% of the Company’s Public Shares if the Company does not complete its Business Combination within 24 months from the closing of the Proposed Public Offering (the “Combination Period”) or with respect to any other provision relating to the rights of Public Shareholders, unless the Company provides the Public Shareholders with the opportunity to redeem their Class A ordinary shares in conjunction with any such amendment.</w:t>
      </w:r>
    </w:p>
    <w:p>
      <w:pPr>
        <w:spacing w:after="0" w:line="151" w:lineRule="exact"/>
        <w:rPr>
          <w:sz w:val="20"/>
          <w:szCs w:val="20"/>
          <w:color w:val="auto"/>
        </w:rPr>
      </w:pPr>
    </w:p>
    <w:p>
      <w:pPr>
        <w:ind w:right="40"/>
        <w:spacing w:after="0" w:line="232" w:lineRule="auto"/>
        <w:rPr>
          <w:sz w:val="20"/>
          <w:szCs w:val="20"/>
          <w:color w:val="auto"/>
        </w:rPr>
      </w:pPr>
      <w:r>
        <w:rPr>
          <w:rFonts w:ascii="Arial" w:cs="Arial" w:eastAsia="Arial" w:hAnsi="Arial"/>
          <w:sz w:val="17"/>
          <w:szCs w:val="17"/>
          <w:color w:val="auto"/>
        </w:rPr>
        <w:t>If the Company has not completed a Business Combination within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for its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w:t>
      </w:r>
    </w:p>
    <w:p>
      <w:pPr>
        <w:ind w:right="120" w:firstLine="8"/>
        <w:spacing w:after="0" w:line="236" w:lineRule="auto"/>
        <w:tabs>
          <w:tab w:leader="none" w:pos="275" w:val="left"/>
        </w:tabs>
        <w:numPr>
          <w:ilvl w:val="0"/>
          <w:numId w:val="39"/>
        </w:numPr>
        <w:rPr>
          <w:rFonts w:ascii="Arial" w:cs="Arial" w:eastAsia="Arial" w:hAnsi="Arial"/>
          <w:sz w:val="17"/>
          <w:szCs w:val="17"/>
          <w:color w:val="auto"/>
        </w:rPr>
      </w:pPr>
      <w:r>
        <w:rPr>
          <w:rFonts w:ascii="Arial" w:cs="Arial" w:eastAsia="Arial" w:hAnsi="Arial"/>
          <w:sz w:val="17"/>
          <w:szCs w:val="17"/>
          <w:color w:val="auto"/>
        </w:rPr>
        <w:t>as promptly as reasonably possible following such redemption, subject to the approval of the Company’s remaining shareholders and its board of directors, liquidate and dissolve, subject in the case of clauses (ii) and (iii) to the Company’s obligations under Cayman Islands law to provide for claims of creditors and the requirements of other applicable law.</w:t>
      </w:r>
    </w:p>
    <w:p>
      <w:pPr>
        <w:spacing w:after="0" w:line="163" w:lineRule="exact"/>
        <w:rPr>
          <w:sz w:val="20"/>
          <w:szCs w:val="20"/>
          <w:color w:val="auto"/>
        </w:rPr>
      </w:pPr>
    </w:p>
    <w:p>
      <w:pPr>
        <w:ind w:right="240"/>
        <w:spacing w:after="0" w:line="236" w:lineRule="auto"/>
        <w:rPr>
          <w:sz w:val="20"/>
          <w:szCs w:val="20"/>
          <w:color w:val="auto"/>
        </w:rPr>
      </w:pPr>
      <w:r>
        <w:rPr>
          <w:rFonts w:ascii="Arial" w:cs="Arial" w:eastAsia="Arial" w:hAnsi="Arial"/>
          <w:sz w:val="17"/>
          <w:szCs w:val="17"/>
          <w:color w:val="auto"/>
        </w:rPr>
        <w:t>The initial shareholders have agreed to waive their liquidation rights with respect to the Founder Shares and Private Placement Shares held by them if the Company fails to complete a Business Combination within the Combination Period. However, if the initial shareholders acquire Public Shares in or after the Proposed Public Offering, they will be entitled to</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148" w:name="page149"/>
    <w:bookmarkEnd w:id="14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liquidating distributions from the Trust Account with respect to such Public Shares if the Company fails to complete a Business Combination within the Combination Period. The underwriters have agreed to waive their rights to their deferred underwriting commission (see Note 5)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(including Trust Account assets) will be only $10.00 per share initially held in the Trust Account. 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to below the lesser of</w:t>
      </w:r>
    </w:p>
    <w:p>
      <w:pPr>
        <w:ind w:right="80" w:firstLine="8"/>
        <w:spacing w:after="0" w:line="235" w:lineRule="auto"/>
        <w:tabs>
          <w:tab w:leader="none" w:pos="199" w:val="left"/>
        </w:tabs>
        <w:numPr>
          <w:ilvl w:val="0"/>
          <w:numId w:val="40"/>
        </w:numPr>
        <w:rPr>
          <w:rFonts w:ascii="Arial" w:cs="Arial" w:eastAsia="Arial" w:hAnsi="Arial"/>
          <w:sz w:val="17"/>
          <w:szCs w:val="17"/>
          <w:color w:val="auto"/>
        </w:rPr>
      </w:pPr>
      <w:r>
        <w:rPr>
          <w:rFonts w:ascii="Arial" w:cs="Arial" w:eastAsia="Arial" w:hAnsi="Arial"/>
          <w:sz w:val="17"/>
          <w:szCs w:val="17"/>
          <w:color w:val="auto"/>
        </w:rPr>
        <w:t>$10.00 per Public Share and (ii) the actual amount per Public Share held in the Trust Account as of the date of the liquidation of the Trust Account if less than $10.00 per Public Share due to reductions in the value of the trust assets. This liability will not apply with respect to any claims by a third party who executed a waiver of any right, title, interest or claim of any kind in or to any monies held in the Trust Account or to any claims under the Company’s indemnity of the underwriters of the Proposed Public Offering against certain liabilities, including liabilities under the Securities Act of 1933, as amended (the “Securities Act”).</w:t>
      </w:r>
    </w:p>
    <w:p>
      <w:pPr>
        <w:spacing w:after="0" w:line="161"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Moreover, in the event that an executed waiver is deemed to be unenforceable against a third party, the Sponsor will not be responsible to the extent of any liability for such third party claims. The Company will seek to reduce the possibility that the Sponsor will have to indemnify the Trust Account due to claims of creditors by endeavoring to have all vendors, service providers (excluding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Summary of Significant Accounting Policies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54"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The accompanying financial statements are presented in U.S. dollars in conformity with accounting principles generally accepted in the United States of America (“U.S. GAAP”) and pursuant to the rules and regulations of the SEC.</w:t>
      </w:r>
    </w:p>
    <w:p>
      <w:pPr>
        <w:spacing w:after="0" w:line="144" w:lineRule="exact"/>
        <w:rPr>
          <w:sz w:val="20"/>
          <w:szCs w:val="20"/>
          <w:color w:val="auto"/>
        </w:rPr>
      </w:pPr>
    </w:p>
    <w:p>
      <w:pPr>
        <w:ind w:right="120"/>
        <w:spacing w:after="0" w:line="234" w:lineRule="auto"/>
        <w:rPr>
          <w:sz w:val="20"/>
          <w:szCs w:val="20"/>
          <w:color w:val="auto"/>
        </w:rPr>
      </w:pPr>
      <w:r>
        <w:rPr>
          <w:rFonts w:ascii="Arial" w:cs="Arial" w:eastAsia="Arial" w:hAnsi="Arial"/>
          <w:sz w:val="17"/>
          <w:szCs w:val="17"/>
          <w:color w:val="auto"/>
        </w:rPr>
        <w:t>The Company does not have sufficient liquidity to meet its anticipated obligations over the next year from the date of issuance of these financial statements. In connection with the Company’s assessment of going concern considerations in accordance with FASB’s Accounting Standards Update (“ASU”) 2014-15, “Disclosures of Uncertainties about an Entity’s Ability to Continue as a Going Concern,” management has determined that the Company has access to funds from the Sponsor that are sufficient to fund the working capital needs of the Company until the earlier of the consummation of the Proposed Public Offering, at which time the Company will have sufficient working capital, or one year from the issuance of these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Emerging Growth Company</w:t>
      </w:r>
    </w:p>
    <w:p>
      <w:pPr>
        <w:spacing w:after="0" w:line="54"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Section 102(b)(1) of the Jumpstart Our Business Startups Act of 2012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 Per Ordinary Share</w:t>
      </w:r>
    </w:p>
    <w:p>
      <w:pPr>
        <w:spacing w:after="0" w:line="54" w:lineRule="exact"/>
        <w:rPr>
          <w:sz w:val="20"/>
          <w:szCs w:val="20"/>
          <w:color w:val="auto"/>
        </w:rPr>
      </w:pPr>
    </w:p>
    <w:p>
      <w:pPr>
        <w:ind w:right="260"/>
        <w:spacing w:after="0" w:line="236" w:lineRule="auto"/>
        <w:rPr>
          <w:sz w:val="20"/>
          <w:szCs w:val="20"/>
          <w:color w:val="auto"/>
        </w:rPr>
      </w:pPr>
      <w:r>
        <w:rPr>
          <w:rFonts w:ascii="Arial" w:cs="Arial" w:eastAsia="Arial" w:hAnsi="Arial"/>
          <w:sz w:val="17"/>
          <w:szCs w:val="17"/>
          <w:color w:val="auto"/>
        </w:rPr>
        <w:t>The Company complies with accounting and disclosure requirements of FASB ASC Topic 260, “Earnings Per Share.” Net loss per share is computed by dividing net loss by the weighted average number of ordinary shares outstanding during the period. At April 2, 2020, the Company did not have any dilutive securities and other contracts that could, potentially, be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149" w:name="page150"/>
    <w:bookmarkEnd w:id="14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exercised or converted into ordinary shares and then share in the earnings of the Company. As a result, diluted loss per share is the same as basic loss per share for the period presented.</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 of Credit Risk</w:t>
      </w:r>
    </w:p>
    <w:p>
      <w:pPr>
        <w:spacing w:after="0" w:line="54"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of cash accounts in a financial institution, which, at times, may exceed the Federal Depository Insurance Coverage of $250,000. The Company has not experienced losses on these accounts and management believes the Company is not exposed to significant risks on such accounts.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Instruments</w:t>
      </w:r>
    </w:p>
    <w:p>
      <w:pPr>
        <w:spacing w:after="0" w:line="54"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The fair value of the Company’s assets and liabilities, which qualify as financial instruments under the FASB ASC 820, “Fair Value Measurements and Disclosures,” approximates the carrying amounts represented in the balance sheet.</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4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The preparation of financial statements in conformity with U.S. GAAP requires the Company’s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Offering Costs Associated with the Proposed Public Offering</w:t>
      </w:r>
    </w:p>
    <w:p>
      <w:pPr>
        <w:spacing w:after="0" w:line="5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Deferred offering costs consist of legal, accounting, underwriting fees and other costs incurred through the balance sheet date that are directly related to the Proposed Public Offering and that will be charged to shareholder’s equity upon the completion of the Proposed Public Offering. Should the Proposed Public Offering prove to be unsuccessful, these deferred costs, as well as additional expenses to be incurred, will be charged to operations.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54" w:lineRule="exact"/>
        <w:rPr>
          <w:sz w:val="20"/>
          <w:szCs w:val="20"/>
          <w:color w:val="auto"/>
        </w:rPr>
      </w:pPr>
    </w:p>
    <w:p>
      <w:pPr>
        <w:ind w:right="120"/>
        <w:spacing w:after="0" w:line="234" w:lineRule="auto"/>
        <w:rPr>
          <w:sz w:val="20"/>
          <w:szCs w:val="20"/>
          <w:color w:val="auto"/>
        </w:rPr>
      </w:pPr>
      <w:r>
        <w:rPr>
          <w:rFonts w:ascii="Arial" w:cs="Arial" w:eastAsia="Arial" w:hAnsi="Arial"/>
          <w:sz w:val="17"/>
          <w:szCs w:val="17"/>
          <w:color w:val="auto"/>
        </w:rPr>
        <w:t>The Company follows the asset and liability method of accounting for income taxes under FASB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63"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FASB 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There were no unrecognized tax benefits as of April 2, 2020. The Company’s management determined that the Cayman Islands is the Company’s only major tax jurisdiction. The Company recognizes accrued interest and penalties related to unrecognized tax benefits as income tax expense. No amounts were accrued for the payment of interest and penalties for the period from March 27, 2020 (inception) through April 2, 2020. The Company is currently not aware of any issues under review that could result in significant payments, accruals or material deviation from its position. The Company is subject to income tax examinations by major taxing authorities since inception. There is currently no taxation imposed on income by the Government of the Cayman Islands. In accordance with Cayman income tax regulations, income taxes are not levied on the Company. Consequently, income taxes are not reflected in the Company’s financial statements. The Company’s management does not expect that the total amount of unrecognized tax benefits will materially change over the next twelve months.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54"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Management does not believe that any recently issued, but not yet effective, accounting standards if currently adopted would have a material effect on the accompanying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 Proposed Public Offering</w:t>
      </w:r>
    </w:p>
    <w:p>
      <w:pPr>
        <w:spacing w:after="0" w:line="189" w:lineRule="exact"/>
        <w:rPr>
          <w:sz w:val="20"/>
          <w:szCs w:val="20"/>
          <w:color w:val="auto"/>
        </w:rPr>
      </w:pPr>
    </w:p>
    <w:p>
      <w:pPr>
        <w:ind w:right="240"/>
        <w:spacing w:after="0" w:line="238" w:lineRule="auto"/>
        <w:rPr>
          <w:sz w:val="20"/>
          <w:szCs w:val="20"/>
          <w:color w:val="auto"/>
        </w:rPr>
      </w:pPr>
      <w:r>
        <w:rPr>
          <w:rFonts w:ascii="Arial" w:cs="Arial" w:eastAsia="Arial" w:hAnsi="Arial"/>
          <w:sz w:val="17"/>
          <w:szCs w:val="17"/>
          <w:color w:val="auto"/>
        </w:rPr>
        <w:t>Pursuant to the Proposed Public Offering, the Company intends to offer for sale 12,500,000 Public Shares (or 14,375,000 Public Shares if the underwriter’s over-allotment option is exercised in full) at a price of $10.00 per Public Share.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150" w:name="page151"/>
    <w:bookmarkEnd w:id="15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 Related Party Transactions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Founder Shares</w:t>
      </w:r>
    </w:p>
    <w:p>
      <w:pPr>
        <w:spacing w:after="0" w:line="54"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On April 2, 2020, the Sponsor paid $25,000 to cover certain offering costs of the Company in consideration of 3,593,750 Class B ordinary shares, par value $0.0001, (the “Founder Shares”). The Sponsor has agreed to forfeit up to 468,750 Founder Shares to the extent that the over-allotment option is not exercised in full by the underwriters. The forfeiture will be adjusted to the extent that the over-allotment option is not exercised in full by the underwriters so that the Founder Shares will represent 20.0% of the Company’s issued and outstanding ordinary shares (excluding the Private Placement Shares and assuming the initial shareholders do not purchase any Public Shares in the Proposed Public Offering) after the Proposed Public Offering. If the Company increases or decreases the size of the offering, the Company will effect a share dividend or share contribution back to capital, as applicable, immediately prior to the consummation of the Proposed Public Offering in such amount as to maintain the Founder Share ownership of the Company’s shareholders prior to the Proposed Public Offering at 20% of the Company’s issued and outstanding ordinary shares upon the consummation of the Proposed Public Offering (excluding the Private Placement Shares). The initial shareholders will agree, subject to limited exceptions, not to transfer, assign or sell any of their Founder Shares until the earlier to occur of: (A) one year after the completion of the initial Business Combination and (B) subsequent to the initial Business Combination, (x) if the closing price of the Company’s Class A ordinary shares equals or exceeds $12.00 per share (as adjusted for share splits, share capitalizations, reorganizations, recapitalizations and the like) for any 20 trading days within any 30-trading day period commencing at least 150 days after the initial Business Combination, or (y) the date on which the Company completes a liquidation, merger, share exchange, reorganization or other similar transaction that results in all of the Public Shareholders having the right to exchange their ordinary shares for cash, securities or other property.</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Private Placement Share</w:t>
      </w:r>
    </w:p>
    <w:p>
      <w:pPr>
        <w:spacing w:after="0" w:line="54"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The Sponsor will agree to purchase an aggregate of 450,000 Private Placement Shares (or 487,500 Private Placement Shares if the underwriters’ over-allotment option is exercised in full), at a price of $10.00 per Private Placement Share ($4.5 million in the aggregate, or $4.875 million if the underwriters’ over-allotment option is exercised in full) in a private placement that will occur simultaneously with the closing of the Proposed Public Offering. The Private Placement Shares will not be transferable or salable until 30 days after the completion of the initial Business Combination.</w:t>
      </w:r>
    </w:p>
    <w:p>
      <w:pPr>
        <w:spacing w:after="0" w:line="163"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proceeds from the Private Placement Shares will be added to the proceeds from the Proposed Public Offering to be held in the Trust Account. If the Company does not complete a Business Combination within the Combination Period, the Private Placement Shares</w:t>
      </w:r>
    </w:p>
    <w:p>
      <w:pPr>
        <w:spacing w:after="0" w:line="147"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Sponsor and the Company’s officers and directors will agree, subject to limited exceptions, not to transfer, assign or sell any of their Private Placement Shares until 30 days after the completion of the initial Business Combination.</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Related Party Loans</w:t>
      </w:r>
    </w:p>
    <w:p>
      <w:pPr>
        <w:spacing w:after="0" w:line="54"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On April 2, 2020, the Sponsor agreed to loan the Company an aggregate of up to $300,000 to cover for expenses related to the Proposed Public Offering pursuant to a promissory note (the “Note”). This loan is non-interest bearing and payable on the earlier of December 31, 2020 and the completion of the Proposed Public Offering. As of April 2, 2020, the Company has not borrowed any amount under the Note. Subsequent to April 2, 2020, the Company borrowed an aggregate of approximately $82,000 under the Note.</w:t>
      </w:r>
    </w:p>
    <w:p>
      <w:pPr>
        <w:spacing w:after="0" w:line="150"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may repay the Working Capital Loans out of the proceeds of the Trust Account released to the Company. Otherwise, the Working Capital Loans may be repaid only out of funds held outside the Trust Account. In the event that a Business Combination does not close, the Company may use a portion of the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 million of such Working Capital Loans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151" w:name="page152"/>
    <w:bookmarkEnd w:id="15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280"/>
        <w:spacing w:after="0" w:line="238" w:lineRule="auto"/>
        <w:rPr>
          <w:sz w:val="20"/>
          <w:szCs w:val="20"/>
          <w:color w:val="auto"/>
        </w:rPr>
      </w:pPr>
      <w:r>
        <w:rPr>
          <w:rFonts w:ascii="Arial" w:cs="Arial" w:eastAsia="Arial" w:hAnsi="Arial"/>
          <w:sz w:val="17"/>
          <w:szCs w:val="17"/>
          <w:color w:val="auto"/>
        </w:rPr>
        <w:t>may be convertible into shares of the post Business Combination entity at a price of $10.00 per share. The shares would be identical to the Private Placement Shares. To date, the Company had no outstanding borrowings under the Working Capital Loans.</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Administrative Support Agreement</w:t>
      </w:r>
    </w:p>
    <w:p>
      <w:pPr>
        <w:spacing w:after="0" w:line="54"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Commencing on the date that the Company’s securities are first listed on the Nasdaq through the earlier of consummation of the initial Business Combination and the Company’s liquidation, the Company will reimburse the Sponsor for office space, secretarial and administrative services provided to the Company in the amount of $10,000 per month.</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Forward Purchase Arrangement</w:t>
      </w:r>
    </w:p>
    <w:p>
      <w:pPr>
        <w:spacing w:after="0" w:line="54"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The Sponsor has indicated an interest to purchase up to an aggregate of $25 million of the Company’s ordinary shares in a private placement that would occur concurrently with the consummation of the initial Business Combination. However, because indications of interest are not binding agreements or commitments to purchase, the Sponsor may determine not to purchase any such shares, or to purchase fewer shares than it has indicated an interest in purchasing. Furthermore, the Company is not under any obligation to sell any such shares.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 Commitments &amp; Contingencies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Registration Rights</w:t>
      </w:r>
    </w:p>
    <w:p>
      <w:pPr>
        <w:spacing w:after="0" w:line="54"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The holders of Founder Shares, Private Placement Shares and Private Placement Shares that may be issued upon conversion of working capital loans, will be entitled to registration rights pursuant to a registration and shareholder rights agreement to be signed upon consummation of the Proposed Public Offering. The holders of these securities are entitled to make up to three demands, excluding short form demands, that the Company registers such securities. In addition, the holders have certain “piggy-back” registration rights with respect to registration statements filed subsequent to the Company’s completion of its Business Combination. However, the registration and shareholder rights agreement provides that the Company will not permit any registration statement filed under the Securities Act to become effective until termination of the applicable lock-up period, which occurs (i) in the case of the Founder Shares, in accordance with the letter agreement the Company’s initial shareholders entered into and (ii) in the case of the Private Placement Shares, 30 days after the completion of the Company’ s Business Combination. The Company will bear the expenses incurred in connection with the filing of any such registration statements.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Underwriting Agreement</w:t>
      </w:r>
    </w:p>
    <w:p>
      <w:pPr>
        <w:spacing w:after="0" w:line="54" w:lineRule="exact"/>
        <w:rPr>
          <w:sz w:val="20"/>
          <w:szCs w:val="20"/>
          <w:color w:val="auto"/>
        </w:rPr>
      </w:pPr>
    </w:p>
    <w:p>
      <w:pPr>
        <w:ind w:right="220"/>
        <w:spacing w:after="0" w:line="238" w:lineRule="auto"/>
        <w:rPr>
          <w:sz w:val="20"/>
          <w:szCs w:val="20"/>
          <w:color w:val="auto"/>
        </w:rPr>
      </w:pPr>
      <w:r>
        <w:rPr>
          <w:rFonts w:ascii="Arial" w:cs="Arial" w:eastAsia="Arial" w:hAnsi="Arial"/>
          <w:sz w:val="17"/>
          <w:szCs w:val="17"/>
          <w:color w:val="auto"/>
        </w:rPr>
        <w:t>The Company will grant the underwriters a 45-day option from the final prospectus relating to the Proposed Public Offering to purchase up to 1,875,000 additional Public Shares to cover over-allotments, if any, at the Proposed Public Offering price less the underwriting discounts and commissions.</w:t>
      </w:r>
    </w:p>
    <w:p>
      <w:pPr>
        <w:spacing w:after="0" w:line="161"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The underwriters will be entitled to an underwriting discount of $0.20 per Public Share, or $2.5 million in the aggregate (or $2.875 million in the aggregate if the underwriters’ over-allotment option is exercised in full), payable upon the closing of the Proposed Public Offering. In addition, $0.35 per Public Share, or approximately $4.375 million in the aggregate (or approximately $5.03 million in the aggregate if the underwriters’ over-allotment option is exercised in full)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and Uncertainties</w:t>
      </w:r>
    </w:p>
    <w:p>
      <w:pPr>
        <w:spacing w:after="0" w:line="5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Management is currently evaluating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 Shareholder’s Equity</w:t>
      </w:r>
    </w:p>
    <w:p>
      <w:pPr>
        <w:spacing w:after="0" w:line="169" w:lineRule="exact"/>
        <w:rPr>
          <w:sz w:val="20"/>
          <w:szCs w:val="20"/>
          <w:color w:val="auto"/>
        </w:rPr>
      </w:pPr>
    </w:p>
    <w:p>
      <w:pPr>
        <w:ind w:right="420"/>
        <w:spacing w:after="0" w:line="267" w:lineRule="auto"/>
        <w:rPr>
          <w:sz w:val="20"/>
          <w:szCs w:val="20"/>
          <w:color w:val="auto"/>
        </w:rPr>
      </w:pPr>
      <w:r>
        <w:rPr>
          <w:rFonts w:ascii="Arial" w:cs="Arial" w:eastAsia="Arial" w:hAnsi="Arial"/>
          <w:sz w:val="17"/>
          <w:szCs w:val="17"/>
          <w:b w:val="1"/>
          <w:bCs w:val="1"/>
          <w:i w:val="1"/>
          <w:iCs w:val="1"/>
          <w:color w:val="auto"/>
        </w:rPr>
        <w:t xml:space="preserve">Class A Ordinary Shares — </w:t>
      </w:r>
      <w:r>
        <w:rPr>
          <w:rFonts w:ascii="Arial" w:cs="Arial" w:eastAsia="Arial" w:hAnsi="Arial"/>
          <w:sz w:val="17"/>
          <w:szCs w:val="17"/>
          <w:color w:val="auto"/>
        </w:rPr>
        <w:t>The Company is authorized to issue 479,000,000 Class A ordinary shares with a par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value of $0.0001 per share. As of April 2, 2020, there were no Class A ordinary shares issued or outstanding.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152" w:name="page153"/>
    <w:bookmarkEnd w:id="15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19"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b w:val="1"/>
          <w:bCs w:val="1"/>
          <w:i w:val="1"/>
          <w:iCs w:val="1"/>
          <w:color w:val="auto"/>
        </w:rPr>
        <w:t xml:space="preserve">Class B Ordinary Shares — </w:t>
      </w:r>
      <w:r>
        <w:rPr>
          <w:rFonts w:ascii="Arial" w:cs="Arial" w:eastAsia="Arial" w:hAnsi="Arial"/>
          <w:sz w:val="17"/>
          <w:szCs w:val="17"/>
          <w:color w:val="auto"/>
        </w:rPr>
        <w:t>The Company is authorized to issue 20,000,000 Class B ordinary shares with a par value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$0.0001 per share. On April 2, 2020, the Company issued 3,593,750 Class B ordinary shares. Of the</w:t>
      </w:r>
    </w:p>
    <w:p>
      <w:pPr>
        <w:spacing w:after="0" w:line="1"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3,593,750 Class B ordinary shares outstanding, an aggregate of up to 468,750 shares are subject to forfeiture to the Company by the Sponsor for no consideration to the extent that the underwriter’s over-allotment option is not exercised in full or in part, so that the initial shareholders will collectively own 20% of the Company’s issued and outstanding ordinary shares (excluding the Private Placement Shares and assuming the initial shareholders do not purchase any shares in the Proposed Public Offering) (See Note 4).</w:t>
      </w:r>
    </w:p>
    <w:p>
      <w:pPr>
        <w:spacing w:after="0" w:line="16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Holders of the Class A ordinary shares and holders of the Class B ordinary shares will vote together as a single class on all matters submitted to a vote of our shareholders, except as required by law or stock exchange rule; provided that only holders of the Class B ordinary shares have the right to vote on the election of the Company’s directors prior to the initial Business Combination and holders of a majority of the Company’s Class B ordinary shares may remove a member of the board of directors for any reason.</w:t>
      </w:r>
    </w:p>
    <w:p>
      <w:pPr>
        <w:spacing w:after="0" w:line="163" w:lineRule="exact"/>
        <w:rPr>
          <w:sz w:val="20"/>
          <w:szCs w:val="20"/>
          <w:color w:val="auto"/>
        </w:rPr>
      </w:pPr>
    </w:p>
    <w:p>
      <w:pPr>
        <w:ind w:right="80"/>
        <w:spacing w:after="0" w:line="233" w:lineRule="auto"/>
        <w:rPr>
          <w:sz w:val="20"/>
          <w:szCs w:val="20"/>
          <w:color w:val="auto"/>
        </w:rPr>
      </w:pPr>
      <w:r>
        <w:rPr>
          <w:rFonts w:ascii="Arial" w:cs="Arial" w:eastAsia="Arial" w:hAnsi="Arial"/>
          <w:sz w:val="17"/>
          <w:szCs w:val="17"/>
          <w:color w:val="auto"/>
        </w:rPr>
        <w:t>The Class B ordinary shares will automatically convert into Class A ordinary shares on the first business day following the consummation of the initial Business Combination at a ratio such that the number of Class A ordinary shares issuable upon conversion of all Founder Shares will equal, in the aggregate, on an as-converted basis, 20% of the sum of (i) the total number of ordinary shares issued and outstanding (excluding the Private Placement Shares) upon the consummation of the Proposed Public Offering, plus (ii) the sum of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Shares issued to the Sponsor, members of the Company’s management team or any of their affiliates upon conversion of Working Capital Loans. In no event will the Class B ordinary shares convert into Class A ordinary shares at a rate of less than one-to one.</w:t>
      </w:r>
    </w:p>
    <w:p>
      <w:pPr>
        <w:spacing w:after="0" w:line="133"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b w:val="1"/>
          <w:bCs w:val="1"/>
          <w:i w:val="1"/>
          <w:iCs w:val="1"/>
          <w:color w:val="auto"/>
        </w:rPr>
        <w:t xml:space="preserve">Preference Shares — </w:t>
      </w:r>
      <w:r>
        <w:rPr>
          <w:rFonts w:ascii="Arial" w:cs="Arial" w:eastAsia="Arial" w:hAnsi="Arial"/>
          <w:sz w:val="17"/>
          <w:szCs w:val="17"/>
          <w:color w:val="auto"/>
        </w:rPr>
        <w:t>The Company is authorized to issue 1,000,000 preference shares with such designations, voting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other rights and preferences as may be determined from time to time by the Company’s board of directors. As of April 2, 2020, there were no preference shares issued or outstanding.</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 Subsequent Events</w:t>
      </w:r>
    </w:p>
    <w:p>
      <w:pPr>
        <w:spacing w:after="0" w:line="176"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Subsequent to April 2, 2020, the Company borrowed an aggregate of approximately $82,000 under the Note. In July 2020, the Sponsor transferred 30,000 Founder Shares to the Company’s independent director nominee. Management has evaluated subsequent events to determine if events or transactions occurring through July 20, 2020, the date the financial statements were available for issuance, require potential adjustment to or disclosure in the financial statements and has concluded that, except as noted above, all such events that would require recognition or disclosure have been recognized or disclosed.</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121920</wp:posOffset>
            </wp:positionV>
            <wp:extent cx="699516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153" w:name="page154"/>
    <w:bookmarkEnd w:id="15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5760720"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7607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57607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12,500,000 CLASS A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36"/>
          <w:szCs w:val="36"/>
          <w:b w:val="1"/>
          <w:bCs w:val="1"/>
          <w:color w:val="auto"/>
        </w:rPr>
        <w:t>ARYA SCIENCES ACQUISITION CORP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796290</wp:posOffset>
            </wp:positionV>
            <wp:extent cx="192024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900"/>
        <w:spacing w:after="0"/>
        <w:rPr>
          <w:sz w:val="20"/>
          <w:szCs w:val="20"/>
          <w:color w:val="auto"/>
        </w:rPr>
      </w:pPr>
      <w:r>
        <w:rPr>
          <w:rFonts w:ascii="Arial" w:cs="Arial" w:eastAsia="Arial" w:hAnsi="Arial"/>
          <w:sz w:val="23"/>
          <w:szCs w:val="23"/>
          <w:b w:val="1"/>
          <w:bCs w:val="1"/>
          <w:color w:val="auto"/>
        </w:rPr>
        <w:t>PRELIMINARY PROSPECTUS</w:t>
      </w:r>
    </w:p>
    <w:p>
      <w:pPr>
        <w:spacing w:after="0" w:line="235" w:lineRule="exact"/>
        <w:rPr>
          <w:sz w:val="20"/>
          <w:szCs w:val="20"/>
          <w:color w:val="auto"/>
        </w:rPr>
      </w:pPr>
    </w:p>
    <w:p>
      <w:pPr>
        <w:ind w:left="4800"/>
        <w:spacing w:after="0"/>
        <w:rPr>
          <w:sz w:val="20"/>
          <w:szCs w:val="20"/>
          <w:color w:val="auto"/>
        </w:rPr>
      </w:pPr>
      <w:r>
        <w:rPr>
          <w:rFonts w:ascii="Arial" w:cs="Arial" w:eastAsia="Arial" w:hAnsi="Arial"/>
          <w:sz w:val="23"/>
          <w:szCs w:val="23"/>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121285</wp:posOffset>
            </wp:positionV>
            <wp:extent cx="192024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Joint Book-Running Managers</w:t>
      </w:r>
    </w:p>
    <w:p>
      <w:pPr>
        <w:spacing w:after="0" w:line="262" w:lineRule="exact"/>
        <w:rPr>
          <w:sz w:val="20"/>
          <w:szCs w:val="20"/>
          <w:color w:val="auto"/>
        </w:rPr>
      </w:pPr>
    </w:p>
    <w:p>
      <w:pPr>
        <w:jc w:val="both"/>
        <w:ind w:left="1560"/>
        <w:spacing w:after="0"/>
        <w:tabs>
          <w:tab w:leader="none" w:pos="4800" w:val="left"/>
        </w:tabs>
        <w:rPr>
          <w:sz w:val="20"/>
          <w:szCs w:val="20"/>
          <w:color w:val="auto"/>
        </w:rPr>
      </w:pPr>
      <w:r>
        <w:rPr>
          <w:rFonts w:ascii="Arial" w:cs="Arial" w:eastAsia="Arial" w:hAnsi="Arial"/>
          <w:sz w:val="32"/>
          <w:szCs w:val="32"/>
          <w:b w:val="1"/>
          <w:bCs w:val="1"/>
          <w:color w:val="auto"/>
        </w:rPr>
        <w:t>Jefferies</w:t>
      </w:r>
      <w:r>
        <w:rPr>
          <w:sz w:val="20"/>
          <w:szCs w:val="20"/>
          <w:color w:val="auto"/>
        </w:rPr>
        <w:tab/>
      </w:r>
      <w:r>
        <w:rPr>
          <w:rFonts w:ascii="Arial" w:cs="Arial" w:eastAsia="Arial" w:hAnsi="Arial"/>
          <w:sz w:val="32"/>
          <w:szCs w:val="32"/>
          <w:b w:val="1"/>
          <w:bCs w:val="1"/>
          <w:color w:val="auto"/>
        </w:rPr>
        <w:t>Goldman Sachs &amp; Co.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59"/>
        <w:spacing w:after="0" w:line="236" w:lineRule="auto"/>
        <w:rPr>
          <w:sz w:val="20"/>
          <w:szCs w:val="20"/>
          <w:color w:val="auto"/>
        </w:rPr>
      </w:pPr>
      <w:r>
        <w:rPr>
          <w:rFonts w:ascii="Arial" w:cs="Arial" w:eastAsia="Arial" w:hAnsi="Arial"/>
          <w:sz w:val="17"/>
          <w:szCs w:val="17"/>
          <w:color w:val="auto"/>
        </w:rPr>
        <w:t>Until , 2020 (25 days after the date of this prospectus), all dealers that buy, sell or trade our ordinary shares,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330200</wp:posOffset>
            </wp:positionV>
            <wp:extent cx="699516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141605</wp:posOffset>
            </wp:positionV>
            <wp:extent cx="57607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193040</wp:posOffset>
            </wp:positionV>
            <wp:extent cx="5760720"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760720" cy="26035"/>
                    </a:xfrm>
                    <a:prstGeom prst="rect">
                      <a:avLst/>
                    </a:prstGeom>
                    <a:noFill/>
                  </pic:spPr>
                </pic:pic>
              </a:graphicData>
            </a:graphic>
          </wp:anchor>
        </w:drawing>
      </w:r>
    </w:p>
    <w:p>
      <w:pPr>
        <w:sectPr>
          <w:pgSz w:w="11900" w:h="16838" w:orient="portrait"/>
          <w:cols w:equalWidth="0" w:num="1">
            <w:col w:w="9059"/>
          </w:cols>
          <w:pgMar w:left="1400" w:top="265" w:right="1440" w:bottom="1440" w:gutter="0" w:footer="0" w:header="0"/>
          <w:type w:val="continuous"/>
        </w:sectPr>
      </w:pPr>
    </w:p>
    <w:bookmarkStart w:id="154" w:name="page155"/>
    <w:bookmarkEnd w:id="15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00"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13.</w:t>
        <w:tab/>
        <w:t>Other Expenses of Issuance and Distribution.</w:t>
      </w:r>
    </w:p>
    <w:p>
      <w:pPr>
        <w:spacing w:after="0" w:line="176" w:lineRule="exact"/>
        <w:rPr>
          <w:sz w:val="20"/>
          <w:szCs w:val="20"/>
          <w:color w:val="auto"/>
        </w:rPr>
      </w:pPr>
    </w:p>
    <w:p>
      <w:pPr>
        <w:ind w:right="340"/>
        <w:spacing w:after="0" w:line="243" w:lineRule="auto"/>
        <w:rPr>
          <w:sz w:val="20"/>
          <w:szCs w:val="20"/>
          <w:color w:val="auto"/>
        </w:rPr>
      </w:pPr>
      <w:r>
        <w:rPr>
          <w:rFonts w:ascii="Arial" w:cs="Arial" w:eastAsia="Arial" w:hAnsi="Arial"/>
          <w:sz w:val="17"/>
          <w:szCs w:val="17"/>
          <w:color w:val="auto"/>
        </w:rPr>
        <w:t>The estimated expenses payable by us in connection with the offering described in this registration statement (other than the underwriting discount and commissions) will be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399"/>
        </w:trPr>
        <w:tc>
          <w:tcPr>
            <w:tcW w:w="81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SEC expenses</w:t>
            </w:r>
          </w:p>
        </w:tc>
        <w:tc>
          <w:tcPr>
            <w:tcW w:w="1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18,659</w:t>
            </w:r>
          </w:p>
        </w:tc>
        <w:tc>
          <w:tcPr>
            <w:tcW w:w="60" w:type="dxa"/>
            <w:vAlign w:val="bottom"/>
            <w:tcBorders>
              <w:top w:val="single" w:sz="8" w:color="auto"/>
              <w:bottom w:val="single" w:sz="8" w:color="CCEEFF"/>
            </w:tcBorders>
            <w:shd w:val="clear" w:color="auto" w:fill="CCEEFF"/>
          </w:tcPr>
          <w:p>
            <w:pPr>
              <w:spacing w:after="0"/>
              <w:rPr>
                <w:sz w:val="24"/>
                <w:szCs w:val="24"/>
                <w:color w:val="auto"/>
              </w:rPr>
            </w:pPr>
          </w:p>
        </w:tc>
      </w:tr>
      <w:tr>
        <w:trPr>
          <w:trHeight w:val="266"/>
        </w:trPr>
        <w:tc>
          <w:tcPr>
            <w:tcW w:w="8140" w:type="dxa"/>
            <w:vAlign w:val="bottom"/>
          </w:tcPr>
          <w:p>
            <w:pPr>
              <w:spacing w:after="0"/>
              <w:rPr>
                <w:sz w:val="20"/>
                <w:szCs w:val="20"/>
                <w:color w:val="auto"/>
              </w:rPr>
            </w:pPr>
            <w:r>
              <w:rPr>
                <w:rFonts w:ascii="Arial" w:cs="Arial" w:eastAsia="Arial" w:hAnsi="Arial"/>
                <w:sz w:val="17"/>
                <w:szCs w:val="17"/>
                <w:color w:val="auto"/>
              </w:rPr>
              <w:t>FINRA expenses</w:t>
            </w:r>
          </w:p>
        </w:tc>
        <w:tc>
          <w:tcPr>
            <w:tcW w:w="180" w:type="dxa"/>
            <w:vAlign w:val="bottom"/>
          </w:tcPr>
          <w:p>
            <w:pPr>
              <w:spacing w:after="0"/>
              <w:rPr>
                <w:sz w:val="23"/>
                <w:szCs w:val="23"/>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22,063</w:t>
            </w:r>
          </w:p>
        </w:tc>
      </w:tr>
      <w:tr>
        <w:trPr>
          <w:trHeight w:val="58"/>
        </w:trPr>
        <w:tc>
          <w:tcPr>
            <w:tcW w:w="8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304"/>
        </w:trPr>
        <w:tc>
          <w:tcPr>
            <w:tcW w:w="8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Accounting fees and expenses</w:t>
            </w:r>
          </w:p>
        </w:tc>
        <w:tc>
          <w:tcPr>
            <w:tcW w:w="1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60,000</w:t>
            </w:r>
          </w:p>
        </w:tc>
      </w:tr>
      <w:tr>
        <w:trPr>
          <w:trHeight w:val="266"/>
        </w:trPr>
        <w:tc>
          <w:tcPr>
            <w:tcW w:w="8140" w:type="dxa"/>
            <w:vAlign w:val="bottom"/>
          </w:tcPr>
          <w:p>
            <w:pPr>
              <w:spacing w:after="0"/>
              <w:rPr>
                <w:sz w:val="20"/>
                <w:szCs w:val="20"/>
                <w:color w:val="auto"/>
              </w:rPr>
            </w:pPr>
            <w:r>
              <w:rPr>
                <w:rFonts w:ascii="Arial" w:cs="Arial" w:eastAsia="Arial" w:hAnsi="Arial"/>
                <w:sz w:val="17"/>
                <w:szCs w:val="17"/>
                <w:color w:val="auto"/>
              </w:rPr>
              <w:t>Printing and engraving expenses</w:t>
            </w:r>
          </w:p>
        </w:tc>
        <w:tc>
          <w:tcPr>
            <w:tcW w:w="180" w:type="dxa"/>
            <w:vAlign w:val="bottom"/>
          </w:tcPr>
          <w:p>
            <w:pPr>
              <w:spacing w:after="0"/>
              <w:rPr>
                <w:sz w:val="23"/>
                <w:szCs w:val="23"/>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30,000</w:t>
            </w:r>
          </w:p>
        </w:tc>
      </w:tr>
      <w:tr>
        <w:trPr>
          <w:trHeight w:val="58"/>
        </w:trPr>
        <w:tc>
          <w:tcPr>
            <w:tcW w:w="8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304"/>
        </w:trPr>
        <w:tc>
          <w:tcPr>
            <w:tcW w:w="8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Travel and road show expenses</w:t>
            </w:r>
          </w:p>
        </w:tc>
        <w:tc>
          <w:tcPr>
            <w:tcW w:w="1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20,000</w:t>
            </w:r>
          </w:p>
        </w:tc>
      </w:tr>
      <w:tr>
        <w:trPr>
          <w:trHeight w:val="266"/>
        </w:trPr>
        <w:tc>
          <w:tcPr>
            <w:tcW w:w="8140" w:type="dxa"/>
            <w:vAlign w:val="bottom"/>
          </w:tcPr>
          <w:p>
            <w:pPr>
              <w:spacing w:after="0"/>
              <w:rPr>
                <w:sz w:val="20"/>
                <w:szCs w:val="20"/>
                <w:color w:val="auto"/>
              </w:rPr>
            </w:pPr>
            <w:r>
              <w:rPr>
                <w:rFonts w:ascii="Arial" w:cs="Arial" w:eastAsia="Arial" w:hAnsi="Arial"/>
                <w:sz w:val="17"/>
                <w:szCs w:val="17"/>
                <w:color w:val="auto"/>
              </w:rPr>
              <w:t>Legal fees and expenses</w:t>
            </w: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325,000</w:t>
            </w:r>
          </w:p>
        </w:tc>
        <w:tc>
          <w:tcPr>
            <w:tcW w:w="60" w:type="dxa"/>
            <w:vAlign w:val="bottom"/>
          </w:tcPr>
          <w:p>
            <w:pPr>
              <w:spacing w:after="0"/>
              <w:rPr>
                <w:sz w:val="23"/>
                <w:szCs w:val="23"/>
                <w:color w:val="auto"/>
              </w:rPr>
            </w:pPr>
          </w:p>
        </w:tc>
      </w:tr>
      <w:tr>
        <w:trPr>
          <w:trHeight w:val="58"/>
        </w:trPr>
        <w:tc>
          <w:tcPr>
            <w:tcW w:w="8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304"/>
        </w:trPr>
        <w:tc>
          <w:tcPr>
            <w:tcW w:w="8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Nasdaq listing and filing fees</w:t>
            </w:r>
          </w:p>
        </w:tc>
        <w:tc>
          <w:tcPr>
            <w:tcW w:w="1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55,000</w:t>
            </w:r>
          </w:p>
        </w:tc>
      </w:tr>
      <w:tr>
        <w:trPr>
          <w:trHeight w:val="324"/>
        </w:trPr>
        <w:tc>
          <w:tcPr>
            <w:tcW w:w="8140" w:type="dxa"/>
            <w:vAlign w:val="bottom"/>
          </w:tcPr>
          <w:p>
            <w:pPr>
              <w:spacing w:after="0"/>
              <w:rPr>
                <w:sz w:val="20"/>
                <w:szCs w:val="20"/>
                <w:color w:val="auto"/>
              </w:rPr>
            </w:pPr>
            <w:r>
              <w:rPr>
                <w:rFonts w:ascii="Arial" w:cs="Arial" w:eastAsia="Arial" w:hAnsi="Arial"/>
                <w:sz w:val="17"/>
                <w:szCs w:val="17"/>
                <w:color w:val="auto"/>
              </w:rPr>
              <w:t>Director &amp; Officers liability insurance premiums</w:t>
            </w:r>
            <w:r>
              <w:rPr>
                <w:rFonts w:ascii="Arial" w:cs="Arial" w:eastAsia="Arial" w:hAnsi="Arial"/>
                <w:sz w:val="28"/>
                <w:szCs w:val="28"/>
                <w:color w:val="auto"/>
                <w:vertAlign w:val="superscript"/>
              </w:rPr>
              <w:t>(1)</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125,000</w:t>
            </w:r>
          </w:p>
        </w:tc>
        <w:tc>
          <w:tcPr>
            <w:tcW w:w="60" w:type="dxa"/>
            <w:vAlign w:val="bottom"/>
          </w:tcPr>
          <w:p>
            <w:pPr>
              <w:spacing w:after="0"/>
              <w:rPr>
                <w:sz w:val="24"/>
                <w:szCs w:val="24"/>
                <w:color w:val="auto"/>
              </w:rPr>
            </w:pPr>
          </w:p>
        </w:tc>
      </w:tr>
      <w:tr>
        <w:trPr>
          <w:trHeight w:val="257"/>
        </w:trPr>
        <w:tc>
          <w:tcPr>
            <w:tcW w:w="8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Miscellaneous</w:t>
            </w:r>
          </w:p>
        </w:tc>
        <w:tc>
          <w:tcPr>
            <w:tcW w:w="18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344,278</w:t>
            </w:r>
          </w:p>
        </w:tc>
        <w:tc>
          <w:tcPr>
            <w:tcW w:w="60" w:type="dxa"/>
            <w:vAlign w:val="bottom"/>
            <w:tcBorders>
              <w:bottom w:val="single" w:sz="8" w:color="CCEEFF"/>
            </w:tcBorders>
            <w:shd w:val="clear" w:color="auto" w:fill="CCEEFF"/>
          </w:tcPr>
          <w:p>
            <w:pPr>
              <w:spacing w:after="0"/>
              <w:rPr>
                <w:sz w:val="22"/>
                <w:szCs w:val="22"/>
                <w:color w:val="auto"/>
              </w:rPr>
            </w:pPr>
          </w:p>
        </w:tc>
      </w:tr>
      <w:tr>
        <w:trPr>
          <w:trHeight w:val="74"/>
        </w:trPr>
        <w:tc>
          <w:tcPr>
            <w:tcW w:w="81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r>
      <w:tr>
        <w:trPr>
          <w:trHeight w:val="283"/>
        </w:trPr>
        <w:tc>
          <w:tcPr>
            <w:tcW w:w="81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w:t>
            </w: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$1,000,000</w:t>
            </w:r>
          </w:p>
        </w:tc>
        <w:tc>
          <w:tcPr>
            <w:tcW w:w="60" w:type="dxa"/>
            <w:vAlign w:val="bottom"/>
            <w:tcBorders>
              <w:bottom w:val="single" w:sz="8" w:color="auto"/>
            </w:tcBorders>
          </w:tcPr>
          <w:p>
            <w:pPr>
              <w:spacing w:after="0"/>
              <w:rPr>
                <w:sz w:val="24"/>
                <w:szCs w:val="24"/>
                <w:color w:val="auto"/>
              </w:rPr>
            </w:pPr>
          </w:p>
        </w:tc>
      </w:tr>
    </w:tbl>
    <w:p>
      <w:pPr>
        <w:spacing w:after="0" w:line="48" w:lineRule="exact"/>
        <w:rPr>
          <w:sz w:val="20"/>
          <w:szCs w:val="20"/>
          <w:color w:val="auto"/>
        </w:rPr>
      </w:pPr>
    </w:p>
    <w:p>
      <w:pPr>
        <w:ind w:left="360" w:right="240" w:hanging="352"/>
        <w:spacing w:after="0" w:line="230" w:lineRule="auto"/>
        <w:tabs>
          <w:tab w:leader="none" w:pos="36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This amount represents the approximate amount of annual director and officer liability insurance premiums the registrant anticipates paying following the completion of its initial public offering and until it completes a business combination.</w:t>
      </w:r>
    </w:p>
    <w:p>
      <w:pPr>
        <w:spacing w:after="0" w:line="71"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14.</w:t>
        <w:tab/>
        <w:t>Indemnification of Directors and Officers.</w:t>
      </w:r>
    </w:p>
    <w:p>
      <w:pPr>
        <w:spacing w:after="0" w:line="189"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willful neglect, civil fraud or the consequences of committing a crime. Our amended and restated memorandum and articles of association will provide for indemnification of our officers and directors to the maximum extent permitted by law, including for any liability incurred in their capacities as such, except through their own actual fraud, willful default or willful neglect. We may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48" w:lineRule="exact"/>
        <w:rPr>
          <w:sz w:val="20"/>
          <w:szCs w:val="20"/>
          <w:color w:val="auto"/>
        </w:rPr>
      </w:pPr>
    </w:p>
    <w:p>
      <w:pPr>
        <w:ind w:right="300"/>
        <w:spacing w:after="0" w:line="235" w:lineRule="auto"/>
        <w:rPr>
          <w:sz w:val="20"/>
          <w:szCs w:val="20"/>
          <w:color w:val="auto"/>
        </w:rPr>
      </w:pPr>
      <w:r>
        <w:rPr>
          <w:rFonts w:ascii="Arial" w:cs="Arial" w:eastAsia="Arial" w:hAnsi="Arial"/>
          <w:sz w:val="17"/>
          <w:szCs w:val="17"/>
          <w:color w:val="auto"/>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Accordingly, any indemnification provided will only be able to be satisfied by us if (i) we have sufficient funds outside of the trust account or (ii) we consummate an initial business combination.</w:t>
      </w:r>
    </w:p>
    <w:p>
      <w:pPr>
        <w:spacing w:after="0" w:line="163"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73"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15.</w:t>
        <w:tab/>
        <w:t>Recent Sales of Unregistered Securities.</w:t>
      </w:r>
    </w:p>
    <w:p>
      <w:pPr>
        <w:spacing w:after="0" w:line="189" w:lineRule="exact"/>
        <w:rPr>
          <w:sz w:val="20"/>
          <w:szCs w:val="20"/>
          <w:color w:val="auto"/>
        </w:rPr>
      </w:pPr>
    </w:p>
    <w:p>
      <w:pPr>
        <w:ind w:right="240"/>
        <w:spacing w:after="0" w:line="236" w:lineRule="auto"/>
        <w:rPr>
          <w:sz w:val="20"/>
          <w:szCs w:val="20"/>
          <w:color w:val="auto"/>
        </w:rPr>
      </w:pPr>
      <w:r>
        <w:rPr>
          <w:rFonts w:ascii="Arial" w:cs="Arial" w:eastAsia="Arial" w:hAnsi="Arial"/>
          <w:sz w:val="17"/>
          <w:szCs w:val="17"/>
          <w:color w:val="auto"/>
        </w:rPr>
        <w:t>On April 2, 2020, we issued to ARYA Sciences Holdings III, our sponsor, 3,593,750 of our Class B ordinary shares, in exchange for a capital contribution of $25,000, or approximately $0.007 per share. Such securities were issued in connection with our organization pursuant to the exemption from registration contained in Section 4(a)(2) of the Securities Act.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155" w:name="page156"/>
    <w:bookmarkEnd w:id="15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Our sponsor is an accredited investor for purposes of Rule 501 of Regulation D. Each of the equity holders in our sponsor is an accredited investor under Rule 501 of Regulation D. The sole business of ARYA Sciences Holdings III is to act as the company’s sponsor in connection with this offering.</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Our sponsor has committed, pursuant to a written agreement, to purchase 450,000 private placement shares (or</w:t>
      </w:r>
    </w:p>
    <w:p>
      <w:pPr>
        <w:spacing w:after="0" w:line="232" w:lineRule="auto"/>
        <w:rPr>
          <w:sz w:val="20"/>
          <w:szCs w:val="20"/>
          <w:color w:val="auto"/>
        </w:rPr>
      </w:pPr>
      <w:r>
        <w:rPr>
          <w:rFonts w:ascii="Arial" w:cs="Arial" w:eastAsia="Arial" w:hAnsi="Arial"/>
          <w:sz w:val="17"/>
          <w:szCs w:val="17"/>
          <w:color w:val="auto"/>
        </w:rPr>
        <w:t>487,500 private placement shares if the underwriters’ overallotment option is exercised in full), each exercisable to</w:t>
      </w:r>
    </w:p>
    <w:p>
      <w:pPr>
        <w:spacing w:after="0" w:line="232" w:lineRule="auto"/>
        <w:rPr>
          <w:sz w:val="20"/>
          <w:szCs w:val="20"/>
          <w:color w:val="auto"/>
        </w:rPr>
      </w:pPr>
      <w:r>
        <w:rPr>
          <w:rFonts w:ascii="Arial" w:cs="Arial" w:eastAsia="Arial" w:hAnsi="Arial"/>
          <w:sz w:val="17"/>
          <w:szCs w:val="17"/>
          <w:color w:val="auto"/>
        </w:rPr>
        <w:t>purchase one Class A ordinary share at $11.50 per share, at a price of $10.00 per private placement share</w:t>
      </w:r>
    </w:p>
    <w:p>
      <w:pPr>
        <w:spacing w:after="0" w:line="232" w:lineRule="auto"/>
        <w:rPr>
          <w:sz w:val="20"/>
          <w:szCs w:val="20"/>
          <w:color w:val="auto"/>
        </w:rPr>
      </w:pPr>
      <w:r>
        <w:rPr>
          <w:rFonts w:ascii="Arial" w:cs="Arial" w:eastAsia="Arial" w:hAnsi="Arial"/>
          <w:sz w:val="17"/>
          <w:szCs w:val="17"/>
          <w:color w:val="auto"/>
        </w:rPr>
        <w:t>($4,500,000 in the aggregate or $4,875,000 if the underwriters’ over-allotment option is exercised in full), in a private</w:t>
      </w:r>
    </w:p>
    <w:p>
      <w:pPr>
        <w:spacing w:after="0" w:line="232" w:lineRule="auto"/>
        <w:rPr>
          <w:sz w:val="20"/>
          <w:szCs w:val="20"/>
          <w:color w:val="auto"/>
        </w:rPr>
      </w:pPr>
      <w:r>
        <w:rPr>
          <w:rFonts w:ascii="Arial" w:cs="Arial" w:eastAsia="Arial" w:hAnsi="Arial"/>
          <w:sz w:val="17"/>
          <w:szCs w:val="17"/>
          <w:color w:val="auto"/>
        </w:rPr>
        <w:t>placement that will close simultaneously with the closing of this offering. These issuances will be made pursuant to the</w:t>
      </w:r>
    </w:p>
    <w:p>
      <w:pPr>
        <w:spacing w:after="0"/>
        <w:rPr>
          <w:sz w:val="20"/>
          <w:szCs w:val="20"/>
          <w:color w:val="auto"/>
        </w:rPr>
      </w:pPr>
      <w:r>
        <w:rPr>
          <w:rFonts w:ascii="Arial" w:cs="Arial" w:eastAsia="Arial" w:hAnsi="Arial"/>
          <w:sz w:val="17"/>
          <w:szCs w:val="17"/>
          <w:color w:val="auto"/>
        </w:rPr>
        <w:t>exemption from registration contained in Section 4(a)(2) of the Securities Act.</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No underwriting discounts or commissions were paid with respect to such sales.</w:t>
      </w:r>
    </w:p>
    <w:p>
      <w:pPr>
        <w:spacing w:after="0" w:line="82"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16.</w:t>
        <w:tab/>
        <w:t>Exhibits and Financial Statement Schedules.</w:t>
      </w:r>
    </w:p>
    <w:p>
      <w:pPr>
        <w:spacing w:after="0" w:line="189" w:lineRule="exact"/>
        <w:rPr>
          <w:sz w:val="20"/>
          <w:szCs w:val="20"/>
          <w:color w:val="auto"/>
        </w:rPr>
      </w:pPr>
    </w:p>
    <w:p>
      <w:pPr>
        <w:ind w:left="720" w:hanging="352"/>
        <w:spacing w:after="0"/>
        <w:tabs>
          <w:tab w:leader="none" w:pos="7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Exhibit Index is incorporated herein by reference.</w:t>
      </w:r>
    </w:p>
    <w:p>
      <w:pPr>
        <w:spacing w:after="0" w:line="8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b w:val="1"/>
          <w:bCs w:val="1"/>
          <w:color w:val="auto"/>
        </w:rPr>
        <w:t>Item 17.   Undertakings.</w:t>
      </w:r>
    </w:p>
    <w:p>
      <w:pPr>
        <w:spacing w:after="0" w:line="176" w:lineRule="exact"/>
        <w:rPr>
          <w:sz w:val="20"/>
          <w:szCs w:val="20"/>
          <w:color w:val="auto"/>
        </w:rPr>
      </w:pPr>
    </w:p>
    <w:p>
      <w:pPr>
        <w:ind w:left="720" w:right="100" w:hanging="352"/>
        <w:spacing w:after="0" w:line="238" w:lineRule="auto"/>
        <w:tabs>
          <w:tab w:leader="none" w:pos="7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60" w:lineRule="exact"/>
        <w:rPr>
          <w:rFonts w:ascii="Arial" w:cs="Arial" w:eastAsia="Arial" w:hAnsi="Arial"/>
          <w:sz w:val="17"/>
          <w:szCs w:val="17"/>
          <w:color w:val="auto"/>
        </w:rPr>
      </w:pPr>
    </w:p>
    <w:p>
      <w:pPr>
        <w:ind w:left="720" w:right="120" w:hanging="352"/>
        <w:spacing w:after="0" w:line="233" w:lineRule="auto"/>
        <w:tabs>
          <w:tab w:leader="none" w:pos="7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U.S.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67" w:lineRule="exact"/>
        <w:rPr>
          <w:rFonts w:ascii="Arial" w:cs="Arial" w:eastAsia="Arial" w:hAnsi="Arial"/>
          <w:sz w:val="17"/>
          <w:szCs w:val="17"/>
          <w:color w:val="auto"/>
        </w:rPr>
      </w:pPr>
    </w:p>
    <w:p>
      <w:pPr>
        <w:ind w:left="720" w:hanging="352"/>
        <w:spacing w:after="0"/>
        <w:tabs>
          <w:tab w:leader="none" w:pos="7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undersigned registrant hereby undertakes that:</w:t>
      </w:r>
    </w:p>
    <w:p>
      <w:pPr>
        <w:spacing w:after="0" w:line="155" w:lineRule="exact"/>
        <w:rPr>
          <w:rFonts w:ascii="Arial" w:cs="Arial" w:eastAsia="Arial" w:hAnsi="Arial"/>
          <w:sz w:val="17"/>
          <w:szCs w:val="17"/>
          <w:color w:val="auto"/>
        </w:rPr>
      </w:pPr>
    </w:p>
    <w:p>
      <w:pPr>
        <w:ind w:left="1080" w:right="80" w:hanging="352"/>
        <w:spacing w:after="0" w:line="235" w:lineRule="auto"/>
        <w:tabs>
          <w:tab w:leader="none" w:pos="1080" w:val="left"/>
        </w:tabs>
        <w:numPr>
          <w:ilvl w:val="1"/>
          <w:numId w:val="43"/>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3" w:lineRule="exact"/>
        <w:rPr>
          <w:rFonts w:ascii="Arial" w:cs="Arial" w:eastAsia="Arial" w:hAnsi="Arial"/>
          <w:sz w:val="17"/>
          <w:szCs w:val="17"/>
          <w:color w:val="auto"/>
        </w:rPr>
      </w:pPr>
    </w:p>
    <w:p>
      <w:pPr>
        <w:ind w:left="1080" w:hanging="352"/>
        <w:spacing w:after="0" w:line="236" w:lineRule="auto"/>
        <w:tabs>
          <w:tab w:leader="none" w:pos="1080" w:val="left"/>
        </w:tabs>
        <w:numPr>
          <w:ilvl w:val="1"/>
          <w:numId w:val="43"/>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00" w:top="265" w:right="1439" w:bottom="1440" w:gutter="0" w:footer="0" w:header="0"/>
        </w:sectPr>
      </w:pPr>
    </w:p>
    <w:bookmarkStart w:id="156" w:name="page157"/>
    <w:bookmarkEnd w:id="15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57607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36" w:lineRule="exact"/>
        <w:rPr>
          <w:sz w:val="20"/>
          <w:szCs w:val="20"/>
          <w:color w:val="auto"/>
        </w:rPr>
      </w:pPr>
    </w:p>
    <w:p>
      <w:pPr>
        <w:spacing w:after="0"/>
        <w:tabs>
          <w:tab w:leader="none" w:pos="45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5760720" cy="23177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760720" cy="231775"/>
                    </a:xfrm>
                    <a:prstGeom prst="rect">
                      <a:avLst/>
                    </a:prstGeom>
                    <a:noFill/>
                  </pic:spPr>
                </pic:pic>
              </a:graphicData>
            </a:graphic>
          </wp:anchor>
        </w:drawing>
      </w:r>
    </w:p>
    <w:p>
      <w:pPr>
        <w:spacing w:after="0" w:line="191" w:lineRule="exact"/>
        <w:rPr>
          <w:sz w:val="20"/>
          <w:szCs w:val="20"/>
          <w:color w:val="auto"/>
        </w:rPr>
      </w:pPr>
    </w:p>
    <w:p>
      <w:pPr>
        <w:ind w:left="320"/>
        <w:spacing w:after="0"/>
        <w:tabs>
          <w:tab w:leader="none" w:pos="96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7"/>
          <w:szCs w:val="17"/>
          <w:color w:val="auto"/>
        </w:rPr>
        <w:t>Form of Underwriting Agreement.*</w:t>
      </w:r>
    </w:p>
    <w:p>
      <w:pPr>
        <w:spacing w:after="0" w:line="129" w:lineRule="exact"/>
        <w:rPr>
          <w:sz w:val="20"/>
          <w:szCs w:val="20"/>
          <w:color w:val="auto"/>
        </w:rPr>
      </w:pPr>
    </w:p>
    <w:p>
      <w:pPr>
        <w:ind w:left="320"/>
        <w:spacing w:after="0"/>
        <w:tabs>
          <w:tab w:leader="none" w:pos="96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7"/>
          <w:szCs w:val="17"/>
          <w:color w:val="auto"/>
        </w:rPr>
        <w:t>Memorandum and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5760720" cy="2057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760720" cy="205740"/>
                    </a:xfrm>
                    <a:prstGeom prst="rect">
                      <a:avLst/>
                    </a:prstGeom>
                    <a:noFill/>
                  </pic:spPr>
                </pic:pic>
              </a:graphicData>
            </a:graphic>
          </wp:anchor>
        </w:drawing>
      </w:r>
    </w:p>
    <w:p>
      <w:pPr>
        <w:spacing w:after="0" w:line="109" w:lineRule="exact"/>
        <w:rPr>
          <w:sz w:val="20"/>
          <w:szCs w:val="20"/>
          <w:color w:val="auto"/>
        </w:rPr>
      </w:pPr>
    </w:p>
    <w:p>
      <w:pPr>
        <w:ind w:left="320"/>
        <w:spacing w:after="0"/>
        <w:tabs>
          <w:tab w:leader="none" w:pos="96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7"/>
          <w:szCs w:val="17"/>
          <w:color w:val="auto"/>
        </w:rPr>
        <w:t>Form of Amended and Restated Memorandum and Articles of Association.*</w:t>
      </w:r>
    </w:p>
    <w:p>
      <w:pPr>
        <w:spacing w:after="0" w:line="129" w:lineRule="exact"/>
        <w:rPr>
          <w:sz w:val="20"/>
          <w:szCs w:val="20"/>
          <w:color w:val="auto"/>
        </w:rPr>
      </w:pPr>
    </w:p>
    <w:p>
      <w:pPr>
        <w:ind w:left="320"/>
        <w:spacing w:after="0"/>
        <w:tabs>
          <w:tab w:leader="none" w:pos="96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7"/>
          <w:szCs w:val="17"/>
          <w:color w:val="auto"/>
        </w:rPr>
        <w:t>Specimen Ordinary Share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5760720" cy="2057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760720" cy="205740"/>
                    </a:xfrm>
                    <a:prstGeom prst="rect">
                      <a:avLst/>
                    </a:prstGeom>
                    <a:noFill/>
                  </pic:spPr>
                </pic:pic>
              </a:graphicData>
            </a:graphic>
          </wp:anchor>
        </w:drawing>
      </w:r>
    </w:p>
    <w:p>
      <w:pPr>
        <w:spacing w:after="0" w:line="109" w:lineRule="exact"/>
        <w:rPr>
          <w:sz w:val="20"/>
          <w:szCs w:val="20"/>
          <w:color w:val="auto"/>
        </w:rPr>
      </w:pPr>
    </w:p>
    <w:p>
      <w:pPr>
        <w:ind w:left="320"/>
        <w:spacing w:after="0"/>
        <w:tabs>
          <w:tab w:leader="none" w:pos="96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7"/>
          <w:szCs w:val="17"/>
          <w:color w:val="auto"/>
        </w:rPr>
        <w:t>Opinion of Ogier, Cayman Islands Counsel to the Registrant.*</w:t>
      </w:r>
    </w:p>
    <w:p>
      <w:pPr>
        <w:spacing w:after="0" w:line="129" w:lineRule="exact"/>
        <w:rPr>
          <w:sz w:val="20"/>
          <w:szCs w:val="20"/>
          <w:color w:val="auto"/>
        </w:rPr>
      </w:pPr>
    </w:p>
    <w:p>
      <w:pPr>
        <w:ind w:left="980" w:hanging="705"/>
        <w:spacing w:after="0" w:line="243" w:lineRule="auto"/>
        <w:tabs>
          <w:tab w:leader="none" w:pos="96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7"/>
          <w:szCs w:val="17"/>
          <w:color w:val="auto"/>
        </w:rPr>
        <w:t>Form of Investment Management Trust Agreement between Continental Stock Transfer &amp; Trust Company and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5760720" cy="3257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760720" cy="325755"/>
                    </a:xfrm>
                    <a:prstGeom prst="rect">
                      <a:avLst/>
                    </a:prstGeom>
                    <a:noFill/>
                  </pic:spPr>
                </pic:pic>
              </a:graphicData>
            </a:graphic>
          </wp:anchor>
        </w:drawing>
      </w:r>
    </w:p>
    <w:p>
      <w:pPr>
        <w:spacing w:after="0" w:line="97" w:lineRule="exact"/>
        <w:rPr>
          <w:sz w:val="20"/>
          <w:szCs w:val="20"/>
          <w:color w:val="auto"/>
        </w:rPr>
      </w:pPr>
    </w:p>
    <w:p>
      <w:pPr>
        <w:ind w:left="980" w:right="20" w:hanging="705"/>
        <w:spacing w:after="0" w:line="243" w:lineRule="auto"/>
        <w:tabs>
          <w:tab w:leader="none" w:pos="96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7"/>
          <w:szCs w:val="17"/>
          <w:color w:val="auto"/>
        </w:rPr>
        <w:t>Form of Registration and Shareholder Rights Agreement among the Registrant, the Sponsor and the Holders signatory thereto.*</w:t>
      </w:r>
    </w:p>
    <w:p>
      <w:pPr>
        <w:spacing w:after="0" w:line="117" w:lineRule="exact"/>
        <w:rPr>
          <w:sz w:val="20"/>
          <w:szCs w:val="20"/>
          <w:color w:val="auto"/>
        </w:rPr>
      </w:pPr>
    </w:p>
    <w:p>
      <w:pPr>
        <w:ind w:left="280"/>
        <w:spacing w:after="0"/>
        <w:tabs>
          <w:tab w:leader="none" w:pos="960" w:val="left"/>
        </w:tabs>
        <w:rPr>
          <w:sz w:val="20"/>
          <w:szCs w:val="20"/>
          <w:color w:val="auto"/>
        </w:rPr>
      </w:pPr>
      <w:r>
        <w:rPr>
          <w:rFonts w:ascii="Arial" w:cs="Arial" w:eastAsia="Arial" w:hAnsi="Arial"/>
          <w:sz w:val="17"/>
          <w:szCs w:val="17"/>
          <w:color w:val="auto"/>
        </w:rPr>
        <w:t>10.3</w:t>
      </w:r>
      <w:r>
        <w:rPr>
          <w:sz w:val="20"/>
          <w:szCs w:val="20"/>
          <w:color w:val="auto"/>
        </w:rPr>
        <w:tab/>
      </w:r>
      <w:r>
        <w:rPr>
          <w:rFonts w:ascii="Arial" w:cs="Arial" w:eastAsia="Arial" w:hAnsi="Arial"/>
          <w:sz w:val="17"/>
          <w:szCs w:val="17"/>
          <w:color w:val="auto"/>
        </w:rPr>
        <w:t>Form of Private Placement Shares Purchase Agreement between the Registrant and the Sponsor.*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5760720" cy="2057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760720" cy="205740"/>
                    </a:xfrm>
                    <a:prstGeom prst="rect">
                      <a:avLst/>
                    </a:prstGeom>
                    <a:noFill/>
                  </pic:spPr>
                </pic:pic>
              </a:graphicData>
            </a:graphic>
          </wp:anchor>
        </w:drawing>
      </w:r>
    </w:p>
    <w:p>
      <w:pPr>
        <w:spacing w:after="0" w:line="109" w:lineRule="exact"/>
        <w:rPr>
          <w:sz w:val="20"/>
          <w:szCs w:val="20"/>
          <w:color w:val="auto"/>
        </w:rPr>
      </w:pPr>
    </w:p>
    <w:p>
      <w:pPr>
        <w:ind w:left="280"/>
        <w:spacing w:after="0"/>
        <w:tabs>
          <w:tab w:leader="none" w:pos="96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7"/>
          <w:szCs w:val="17"/>
          <w:color w:val="auto"/>
        </w:rPr>
        <w:t>Form of Indemnity Agreement.*</w:t>
      </w:r>
    </w:p>
    <w:p>
      <w:pPr>
        <w:spacing w:after="0" w:line="129" w:lineRule="exact"/>
        <w:rPr>
          <w:sz w:val="20"/>
          <w:szCs w:val="20"/>
          <w:color w:val="auto"/>
        </w:rPr>
      </w:pPr>
    </w:p>
    <w:p>
      <w:pPr>
        <w:ind w:left="280"/>
        <w:spacing w:after="0"/>
        <w:tabs>
          <w:tab w:leader="none" w:pos="960" w:val="left"/>
        </w:tabs>
        <w:rPr>
          <w:sz w:val="20"/>
          <w:szCs w:val="20"/>
          <w:color w:val="auto"/>
        </w:rPr>
      </w:pPr>
      <w:r>
        <w:rPr>
          <w:rFonts w:ascii="Arial" w:cs="Arial" w:eastAsia="Arial" w:hAnsi="Arial"/>
          <w:sz w:val="17"/>
          <w:szCs w:val="17"/>
          <w:color w:val="auto"/>
        </w:rPr>
        <w:t>10.5</w:t>
      </w:r>
      <w:r>
        <w:rPr>
          <w:sz w:val="20"/>
          <w:szCs w:val="20"/>
          <w:color w:val="auto"/>
        </w:rPr>
        <w:tab/>
      </w:r>
      <w:r>
        <w:rPr>
          <w:rFonts w:ascii="Arial" w:cs="Arial" w:eastAsia="Arial" w:hAnsi="Arial"/>
          <w:sz w:val="17"/>
          <w:szCs w:val="17"/>
          <w:color w:val="auto"/>
        </w:rPr>
        <w:t>Form of Administrative Services Agreement between the Registrant and the Sponsor.*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5760720" cy="2057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760720" cy="205740"/>
                    </a:xfrm>
                    <a:prstGeom prst="rect">
                      <a:avLst/>
                    </a:prstGeom>
                    <a:noFill/>
                  </pic:spPr>
                </pic:pic>
              </a:graphicData>
            </a:graphic>
          </wp:anchor>
        </w:drawing>
      </w:r>
    </w:p>
    <w:p>
      <w:pPr>
        <w:spacing w:after="0" w:line="109" w:lineRule="exact"/>
        <w:rPr>
          <w:sz w:val="20"/>
          <w:szCs w:val="20"/>
          <w:color w:val="auto"/>
        </w:rPr>
      </w:pPr>
    </w:p>
    <w:p>
      <w:pPr>
        <w:ind w:left="280"/>
        <w:spacing w:after="0"/>
        <w:tabs>
          <w:tab w:leader="none" w:pos="960" w:val="left"/>
        </w:tabs>
        <w:rPr>
          <w:sz w:val="20"/>
          <w:szCs w:val="20"/>
          <w:color w:val="auto"/>
        </w:rPr>
      </w:pPr>
      <w:r>
        <w:rPr>
          <w:rFonts w:ascii="Arial" w:cs="Arial" w:eastAsia="Arial" w:hAnsi="Arial"/>
          <w:sz w:val="17"/>
          <w:szCs w:val="17"/>
          <w:color w:val="auto"/>
        </w:rPr>
        <w:t>10.6</w:t>
      </w:r>
      <w:r>
        <w:rPr>
          <w:sz w:val="20"/>
          <w:szCs w:val="20"/>
          <w:color w:val="auto"/>
        </w:rPr>
        <w:tab/>
      </w:r>
      <w:r>
        <w:rPr>
          <w:rFonts w:ascii="Arial" w:cs="Arial" w:eastAsia="Arial" w:hAnsi="Arial"/>
          <w:sz w:val="17"/>
          <w:szCs w:val="17"/>
          <w:color w:val="auto"/>
        </w:rPr>
        <w:t>Promissory Note, dated as of April 2, 2020, issued to the Sponsor.*</w:t>
      </w:r>
    </w:p>
    <w:p>
      <w:pPr>
        <w:spacing w:after="0" w:line="129" w:lineRule="exact"/>
        <w:rPr>
          <w:sz w:val="20"/>
          <w:szCs w:val="20"/>
          <w:color w:val="auto"/>
        </w:rPr>
      </w:pPr>
    </w:p>
    <w:p>
      <w:pPr>
        <w:ind w:left="280"/>
        <w:spacing w:after="0"/>
        <w:tabs>
          <w:tab w:leader="none" w:pos="960" w:val="left"/>
        </w:tabs>
        <w:rPr>
          <w:sz w:val="20"/>
          <w:szCs w:val="20"/>
          <w:color w:val="auto"/>
        </w:rPr>
      </w:pPr>
      <w:r>
        <w:rPr>
          <w:rFonts w:ascii="Arial" w:cs="Arial" w:eastAsia="Arial" w:hAnsi="Arial"/>
          <w:sz w:val="17"/>
          <w:szCs w:val="17"/>
          <w:color w:val="auto"/>
        </w:rPr>
        <w:t>10.7</w:t>
      </w:r>
      <w:r>
        <w:rPr>
          <w:sz w:val="20"/>
          <w:szCs w:val="20"/>
          <w:color w:val="auto"/>
        </w:rPr>
        <w:tab/>
      </w:r>
      <w:r>
        <w:rPr>
          <w:rFonts w:ascii="Arial" w:cs="Arial" w:eastAsia="Arial" w:hAnsi="Arial"/>
          <w:sz w:val="17"/>
          <w:szCs w:val="17"/>
          <w:color w:val="auto"/>
        </w:rPr>
        <w:t>Securities Subscription Agreement, dated April 2, 2020, between the Registrant and the Sponsor.*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5760720" cy="3257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760720" cy="325755"/>
                    </a:xfrm>
                    <a:prstGeom prst="rect">
                      <a:avLst/>
                    </a:prstGeom>
                    <a:noFill/>
                  </pic:spPr>
                </pic:pic>
              </a:graphicData>
            </a:graphic>
          </wp:anchor>
        </w:drawing>
      </w:r>
    </w:p>
    <w:p>
      <w:pPr>
        <w:spacing w:after="0" w:line="109" w:lineRule="exact"/>
        <w:rPr>
          <w:sz w:val="20"/>
          <w:szCs w:val="20"/>
          <w:color w:val="auto"/>
        </w:rPr>
      </w:pPr>
    </w:p>
    <w:p>
      <w:pPr>
        <w:ind w:left="980" w:hanging="705"/>
        <w:spacing w:after="0" w:line="243" w:lineRule="auto"/>
        <w:tabs>
          <w:tab w:leader="none" w:pos="960" w:val="left"/>
        </w:tabs>
        <w:rPr>
          <w:sz w:val="20"/>
          <w:szCs w:val="20"/>
          <w:color w:val="auto"/>
        </w:rPr>
      </w:pPr>
      <w:r>
        <w:rPr>
          <w:rFonts w:ascii="Arial" w:cs="Arial" w:eastAsia="Arial" w:hAnsi="Arial"/>
          <w:sz w:val="17"/>
          <w:szCs w:val="17"/>
          <w:color w:val="auto"/>
        </w:rPr>
        <w:t>10.8</w:t>
      </w:r>
      <w:r>
        <w:rPr>
          <w:sz w:val="20"/>
          <w:szCs w:val="20"/>
          <w:color w:val="auto"/>
        </w:rPr>
        <w:tab/>
      </w:r>
      <w:r>
        <w:rPr>
          <w:rFonts w:ascii="Arial" w:cs="Arial" w:eastAsia="Arial" w:hAnsi="Arial"/>
          <w:sz w:val="17"/>
          <w:szCs w:val="17"/>
          <w:color w:val="auto"/>
        </w:rPr>
        <w:t>Form of Letter Agreement among the Registrant, the Sponsor and each director and executive officer of the Registrant.*</w:t>
      </w:r>
    </w:p>
    <w:p>
      <w:pPr>
        <w:spacing w:after="0" w:line="117" w:lineRule="exact"/>
        <w:rPr>
          <w:sz w:val="20"/>
          <w:szCs w:val="20"/>
          <w:color w:val="auto"/>
        </w:rPr>
      </w:pPr>
    </w:p>
    <w:p>
      <w:pPr>
        <w:ind w:left="280"/>
        <w:spacing w:after="0"/>
        <w:tabs>
          <w:tab w:leader="none" w:pos="960" w:val="left"/>
        </w:tabs>
        <w:rPr>
          <w:rFonts w:ascii="Arial" w:cs="Arial" w:eastAsia="Arial" w:hAnsi="Arial"/>
          <w:sz w:val="17"/>
          <w:szCs w:val="17"/>
          <w:color w:val="0000EE"/>
        </w:rPr>
      </w:pPr>
      <w:hyperlink w:anchor="page159">
        <w:r>
          <w:rPr>
            <w:rFonts w:ascii="Arial" w:cs="Arial" w:eastAsia="Arial" w:hAnsi="Arial"/>
            <w:sz w:val="17"/>
            <w:szCs w:val="17"/>
            <w:u w:val="single" w:color="auto"/>
            <w:color w:val="0000EE"/>
          </w:rPr>
          <w:t>23.1</w:t>
        </w:r>
      </w:hyperlink>
      <w:r>
        <w:rPr>
          <w:rFonts w:ascii="Arial" w:cs="Arial" w:eastAsia="Arial" w:hAnsi="Arial"/>
          <w:sz w:val="17"/>
          <w:szCs w:val="17"/>
          <w:color w:val="0000EE"/>
        </w:rPr>
        <w:tab/>
        <w:t>Consent of WithumSmith+Brown,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5760720" cy="2057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760720" cy="205740"/>
                    </a:xfrm>
                    <a:prstGeom prst="rect">
                      <a:avLst/>
                    </a:prstGeom>
                    <a:noFill/>
                  </pic:spPr>
                </pic:pic>
              </a:graphicData>
            </a:graphic>
          </wp:anchor>
        </w:drawing>
      </w:r>
    </w:p>
    <w:p>
      <w:pPr>
        <w:spacing w:after="0" w:line="109" w:lineRule="exact"/>
        <w:rPr>
          <w:sz w:val="20"/>
          <w:szCs w:val="20"/>
          <w:color w:val="auto"/>
        </w:rPr>
      </w:pPr>
    </w:p>
    <w:p>
      <w:pPr>
        <w:ind w:left="280"/>
        <w:spacing w:after="0"/>
        <w:tabs>
          <w:tab w:leader="none" w:pos="960" w:val="left"/>
        </w:tabs>
        <w:rPr>
          <w:sz w:val="20"/>
          <w:szCs w:val="20"/>
          <w:color w:val="auto"/>
        </w:rPr>
      </w:pPr>
      <w:r>
        <w:rPr>
          <w:rFonts w:ascii="Arial" w:cs="Arial" w:eastAsia="Arial" w:hAnsi="Arial"/>
          <w:sz w:val="17"/>
          <w:szCs w:val="17"/>
          <w:color w:val="auto"/>
        </w:rPr>
        <w:t>23.2</w:t>
      </w:r>
      <w:r>
        <w:rPr>
          <w:sz w:val="20"/>
          <w:szCs w:val="20"/>
          <w:color w:val="auto"/>
        </w:rPr>
        <w:tab/>
      </w:r>
      <w:r>
        <w:rPr>
          <w:rFonts w:ascii="Arial" w:cs="Arial" w:eastAsia="Arial" w:hAnsi="Arial"/>
          <w:sz w:val="17"/>
          <w:szCs w:val="17"/>
          <w:color w:val="auto"/>
        </w:rPr>
        <w:t>Consent of Ogier (included in Exhibit 5.1).*</w:t>
      </w:r>
    </w:p>
    <w:p>
      <w:pPr>
        <w:spacing w:after="0" w:line="129" w:lineRule="exact"/>
        <w:rPr>
          <w:sz w:val="20"/>
          <w:szCs w:val="20"/>
          <w:color w:val="auto"/>
        </w:rPr>
      </w:pPr>
    </w:p>
    <w:p>
      <w:pPr>
        <w:ind w:left="980" w:hanging="635"/>
        <w:spacing w:after="0"/>
        <w:tabs>
          <w:tab w:leader="none" w:pos="980" w:val="left"/>
        </w:tabs>
        <w:numPr>
          <w:ilvl w:val="0"/>
          <w:numId w:val="44"/>
        </w:numPr>
        <w:rPr>
          <w:rFonts w:ascii="Arial" w:cs="Arial" w:eastAsia="Arial" w:hAnsi="Arial"/>
          <w:sz w:val="17"/>
          <w:szCs w:val="17"/>
          <w:u w:val="single" w:color="auto"/>
          <w:color w:val="0000EE"/>
        </w:rPr>
      </w:pPr>
      <w:r>
        <w:rPr>
          <w:rFonts w:ascii="Arial" w:cs="Arial" w:eastAsia="Arial" w:hAnsi="Arial"/>
          <w:sz w:val="17"/>
          <w:szCs w:val="17"/>
          <w:color w:val="auto"/>
        </w:rPr>
        <w:t>Power of Attorney (included on the signature page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5760720" cy="16319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760720" cy="163195"/>
                    </a:xfrm>
                    <a:prstGeom prst="rect">
                      <a:avLst/>
                    </a:prstGeom>
                    <a:noFill/>
                  </pic:spPr>
                </pic:pic>
              </a:graphicData>
            </a:graphic>
          </wp:anchor>
        </w:drawing>
      </w:r>
    </w:p>
    <w:p>
      <w:pPr>
        <w:spacing w:after="0" w:line="109" w:lineRule="exact"/>
        <w:rPr>
          <w:sz w:val="20"/>
          <w:szCs w:val="20"/>
          <w:color w:val="auto"/>
        </w:rPr>
      </w:pPr>
    </w:p>
    <w:p>
      <w:pPr>
        <w:ind w:left="280"/>
        <w:spacing w:after="0"/>
        <w:tabs>
          <w:tab w:leader="none" w:pos="960" w:val="left"/>
        </w:tabs>
        <w:rPr>
          <w:rFonts w:ascii="Arial" w:cs="Arial" w:eastAsia="Arial" w:hAnsi="Arial"/>
          <w:sz w:val="17"/>
          <w:szCs w:val="17"/>
          <w:color w:val="0000EE"/>
        </w:rPr>
      </w:pPr>
      <w:hyperlink w:anchor="page160">
        <w:r>
          <w:rPr>
            <w:rFonts w:ascii="Arial" w:cs="Arial" w:eastAsia="Arial" w:hAnsi="Arial"/>
            <w:sz w:val="17"/>
            <w:szCs w:val="17"/>
            <w:u w:val="single" w:color="auto"/>
            <w:color w:val="0000EE"/>
          </w:rPr>
          <w:t>99.1</w:t>
        </w:r>
      </w:hyperlink>
      <w:r>
        <w:rPr>
          <w:rFonts w:ascii="Arial" w:cs="Arial" w:eastAsia="Arial" w:hAnsi="Arial"/>
          <w:sz w:val="17"/>
          <w:szCs w:val="17"/>
          <w:color w:val="0000EE"/>
        </w:rPr>
        <w:tab/>
      </w:r>
      <w:r>
        <w:rPr>
          <w:rFonts w:ascii="Arial" w:cs="Arial" w:eastAsia="Arial" w:hAnsi="Arial"/>
          <w:sz w:val="16"/>
          <w:szCs w:val="16"/>
          <w:color w:val="0000EE"/>
        </w:rPr>
        <w:t>Consent of Todd Wider.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57607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41" w:lineRule="exact"/>
        <w:rPr>
          <w:sz w:val="20"/>
          <w:szCs w:val="20"/>
          <w:color w:val="auto"/>
        </w:rPr>
      </w:pPr>
    </w:p>
    <w:p>
      <w:pPr>
        <w:ind w:left="360" w:hanging="352"/>
        <w:spacing w:after="0"/>
        <w:tabs>
          <w:tab w:leader="none" w:pos="36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To be filed by amendment.</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113665</wp:posOffset>
            </wp:positionV>
            <wp:extent cx="699516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157" w:name="page158"/>
    <w:bookmarkEnd w:id="15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8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City of New York, State of New York, on the 21st day of July, 2020.</w:t>
      </w:r>
    </w:p>
    <w:p>
      <w:pPr>
        <w:spacing w:after="0" w:line="289"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ARYA SCIENCES ACQUISITION CORP III</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340"/>
        <w:spacing w:after="0"/>
        <w:tabs>
          <w:tab w:leader="none" w:pos="48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Adam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42545</wp:posOffset>
            </wp:positionV>
            <wp:extent cx="268287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122"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Name: Adam Stone</w:t>
      </w:r>
    </w:p>
    <w:p>
      <w:pPr>
        <w:spacing w:after="0" w:line="102"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Title: Chief Executive Officer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4"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KNOW ALL MEN BY THESE PRESENTS, that each of the undersigned constitutes and appoints each of Joseph Edelman, Adam Stone, Michael Altman and Sam Cohn, each acting alone, his true and lawful attorneys-in-fact and agents, with full power of substitution and resubstitution, for such person and in his name, place and stead, in any and all capacities, to sign this Registration Statement on Form S-1 (including all pre-effective and post-effective amendments and registration statements filed pursuant to Rule 462 under the Securities Act of 1933, as amended), and to file the same, with all exhibits thereto, and other documents in connection therewith, with the U.S. Securities and Exchange Commission,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that any such attorney-in-fact and agent, or his substitute or substitutes, may lawfully do or cause to be done by virtue hereof.</w:t>
      </w:r>
    </w:p>
    <w:p>
      <w:pPr>
        <w:spacing w:after="0" w:line="168"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below by the following persons in the capacities and on the dates indicated.</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6"/>
                <w:szCs w:val="16"/>
                <w:color w:val="auto"/>
              </w:rPr>
            </w:pPr>
          </w:p>
        </w:tc>
        <w:tc>
          <w:tcPr>
            <w:tcW w:w="4320" w:type="dxa"/>
            <w:vAlign w:val="bottom"/>
            <w:gridSpan w:val="2"/>
          </w:tcPr>
          <w:p>
            <w:pPr>
              <w:ind w:left="1720"/>
              <w:spacing w:after="0"/>
              <w:rPr>
                <w:sz w:val="20"/>
                <w:szCs w:val="20"/>
                <w:color w:val="auto"/>
              </w:rPr>
            </w:pPr>
            <w:r>
              <w:rPr>
                <w:rFonts w:ascii="Arial" w:cs="Arial" w:eastAsia="Arial" w:hAnsi="Arial"/>
                <w:sz w:val="14"/>
                <w:szCs w:val="14"/>
                <w:b w:val="1"/>
                <w:bCs w:val="1"/>
                <w:color w:val="auto"/>
              </w:rPr>
              <w:t>POSITION</w:t>
            </w:r>
          </w:p>
        </w:tc>
        <w:tc>
          <w:tcPr>
            <w:tcW w:w="1520" w:type="dxa"/>
            <w:vAlign w:val="bottom"/>
          </w:tcPr>
          <w:p>
            <w:pPr>
              <w:ind w:left="58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53"/>
        </w:trPr>
        <w:tc>
          <w:tcPr>
            <w:tcW w:w="30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1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3040" w:type="dxa"/>
            <w:vAlign w:val="bottom"/>
          </w:tcPr>
          <w:p>
            <w:pPr>
              <w:spacing w:after="0"/>
              <w:rPr>
                <w:sz w:val="20"/>
                <w:szCs w:val="20"/>
                <w:color w:val="auto"/>
              </w:rPr>
            </w:pPr>
            <w:r>
              <w:rPr>
                <w:rFonts w:ascii="Arial" w:cs="Arial" w:eastAsia="Arial" w:hAnsi="Arial"/>
                <w:sz w:val="17"/>
                <w:szCs w:val="17"/>
                <w:color w:val="auto"/>
              </w:rPr>
              <w:t>/s/ Joseph Edelman</w:t>
            </w:r>
          </w:p>
        </w:tc>
        <w:tc>
          <w:tcPr>
            <w:tcW w:w="200" w:type="dxa"/>
            <w:vAlign w:val="bottom"/>
          </w:tcPr>
          <w:p>
            <w:pPr>
              <w:spacing w:after="0"/>
              <w:rPr>
                <w:sz w:val="22"/>
                <w:szCs w:val="22"/>
                <w:color w:val="auto"/>
              </w:rPr>
            </w:pPr>
          </w:p>
        </w:tc>
        <w:tc>
          <w:tcPr>
            <w:tcW w:w="4320" w:type="dxa"/>
            <w:vAlign w:val="bottom"/>
            <w:gridSpan w:val="2"/>
          </w:tcPr>
          <w:p>
            <w:pPr>
              <w:spacing w:after="0"/>
              <w:rPr>
                <w:sz w:val="20"/>
                <w:szCs w:val="20"/>
                <w:color w:val="auto"/>
              </w:rPr>
            </w:pPr>
            <w:r>
              <w:rPr>
                <w:rFonts w:ascii="Arial" w:cs="Arial" w:eastAsia="Arial" w:hAnsi="Arial"/>
                <w:sz w:val="17"/>
                <w:szCs w:val="17"/>
                <w:color w:val="auto"/>
              </w:rPr>
              <w:t>Chairman of the Board of Directors</w:t>
            </w:r>
          </w:p>
        </w:tc>
        <w:tc>
          <w:tcPr>
            <w:tcW w:w="1520" w:type="dxa"/>
            <w:vAlign w:val="bottom"/>
          </w:tcPr>
          <w:p>
            <w:pPr>
              <w:spacing w:after="0"/>
              <w:rPr>
                <w:sz w:val="20"/>
                <w:szCs w:val="20"/>
                <w:color w:val="auto"/>
              </w:rPr>
            </w:pPr>
            <w:r>
              <w:rPr>
                <w:rFonts w:ascii="Arial" w:cs="Arial" w:eastAsia="Arial" w:hAnsi="Arial"/>
                <w:sz w:val="17"/>
                <w:szCs w:val="17"/>
                <w:color w:val="auto"/>
              </w:rPr>
              <w:t>July 21, 2020</w:t>
            </w:r>
          </w:p>
        </w:tc>
        <w:tc>
          <w:tcPr>
            <w:tcW w:w="0" w:type="dxa"/>
            <w:vAlign w:val="bottom"/>
          </w:tcPr>
          <w:p>
            <w:pPr>
              <w:spacing w:after="0"/>
              <w:rPr>
                <w:sz w:val="1"/>
                <w:szCs w:val="1"/>
                <w:color w:val="auto"/>
              </w:rPr>
            </w:pPr>
          </w:p>
        </w:tc>
      </w:tr>
      <w:tr>
        <w:trPr>
          <w:trHeight w:val="58"/>
        </w:trPr>
        <w:tc>
          <w:tcPr>
            <w:tcW w:w="30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4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3040" w:type="dxa"/>
            <w:vAlign w:val="bottom"/>
          </w:tcPr>
          <w:p>
            <w:pPr>
              <w:spacing w:after="0"/>
              <w:rPr>
                <w:sz w:val="20"/>
                <w:szCs w:val="20"/>
                <w:color w:val="auto"/>
              </w:rPr>
            </w:pPr>
            <w:r>
              <w:rPr>
                <w:rFonts w:ascii="Arial" w:cs="Arial" w:eastAsia="Arial" w:hAnsi="Arial"/>
                <w:sz w:val="17"/>
                <w:szCs w:val="17"/>
                <w:color w:val="auto"/>
              </w:rPr>
              <w:t>Joseph Edelman</w:t>
            </w:r>
          </w:p>
        </w:tc>
        <w:tc>
          <w:tcPr>
            <w:tcW w:w="20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4"/>
        </w:trPr>
        <w:tc>
          <w:tcPr>
            <w:tcW w:w="3040" w:type="dxa"/>
            <w:vAlign w:val="bottom"/>
          </w:tcPr>
          <w:p>
            <w:pPr>
              <w:spacing w:after="0"/>
              <w:rPr>
                <w:sz w:val="20"/>
                <w:szCs w:val="20"/>
                <w:color w:val="auto"/>
              </w:rPr>
            </w:pPr>
            <w:r>
              <w:rPr>
                <w:rFonts w:ascii="Arial" w:cs="Arial" w:eastAsia="Arial" w:hAnsi="Arial"/>
                <w:sz w:val="17"/>
                <w:szCs w:val="17"/>
                <w:color w:val="auto"/>
              </w:rPr>
              <w:t>/s/ Adam Stone</w:t>
            </w:r>
          </w:p>
        </w:tc>
        <w:tc>
          <w:tcPr>
            <w:tcW w:w="200" w:type="dxa"/>
            <w:vAlign w:val="bottom"/>
          </w:tcPr>
          <w:p>
            <w:pPr>
              <w:spacing w:after="0"/>
              <w:rPr>
                <w:sz w:val="24"/>
                <w:szCs w:val="24"/>
                <w:color w:val="auto"/>
              </w:rPr>
            </w:pPr>
          </w:p>
        </w:tc>
        <w:tc>
          <w:tcPr>
            <w:tcW w:w="4320" w:type="dxa"/>
            <w:vAlign w:val="bottom"/>
            <w:gridSpan w:val="2"/>
            <w:vMerge w:val="restart"/>
          </w:tcPr>
          <w:p>
            <w:pPr>
              <w:spacing w:after="0"/>
              <w:rPr>
                <w:sz w:val="20"/>
                <w:szCs w:val="20"/>
                <w:color w:val="auto"/>
              </w:rPr>
            </w:pPr>
            <w:r>
              <w:rPr>
                <w:rFonts w:ascii="Arial" w:cs="Arial" w:eastAsia="Arial" w:hAnsi="Arial"/>
                <w:sz w:val="17"/>
                <w:szCs w:val="17"/>
                <w:color w:val="auto"/>
              </w:rPr>
              <w:t>Chief Executive Officer and Director</w:t>
            </w:r>
          </w:p>
        </w:tc>
        <w:tc>
          <w:tcPr>
            <w:tcW w:w="1520" w:type="dxa"/>
            <w:vAlign w:val="bottom"/>
          </w:tcPr>
          <w:p>
            <w:pPr>
              <w:spacing w:after="0"/>
              <w:rPr>
                <w:sz w:val="20"/>
                <w:szCs w:val="20"/>
                <w:color w:val="auto"/>
              </w:rPr>
            </w:pPr>
            <w:r>
              <w:rPr>
                <w:rFonts w:ascii="Arial" w:cs="Arial" w:eastAsia="Arial" w:hAnsi="Arial"/>
                <w:sz w:val="17"/>
                <w:szCs w:val="17"/>
                <w:color w:val="auto"/>
              </w:rPr>
              <w:t>July 21, 2020</w:t>
            </w:r>
          </w:p>
        </w:tc>
        <w:tc>
          <w:tcPr>
            <w:tcW w:w="0" w:type="dxa"/>
            <w:vAlign w:val="bottom"/>
          </w:tcPr>
          <w:p>
            <w:pPr>
              <w:spacing w:after="0"/>
              <w:rPr>
                <w:sz w:val="1"/>
                <w:szCs w:val="1"/>
                <w:color w:val="auto"/>
              </w:rPr>
            </w:pPr>
          </w:p>
        </w:tc>
      </w:tr>
      <w:tr>
        <w:trPr>
          <w:trHeight w:val="58"/>
        </w:trPr>
        <w:tc>
          <w:tcPr>
            <w:tcW w:w="3040" w:type="dxa"/>
            <w:vAlign w:val="bottom"/>
            <w:tcBorders>
              <w:bottom w:val="single" w:sz="8" w:color="auto"/>
            </w:tcBorders>
          </w:tcPr>
          <w:p>
            <w:pPr>
              <w:spacing w:after="0"/>
              <w:rPr>
                <w:sz w:val="5"/>
                <w:szCs w:val="5"/>
                <w:color w:val="auto"/>
              </w:rPr>
            </w:pPr>
          </w:p>
        </w:tc>
        <w:tc>
          <w:tcPr>
            <w:tcW w:w="200" w:type="dxa"/>
            <w:vAlign w:val="bottom"/>
            <w:vMerge w:val="restart"/>
          </w:tcPr>
          <w:p>
            <w:pPr>
              <w:spacing w:after="0"/>
              <w:rPr>
                <w:sz w:val="5"/>
                <w:szCs w:val="5"/>
                <w:color w:val="auto"/>
              </w:rPr>
            </w:pPr>
          </w:p>
        </w:tc>
        <w:tc>
          <w:tcPr>
            <w:tcW w:w="4320" w:type="dxa"/>
            <w:vAlign w:val="bottom"/>
            <w:gridSpan w:val="2"/>
            <w:vMerge w:val="continue"/>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3040" w:type="dxa"/>
            <w:vAlign w:val="bottom"/>
          </w:tcPr>
          <w:p>
            <w:pPr>
              <w:spacing w:after="0"/>
              <w:rPr>
                <w:sz w:val="2"/>
                <w:szCs w:val="2"/>
                <w:color w:val="auto"/>
              </w:rPr>
            </w:pPr>
          </w:p>
        </w:tc>
        <w:tc>
          <w:tcPr>
            <w:tcW w:w="200" w:type="dxa"/>
            <w:vAlign w:val="bottom"/>
            <w:vMerge w:val="continue"/>
          </w:tcPr>
          <w:p>
            <w:pPr>
              <w:spacing w:after="0"/>
              <w:rPr>
                <w:sz w:val="2"/>
                <w:szCs w:val="2"/>
                <w:color w:val="auto"/>
              </w:rPr>
            </w:pPr>
          </w:p>
        </w:tc>
        <w:tc>
          <w:tcPr>
            <w:tcW w:w="4320" w:type="dxa"/>
            <w:vAlign w:val="bottom"/>
            <w:gridSpan w:val="2"/>
            <w:vMerge w:val="continue"/>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040" w:type="dxa"/>
            <w:vAlign w:val="bottom"/>
          </w:tcPr>
          <w:p>
            <w:pPr>
              <w:spacing w:after="0"/>
              <w:rPr>
                <w:sz w:val="20"/>
                <w:szCs w:val="20"/>
                <w:color w:val="auto"/>
              </w:rPr>
            </w:pPr>
            <w:r>
              <w:rPr>
                <w:rFonts w:ascii="Arial" w:cs="Arial" w:eastAsia="Arial" w:hAnsi="Arial"/>
                <w:sz w:val="17"/>
                <w:szCs w:val="17"/>
                <w:color w:val="auto"/>
              </w:rPr>
              <w:t>Adam Stone</w:t>
            </w:r>
          </w:p>
        </w:tc>
        <w:tc>
          <w:tcPr>
            <w:tcW w:w="200" w:type="dxa"/>
            <w:vAlign w:val="bottom"/>
          </w:tcPr>
          <w:p>
            <w:pPr>
              <w:spacing w:after="0"/>
              <w:rPr>
                <w:sz w:val="20"/>
                <w:szCs w:val="20"/>
                <w:color w:val="auto"/>
              </w:rPr>
            </w:pPr>
          </w:p>
        </w:tc>
        <w:tc>
          <w:tcPr>
            <w:tcW w:w="4320" w:type="dxa"/>
            <w:vAlign w:val="bottom"/>
            <w:gridSpan w:val="2"/>
          </w:tcPr>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Executive Officer</w:t>
            </w:r>
            <w:r>
              <w:rPr>
                <w:rFonts w:ascii="Arial" w:cs="Arial" w:eastAsia="Arial" w:hAnsi="Arial"/>
                <w:sz w:val="17"/>
                <w:szCs w:val="17"/>
                <w:color w:val="auto"/>
              </w:rPr>
              <w:t>)</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040" w:type="dxa"/>
            <w:vAlign w:val="bottom"/>
          </w:tcPr>
          <w:p>
            <w:pPr>
              <w:spacing w:after="0"/>
              <w:rPr>
                <w:sz w:val="20"/>
                <w:szCs w:val="20"/>
                <w:color w:val="auto"/>
              </w:rPr>
            </w:pPr>
            <w:r>
              <w:rPr>
                <w:rFonts w:ascii="Arial" w:cs="Arial" w:eastAsia="Arial" w:hAnsi="Arial"/>
                <w:sz w:val="17"/>
                <w:szCs w:val="17"/>
                <w:color w:val="auto"/>
              </w:rPr>
              <w:t>/s/ Michael Altman</w:t>
            </w:r>
          </w:p>
        </w:tc>
        <w:tc>
          <w:tcPr>
            <w:tcW w:w="200" w:type="dxa"/>
            <w:vAlign w:val="bottom"/>
          </w:tcPr>
          <w:p>
            <w:pPr>
              <w:spacing w:after="0"/>
              <w:rPr>
                <w:sz w:val="24"/>
                <w:szCs w:val="24"/>
                <w:color w:val="auto"/>
              </w:rPr>
            </w:pPr>
          </w:p>
        </w:tc>
        <w:tc>
          <w:tcPr>
            <w:tcW w:w="4320" w:type="dxa"/>
            <w:vAlign w:val="bottom"/>
            <w:gridSpan w:val="2"/>
            <w:vMerge w:val="restart"/>
          </w:tcPr>
          <w:p>
            <w:pPr>
              <w:spacing w:after="0"/>
              <w:rPr>
                <w:sz w:val="20"/>
                <w:szCs w:val="20"/>
                <w:color w:val="auto"/>
              </w:rPr>
            </w:pPr>
            <w:r>
              <w:rPr>
                <w:rFonts w:ascii="Arial" w:cs="Arial" w:eastAsia="Arial" w:hAnsi="Arial"/>
                <w:sz w:val="17"/>
                <w:szCs w:val="17"/>
                <w:color w:val="auto"/>
              </w:rPr>
              <w:t>Chief Financial Officer and Director</w:t>
            </w:r>
          </w:p>
        </w:tc>
        <w:tc>
          <w:tcPr>
            <w:tcW w:w="1520" w:type="dxa"/>
            <w:vAlign w:val="bottom"/>
          </w:tcPr>
          <w:p>
            <w:pPr>
              <w:spacing w:after="0"/>
              <w:rPr>
                <w:sz w:val="20"/>
                <w:szCs w:val="20"/>
                <w:color w:val="auto"/>
              </w:rPr>
            </w:pPr>
            <w:r>
              <w:rPr>
                <w:rFonts w:ascii="Arial" w:cs="Arial" w:eastAsia="Arial" w:hAnsi="Arial"/>
                <w:sz w:val="17"/>
                <w:szCs w:val="17"/>
                <w:color w:val="auto"/>
              </w:rPr>
              <w:t>July 21, 2020</w:t>
            </w:r>
          </w:p>
        </w:tc>
        <w:tc>
          <w:tcPr>
            <w:tcW w:w="0" w:type="dxa"/>
            <w:vAlign w:val="bottom"/>
          </w:tcPr>
          <w:p>
            <w:pPr>
              <w:spacing w:after="0"/>
              <w:rPr>
                <w:sz w:val="1"/>
                <w:szCs w:val="1"/>
                <w:color w:val="auto"/>
              </w:rPr>
            </w:pPr>
          </w:p>
        </w:tc>
      </w:tr>
      <w:tr>
        <w:trPr>
          <w:trHeight w:val="58"/>
        </w:trPr>
        <w:tc>
          <w:tcPr>
            <w:tcW w:w="30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4320" w:type="dxa"/>
            <w:vAlign w:val="bottom"/>
            <w:gridSpan w:val="2"/>
            <w:vMerge w:val="continue"/>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040" w:type="dxa"/>
            <w:vAlign w:val="bottom"/>
            <w:vMerge w:val="restart"/>
          </w:tcPr>
          <w:p>
            <w:pPr>
              <w:spacing w:after="0"/>
              <w:rPr>
                <w:sz w:val="20"/>
                <w:szCs w:val="20"/>
                <w:color w:val="auto"/>
              </w:rPr>
            </w:pPr>
            <w:r>
              <w:rPr>
                <w:rFonts w:ascii="Arial" w:cs="Arial" w:eastAsia="Arial" w:hAnsi="Arial"/>
                <w:sz w:val="17"/>
                <w:szCs w:val="17"/>
                <w:color w:val="auto"/>
              </w:rPr>
              <w:t>Michael Altman</w:t>
            </w:r>
          </w:p>
        </w:tc>
        <w:tc>
          <w:tcPr>
            <w:tcW w:w="200" w:type="dxa"/>
            <w:vAlign w:val="bottom"/>
          </w:tcPr>
          <w:p>
            <w:pPr>
              <w:spacing w:after="0"/>
              <w:rPr>
                <w:sz w:val="17"/>
                <w:szCs w:val="17"/>
                <w:color w:val="auto"/>
              </w:rPr>
            </w:pPr>
          </w:p>
        </w:tc>
        <w:tc>
          <w:tcPr>
            <w:tcW w:w="4320" w:type="dxa"/>
            <w:vAlign w:val="bottom"/>
            <w:gridSpan w:val="2"/>
          </w:tcPr>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Financial and Accounting Officer</w:t>
            </w:r>
            <w:r>
              <w:rPr>
                <w:rFonts w:ascii="Arial" w:cs="Arial" w:eastAsia="Arial" w:hAnsi="Arial"/>
                <w:sz w:val="17"/>
                <w:szCs w:val="17"/>
                <w:color w:val="auto"/>
              </w:rPr>
              <w:t>)</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
        </w:trPr>
        <w:tc>
          <w:tcPr>
            <w:tcW w:w="30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4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3"/>
        </w:trPr>
        <w:tc>
          <w:tcPr>
            <w:tcW w:w="3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320" w:type="dxa"/>
            <w:vAlign w:val="bottom"/>
            <w:gridSpan w:val="2"/>
          </w:tcPr>
          <w:p>
            <w:pPr>
              <w:ind w:left="1180"/>
              <w:spacing w:after="0"/>
              <w:rPr>
                <w:sz w:val="20"/>
                <w:szCs w:val="20"/>
                <w:color w:val="auto"/>
              </w:rPr>
            </w:pPr>
            <w:r>
              <w:rPr>
                <w:rFonts w:ascii="Arial" w:cs="Arial" w:eastAsia="Arial" w:hAnsi="Arial"/>
                <w:sz w:val="16"/>
                <w:szCs w:val="16"/>
                <w:color w:val="auto"/>
              </w:rPr>
              <w:t>II-4</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80"/>
          </w:cols>
          <w:pgMar w:left="1400" w:top="265" w:right="1419" w:bottom="1440" w:gutter="0" w:footer="0" w:header="0"/>
        </w:sectPr>
      </w:pPr>
    </w:p>
    <w:bookmarkStart w:id="158" w:name="page159"/>
    <w:bookmarkEnd w:id="158"/>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hereby consent to the use in this Registration Statement on Form S-1 of our report dated July 20, 2020, relating to the balance sheet of ARYA Sciences Acquisition Corp III as of April 2, 2020, and the related statements of operations, changes in shareholder’s equity and cash flows for the period from March 27, 2020 (inception) through April 2, 2020, and to the reference to our Firm under the caption “Experts” in the Prospectus.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59" w:name="page160"/>
    <w:bookmarkEnd w:id="159"/>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CONSENT OF TODD WIDER</w:t>
      </w:r>
    </w:p>
    <w:p>
      <w:pPr>
        <w:spacing w:after="0" w:line="233" w:lineRule="exact"/>
        <w:rPr>
          <w:sz w:val="20"/>
          <w:szCs w:val="20"/>
          <w:color w:val="auto"/>
        </w:rPr>
      </w:pPr>
    </w:p>
    <w:p>
      <w:pPr>
        <w:ind w:right="80"/>
        <w:spacing w:after="0" w:line="238" w:lineRule="auto"/>
        <w:rPr>
          <w:sz w:val="20"/>
          <w:szCs w:val="20"/>
          <w:color w:val="auto"/>
        </w:rPr>
      </w:pPr>
      <w:r>
        <w:rPr>
          <w:rFonts w:ascii="Arial" w:cs="Arial" w:eastAsia="Arial" w:hAnsi="Arial"/>
          <w:sz w:val="22"/>
          <w:szCs w:val="22"/>
          <w:color w:val="auto"/>
        </w:rPr>
        <w:t>ARYA Sciences Acquisition Corp III (the “Company”) intends to file a Registration Statement on Form S-1(together with any amendments or supplements thereto, the “Registration Statement”) registering securities for issuance in its initial public offering. As required by Rule 438 under the Securities Act of 1933, as amended, the undersigned hereby consents to being named in the Registration Statement as a Director Nominee.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July 20, 2020</w:t>
      </w:r>
    </w:p>
    <w:p>
      <w:pPr>
        <w:spacing w:after="0" w:line="240"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Todd Wider</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Todd Wider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20611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decimal"/>
      <w:start w:val="1"/>
    </w:lvl>
  </w:abstractNum>
  <w:abstractNum w:abstractNumId="1">
    <w:nsid w:val="6763845E"/>
    <w:multiLevelType w:val="hybridMultilevel"/>
    <w:lvl w:ilvl="0">
      <w:lvlJc w:val="left"/>
      <w:lvlText w:val="(%1)"/>
      <w:numFmt w:val="decimal"/>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1)"/>
      <w:numFmt w:val="upperLetter"/>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1)"/>
      <w:numFmt w:val="lowerRoman"/>
      <w:start w:val="3"/>
    </w:lvl>
  </w:abstractNum>
  <w:abstractNum w:abstractNumId="7">
    <w:nsid w:val="189A769B"/>
    <w:multiLevelType w:val="hybridMultilevel"/>
    <w:lvl w:ilvl="0">
      <w:lvlJc w:val="left"/>
      <w:lvlText w:val="(%1)"/>
      <w:numFmt w:val="lowerRoman"/>
      <w:start w:val="3"/>
    </w:lvl>
  </w:abstractNum>
  <w:abstractNum w:abstractNumId="8">
    <w:nsid w:val="54E49EB4"/>
    <w:multiLevelType w:val="hybridMultilevel"/>
    <w:lvl w:ilvl="0">
      <w:lvlJc w:val="left"/>
      <w:lvlText w:val="(%1)"/>
      <w:numFmt w:val="decimal"/>
      <w:start w:val="1"/>
    </w:lvl>
  </w:abstractNum>
  <w:abstractNum w:abstractNumId="9">
    <w:nsid w:val="71F32454"/>
    <w:multiLevelType w:val="hybridMultilevel"/>
    <w:lvl w:ilvl="0">
      <w:lvlJc w:val="left"/>
      <w:lvlText w:val="(%1)"/>
      <w:numFmt w:val="decimal"/>
      <w:start w:val="4"/>
    </w:lvl>
  </w:abstractNum>
  <w:abstractNum w:abstractNumId="10">
    <w:nsid w:val="2CA88611"/>
    <w:multiLevelType w:val="hybridMultilevel"/>
    <w:lvl w:ilvl="0">
      <w:lvlJc w:val="left"/>
      <w:lvlText w:val="(%1)"/>
      <w:numFmt w:val="upperLetter"/>
      <w:start w:val="1"/>
    </w:lvl>
  </w:abstractNum>
  <w:abstractNum w:abstractNumId="11">
    <w:nsid w:val="836C40E"/>
    <w:multiLevelType w:val="hybridMultilevel"/>
    <w:lvl w:ilvl="0">
      <w:lvlJc w:val="left"/>
      <w:lvlText w:val="(%1)"/>
      <w:numFmt w:val="decimal"/>
      <w:start w:val="1"/>
    </w:lvl>
  </w:abstractNum>
  <w:abstractNum w:abstractNumId="12">
    <w:nsid w:val="2901D82"/>
    <w:multiLevelType w:val="hybridMultilevel"/>
    <w:lvl w:ilvl="0">
      <w:lvlJc w:val="left"/>
      <w:lvlText w:val="(%1)"/>
      <w:numFmt w:val="decimal"/>
      <w:start w:val="1"/>
    </w:lvl>
  </w:abstractNum>
  <w:abstractNum w:abstractNumId="13">
    <w:nsid w:val="3A95F874"/>
    <w:multiLevelType w:val="hybridMultilevel"/>
    <w:lvl w:ilvl="0">
      <w:lvlJc w:val="left"/>
      <w:lvlText w:val="(%1)"/>
      <w:numFmt w:val="decimal"/>
      <w:start w:val="1"/>
    </w:lvl>
  </w:abstractNum>
  <w:abstractNum w:abstractNumId="14">
    <w:nsid w:val="8138641"/>
    <w:multiLevelType w:val="hybridMultilevel"/>
    <w:lvl w:ilvl="0">
      <w:lvlJc w:val="left"/>
      <w:lvlText w:val="(%1)"/>
      <w:numFmt w:val="lowerRoman"/>
      <w:start w:val="2"/>
    </w:lvl>
  </w:abstractNum>
  <w:abstractNum w:abstractNumId="15">
    <w:nsid w:val="1E7FF521"/>
    <w:multiLevelType w:val="hybridMultilevel"/>
    <w:lvl w:ilvl="0">
      <w:lvlJc w:val="left"/>
      <w:lvlText w:val="%1"/>
      <w:numFmt w:val="upperLetter"/>
      <w:start w:val="35"/>
    </w:lvl>
  </w:abstractNum>
  <w:abstractNum w:abstractNumId="16">
    <w:nsid w:val="7C3DBD3D"/>
    <w:multiLevelType w:val="hybridMultilevel"/>
    <w:lvl w:ilvl="0">
      <w:lvlJc w:val="left"/>
      <w:lvlText w:val="(%1)"/>
      <w:numFmt w:val="lowerLetter"/>
      <w:start w:val="2"/>
    </w:lvl>
  </w:abstractNum>
  <w:abstractNum w:abstractNumId="17">
    <w:nsid w:val="737B8DDC"/>
    <w:multiLevelType w:val="hybridMultilevel"/>
    <w:lvl w:ilvl="0">
      <w:lvlJc w:val="left"/>
      <w:lvlText w:val="(%1)"/>
      <w:numFmt w:val="upperLetter"/>
      <w:start w:val="2"/>
    </w:lvl>
  </w:abstractNum>
  <w:abstractNum w:abstractNumId="18">
    <w:nsid w:val="6CEAF087"/>
    <w:multiLevelType w:val="hybridMultilevel"/>
    <w:lvl w:ilvl="0">
      <w:lvlJc w:val="left"/>
      <w:lvlText w:val="(%1)"/>
      <w:numFmt w:val="lowerRoman"/>
      <w:start w:val="1"/>
    </w:lvl>
  </w:abstractNum>
  <w:abstractNum w:abstractNumId="19">
    <w:nsid w:val="22221A70"/>
    <w:multiLevelType w:val="hybridMultilevel"/>
    <w:lvl w:ilvl="0">
      <w:lvlJc w:val="left"/>
      <w:lvlText w:val="(%1)"/>
      <w:numFmt w:val="lowerLetter"/>
      <w:start w:val="3"/>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1)"/>
      <w:numFmt w:val="decimal"/>
      <w:start w:val="1"/>
    </w:lvl>
  </w:abstractNum>
  <w:abstractNum w:abstractNumId="23">
    <w:nsid w:val="419AC241"/>
    <w:multiLevelType w:val="hybridMultilevel"/>
    <w:lvl w:ilvl="0">
      <w:lvlJc w:val="left"/>
      <w:lvlText w:val="(%1)"/>
      <w:numFmt w:val="upperLetter"/>
      <w:start w:val="1"/>
    </w:lvl>
  </w:abstractNum>
  <w:abstractNum w:abstractNumId="24">
    <w:nsid w:val="5577F8E1"/>
    <w:multiLevelType w:val="hybridMultilevel"/>
    <w:lvl w:ilvl="0">
      <w:lvlJc w:val="left"/>
      <w:lvlText w:val="(%1)"/>
      <w:numFmt w:val="lowerLetter"/>
      <w:start w:val="4"/>
    </w:lvl>
  </w:abstractNum>
  <w:abstractNum w:abstractNumId="25">
    <w:nsid w:val="440BADFC"/>
    <w:multiLevelType w:val="hybridMultilevel"/>
    <w:lvl w:ilvl="0">
      <w:lvlJc w:val="left"/>
      <w:lvlText w:val="(%1)"/>
      <w:numFmt w:val="upperLetter"/>
      <w:start w:val="2"/>
    </w:lvl>
  </w:abstractNum>
  <w:abstractNum w:abstractNumId="26">
    <w:nsid w:val="5072367"/>
    <w:multiLevelType w:val="hybridMultilevel"/>
    <w:lvl w:ilvl="0">
      <w:lvlJc w:val="left"/>
      <w:lvlText w:val="(%1)"/>
      <w:numFmt w:val="lowerLetter"/>
      <w:start w:val="1"/>
    </w:lvl>
  </w:abstractNum>
  <w:abstractNum w:abstractNumId="27">
    <w:nsid w:val="3804823E"/>
    <w:multiLevelType w:val="hybridMultilevel"/>
    <w:lvl w:ilvl="0">
      <w:lvlJc w:val="left"/>
      <w:lvlText w:val="(%1)"/>
      <w:numFmt w:val="lowerLetter"/>
      <w:start w:val="1"/>
    </w:lvl>
  </w:abstractNum>
  <w:abstractNum w:abstractNumId="28">
    <w:nsid w:val="77465F01"/>
    <w:multiLevelType w:val="hybridMultilevel"/>
    <w:lvl w:ilvl="0">
      <w:lvlJc w:val="left"/>
      <w:lvlText w:val="(%1)"/>
      <w:numFmt w:val="lowerLetter"/>
      <w:start w:val="8"/>
    </w:lvl>
  </w:abstractNum>
  <w:abstractNum w:abstractNumId="29">
    <w:nsid w:val="7724C67E"/>
    <w:multiLevelType w:val="hybridMultilevel"/>
    <w:lvl w:ilvl="0">
      <w:lvlJc w:val="left"/>
      <w:lvlText w:val="(%1)"/>
      <w:numFmt w:val="upperLetter"/>
      <w:start w:val="2"/>
    </w:lvl>
  </w:abstractNum>
  <w:abstractNum w:abstractNumId="30">
    <w:nsid w:val="5C482A97"/>
    <w:multiLevelType w:val="hybridMultilevel"/>
    <w:lvl w:ilvl="0">
      <w:lvlJc w:val="left"/>
      <w:lvlText w:val="%1."/>
      <w:numFmt w:val="decimal"/>
      <w:start w:val="2"/>
    </w:lvl>
  </w:abstractNum>
  <w:abstractNum w:abstractNumId="31">
    <w:nsid w:val="2463B9EA"/>
    <w:multiLevelType w:val="hybridMultilevel"/>
    <w:lvl w:ilvl="0">
      <w:lvlJc w:val="left"/>
      <w:lvlText w:val="(%1)"/>
      <w:numFmt w:val="lowerRoman"/>
      <w:start w:val="2"/>
    </w:lvl>
  </w:abstractNum>
  <w:abstractNum w:abstractNumId="32">
    <w:nsid w:val="5E884ADC"/>
    <w:multiLevelType w:val="hybridMultilevel"/>
    <w:lvl w:ilvl="0">
      <w:lvlJc w:val="left"/>
      <w:lvlText w:val="(%1)"/>
      <w:numFmt w:val="decimal"/>
      <w:start w:val="1"/>
    </w:lvl>
  </w:abstractNum>
  <w:abstractNum w:abstractNumId="33">
    <w:nsid w:val="51EAD36B"/>
    <w:multiLevelType w:val="hybridMultilevel"/>
    <w:lvl w:ilvl="0">
      <w:lvlJc w:val="left"/>
      <w:lvlText w:val="(%1)"/>
      <w:numFmt w:val="decimal"/>
      <w:start w:val="1"/>
    </w:lvl>
  </w:abstractNum>
  <w:abstractNum w:abstractNumId="34">
    <w:nsid w:val="2D517796"/>
    <w:multiLevelType w:val="hybridMultilevel"/>
    <w:lvl w:ilvl="0">
      <w:lvlJc w:val="left"/>
      <w:lvlText w:val="(%1)"/>
      <w:numFmt w:val="lowerRoman"/>
      <w:start w:val="2"/>
    </w:lvl>
  </w:abstractNum>
  <w:abstractNum w:abstractNumId="35">
    <w:nsid w:val="580BD78F"/>
    <w:multiLevelType w:val="hybridMultilevel"/>
    <w:lvl w:ilvl="0">
      <w:lvlJc w:val="left"/>
      <w:lvlText w:val="(%1)"/>
      <w:numFmt w:val="decimal"/>
      <w:start w:val="1"/>
    </w:lvl>
  </w:abstractNum>
  <w:abstractNum w:abstractNumId="36">
    <w:nsid w:val="153EA438"/>
    <w:multiLevelType w:val="hybridMultilevel"/>
    <w:lvl w:ilvl="0">
      <w:lvlJc w:val="left"/>
      <w:lvlText w:val="(%1)"/>
      <w:numFmt w:val="decimal"/>
      <w:start w:val="1"/>
    </w:lvl>
  </w:abstractNum>
  <w:abstractNum w:abstractNumId="37">
    <w:nsid w:val="3855585C"/>
    <w:multiLevelType w:val="hybridMultilevel"/>
    <w:lvl w:ilvl="0">
      <w:lvlJc w:val="left"/>
      <w:lvlText w:val="(%1)"/>
      <w:numFmt w:val="decimal"/>
      <w:start w:val="1"/>
    </w:lvl>
  </w:abstractNum>
  <w:abstractNum w:abstractNumId="38">
    <w:nsid w:val="70A64E2A"/>
    <w:multiLevelType w:val="hybridMultilevel"/>
    <w:lvl w:ilvl="0">
      <w:lvlJc w:val="left"/>
      <w:lvlText w:val="(%1)"/>
      <w:numFmt w:val="lowerRoman"/>
      <w:start w:val="3"/>
    </w:lvl>
  </w:abstractNum>
  <w:abstractNum w:abstractNumId="39">
    <w:nsid w:val="6A2342EC"/>
    <w:multiLevelType w:val="hybridMultilevel"/>
    <w:lvl w:ilvl="0">
      <w:lvlJc w:val="left"/>
      <w:lvlText w:val="(%1)"/>
      <w:numFmt w:val="lowerRoman"/>
      <w:start w:val="1"/>
    </w:lvl>
  </w:abstractNum>
  <w:abstractNum w:abstractNumId="40">
    <w:nsid w:val="2A487CB0"/>
    <w:multiLevelType w:val="hybridMultilevel"/>
    <w:lvl w:ilvl="0">
      <w:lvlJc w:val="left"/>
      <w:lvlText w:val="(%1)"/>
      <w:numFmt w:val="decimal"/>
      <w:start w:val="1"/>
    </w:lvl>
  </w:abstractNum>
  <w:abstractNum w:abstractNumId="41">
    <w:nsid w:val="1D4ED43B"/>
    <w:multiLevelType w:val="hybridMultilevel"/>
    <w:lvl w:ilvl="0">
      <w:lvlJc w:val="left"/>
      <w:lvlText w:val="(%1)"/>
      <w:numFmt w:val="lowerLetter"/>
      <w:start w:val="1"/>
    </w:lvl>
  </w:abstractNum>
  <w:abstractNum w:abstractNumId="42">
    <w:nsid w:val="725A06FB"/>
    <w:multiLevelType w:val="hybridMultilevel"/>
    <w:lvl w:ilvl="0">
      <w:lvlJc w:val="left"/>
      <w:lvlText w:val="(%1)"/>
      <w:numFmt w:val="lowerLetter"/>
      <w:start w:val="1"/>
    </w:lvl>
    <w:lvl w:ilvl="1">
      <w:lvlJc w:val="left"/>
      <w:lvlText w:val="(%2)"/>
      <w:numFmt w:val="decimal"/>
      <w:start w:val="1"/>
    </w:lvl>
  </w:abstractNum>
  <w:abstractNum w:abstractNumId="43">
    <w:nsid w:val="2CD89A32"/>
    <w:multiLevelType w:val="hybridMultilevel"/>
    <w:lvl w:ilvl="0">
      <w:lvlJc w:val="left"/>
      <w:lvlText w:val="%1"/>
      <w:numFmt w:val="decimal"/>
      <w:start w:val="24"/>
    </w:lvl>
  </w:abstractNum>
  <w:abstractNum w:abstractNumId="44">
    <w:nsid w:val="57E4CC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2020-07-21T16:16:47Z</dcterms:created>
  <dcterms:modified xsi:type="dcterms:W3CDTF">2020-07-21T16:16:47Z</dcterms:modified>
</cp:coreProperties>
</file>