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Wider Todd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ARYA Sciences Acquisition Corp III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ARYA SCIENCES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ACQUISITION CORP III</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51 ASTOR PLACE, 10TH FLOOR</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10003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60" w:type="dxa"/>
            <w:vAlign w:val="bottom"/>
          </w:tcPr>
          <w:p>
            <w:pPr>
              <w:ind w:left="260"/>
              <w:spacing w:after="0"/>
              <w:rPr>
                <w:sz w:val="20"/>
                <w:szCs w:val="20"/>
                <w:color w:val="auto"/>
              </w:rPr>
            </w:pPr>
            <w:r>
              <w:rPr>
                <w:rFonts w:ascii="Arial" w:cs="Arial" w:eastAsia="Arial" w:hAnsi="Arial"/>
                <w:sz w:val="20"/>
                <w:szCs w:val="20"/>
                <w:color w:val="0000FF"/>
              </w:rPr>
              <w:t>Class A ordinary</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30,000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680"/>
              <w:spacing w:after="0"/>
              <w:rPr>
                <w:sz w:val="20"/>
                <w:szCs w:val="20"/>
                <w:color w:val="auto"/>
              </w:rPr>
            </w:pPr>
            <w:r>
              <w:rPr>
                <w:rFonts w:ascii="Arial" w:cs="Arial" w:eastAsia="Arial" w:hAnsi="Arial"/>
                <w:sz w:val="20"/>
                <w:szCs w:val="20"/>
                <w:color w:val="0000FF"/>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0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333-239986) under the heading "Description of Securities--Founder Shares", the shares of Class B ordinary shares, par value $0.0001 per share, will automatically convert into shares of Class A ordinary shares, par value $0.0001 per share, of the issuer at the time of the issuer's initial business combination on a one-for-one basis, subject to adjustment for stock splits, stock dividends,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Samuel M. Cohn, as</w:t>
            </w:r>
          </w:p>
        </w:tc>
        <w:tc>
          <w:tcPr>
            <w:tcW w:w="3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72" w:lineRule="exact"/>
        <w:rPr>
          <w:sz w:val="20"/>
          <w:szCs w:val="20"/>
          <w:color w:val="auto"/>
        </w:rPr>
      </w:pPr>
    </w:p>
    <w:p>
      <w:pPr>
        <w:ind w:right="420" w:firstLine="720"/>
        <w:spacing w:after="0" w:line="273" w:lineRule="auto"/>
        <w:rPr>
          <w:sz w:val="20"/>
          <w:szCs w:val="20"/>
          <w:color w:val="auto"/>
        </w:rPr>
      </w:pPr>
      <w:r>
        <w:rPr>
          <w:rFonts w:ascii="Arial" w:cs="Arial" w:eastAsia="Arial" w:hAnsi="Arial"/>
          <w:sz w:val="22"/>
          <w:szCs w:val="22"/>
          <w:color w:val="auto"/>
        </w:rPr>
        <w:t>KNOW ALL BY THESE PRESENTS, that the undersigned hereby makes, constitutes and appoints Michael Altman, Adam Stone, Konstantin Poukalov and Samuel Cohn, acting singly and with full power of substitution or revocation, the undersigned’s true and lawful attorney-in-fact, with full power and authority as hereinafter described on behalf of and in the name, place and stead of the undersigned to:</w:t>
      </w:r>
    </w:p>
    <w:p>
      <w:pPr>
        <w:spacing w:after="0" w:line="207" w:lineRule="exact"/>
        <w:rPr>
          <w:sz w:val="20"/>
          <w:szCs w:val="20"/>
          <w:color w:val="auto"/>
        </w:rPr>
      </w:pPr>
    </w:p>
    <w:p>
      <w:pPr>
        <w:ind w:left="1440" w:right="100" w:hanging="720"/>
        <w:spacing w:after="0" w:line="270" w:lineRule="auto"/>
        <w:tabs>
          <w:tab w:leader="none" w:pos="144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director nominee, officer or beneficial owner of ordinary shares of ARYA Sciences Acquisition Corp III, a Cayman Islands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any Schedule 13D or Schedule 13G, and any amendments, supplements or exhibits thereto (including any joint filing agreements) required to be filed by the undersigned under Section 13 of the Securities Exchange Act of 1934, as amended, and the rules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any Forms 3, 4, and 5 and any amendments, supplements or exhibits thereto required to be filed by the undersigned under Section 16(a) of the Exchange Act;</w:t>
      </w:r>
    </w:p>
    <w:p>
      <w:pPr>
        <w:spacing w:after="0" w:line="230" w:lineRule="exact"/>
        <w:rPr>
          <w:rFonts w:ascii="Arial" w:cs="Arial" w:eastAsia="Arial" w:hAnsi="Arial"/>
          <w:sz w:val="19"/>
          <w:szCs w:val="19"/>
          <w:color w:val="auto"/>
        </w:rPr>
      </w:pPr>
    </w:p>
    <w:p>
      <w:pPr>
        <w:ind w:left="1440" w:right="40" w:hanging="720"/>
        <w:spacing w:after="0" w:line="264"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231" w:lineRule="exact"/>
        <w:rPr>
          <w:rFonts w:ascii="Arial" w:cs="Arial" w:eastAsia="Arial" w:hAnsi="Arial"/>
          <w:sz w:val="20"/>
          <w:szCs w:val="20"/>
          <w:color w:val="auto"/>
        </w:rPr>
      </w:pPr>
    </w:p>
    <w:p>
      <w:pPr>
        <w:ind w:left="144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32" w:lineRule="exact"/>
        <w:rPr>
          <w:sz w:val="20"/>
          <w:szCs w:val="20"/>
          <w:color w:val="auto"/>
        </w:rPr>
      </w:pPr>
    </w:p>
    <w:p>
      <w:pPr>
        <w:ind w:right="40" w:firstLine="1441"/>
        <w:spacing w:after="0" w:line="249" w:lineRule="auto"/>
        <w:rPr>
          <w:sz w:val="20"/>
          <w:szCs w:val="20"/>
          <w:color w:val="auto"/>
        </w:rPr>
      </w:pPr>
      <w:r>
        <w:rPr>
          <w:rFonts w:ascii="Arial" w:cs="Arial" w:eastAsia="Arial" w:hAnsi="Arial"/>
          <w:sz w:val="23"/>
          <w:szCs w:val="23"/>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232" w:lineRule="exact"/>
        <w:rPr>
          <w:sz w:val="20"/>
          <w:szCs w:val="20"/>
          <w:color w:val="auto"/>
        </w:rPr>
      </w:pPr>
    </w:p>
    <w:p>
      <w:pPr>
        <w:jc w:val="both"/>
        <w:ind w:right="60" w:firstLine="720"/>
        <w:spacing w:after="0" w:line="281" w:lineRule="auto"/>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88" w:right="479" w:bottom="1440" w:gutter="0" w:footer="0" w:header="0"/>
        </w:sectPr>
      </w:pPr>
    </w:p>
    <w:bookmarkStart w:id="2" w:name="page3"/>
    <w:bookmarkEnd w:id="2"/>
    <w:p>
      <w:pPr>
        <w:ind w:firstLine="720"/>
        <w:spacing w:after="0" w:line="261" w:lineRule="auto"/>
        <w:rPr>
          <w:sz w:val="20"/>
          <w:szCs w:val="20"/>
          <w:color w:val="auto"/>
        </w:rPr>
      </w:pPr>
      <w:r>
        <w:rPr>
          <w:rFonts w:ascii="Arial" w:cs="Arial" w:eastAsia="Arial" w:hAnsi="Arial"/>
          <w:sz w:val="24"/>
          <w:szCs w:val="24"/>
          <w:color w:val="auto"/>
        </w:rPr>
        <w:t>IN WITNESS WHEREOF, the undersigned has caused this Power of Attorney to be executed as of this 6th day of August, 2020.</w:t>
      </w:r>
    </w:p>
    <w:p>
      <w:pPr>
        <w:spacing w:after="0" w:line="218" w:lineRule="exact"/>
        <w:rPr>
          <w:sz w:val="20"/>
          <w:szCs w:val="20"/>
          <w:color w:val="auto"/>
        </w:rPr>
      </w:pPr>
    </w:p>
    <w:p>
      <w:pPr>
        <w:ind w:left="5480"/>
        <w:spacing w:after="0"/>
        <w:tabs>
          <w:tab w:leader="none" w:pos="6020" w:val="left"/>
        </w:tabs>
        <w:rPr>
          <w:sz w:val="20"/>
          <w:szCs w:val="20"/>
          <w:color w:val="auto"/>
        </w:rPr>
      </w:pPr>
      <w:r>
        <w:rPr>
          <w:rFonts w:ascii="Arial" w:cs="Arial" w:eastAsia="Arial" w:hAnsi="Arial"/>
          <w:sz w:val="20"/>
          <w:szCs w:val="20"/>
          <w:color w:val="auto"/>
        </w:rPr>
        <w:t>By:</w:t>
        <w:tab/>
        <w:t>/s/ 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26035</wp:posOffset>
            </wp:positionV>
            <wp:extent cx="222059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20595" cy="19050"/>
                    </a:xfrm>
                    <a:prstGeom prst="rect">
                      <a:avLst/>
                    </a:prstGeom>
                    <a:noFill/>
                  </pic:spPr>
                </pic:pic>
              </a:graphicData>
            </a:graphic>
          </wp:anchor>
        </w:drawing>
      </w:r>
    </w:p>
    <w:p>
      <w:pPr>
        <w:spacing w:after="0" w:line="3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Name:Todd Wider</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Title: Director</w:t>
      </w:r>
    </w:p>
    <w:p>
      <w:pPr>
        <w:spacing w:after="0" w:line="256" w:lineRule="exact"/>
        <w:rPr>
          <w:sz w:val="20"/>
          <w:szCs w:val="20"/>
          <w:color w:val="auto"/>
        </w:rPr>
      </w:pPr>
    </w:p>
    <w:p>
      <w:pPr>
        <w:jc w:val="center"/>
        <w:ind w:right="-299"/>
        <w:spacing w:after="0"/>
        <w:rPr>
          <w:sz w:val="20"/>
          <w:szCs w:val="20"/>
          <w:color w:val="auto"/>
        </w:rPr>
      </w:pPr>
      <w:r>
        <w:rPr>
          <w:rFonts w:ascii="Arial" w:cs="Arial" w:eastAsia="Arial" w:hAnsi="Arial"/>
          <w:sz w:val="24"/>
          <w:szCs w:val="24"/>
          <w:color w:val="auto"/>
        </w:rPr>
        <w:t>[</w:t>
      </w:r>
      <w:r>
        <w:rPr>
          <w:rFonts w:ascii="Arial" w:cs="Arial" w:eastAsia="Arial" w:hAnsi="Arial"/>
          <w:sz w:val="24"/>
          <w:szCs w:val="24"/>
          <w:i w:val="1"/>
          <w:iCs w:val="1"/>
          <w:color w:val="auto"/>
        </w:rPr>
        <w:t>Signature Page to the Power of Attorney</w:t>
      </w: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430530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640"/>
      </w:cols>
      <w:pgMar w:left="480" w:top="115"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642715" TargetMode="External"/><Relationship Id="rId11"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2020-08-06T20:42:31Z</dcterms:created>
  <dcterms:modified xsi:type="dcterms:W3CDTF">2020-08-06T20:42:31Z</dcterms:modified>
</cp:coreProperties>
</file>