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333-258100</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88,738,387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79375</wp:posOffset>
            </wp:positionV>
            <wp:extent cx="2143125"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0294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859155</wp:posOffset>
            </wp:positionV>
            <wp:extent cx="1071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firstLine="324"/>
        <w:spacing w:after="0" w:line="297" w:lineRule="auto"/>
        <w:rPr>
          <w:sz w:val="20"/>
          <w:szCs w:val="20"/>
          <w:color w:val="auto"/>
        </w:rPr>
      </w:pPr>
      <w:r>
        <w:rPr>
          <w:rFonts w:ascii="Times New Roman" w:cs="Times New Roman" w:eastAsia="Times New Roman" w:hAnsi="Times New Roman"/>
          <w:sz w:val="18"/>
          <w:szCs w:val="18"/>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13,093,331 shares of Common Stock issued in a private placement (the “PIPE Financing”) by certain of the selling securityholders, and (iv) the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138" w:lineRule="exact"/>
        <w:rPr>
          <w:sz w:val="24"/>
          <w:szCs w:val="24"/>
          <w:color w:val="auto"/>
        </w:rPr>
      </w:pPr>
    </w:p>
    <w:p>
      <w:pPr>
        <w:ind w:right="160" w:firstLine="324"/>
        <w:spacing w:after="0" w:line="305" w:lineRule="auto"/>
        <w:rPr>
          <w:sz w:val="20"/>
          <w:szCs w:val="20"/>
          <w:color w:val="auto"/>
        </w:rPr>
      </w:pPr>
      <w:r>
        <w:rPr>
          <w:rFonts w:ascii="Times New Roman" w:cs="Times New Roman" w:eastAsia="Times New Roman" w:hAnsi="Times New Roman"/>
          <w:sz w:val="18"/>
          <w:szCs w:val="18"/>
          <w:color w:val="auto"/>
        </w:rPr>
        <w:t>We are registering the resale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appearing elsewhere in this prospectus.</w:t>
      </w:r>
    </w:p>
    <w:p>
      <w:pPr>
        <w:spacing w:after="0" w:line="129" w:lineRule="exact"/>
        <w:rPr>
          <w:sz w:val="24"/>
          <w:szCs w:val="24"/>
          <w:color w:val="auto"/>
        </w:rPr>
      </w:pPr>
    </w:p>
    <w:p>
      <w:pPr>
        <w:ind w:right="220" w:firstLine="324"/>
        <w:spacing w:after="0" w:line="305" w:lineRule="auto"/>
        <w:rPr>
          <w:sz w:val="20"/>
          <w:szCs w:val="20"/>
          <w:color w:val="auto"/>
        </w:rPr>
      </w:pPr>
      <w:r>
        <w:rPr>
          <w:rFonts w:ascii="Times New Roman" w:cs="Times New Roman" w:eastAsia="Times New Roman" w:hAnsi="Times New Roman"/>
          <w:sz w:val="18"/>
          <w:szCs w:val="18"/>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appearing elsewhere in this prospectus.</w:t>
      </w:r>
    </w:p>
    <w:p>
      <w:pPr>
        <w:spacing w:after="0" w:line="129" w:lineRule="exact"/>
        <w:rPr>
          <w:sz w:val="24"/>
          <w:szCs w:val="24"/>
          <w:color w:val="auto"/>
        </w:rPr>
      </w:pPr>
    </w:p>
    <w:p>
      <w:pPr>
        <w:ind w:right="100" w:firstLine="324"/>
        <w:spacing w:after="0" w:line="329" w:lineRule="auto"/>
        <w:rPr>
          <w:sz w:val="20"/>
          <w:szCs w:val="20"/>
          <w:color w:val="auto"/>
        </w:rPr>
      </w:pPr>
      <w:r>
        <w:rPr>
          <w:rFonts w:ascii="Times New Roman" w:cs="Times New Roman" w:eastAsia="Times New Roman" w:hAnsi="Times New Roman"/>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94" w:lineRule="exact"/>
        <w:rPr>
          <w:sz w:val="24"/>
          <w:szCs w:val="24"/>
          <w:color w:val="auto"/>
        </w:rPr>
      </w:pPr>
    </w:p>
    <w:p>
      <w:pPr>
        <w:ind w:right="360" w:firstLine="324"/>
        <w:spacing w:after="0" w:line="329"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“NAUT.” On August 8, 2022, the last quoted sale price for our Common Stock as reported on Nasdaq was $2.91.</w:t>
      </w:r>
    </w:p>
    <w:p>
      <w:pPr>
        <w:spacing w:after="0" w:line="104" w:lineRule="exact"/>
        <w:rPr>
          <w:sz w:val="24"/>
          <w:szCs w:val="24"/>
          <w:color w:val="auto"/>
        </w:rPr>
      </w:pPr>
    </w:p>
    <w:p>
      <w:pPr>
        <w:ind w:right="200"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13" w:lineRule="exact"/>
        <w:rPr>
          <w:sz w:val="24"/>
          <w:szCs w:val="24"/>
          <w:color w:val="auto"/>
        </w:rPr>
      </w:pPr>
    </w:p>
    <w:p>
      <w:pPr>
        <w:ind w:right="140" w:firstLine="324"/>
        <w:spacing w:after="0" w:line="307"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the section titled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color w:val="auto"/>
        </w:rPr>
        <w:t>” beginning on page 7 of this prospectus and under similar headings in any amendments or supplements to this prospectus and the documents incorporated herein by reference.</w:t>
      </w:r>
    </w:p>
    <w:p>
      <w:pPr>
        <w:spacing w:after="0" w:line="124" w:lineRule="exact"/>
        <w:rPr>
          <w:sz w:val="24"/>
          <w:szCs w:val="24"/>
          <w:color w:val="auto"/>
        </w:rPr>
      </w:pPr>
    </w:p>
    <w:p>
      <w:pPr>
        <w:ind w:right="580" w:firstLine="324"/>
        <w:spacing w:after="0" w:line="318"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13" w:lineRule="exact"/>
        <w:rPr>
          <w:sz w:val="24"/>
          <w:szCs w:val="24"/>
          <w:color w:val="auto"/>
        </w:rPr>
      </w:pPr>
    </w:p>
    <w:p>
      <w:pPr>
        <w:ind w:right="820" w:firstLine="324"/>
        <w:spacing w:after="0" w:line="333" w:lineRule="auto"/>
        <w:rPr>
          <w:sz w:val="20"/>
          <w:szCs w:val="20"/>
          <w:color w:val="auto"/>
        </w:rPr>
      </w:pPr>
      <w:r>
        <w:rPr>
          <w:rFonts w:ascii="Times New Roman" w:cs="Times New Roman" w:eastAsia="Times New Roman" w:hAnsi="Times New Roman"/>
          <w:sz w:val="18"/>
          <w:szCs w:val="18"/>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78105</wp:posOffset>
            </wp:positionV>
            <wp:extent cx="1071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date of this prospectus is August 8, 2022.</w:t>
      </w:r>
    </w:p>
    <w:p>
      <w:pPr>
        <w:sectPr>
          <w:pgSz w:w="11900" w:h="16838" w:orient="portrait"/>
          <w:cols w:equalWidth="0" w:num="1">
            <w:col w:w="11240"/>
          </w:cols>
          <w:pgMar w:left="320" w:top="1035" w:right="339" w:bottom="1440" w:gutter="0" w:footer="0" w:header="0"/>
        </w:sectPr>
      </w:pPr>
    </w:p>
    <w:bookmarkStart w:id="1" w:name="page2"/>
    <w:bookmarkEnd w:id="1"/>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0" w:type="dxa"/>
            <w:vAlign w:val="bottom"/>
            <w:gridSpan w:val="5"/>
          </w:tcPr>
          <w:p>
            <w:pPr>
              <w:jc w:val="right"/>
              <w:ind w:right="4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331"/>
        </w:trPr>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About This Prospectus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18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w w:val="99"/>
              </w:rPr>
              <w:t>Market and Industry Data</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860" w:type="dxa"/>
            <w:vAlign w:val="bottom"/>
            <w:tcBorders>
              <w:bottom w:val="single" w:sz="8" w:color="0000FF"/>
            </w:tcBorders>
            <w:gridSpan w:val="13"/>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w w:val="97"/>
              </w:rPr>
              <w:t>Trademarks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60" w:type="dxa"/>
            <w:vAlign w:val="bottom"/>
            <w:tcBorders>
              <w:bottom w:val="single" w:sz="8" w:color="0000FF"/>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10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The Company</w:t>
            </w: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40" w:type="dxa"/>
            <w:vAlign w:val="bottom"/>
            <w:tcBorders>
              <w:bottom w:val="single" w:sz="8" w:color="0000FF"/>
            </w:tcBorders>
            <w:gridSpan w:val="6"/>
            <w:vMerge w:val="continue"/>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7"/>
              </w:rPr>
              <w:t>The Offering</w:t>
            </w: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40" w:type="dxa"/>
            <w:vAlign w:val="bottom"/>
            <w:tcBorders>
              <w:bottom w:val="single" w:sz="8" w:color="0000FF"/>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6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Risk Factors Summary</w:t>
            </w:r>
          </w:p>
        </w:tc>
        <w:tc>
          <w:tcPr>
            <w:tcW w:w="2740" w:type="dxa"/>
            <w:vAlign w:val="bottom"/>
            <w:gridSpan w:val="7"/>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660" w:type="dxa"/>
            <w:vAlign w:val="bottom"/>
            <w:tcBorders>
              <w:bottom w:val="single" w:sz="8" w:color="0000FF"/>
            </w:tcBorders>
            <w:gridSpan w:val="10"/>
            <w:vMerge w:val="continue"/>
          </w:tcPr>
          <w:p>
            <w:pPr>
              <w:spacing w:after="0"/>
              <w:rPr>
                <w:sz w:val="24"/>
                <w:szCs w:val="24"/>
                <w:color w:val="auto"/>
              </w:rPr>
            </w:pPr>
          </w:p>
        </w:tc>
        <w:tc>
          <w:tcPr>
            <w:tcW w:w="2740" w:type="dxa"/>
            <w:vAlign w:val="bottom"/>
            <w:gridSpan w:val="7"/>
            <w:vMerge w:val="continue"/>
          </w:tcPr>
          <w:p>
            <w:pPr>
              <w:spacing w:after="0"/>
              <w:rPr>
                <w:sz w:val="24"/>
                <w:szCs w:val="24"/>
                <w:color w:val="auto"/>
              </w:rPr>
            </w:pPr>
          </w:p>
        </w:tc>
        <w:tc>
          <w:tcPr>
            <w:tcW w:w="6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48"/>
        </w:trPr>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3480" w:type="dxa"/>
            <w:vAlign w:val="bottom"/>
            <w:gridSpan w:val="14"/>
            <w:vMerge w:val="restart"/>
          </w:tcPr>
          <w:p>
            <w:pPr>
              <w:spacing w:after="0"/>
              <w:rPr>
                <w:sz w:val="4"/>
                <w:szCs w:val="4"/>
                <w:color w:val="auto"/>
              </w:rPr>
            </w:pPr>
          </w:p>
        </w:tc>
        <w:tc>
          <w:tcPr>
            <w:tcW w:w="68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20" w:type="dxa"/>
            <w:vAlign w:val="bottom"/>
            <w:gridSpan w:val="3"/>
            <w:vMerge w:val="continue"/>
          </w:tcPr>
          <w:p>
            <w:pPr>
              <w:spacing w:after="0" w:line="20" w:lineRule="exact"/>
              <w:rPr>
                <w:sz w:val="1"/>
                <w:szCs w:val="1"/>
                <w:color w:val="auto"/>
              </w:rPr>
            </w:pPr>
          </w:p>
        </w:tc>
        <w:tc>
          <w:tcPr>
            <w:tcW w:w="3480" w:type="dxa"/>
            <w:vAlign w:val="bottom"/>
            <w:gridSpan w:val="14"/>
            <w:vMerge w:val="continu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20" w:type="dxa"/>
            <w:vAlign w:val="bottom"/>
            <w:tcBorders>
              <w:bottom w:val="single" w:sz="8" w:color="0000FF"/>
            </w:tcBorders>
            <w:gridSpan w:val="3"/>
            <w:vMerge w:val="continue"/>
          </w:tcPr>
          <w:p>
            <w:pPr>
              <w:spacing w:after="0"/>
              <w:rPr>
                <w:sz w:val="24"/>
                <w:szCs w:val="24"/>
                <w:color w:val="auto"/>
              </w:rPr>
            </w:pPr>
          </w:p>
        </w:tc>
        <w:tc>
          <w:tcPr>
            <w:tcW w:w="3480" w:type="dxa"/>
            <w:vAlign w:val="bottom"/>
            <w:gridSpan w:val="14"/>
            <w:vMerge w:val="continue"/>
          </w:tcPr>
          <w:p>
            <w:pPr>
              <w:spacing w:after="0"/>
              <w:rPr>
                <w:sz w:val="24"/>
                <w:szCs w:val="24"/>
                <w:color w:val="auto"/>
              </w:rPr>
            </w:pPr>
          </w:p>
        </w:tc>
        <w:tc>
          <w:tcPr>
            <w:tcW w:w="6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48"/>
        </w:trPr>
        <w:tc>
          <w:tcPr>
            <w:tcW w:w="41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40" w:type="dxa"/>
            <w:vAlign w:val="bottom"/>
          </w:tcPr>
          <w:p>
            <w:pPr>
              <w:spacing w:after="0"/>
              <w:rPr>
                <w:sz w:val="4"/>
                <w:szCs w:val="4"/>
                <w:color w:val="auto"/>
              </w:rPr>
            </w:pPr>
          </w:p>
        </w:tc>
        <w:tc>
          <w:tcPr>
            <w:tcW w:w="68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160" w:type="dxa"/>
            <w:vAlign w:val="bottom"/>
            <w:gridSpan w:val="16"/>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160" w:type="dxa"/>
            <w:vAlign w:val="bottom"/>
            <w:tcBorders>
              <w:bottom w:val="single" w:sz="8" w:color="0000FF"/>
            </w:tcBorders>
            <w:gridSpan w:val="16"/>
            <w:vMerge w:val="continue"/>
          </w:tcPr>
          <w:p>
            <w:pPr>
              <w:spacing w:after="0"/>
              <w:rPr>
                <w:sz w:val="22"/>
                <w:szCs w:val="22"/>
                <w:color w:val="auto"/>
              </w:rPr>
            </w:pPr>
          </w:p>
        </w:tc>
        <w:tc>
          <w:tcPr>
            <w:tcW w:w="240" w:type="dxa"/>
            <w:vAlign w:val="bottom"/>
          </w:tcPr>
          <w:p>
            <w:pPr>
              <w:spacing w:after="0"/>
              <w:rPr>
                <w:sz w:val="22"/>
                <w:szCs w:val="22"/>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1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180" w:type="dxa"/>
            <w:vAlign w:val="bottom"/>
            <w:tcBorders>
              <w:bottom w:val="single" w:sz="8" w:color="0000FF"/>
            </w:tcBorders>
            <w:gridSpan w:val="7"/>
            <w:vMerge w:val="continue"/>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17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9"/>
              </w:rPr>
              <w:t>Selling Securityholders</w:t>
            </w: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00" w:type="dxa"/>
            <w:vAlign w:val="bottom"/>
            <w:tcBorders>
              <w:bottom w:val="single" w:sz="8" w:color="0000FF"/>
            </w:tcBorders>
            <w:gridSpan w:val="11"/>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0" w:type="dxa"/>
            <w:vAlign w:val="bottom"/>
          </w:tcPr>
          <w:p>
            <w:pPr>
              <w:spacing w:after="0"/>
              <w:rPr>
                <w:sz w:val="1"/>
                <w:szCs w:val="1"/>
                <w:color w:val="auto"/>
              </w:rPr>
            </w:pPr>
          </w:p>
        </w:tc>
      </w:tr>
      <w:tr>
        <w:trPr>
          <w:trHeight w:val="20"/>
        </w:trPr>
        <w:tc>
          <w:tcPr>
            <w:tcW w:w="18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1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800" w:type="dxa"/>
            <w:vAlign w:val="bottom"/>
            <w:tcBorders>
              <w:bottom w:val="single" w:sz="8" w:color="0000FF"/>
            </w:tcBorders>
            <w:gridSpan w:val="12"/>
            <w:vMerge w:val="continue"/>
          </w:tcPr>
          <w:p>
            <w:pPr>
              <w:spacing w:after="0"/>
              <w:rPr>
                <w:sz w:val="21"/>
                <w:szCs w:val="21"/>
                <w:color w:val="auto"/>
              </w:rPr>
            </w:pPr>
          </w:p>
        </w:tc>
        <w:tc>
          <w:tcPr>
            <w:tcW w:w="18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20"/>
        </w:trPr>
        <w:tc>
          <w:tcPr>
            <w:tcW w:w="14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54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440" w:type="dxa"/>
            <w:vAlign w:val="bottom"/>
            <w:tcBorders>
              <w:bottom w:val="single" w:sz="8" w:color="0000FF"/>
            </w:tcBorders>
            <w:gridSpan w:val="8"/>
            <w:vMerge w:val="continue"/>
          </w:tcPr>
          <w:p>
            <w:pPr>
              <w:spacing w:after="0"/>
              <w:rPr>
                <w:sz w:val="21"/>
                <w:szCs w:val="21"/>
                <w:color w:val="auto"/>
              </w:rPr>
            </w:pPr>
          </w:p>
        </w:tc>
        <w:tc>
          <w:tcPr>
            <w:tcW w:w="540" w:type="dxa"/>
            <w:vAlign w:val="bottom"/>
            <w:gridSpan w:val="6"/>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20"/>
        </w:trPr>
        <w:tc>
          <w:tcPr>
            <w:tcW w:w="1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7"/>
              </w:rPr>
              <w:t>Legal Matters</w:t>
            </w:r>
          </w:p>
        </w:tc>
        <w:tc>
          <w:tcPr>
            <w:tcW w:w="98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000" w:type="dxa"/>
            <w:vAlign w:val="bottom"/>
            <w:tcBorders>
              <w:bottom w:val="single" w:sz="8" w:color="0000FF"/>
            </w:tcBorders>
            <w:gridSpan w:val="5"/>
            <w:vMerge w:val="continue"/>
          </w:tcPr>
          <w:p>
            <w:pPr>
              <w:spacing w:after="0"/>
              <w:rPr>
                <w:sz w:val="21"/>
                <w:szCs w:val="21"/>
                <w:color w:val="auto"/>
              </w:rPr>
            </w:pPr>
          </w:p>
        </w:tc>
        <w:tc>
          <w:tcPr>
            <w:tcW w:w="980" w:type="dxa"/>
            <w:vAlign w:val="bottom"/>
            <w:gridSpan w:val="9"/>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142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60" w:type="dxa"/>
            <w:vAlign w:val="bottom"/>
            <w:tcBorders>
              <w:bottom w:val="single" w:sz="8" w:color="0000FF"/>
            </w:tcBorders>
            <w:vMerge w:val="continue"/>
          </w:tcPr>
          <w:p>
            <w:pPr>
              <w:spacing w:after="0"/>
              <w:rPr>
                <w:sz w:val="21"/>
                <w:szCs w:val="21"/>
                <w:color w:val="auto"/>
              </w:rPr>
            </w:pPr>
          </w:p>
        </w:tc>
        <w:tc>
          <w:tcPr>
            <w:tcW w:w="1420" w:type="dxa"/>
            <w:vAlign w:val="bottom"/>
            <w:gridSpan w:val="13"/>
          </w:tcPr>
          <w:p>
            <w:pPr>
              <w:spacing w:after="0"/>
              <w:rPr>
                <w:sz w:val="21"/>
                <w:szCs w:val="21"/>
                <w:color w:val="auto"/>
              </w:rPr>
            </w:pPr>
          </w:p>
        </w:tc>
        <w:tc>
          <w:tcPr>
            <w:tcW w:w="128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0" w:type="dxa"/>
            <w:vAlign w:val="bottom"/>
          </w:tcPr>
          <w:p>
            <w:pPr>
              <w:spacing w:after="0"/>
              <w:rPr>
                <w:sz w:val="1"/>
                <w:szCs w:val="1"/>
                <w:color w:val="auto"/>
              </w:rPr>
            </w:pPr>
          </w:p>
        </w:tc>
      </w:tr>
      <w:tr>
        <w:trPr>
          <w:trHeight w:val="20"/>
        </w:trPr>
        <w:tc>
          <w:tcPr>
            <w:tcW w:w="32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Where You Can Find Additional Information</w:t>
            </w:r>
          </w:p>
        </w:tc>
        <w:tc>
          <w:tcPr>
            <w:tcW w:w="1140" w:type="dxa"/>
            <w:vAlign w:val="bottom"/>
            <w:gridSpan w:val="2"/>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260" w:type="dxa"/>
            <w:vAlign w:val="bottom"/>
            <w:tcBorders>
              <w:bottom w:val="single" w:sz="8" w:color="0000FF"/>
            </w:tcBorders>
            <w:gridSpan w:val="15"/>
            <w:vMerge w:val="continue"/>
          </w:tcPr>
          <w:p>
            <w:pPr>
              <w:spacing w:after="0"/>
              <w:rPr>
                <w:sz w:val="24"/>
                <w:szCs w:val="24"/>
                <w:color w:val="auto"/>
              </w:rPr>
            </w:pPr>
          </w:p>
        </w:tc>
        <w:tc>
          <w:tcPr>
            <w:tcW w:w="1140" w:type="dxa"/>
            <w:vAlign w:val="bottom"/>
            <w:gridSpan w:val="2"/>
            <w:vMerge w:val="restart"/>
          </w:tcPr>
          <w:p>
            <w:pPr>
              <w:spacing w:after="0"/>
              <w:rPr>
                <w:sz w:val="24"/>
                <w:szCs w:val="24"/>
                <w:color w:val="auto"/>
              </w:rPr>
            </w:pPr>
          </w:p>
        </w:tc>
        <w:tc>
          <w:tcPr>
            <w:tcW w:w="6620" w:type="dxa"/>
            <w:vAlign w:val="bottom"/>
            <w:gridSpan w:val="2"/>
            <w:vMerge w:val="restart"/>
          </w:tcPr>
          <w:p>
            <w:pPr>
              <w:spacing w:after="0"/>
              <w:rPr>
                <w:sz w:val="24"/>
                <w:szCs w:val="24"/>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39"/>
        </w:trPr>
        <w:tc>
          <w:tcPr>
            <w:tcW w:w="19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w w:val="99"/>
              </w:rPr>
              <w:t>Incorporation by Reference</w:t>
            </w:r>
          </w:p>
        </w:tc>
        <w:tc>
          <w:tcPr>
            <w:tcW w:w="12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6620" w:type="dxa"/>
            <w:vAlign w:val="bottom"/>
            <w:gridSpan w:val="2"/>
            <w:vMerge w:val="continue"/>
          </w:tcPr>
          <w:p>
            <w:pPr>
              <w:spacing w:after="0"/>
              <w:rPr>
                <w:sz w:val="2"/>
                <w:szCs w:val="2"/>
                <w:color w:val="auto"/>
              </w:rPr>
            </w:pPr>
          </w:p>
        </w:tc>
        <w:tc>
          <w:tcPr>
            <w:tcW w:w="180" w:type="dxa"/>
            <w:vAlign w:val="bottom"/>
            <w:tcBorders>
              <w:bottom w:val="single" w:sz="8" w:color="0000FF"/>
            </w:tcBorders>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980" w:type="dxa"/>
            <w:vAlign w:val="bottom"/>
            <w:tcBorders>
              <w:bottom w:val="single" w:sz="8" w:color="0000FF"/>
            </w:tcBorders>
            <w:gridSpan w:val="14"/>
            <w:vMerge w:val="continue"/>
          </w:tcPr>
          <w:p>
            <w:pPr>
              <w:spacing w:after="0"/>
              <w:rPr>
                <w:sz w:val="22"/>
                <w:szCs w:val="22"/>
                <w:color w:val="auto"/>
              </w:rPr>
            </w:pPr>
          </w:p>
        </w:tc>
        <w:tc>
          <w:tcPr>
            <w:tcW w:w="2420" w:type="dxa"/>
            <w:vAlign w:val="bottom"/>
            <w:gridSpan w:val="3"/>
          </w:tcPr>
          <w:p>
            <w:pPr>
              <w:spacing w:after="0"/>
              <w:rPr>
                <w:sz w:val="22"/>
                <w:szCs w:val="22"/>
                <w:color w:val="auto"/>
              </w:rPr>
            </w:pPr>
          </w:p>
        </w:tc>
        <w:tc>
          <w:tcPr>
            <w:tcW w:w="6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34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information incorporated by reference into this prospectus or any supplement to this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and that any information incorporated by reference is accurate only as of the date of the document incorporated by reference, unless we indicate otherwise. Our business, financial condition, results of operations and prospects may have changed since such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43" w:lineRule="exact"/>
        <w:rPr>
          <w:sz w:val="20"/>
          <w:szCs w:val="20"/>
          <w:color w:val="auto"/>
        </w:rPr>
      </w:pPr>
    </w:p>
    <w:p>
      <w:pPr>
        <w:ind w:firstLine="324"/>
        <w:spacing w:after="0" w:line="349"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19"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or incorporated by reference into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10" w:lineRule="exact"/>
        <w:rPr>
          <w:sz w:val="20"/>
          <w:szCs w:val="20"/>
          <w:color w:val="auto"/>
        </w:rPr>
      </w:pPr>
    </w:p>
    <w:p>
      <w:pPr>
        <w:ind w:right="60" w:firstLine="324"/>
        <w:spacing w:after="0" w:line="305"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and the applicable prospectus supplement to this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223" w:lineRule="exact"/>
        <w:rPr>
          <w:sz w:val="20"/>
          <w:szCs w:val="20"/>
          <w:color w:val="auto"/>
        </w:rPr>
      </w:pPr>
    </w:p>
    <w:p>
      <w:pPr>
        <w:ind w:right="140" w:firstLine="324"/>
        <w:spacing w:after="0" w:line="344"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43" w:lineRule="exact"/>
        <w:rPr>
          <w:sz w:val="20"/>
          <w:szCs w:val="20"/>
          <w:color w:val="auto"/>
        </w:rPr>
      </w:pPr>
    </w:p>
    <w:p>
      <w:pPr>
        <w:ind w:right="40" w:firstLine="324"/>
        <w:spacing w:after="0" w:line="340" w:lineRule="auto"/>
        <w:rPr>
          <w:sz w:val="20"/>
          <w:szCs w:val="20"/>
          <w:color w:val="auto"/>
        </w:rPr>
      </w:pPr>
      <w:r>
        <w:rPr>
          <w:rFonts w:ascii="Times New Roman" w:cs="Times New Roman" w:eastAsia="Times New Roman" w:hAnsi="Times New Roman"/>
          <w:sz w:val="18"/>
          <w:szCs w:val="18"/>
          <w:color w:val="auto"/>
        </w:rPr>
        <w:t>We obtained the industry and market data used throughout this prospectus and the documents incorporated by reference 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and other factors could cause results to differ materially from those expressed in the estimates made by the independent parties or by us.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56" w:lineRule="exact"/>
        <w:rPr>
          <w:sz w:val="20"/>
          <w:szCs w:val="20"/>
          <w:color w:val="auto"/>
        </w:rPr>
      </w:pPr>
    </w:p>
    <w:p>
      <w:pPr>
        <w:ind w:right="260" w:firstLine="324"/>
        <w:spacing w:after="0" w:line="360"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references to trademarks and service marks belonging to other entities. Solely for convenience, trademarks and trade names referred to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1440" w:right="359" w:bottom="1440" w:gutter="0" w:footer="0" w:header="0"/>
        </w:sectPr>
      </w:pPr>
    </w:p>
    <w:bookmarkStart w:id="3" w:name="page4"/>
    <w:bookmarkEnd w:id="3"/>
    <w:p>
      <w:pPr>
        <w:spacing w:after="0" w:line="180"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auto"/>
        </w:rPr>
        <w:t>prospectus and the documents incorporated by reference herein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41" w:lineRule="exact"/>
        <w:rPr>
          <w:sz w:val="20"/>
          <w:szCs w:val="20"/>
          <w:color w:val="auto"/>
        </w:rPr>
      </w:pPr>
    </w:p>
    <w:p>
      <w:pPr>
        <w:ind w:right="40" w:firstLine="648"/>
        <w:spacing w:after="0" w:line="350"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including the section entitled “Risk Factors” and the documents we have incorporated by reference in this prospectus, along with our consolidated financial statements and related notes incorporated by reference in this prospectus.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324"/>
        <w:spacing w:after="0" w:line="339" w:lineRule="auto"/>
        <w:rPr>
          <w:sz w:val="20"/>
          <w:szCs w:val="20"/>
          <w:color w:val="auto"/>
        </w:rPr>
      </w:pPr>
      <w:r>
        <w:rPr>
          <w:rFonts w:ascii="Times New Roman" w:cs="Times New Roman" w:eastAsia="Times New Roman" w:hAnsi="Times New Roman"/>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0" w:lineRule="exact"/>
        <w:rPr>
          <w:sz w:val="20"/>
          <w:szCs w:val="20"/>
          <w:color w:val="auto"/>
        </w:rPr>
      </w:pPr>
    </w:p>
    <w:p>
      <w:pPr>
        <w:ind w:right="20" w:firstLine="324"/>
        <w:spacing w:after="0" w:line="341" w:lineRule="auto"/>
        <w:rPr>
          <w:sz w:val="20"/>
          <w:szCs w:val="20"/>
          <w:color w:val="auto"/>
        </w:rPr>
      </w:pPr>
      <w:r>
        <w:rPr>
          <w:rFonts w:ascii="Times New Roman" w:cs="Times New Roman" w:eastAsia="Times New Roman" w:hAnsi="Times New Roman"/>
          <w:sz w:val="18"/>
          <w:szCs w:val="18"/>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28" w:lineRule="exact"/>
        <w:rPr>
          <w:sz w:val="20"/>
          <w:szCs w:val="20"/>
          <w:color w:val="auto"/>
        </w:rPr>
      </w:pPr>
    </w:p>
    <w:p>
      <w:pPr>
        <w:ind w:right="80" w:firstLine="324"/>
        <w:spacing w:after="0" w:line="344" w:lineRule="auto"/>
        <w:rPr>
          <w:sz w:val="20"/>
          <w:szCs w:val="20"/>
          <w:color w:val="auto"/>
        </w:rPr>
      </w:pPr>
      <w:r>
        <w:rPr>
          <w:rFonts w:ascii="Times New Roman" w:cs="Times New Roman" w:eastAsia="Times New Roman" w:hAnsi="Times New Roman"/>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324" w:lineRule="exact"/>
        <w:rPr>
          <w:sz w:val="20"/>
          <w:szCs w:val="20"/>
          <w:color w:val="auto"/>
        </w:rPr>
      </w:pPr>
    </w:p>
    <w:p>
      <w:pPr>
        <w:jc w:val="both"/>
        <w:ind w:right="240" w:firstLine="324"/>
        <w:spacing w:after="0" w:line="340" w:lineRule="auto"/>
        <w:rPr>
          <w:sz w:val="20"/>
          <w:szCs w:val="20"/>
          <w:color w:val="auto"/>
        </w:rPr>
      </w:pPr>
      <w:r>
        <w:rPr>
          <w:rFonts w:ascii="Times New Roman" w:cs="Times New Roman" w:eastAsia="Times New Roman" w:hAnsi="Times New Roman"/>
          <w:sz w:val="18"/>
          <w:szCs w:val="18"/>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40" w:lineRule="exact"/>
        <w:rPr>
          <w:sz w:val="20"/>
          <w:szCs w:val="20"/>
          <w:color w:val="auto"/>
        </w:rPr>
      </w:pPr>
    </w:p>
    <w:p>
      <w:pPr>
        <w:ind w:right="40" w:firstLine="324"/>
        <w:spacing w:after="0" w:line="341" w:lineRule="auto"/>
        <w:rPr>
          <w:sz w:val="20"/>
          <w:szCs w:val="20"/>
          <w:color w:val="auto"/>
        </w:rPr>
      </w:pPr>
      <w:r>
        <w:rPr>
          <w:rFonts w:ascii="Times New Roman" w:cs="Times New Roman" w:eastAsia="Times New Roman" w:hAnsi="Times New Roman"/>
          <w:sz w:val="18"/>
          <w:szCs w:val="18"/>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Legacy Nautilus (the “Merger” and collectively, with the other transactions described in the Business Combination Agreement, the “Business Combination”), with Legacy Nautilus as the surviving company in the Merger and, after giving effect to such Merger, Legacy Nautilus becoming a wholly-owned subsidiary of New Nautilus. As of the open of trading on June 10, 2021, the Common Stock of the Company, formerly those of ARYA, began trading on The Nasdaq Global Select Market (“Nasdaq”) under the symbol “NAUT.”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principal executive offices are located at 2701 Eastlake Avenue East, Seattle, WA 98102, and our telephone number is (206) 333-2001.</w:t>
      </w:r>
    </w:p>
    <w:p>
      <w:pPr>
        <w:spacing w:after="0" w:line="239" w:lineRule="exact"/>
        <w:rPr>
          <w:sz w:val="20"/>
          <w:szCs w:val="20"/>
          <w:color w:val="auto"/>
        </w:rPr>
      </w:pPr>
    </w:p>
    <w:p>
      <w:pPr>
        <w:ind w:right="40" w:firstLine="324"/>
        <w:spacing w:after="0" w:line="352" w:lineRule="auto"/>
        <w:rPr>
          <w:sz w:val="20"/>
          <w:szCs w:val="20"/>
          <w:color w:val="auto"/>
        </w:rPr>
      </w:pPr>
      <w:r>
        <w:rPr>
          <w:rFonts w:ascii="Times New Roman" w:cs="Times New Roman" w:eastAsia="Times New Roman" w:hAnsi="Times New Roman"/>
          <w:sz w:val="18"/>
          <w:szCs w:val="18"/>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29" w:lineRule="exact"/>
        <w:rPr>
          <w:sz w:val="20"/>
          <w:szCs w:val="20"/>
          <w:color w:val="auto"/>
        </w:rPr>
      </w:pPr>
    </w:p>
    <w:p>
      <w:pPr>
        <w:ind w:firstLine="324"/>
        <w:spacing w:after="0" w:line="341" w:lineRule="auto"/>
        <w:rPr>
          <w:sz w:val="20"/>
          <w:szCs w:val="20"/>
          <w:color w:val="auto"/>
        </w:rPr>
      </w:pPr>
      <w:r>
        <w:rPr>
          <w:rFonts w:ascii="Times New Roman" w:cs="Times New Roman" w:eastAsia="Times New Roman" w:hAnsi="Times New Roman"/>
          <w:sz w:val="18"/>
          <w:szCs w:val="18"/>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39" w:lineRule="exact"/>
        <w:rPr>
          <w:sz w:val="20"/>
          <w:szCs w:val="20"/>
          <w:color w:val="auto"/>
        </w:rPr>
      </w:pPr>
    </w:p>
    <w:p>
      <w:pPr>
        <w:ind w:right="240" w:firstLine="324"/>
        <w:spacing w:after="0" w:line="340"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earliest to occur of: the last day of the fiscal year in which we have more than $1.07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w:t>
      </w:r>
    </w:p>
    <w:p>
      <w:pPr>
        <w:spacing w:after="0" w:line="77" w:lineRule="exact"/>
        <w:rPr>
          <w:sz w:val="20"/>
          <w:szCs w:val="20"/>
          <w:color w:val="auto"/>
        </w:rPr>
      </w:pPr>
    </w:p>
    <w:p>
      <w:pPr>
        <w:spacing w:after="0" w:line="344" w:lineRule="auto"/>
        <w:rPr>
          <w:sz w:val="20"/>
          <w:szCs w:val="20"/>
          <w:color w:val="auto"/>
        </w:rPr>
      </w:pPr>
      <w:r>
        <w:rPr>
          <w:rFonts w:ascii="Times New Roman" w:cs="Times New Roman" w:eastAsia="Times New Roman" w:hAnsi="Times New Roman"/>
          <w:sz w:val="18"/>
          <w:szCs w:val="18"/>
          <w:color w:val="auto"/>
        </w:rPr>
        <w:t>(2)(B)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23"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may continue to remain a smaller reporting company if either (i) the market value of our stock held by non-affiliates is less than $250 million as of June 30 of the prior fiscal year or (ii) our annual revenue was less than $100 million during the most recently completed fiscal year and the market value of our stock held by non-affiliates is less than $700 million as of June 30 of the prior fiscal year.</w:t>
      </w:r>
    </w:p>
    <w:p>
      <w:pPr>
        <w:spacing w:after="0" w:line="123" w:lineRule="exact"/>
        <w:rPr>
          <w:sz w:val="20"/>
          <w:szCs w:val="20"/>
          <w:color w:val="auto"/>
        </w:rPr>
      </w:pPr>
    </w:p>
    <w:p>
      <w:pPr>
        <w:ind w:right="120" w:firstLine="324"/>
        <w:spacing w:after="0" w:line="349"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Shares of Common Stock Offered Hereunder</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An aggregate of 88,738,387 shares of Common Stock consisting of (a) 13,093,331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312" w:lineRule="exact"/>
        <w:rPr>
          <w:sz w:val="20"/>
          <w:szCs w:val="20"/>
          <w:color w:val="auto"/>
        </w:rPr>
      </w:pPr>
    </w:p>
    <w:p>
      <w:pPr>
        <w:ind w:right="720"/>
        <w:spacing w:after="0" w:line="313" w:lineRule="auto"/>
        <w:rPr>
          <w:sz w:val="20"/>
          <w:szCs w:val="20"/>
          <w:color w:val="auto"/>
        </w:rPr>
      </w:pPr>
      <w:r>
        <w:rPr>
          <w:rFonts w:ascii="Times New Roman" w:cs="Times New Roman" w:eastAsia="Times New Roman" w:hAnsi="Times New Roman"/>
          <w:sz w:val="18"/>
          <w:szCs w:val="18"/>
          <w:color w:val="auto"/>
        </w:rPr>
        <w:t>All aforementioned shares of Common Stock were initially registered in our Initial Registration Statement, and no new shares are being registered hereunder.</w:t>
      </w:r>
    </w:p>
    <w:p>
      <w:pPr>
        <w:spacing w:after="0" w:line="324" w:lineRule="exact"/>
        <w:rPr>
          <w:sz w:val="20"/>
          <w:szCs w:val="20"/>
          <w:color w:val="auto"/>
        </w:rPr>
      </w:pPr>
    </w:p>
    <w:p>
      <w:pPr>
        <w:ind w:right="380"/>
        <w:spacing w:after="0" w:line="236" w:lineRule="auto"/>
        <w:rPr>
          <w:sz w:val="20"/>
          <w:szCs w:val="20"/>
          <w:color w:val="auto"/>
        </w:rPr>
      </w:pPr>
      <w:r>
        <w:rPr>
          <w:rFonts w:ascii="Times New Roman" w:cs="Times New Roman" w:eastAsia="Times New Roman" w:hAnsi="Times New Roman"/>
          <w:sz w:val="17"/>
          <w:szCs w:val="17"/>
          <w:color w:val="auto"/>
        </w:rPr>
        <w:t>We will not receive any proceeds from the sale of our shares of common stock offered by the selling securityholders under this prospectus (the “Securities”). See the section 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w:t>
      </w:r>
    </w:p>
    <w:p>
      <w:pPr>
        <w:spacing w:after="0"/>
        <w:rPr>
          <w:sz w:val="20"/>
          <w:szCs w:val="20"/>
          <w:color w:val="auto"/>
        </w:rPr>
      </w:pPr>
      <w:r>
        <w:rPr>
          <w:rFonts w:ascii="Times New Roman" w:cs="Times New Roman" w:eastAsia="Times New Roman" w:hAnsi="Times New Roman"/>
          <w:sz w:val="18"/>
          <w:szCs w:val="18"/>
          <w:color w:val="auto"/>
        </w:rPr>
        <w:t>appearing elsewhere in this prospectus for more information.</w:t>
      </w:r>
    </w:p>
    <w:p>
      <w:pPr>
        <w:spacing w:after="0" w:line="200" w:lineRule="exact"/>
        <w:rPr>
          <w:sz w:val="20"/>
          <w:szCs w:val="20"/>
          <w:color w:val="auto"/>
        </w:rPr>
      </w:pPr>
    </w:p>
    <w:p>
      <w:pPr>
        <w:sectPr>
          <w:pgSz w:w="11900" w:h="16838" w:orient="portrait"/>
          <w:cols w:equalWidth="0" w:num="2">
            <w:col w:w="3280" w:space="340"/>
            <w:col w:w="7600"/>
          </w:cols>
          <w:pgMar w:left="320" w:top="1440" w:right="359" w:bottom="1440" w:gutter="0" w:footer="0" w:header="0"/>
          <w:type w:val="continuous"/>
        </w:sectPr>
      </w:pP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Common Stock Outstanding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124,562,745 shares of Common Stock as of June 30, 2022.</w:t>
      </w:r>
    </w:p>
    <w:p>
      <w:pPr>
        <w:spacing w:after="0" w:line="34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other information included in this prospectus and the documents incorporated by reference for a discussion of factors that you should consider carefully before deciding to</w:t>
      </w:r>
    </w:p>
    <w:p>
      <w:pPr>
        <w:spacing w:after="0"/>
        <w:rPr>
          <w:sz w:val="20"/>
          <w:szCs w:val="20"/>
          <w:color w:val="auto"/>
        </w:rPr>
      </w:pPr>
      <w:r>
        <w:rPr>
          <w:rFonts w:ascii="Times New Roman" w:cs="Times New Roman" w:eastAsia="Times New Roman" w:hAnsi="Times New Roman"/>
          <w:sz w:val="18"/>
          <w:szCs w:val="18"/>
          <w:color w:val="auto"/>
        </w:rPr>
        <w:t>invest in our Common Stock.</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“NAUT” for our Common Stock.</w:t>
      </w:r>
    </w:p>
    <w:p>
      <w:pPr>
        <w:spacing w:after="0" w:line="200" w:lineRule="exact"/>
        <w:rPr>
          <w:sz w:val="20"/>
          <w:szCs w:val="20"/>
          <w:color w:val="auto"/>
        </w:rPr>
      </w:pPr>
    </w:p>
    <w:p>
      <w:pPr>
        <w:sectPr>
          <w:pgSz w:w="11900" w:h="16838" w:orient="portrait"/>
          <w:cols w:equalWidth="0" w:num="2">
            <w:col w:w="2900" w:space="720"/>
            <w:col w:w="7600"/>
          </w:cols>
          <w:pgMar w:left="320" w:top="1440" w:right="359" w:bottom="1440" w:gutter="0" w:footer="0" w:header="0"/>
          <w:type w:val="continuous"/>
        </w:sectPr>
      </w:pPr>
    </w:p>
    <w:p>
      <w:pPr>
        <w:spacing w:after="0" w:line="376" w:lineRule="exact"/>
        <w:rPr>
          <w:sz w:val="20"/>
          <w:szCs w:val="20"/>
          <w:color w:val="auto"/>
        </w:rPr>
      </w:pPr>
    </w:p>
    <w:p>
      <w:pPr>
        <w:ind w:right="740" w:firstLine="324"/>
        <w:spacing w:after="0" w:line="376" w:lineRule="auto"/>
        <w:rPr>
          <w:sz w:val="20"/>
          <w:szCs w:val="20"/>
          <w:color w:val="auto"/>
        </w:rPr>
      </w:pPr>
      <w:r>
        <w:rPr>
          <w:rFonts w:ascii="Times New Roman" w:cs="Times New Roman" w:eastAsia="Times New Roman" w:hAnsi="Times New Roman"/>
          <w:sz w:val="18"/>
          <w:szCs w:val="18"/>
          <w:color w:val="auto"/>
        </w:rPr>
        <w:t>The number of shares of Common Stock outstanding is based on 124,562,745 shares of Common Stock as of June 30, 2022 and excludes the following, in each case as of June 30, 2022:</w:t>
      </w:r>
    </w:p>
    <w:p>
      <w:pPr>
        <w:spacing w:after="0" w:line="94" w:lineRule="exact"/>
        <w:rPr>
          <w:sz w:val="20"/>
          <w:szCs w:val="20"/>
          <w:color w:val="auto"/>
        </w:rPr>
      </w:pPr>
    </w:p>
    <w:p>
      <w:pPr>
        <w:ind w:left="660" w:right="420" w:hanging="328"/>
        <w:spacing w:after="0" w:line="35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6,148,270 shares of our Common Stock issuable upon the exercise of outstanding options under the Nautilus Subsidiary, Inc. 2017 Equity Incentive Plan (the “2017 Plan”) as of such date, which were assumed by the Company in connection with the Business Combination, with a weighted average exercise price of $3.50 per share;</w:t>
      </w:r>
    </w:p>
    <w:p>
      <w:pPr>
        <w:spacing w:after="0" w:line="115" w:lineRule="exact"/>
        <w:rPr>
          <w:rFonts w:ascii="Times New Roman" w:cs="Times New Roman" w:eastAsia="Times New Roman" w:hAnsi="Times New Roman"/>
          <w:sz w:val="18"/>
          <w:szCs w:val="18"/>
          <w:color w:val="auto"/>
        </w:rPr>
      </w:pPr>
    </w:p>
    <w:p>
      <w:pPr>
        <w:ind w:left="660" w:right="60" w:hanging="328"/>
        <w:spacing w:after="0" w:line="37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5,502,254 shares of our Common Stock issuable upon the exercise of outstanding options under our 2021 Equity Incentive Plan (the “2021 Plan”) as of such date, with a weighted average exercise price of $5.02 per share;</w:t>
      </w:r>
    </w:p>
    <w:p>
      <w:pPr>
        <w:spacing w:after="0" w:line="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17,384,590 shares of our Common Stock reserved for future issuance under our 2021 Plan;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2.439.577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type w:val="continuous"/>
        </w:sectPr>
      </w:pPr>
    </w:p>
    <w:bookmarkStart w:id="8" w:name="page9"/>
    <w:bookmarkEnd w:id="8"/>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consider carefully the risks and uncertainties described below, together with all of the other information contained in this prospectus, including our consolidated financial statements and related notes, before deciding to invest in our securities. If any of the following risks actually occur, our business, operating results, financial condition and prospectus could be materially and adversely affected. In that event, the market price of our common stock could decline, and you could lose part or all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235" w:lineRule="exact"/>
        <w:rPr>
          <w:sz w:val="20"/>
          <w:szCs w:val="20"/>
          <w:color w:val="auto"/>
        </w:rPr>
      </w:pPr>
    </w:p>
    <w:p>
      <w:pPr>
        <w:ind w:right="180"/>
        <w:spacing w:after="0" w:line="37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54" w:lineRule="exact"/>
        <w:rPr>
          <w:sz w:val="20"/>
          <w:szCs w:val="20"/>
          <w:color w:val="auto"/>
        </w:rPr>
      </w:pPr>
    </w:p>
    <w:p>
      <w:pPr>
        <w:ind w:left="660" w:right="80" w:hanging="328"/>
        <w:spacing w:after="0" w:line="28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 w:lineRule="exact"/>
        <w:rPr>
          <w:rFonts w:ascii="Times New Roman" w:cs="Times New Roman" w:eastAsia="Times New Roman" w:hAnsi="Times New Roman"/>
          <w:sz w:val="18"/>
          <w:szCs w:val="18"/>
          <w:color w:val="auto"/>
        </w:rPr>
      </w:pPr>
    </w:p>
    <w:p>
      <w:pPr>
        <w:ind w:left="660" w:right="280" w:hanging="328"/>
        <w:spacing w:after="0" w:line="28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compete successfully with our initial or future products in the highly competitive life sciences technology market.</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third parties for certain aspects of the development and commercialization of the Nautilus platform.</w:t>
      </w:r>
    </w:p>
    <w:p>
      <w:pPr>
        <w:spacing w:after="0" w:line="36" w:lineRule="exact"/>
        <w:rPr>
          <w:rFonts w:ascii="Times New Roman" w:cs="Times New Roman" w:eastAsia="Times New Roman" w:hAnsi="Times New Roman"/>
          <w:sz w:val="18"/>
          <w:szCs w:val="18"/>
          <w:color w:val="auto"/>
        </w:rPr>
      </w:pPr>
    </w:p>
    <w:p>
      <w:pPr>
        <w:ind w:left="660" w:right="200" w:hanging="328"/>
        <w:spacing w:after="0" w:line="28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 w:lineRule="exact"/>
        <w:rPr>
          <w:rFonts w:ascii="Times New Roman" w:cs="Times New Roman" w:eastAsia="Times New Roman" w:hAnsi="Times New Roman"/>
          <w:sz w:val="18"/>
          <w:szCs w:val="18"/>
          <w:color w:val="auto"/>
        </w:rPr>
      </w:pPr>
    </w:p>
    <w:p>
      <w:pPr>
        <w:ind w:left="660" w:right="900" w:hanging="328"/>
        <w:spacing w:after="0" w:line="28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 w:lineRule="exact"/>
        <w:rPr>
          <w:rFonts w:ascii="Times New Roman" w:cs="Times New Roman" w:eastAsia="Times New Roman" w:hAnsi="Times New Roman"/>
          <w:sz w:val="18"/>
          <w:szCs w:val="18"/>
          <w:color w:val="auto"/>
        </w:rPr>
      </w:pPr>
    </w:p>
    <w:p>
      <w:pPr>
        <w:ind w:left="660" w:right="300" w:hanging="328"/>
        <w:spacing w:after="0" w:line="28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development and commercialization plans.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4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sufficient intellectual property protection for our products and technology, or if the scope of our</w:t>
      </w:r>
    </w:p>
    <w:p>
      <w:pPr>
        <w:spacing w:after="0" w:line="49" w:lineRule="exact"/>
        <w:rPr>
          <w:rFonts w:ascii="Times New Roman" w:cs="Times New Roman" w:eastAsia="Times New Roman" w:hAnsi="Times New Roman"/>
          <w:sz w:val="18"/>
          <w:szCs w:val="18"/>
          <w:color w:val="auto"/>
        </w:rPr>
      </w:pPr>
    </w:p>
    <w:p>
      <w:pPr>
        <w:ind w:left="660" w:right="2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obtained is not sufficiently broad, competitors could develop and commercialize products similar or identical to ours.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54" w:lineRule="exact"/>
        <w:rPr>
          <w:sz w:val="20"/>
          <w:szCs w:val="20"/>
          <w:color w:val="auto"/>
        </w:rPr>
      </w:pPr>
    </w:p>
    <w:p>
      <w:pPr>
        <w:ind w:left="660" w:right="60" w:hanging="328"/>
        <w:spacing w:after="0" w:line="28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enforce or defend our intellectual property rights, or to defend ourselves from claims that we infringe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liability and/or negative publicity for any unknown defects or errors in our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products may, in the future, be subject to regulation by the FDA or other regulatory authorities.</w:t>
      </w:r>
    </w:p>
    <w:p>
      <w:pPr>
        <w:spacing w:after="0" w:line="49" w:lineRule="exact"/>
        <w:rPr>
          <w:rFonts w:ascii="Times New Roman" w:cs="Times New Roman" w:eastAsia="Times New Roman" w:hAnsi="Times New Roman"/>
          <w:sz w:val="18"/>
          <w:szCs w:val="18"/>
          <w:b w:val="1"/>
          <w:bCs w:val="1"/>
          <w:color w:val="auto"/>
        </w:rPr>
      </w:pPr>
    </w:p>
    <w:p>
      <w:pPr>
        <w:ind w:left="660" w:hanging="328"/>
        <w:spacing w:after="0" w:line="28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subject to, and may in the future become subject to additional, U.S. federal and state laws and regulations, as well as the laws and regulations of other countries, relating to how we collect, store and process personal information.</w:t>
      </w:r>
    </w:p>
    <w:p>
      <w:pPr>
        <w:spacing w:after="0" w:line="1" w:lineRule="exact"/>
        <w:rPr>
          <w:rFonts w:ascii="Times New Roman" w:cs="Times New Roman" w:eastAsia="Times New Roman" w:hAnsi="Times New Roman"/>
          <w:sz w:val="18"/>
          <w:szCs w:val="18"/>
          <w:color w:val="auto"/>
        </w:rPr>
      </w:pPr>
    </w:p>
    <w:p>
      <w:pPr>
        <w:ind w:left="660" w:right="660" w:hanging="328"/>
        <w:spacing w:after="0" w:line="28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1" w:lineRule="exact"/>
        <w:rPr>
          <w:rFonts w:ascii="Times New Roman" w:cs="Times New Roman" w:eastAsia="Times New Roman" w:hAnsi="Times New Roman"/>
          <w:sz w:val="18"/>
          <w:szCs w:val="18"/>
          <w:color w:val="auto"/>
        </w:rPr>
      </w:pPr>
    </w:p>
    <w:p>
      <w:pPr>
        <w:ind w:left="660" w:right="240" w:hanging="328"/>
        <w:spacing w:after="0" w:line="28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including any failure to comply with such laws, may result in liabilities, expenses and restrictions on our operations.</w:t>
      </w:r>
    </w:p>
    <w:p>
      <w:pPr>
        <w:spacing w:after="0" w:line="1" w:lineRule="exact"/>
        <w:rPr>
          <w:rFonts w:ascii="Times New Roman" w:cs="Times New Roman" w:eastAsia="Times New Roman" w:hAnsi="Times New Roman"/>
          <w:sz w:val="18"/>
          <w:szCs w:val="18"/>
          <w:color w:val="auto"/>
        </w:rPr>
      </w:pPr>
    </w:p>
    <w:p>
      <w:pPr>
        <w:ind w:left="660" w:right="8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4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significant disruption in our information technology systems or breaches of data security.</w:t>
      </w:r>
    </w:p>
    <w:p>
      <w:pPr>
        <w:spacing w:after="0" w:line="49" w:lineRule="exact"/>
        <w:rPr>
          <w:rFonts w:ascii="Times New Roman" w:cs="Times New Roman" w:eastAsia="Times New Roman" w:hAnsi="Times New Roman"/>
          <w:sz w:val="18"/>
          <w:szCs w:val="18"/>
          <w:color w:val="auto"/>
        </w:rPr>
      </w:pPr>
    </w:p>
    <w:p>
      <w:pPr>
        <w:ind w:left="660" w:right="42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unable to recruit and retain key executives and scientists, we may not be able to achieve our goals.</w:t>
      </w:r>
    </w:p>
    <w:p>
      <w:pPr>
        <w:spacing w:after="0" w:line="1" w:lineRule="exact"/>
        <w:rPr>
          <w:rFonts w:ascii="Times New Roman" w:cs="Times New Roman" w:eastAsia="Times New Roman" w:hAnsi="Times New Roman"/>
          <w:sz w:val="18"/>
          <w:szCs w:val="18"/>
          <w:color w:val="auto"/>
        </w:rPr>
      </w:pPr>
    </w:p>
    <w:p>
      <w:pPr>
        <w:ind w:left="660" w:right="380" w:hanging="328"/>
        <w:spacing w:after="0" w:line="28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financial results could be adversely impacted by global and national events, such as the COVID-19 pandemic, conflicts in Eastern Europe, and general economic downturns.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interruptions may negatively impact the development and commercialization of our products.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40" w:lineRule="exact"/>
        <w:rPr>
          <w:sz w:val="20"/>
          <w:szCs w:val="20"/>
          <w:color w:val="auto"/>
        </w:rPr>
      </w:pPr>
    </w:p>
    <w:p>
      <w:pPr>
        <w:ind w:left="660" w:right="40" w:hanging="328"/>
        <w:spacing w:after="0" w:line="32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and market for our Common Stock may be volatile, which could result in substantial losses for investors and/or an inability to readily trade in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5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incur significant increased costs and management resources as a result of operating as a public company.</w:t>
      </w:r>
    </w:p>
    <w:p>
      <w:pPr>
        <w:spacing w:after="0" w:line="36" w:lineRule="exact"/>
        <w:rPr>
          <w:rFonts w:ascii="Times New Roman" w:cs="Times New Roman" w:eastAsia="Times New Roman" w:hAnsi="Times New Roman"/>
          <w:sz w:val="18"/>
          <w:szCs w:val="18"/>
          <w:b w:val="1"/>
          <w:bCs w:val="1"/>
          <w:color w:val="auto"/>
        </w:rPr>
      </w:pPr>
    </w:p>
    <w:p>
      <w:pPr>
        <w:ind w:left="660" w:right="20" w:hanging="328"/>
        <w:spacing w:after="0" w:line="28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published by analysts, including projections in those reports that differ from our actual results, could adversely affect the price and trading volume of our common shares.</w:t>
      </w:r>
    </w:p>
    <w:p>
      <w:pPr>
        <w:spacing w:after="0" w:line="1" w:lineRule="exact"/>
        <w:rPr>
          <w:rFonts w:ascii="Times New Roman" w:cs="Times New Roman" w:eastAsia="Times New Roman" w:hAnsi="Times New Roman"/>
          <w:sz w:val="18"/>
          <w:szCs w:val="18"/>
          <w:color w:val="auto"/>
        </w:rPr>
      </w:pPr>
    </w:p>
    <w:p>
      <w:pPr>
        <w:ind w:left="660" w:right="160" w:hanging="328"/>
        <w:spacing w:after="0" w:line="329"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10" w:name="page11"/>
    <w:bookmarkEnd w:id="10"/>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41" w:lineRule="exact"/>
        <w:rPr>
          <w:sz w:val="20"/>
          <w:szCs w:val="20"/>
          <w:color w:val="auto"/>
        </w:rPr>
      </w:pPr>
    </w:p>
    <w:p>
      <w:pPr>
        <w:ind w:firstLine="324"/>
        <w:spacing w:after="0" w:line="342"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incorporated by reference to our most recent Annual Report on Form 10-K, any subsequent Quarterly Reports on Form 10-Q or Current Reports on Form 8-K, and all other information contained in or incorporated by reference into this prospectus, as updated by our subsequent filings under the Exchange Act, and the risk factors and other information contained in any applicable prospectus supplement before acquiring any of such securities. Additional risks and uncertainties that we are unaware of, or that we currently believe are not material, may also become important factors that adversely affect our business or results of operations.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1440" w:right="399" w:bottom="1440" w:gutter="0" w:footer="0" w:header="0"/>
        </w:sectPr>
      </w:pPr>
    </w:p>
    <w:bookmarkStart w:id="11" w:name="page12"/>
    <w:bookmarkEnd w:id="11"/>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firstLine="324"/>
        <w:spacing w:after="0" w:line="339" w:lineRule="auto"/>
        <w:rPr>
          <w:sz w:val="20"/>
          <w:szCs w:val="20"/>
          <w:color w:val="auto"/>
        </w:rPr>
      </w:pPr>
      <w:r>
        <w:rPr>
          <w:rFonts w:ascii="Times New Roman" w:cs="Times New Roman" w:eastAsia="Times New Roman" w:hAnsi="Times New Roman"/>
          <w:sz w:val="18"/>
          <w:szCs w:val="18"/>
          <w:color w:val="auto"/>
        </w:rPr>
        <w:t>Certain statements in this prospectus and the documents incorporated by reference herein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the success, cost, timing and progress of development of our proteomics platform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32" w:lineRule="exact"/>
        <w:rPr>
          <w:sz w:val="20"/>
          <w:szCs w:val="20"/>
          <w:color w:val="auto"/>
        </w:rPr>
      </w:pPr>
    </w:p>
    <w:p>
      <w:pPr>
        <w:ind w:right="120" w:firstLine="324"/>
        <w:spacing w:after="0" w:line="344" w:lineRule="auto"/>
        <w:rPr>
          <w:sz w:val="20"/>
          <w:szCs w:val="20"/>
          <w:color w:val="auto"/>
        </w:rPr>
      </w:pPr>
      <w:r>
        <w:rPr>
          <w:rFonts w:ascii="Times New Roman" w:cs="Times New Roman" w:eastAsia="Times New Roman" w:hAnsi="Times New Roman"/>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success of our Nautilus platform, which remains in the development stage and subject to scientific and technical validation;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progress of the development of the Nautilus platform;</w:t>
      </w:r>
    </w:p>
    <w:p>
      <w:pPr>
        <w:spacing w:after="0" w:line="238" w:lineRule="exact"/>
        <w:rPr>
          <w:rFonts w:ascii="Times New Roman" w:cs="Times New Roman" w:eastAsia="Times New Roman" w:hAnsi="Times New Roman"/>
          <w:sz w:val="18"/>
          <w:szCs w:val="18"/>
          <w:color w:val="auto"/>
        </w:rPr>
      </w:pPr>
    </w:p>
    <w:p>
      <w:pPr>
        <w:ind w:left="660" w:right="60" w:hanging="328"/>
        <w:spacing w:after="0" w:line="37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addressable market, market growth, future revenue, key performance indicators, expenses, capital requirements and needs for additional financing;</w:t>
      </w:r>
    </w:p>
    <w:p>
      <w:pPr>
        <w:spacing w:after="0" w:line="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rate and degree of market acceptance of the Nautilus platform;</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Nautilus platform on the field of proteomics and the size and growth of the addressable proteomics market;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and commercialize our Nautilus platform;</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three phase commercial launch plan;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the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320" w:top="1440" w:right="359" w:bottom="1440" w:gutter="0" w:footer="0" w:header="0"/>
        </w:sectPr>
      </w:pPr>
    </w:p>
    <w:bookmarkStart w:id="12" w:name="page13"/>
    <w:bookmarkEnd w:id="12"/>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or defend claims of infringement;</w:t>
      </w:r>
    </w:p>
    <w:p>
      <w:pPr>
        <w:spacing w:after="0" w:line="238" w:lineRule="exact"/>
        <w:rPr>
          <w:rFonts w:ascii="Times New Roman" w:cs="Times New Roman" w:eastAsia="Times New Roman" w:hAnsi="Times New Roman"/>
          <w:sz w:val="18"/>
          <w:szCs w:val="18"/>
          <w:color w:val="auto"/>
        </w:rPr>
      </w:pPr>
    </w:p>
    <w:p>
      <w:pPr>
        <w:ind w:left="660" w:right="340" w:hanging="328"/>
        <w:spacing w:after="0" w:line="37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use of proceeds from the Business Combination;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 and suppliers;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 or other key personnel;</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new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market trends;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local, regional, national and international economic conditions and events;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the foregoing; and</w:t>
      </w:r>
    </w:p>
    <w:p>
      <w:pPr>
        <w:spacing w:after="0" w:line="252" w:lineRule="exact"/>
        <w:rPr>
          <w:rFonts w:ascii="Times New Roman" w:cs="Times New Roman" w:eastAsia="Times New Roman" w:hAnsi="Times New Roman"/>
          <w:sz w:val="18"/>
          <w:szCs w:val="18"/>
          <w:color w:val="auto"/>
        </w:rPr>
      </w:pPr>
    </w:p>
    <w:p>
      <w:pPr>
        <w:ind w:left="660" w:right="60" w:hanging="328"/>
        <w:spacing w:after="0" w:line="3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described under the heading “Risk Factors” and in our current and periodic reports, and other filings, filed from time to time with the SEC that are incorporated by reference into this prospectus.</w:t>
      </w:r>
    </w:p>
    <w:p>
      <w:pPr>
        <w:spacing w:after="0" w:line="122" w:lineRule="exact"/>
        <w:rPr>
          <w:sz w:val="20"/>
          <w:szCs w:val="20"/>
          <w:color w:val="auto"/>
        </w:rPr>
      </w:pPr>
    </w:p>
    <w:p>
      <w:pPr>
        <w:ind w:right="120" w:firstLine="324"/>
        <w:spacing w:after="0" w:line="35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w:t>
      </w:r>
    </w:p>
    <w:p>
      <w:pPr>
        <w:spacing w:after="0" w:line="88" w:lineRule="exact"/>
        <w:rPr>
          <w:sz w:val="20"/>
          <w:szCs w:val="20"/>
          <w:color w:val="auto"/>
        </w:rPr>
      </w:pPr>
    </w:p>
    <w:p>
      <w:pPr>
        <w:ind w:right="40" w:firstLine="324"/>
        <w:spacing w:after="0" w:line="297"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18" w:lineRule="exact"/>
        <w:rPr>
          <w:sz w:val="20"/>
          <w:szCs w:val="20"/>
          <w:color w:val="auto"/>
        </w:rPr>
      </w:pPr>
    </w:p>
    <w:p>
      <w:pPr>
        <w:ind w:firstLine="324"/>
        <w:spacing w:after="0" w:line="30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1440" w:right="379" w:bottom="1440" w:gutter="0" w:footer="0" w:header="0"/>
        </w:sectPr>
      </w:pPr>
    </w:p>
    <w:bookmarkStart w:id="13" w:name="page14"/>
    <w:bookmarkEnd w:id="13"/>
    <w:p>
      <w:pPr>
        <w:spacing w:after="0" w:line="153"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20"/>
          </w:cols>
          <w:pgMar w:left="320" w:top="1440" w:right="759" w:bottom="1440" w:gutter="0" w:footer="0" w:header="0"/>
        </w:sectPr>
      </w:pPr>
    </w:p>
    <w:bookmarkStart w:id="14" w:name="page15"/>
    <w:bookmarkEnd w:id="14"/>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43" w:lineRule="exact"/>
        <w:rPr>
          <w:sz w:val="20"/>
          <w:szCs w:val="20"/>
          <w:color w:val="auto"/>
        </w:rPr>
      </w:pPr>
    </w:p>
    <w:p>
      <w:pPr>
        <w:ind w:right="300" w:firstLine="324"/>
        <w:spacing w:after="0" w:line="376"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94"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43" w:lineRule="exact"/>
        <w:rPr>
          <w:sz w:val="20"/>
          <w:szCs w:val="20"/>
          <w:color w:val="auto"/>
        </w:rPr>
      </w:pPr>
    </w:p>
    <w:p>
      <w:pPr>
        <w:ind w:firstLine="324"/>
        <w:spacing w:after="0" w:line="342"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from time to time of up to an aggregate of 88,738,387 shares of Common Stock (consisting of up to an aggregate of (a) 13,093,331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24" w:lineRule="exact"/>
        <w:rPr>
          <w:sz w:val="20"/>
          <w:szCs w:val="20"/>
          <w:color w:val="auto"/>
        </w:rPr>
      </w:pPr>
    </w:p>
    <w:p>
      <w:pPr>
        <w:ind w:right="20" w:firstLine="324"/>
        <w:spacing w:after="0" w:line="341" w:lineRule="auto"/>
        <w:rPr>
          <w:sz w:val="20"/>
          <w:szCs w:val="20"/>
          <w:color w:val="auto"/>
        </w:rPr>
      </w:pPr>
      <w:r>
        <w:rPr>
          <w:rFonts w:ascii="Times New Roman" w:cs="Times New Roman" w:eastAsia="Times New Roman" w:hAnsi="Times New Roman"/>
          <w:sz w:val="18"/>
          <w:szCs w:val="18"/>
          <w:color w:val="auto"/>
        </w:rPr>
        <w:t>The following table sets forth, based on written representations from the selling securityholders as of July 29, 2022 and subsequent filings with the SEC, as applicable,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124,663,186 shares of Common Stock outstanding as of July 29, 2022.</w:t>
      </w:r>
    </w:p>
    <w:p>
      <w:pPr>
        <w:spacing w:after="0" w:line="139" w:lineRule="exact"/>
        <w:rPr>
          <w:sz w:val="20"/>
          <w:szCs w:val="20"/>
          <w:color w:val="auto"/>
        </w:rPr>
      </w:pPr>
    </w:p>
    <w:p>
      <w:pPr>
        <w:ind w:right="220" w:firstLine="324"/>
        <w:spacing w:after="0" w:line="35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115" w:lineRule="exact"/>
        <w:rPr>
          <w:sz w:val="20"/>
          <w:szCs w:val="20"/>
          <w:color w:val="auto"/>
        </w:rPr>
      </w:pPr>
    </w:p>
    <w:p>
      <w:pPr>
        <w:ind w:right="60" w:firstLine="324"/>
        <w:spacing w:after="0" w:line="341" w:lineRule="auto"/>
        <w:rPr>
          <w:sz w:val="20"/>
          <w:szCs w:val="20"/>
          <w:color w:val="auto"/>
        </w:rPr>
      </w:pPr>
      <w:r>
        <w:rPr>
          <w:rFonts w:ascii="Times New Roman" w:cs="Times New Roman" w:eastAsia="Times New Roman" w:hAnsi="Times New Roman"/>
          <w:sz w:val="18"/>
          <w:szCs w:val="18"/>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Information about the selling securityholders, including those listed below, may change over time. Since the effectiveness of the initial prospectus, certain securityholders may have sold or otherwise transferred their securities registered thereunder. For purposes of this table, we have assumed that the selling securityholders will have sold all of the shares of Common Stock covered by this prospectus upon the completion of the offering.</w:t>
      </w:r>
    </w:p>
    <w:p>
      <w:pPr>
        <w:spacing w:after="0" w:line="139" w:lineRule="exact"/>
        <w:rPr>
          <w:sz w:val="20"/>
          <w:szCs w:val="20"/>
          <w:color w:val="auto"/>
        </w:rPr>
      </w:pPr>
    </w:p>
    <w:p>
      <w:pPr>
        <w:ind w:right="20" w:firstLine="324"/>
        <w:spacing w:after="0" w:line="369" w:lineRule="auto"/>
        <w:rPr>
          <w:sz w:val="20"/>
          <w:szCs w:val="20"/>
          <w:color w:val="auto"/>
        </w:rPr>
      </w:pPr>
      <w:r>
        <w:rPr>
          <w:rFonts w:ascii="Times New Roman" w:cs="Times New Roman" w:eastAsia="Times New Roman" w:hAnsi="Times New Roman"/>
          <w:sz w:val="17"/>
          <w:szCs w:val="17"/>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1440" w:right="419" w:bottom="1440" w:gutter="0" w:footer="0" w:header="0"/>
        </w:sectPr>
      </w:pPr>
    </w:p>
    <w:bookmarkStart w:id="16" w:name="page17"/>
    <w:bookmarkEnd w:id="16"/>
    <w:p>
      <w:pPr>
        <w:spacing w:after="0" w:line="32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Common Stock</w:t>
      </w:r>
    </w:p>
    <w:p>
      <w:pPr>
        <w:jc w:val="center"/>
        <w:ind w:left="7920"/>
        <w:spacing w:after="0" w:line="221" w:lineRule="auto"/>
        <w:rPr>
          <w:sz w:val="20"/>
          <w:szCs w:val="20"/>
          <w:color w:val="auto"/>
        </w:rPr>
      </w:pPr>
      <w:r>
        <w:rPr>
          <w:rFonts w:ascii="Times New Roman" w:cs="Times New Roman" w:eastAsia="Times New Roman" w:hAnsi="Times New Roman"/>
          <w:sz w:val="14"/>
          <w:szCs w:val="14"/>
          <w:b w:val="1"/>
          <w:bCs w:val="1"/>
          <w:color w:val="auto"/>
        </w:rPr>
        <w:t>Beneficially</w:t>
      </w:r>
    </w:p>
    <w:tbl>
      <w:tblPr>
        <w:tblLayout w:type="fixed"/>
        <w:tblInd w:w="0" w:type="dxa"/>
        <w:tblCellMar>
          <w:top w:w="0" w:type="dxa"/>
          <w:left w:w="0" w:type="dxa"/>
          <w:bottom w:w="0" w:type="dxa"/>
          <w:right w:w="0" w:type="dxa"/>
        </w:tblCellMar>
      </w:tblPr>
      <w:tr>
        <w:trPr>
          <w:trHeight w:val="131"/>
        </w:trPr>
        <w:tc>
          <w:tcPr>
            <w:tcW w:w="4760" w:type="dxa"/>
            <w:vAlign w:val="bottom"/>
          </w:tcPr>
          <w:p>
            <w:pPr>
              <w:spacing w:after="0"/>
              <w:rPr>
                <w:sz w:val="11"/>
                <w:szCs w:val="11"/>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0" w:type="dxa"/>
            <w:vAlign w:val="bottom"/>
            <w:gridSpan w:val="3"/>
          </w:tcPr>
          <w:p>
            <w:pPr>
              <w:jc w:val="center"/>
              <w:ind w:left="1013"/>
              <w:spacing w:after="0" w:line="131"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76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0" w:type="dxa"/>
            <w:vAlign w:val="bottom"/>
            <w:gridSpan w:val="3"/>
            <w:vMerge w:val="restart"/>
          </w:tcPr>
          <w:p>
            <w:pPr>
              <w:jc w:val="center"/>
              <w:ind w:left="1033"/>
              <w:spacing w:after="0" w:line="146" w:lineRule="exact"/>
              <w:rPr>
                <w:sz w:val="20"/>
                <w:szCs w:val="20"/>
                <w:color w:val="auto"/>
              </w:rPr>
            </w:pPr>
            <w:r>
              <w:rPr>
                <w:rFonts w:ascii="Times New Roman" w:cs="Times New Roman" w:eastAsia="Times New Roman" w:hAnsi="Times New Roman"/>
                <w:sz w:val="14"/>
                <w:szCs w:val="14"/>
                <w:b w:val="1"/>
                <w:bCs w:val="1"/>
                <w:color w:val="auto"/>
              </w:rPr>
              <w:t>Offered Shares</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720" w:type="dxa"/>
            <w:vAlign w:val="bottom"/>
            <w:gridSpan w:val="2"/>
            <w:vMerge w:val="restart"/>
          </w:tcPr>
          <w:p>
            <w:pPr>
              <w:jc w:val="center"/>
              <w:ind w:right="42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46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20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476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640" w:type="dxa"/>
            <w:vAlign w:val="bottom"/>
            <w:gridSpan w:val="2"/>
            <w:vMerge w:val="restart"/>
          </w:tcPr>
          <w:p>
            <w:pPr>
              <w:jc w:val="center"/>
              <w:ind w:right="440"/>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172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200" w:type="dxa"/>
            <w:vAlign w:val="bottom"/>
            <w:gridSpan w:val="3"/>
            <w:vMerge w:val="restart"/>
          </w:tcPr>
          <w:p>
            <w:pPr>
              <w:jc w:val="center"/>
              <w:ind w:left="1013"/>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4760" w:type="dxa"/>
            <w:vAlign w:val="bottom"/>
          </w:tcPr>
          <w:p>
            <w:pPr>
              <w:spacing w:after="0"/>
              <w:rPr>
                <w:sz w:val="5"/>
                <w:szCs w:val="5"/>
                <w:color w:val="auto"/>
              </w:rPr>
            </w:pPr>
          </w:p>
        </w:tc>
        <w:tc>
          <w:tcPr>
            <w:tcW w:w="1720" w:type="dxa"/>
            <w:vAlign w:val="bottom"/>
            <w:gridSpan w:val="2"/>
            <w:vMerge w:val="restart"/>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Owned</w:t>
            </w:r>
          </w:p>
        </w:tc>
        <w:tc>
          <w:tcPr>
            <w:tcW w:w="146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0" w:type="dxa"/>
            <w:vAlign w:val="bottom"/>
            <w:gridSpan w:val="3"/>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76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2200" w:type="dxa"/>
            <w:vAlign w:val="bottom"/>
            <w:gridSpan w:val="3"/>
            <w:vMerge w:val="restart"/>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760" w:type="dxa"/>
            <w:vAlign w:val="bottom"/>
          </w:tcPr>
          <w:p>
            <w:pPr>
              <w:spacing w:after="0"/>
              <w:rPr>
                <w:sz w:val="9"/>
                <w:szCs w:val="9"/>
                <w:color w:val="auto"/>
              </w:rPr>
            </w:pPr>
          </w:p>
        </w:tc>
        <w:tc>
          <w:tcPr>
            <w:tcW w:w="172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146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22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76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2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07"/>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AH Bio Fund II, L.P., for itself and as nominee for AH Bio</w:t>
            </w:r>
          </w:p>
        </w:tc>
        <w:tc>
          <w:tcPr>
            <w:tcW w:w="1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II-B, L.P.</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16,298,006</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16,298,006</w:t>
            </w:r>
          </w:p>
        </w:tc>
        <w:tc>
          <w:tcPr>
            <w:tcW w:w="80" w:type="dxa"/>
            <w:vAlign w:val="bottom"/>
            <w:shd w:val="clear" w:color="auto" w:fill="CCEEFF"/>
          </w:tcPr>
          <w:p>
            <w:pPr>
              <w:spacing w:after="0"/>
              <w:rPr>
                <w:sz w:val="23"/>
                <w:szCs w:val="23"/>
                <w:color w:val="auto"/>
              </w:rPr>
            </w:pPr>
          </w:p>
        </w:tc>
        <w:tc>
          <w:tcPr>
            <w:tcW w:w="2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Alexandria Venture Investments, LLC</w:t>
            </w:r>
            <w:r>
              <w:rPr>
                <w:rFonts w:ascii="Times New Roman" w:cs="Times New Roman" w:eastAsia="Times New Roman" w:hAnsi="Times New Roman"/>
                <w:sz w:val="23"/>
                <w:szCs w:val="23"/>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4"/>
                <w:szCs w:val="24"/>
                <w:color w:val="auto"/>
              </w:rPr>
            </w:pPr>
          </w:p>
        </w:tc>
        <w:tc>
          <w:tcPr>
            <w:tcW w:w="22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Ally Bridge MedAlpha Master Fund L.P.</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1,080,566</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1,080,566</w:t>
            </w:r>
          </w:p>
        </w:tc>
        <w:tc>
          <w:tcPr>
            <w:tcW w:w="80" w:type="dxa"/>
            <w:vAlign w:val="bottom"/>
            <w:shd w:val="clear" w:color="auto" w:fill="CCEEFF"/>
          </w:tcPr>
          <w:p>
            <w:pPr>
              <w:spacing w:after="0"/>
              <w:rPr>
                <w:sz w:val="24"/>
                <w:szCs w:val="24"/>
                <w:color w:val="auto"/>
              </w:rPr>
            </w:pPr>
          </w:p>
        </w:tc>
        <w:tc>
          <w:tcPr>
            <w:tcW w:w="22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Andreessen Horowitz LSV Fund II, L.P., for itself and as</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nominee for Andreessen Horowitz LSV Fund II-B, L.P. and</w:t>
            </w: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Andreessen Horowitz LSV Fund II-Q, L.P.</w:t>
            </w:r>
            <w:r>
              <w:rPr>
                <w:rFonts w:ascii="Times New Roman" w:cs="Times New Roman" w:eastAsia="Times New Roman" w:hAnsi="Times New Roman"/>
                <w:sz w:val="23"/>
                <w:szCs w:val="23"/>
                <w:color w:val="auto"/>
                <w:vertAlign w:val="superscript"/>
              </w:rPr>
              <w:t>(4)</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1,355,911</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1,355,911</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ARYA Sciences Holdings III</w:t>
            </w:r>
            <w:r>
              <w:rPr>
                <w:rFonts w:ascii="Times New Roman" w:cs="Times New Roman" w:eastAsia="Times New Roman" w:hAnsi="Times New Roman"/>
                <w:sz w:val="23"/>
                <w:szCs w:val="23"/>
                <w:color w:val="auto"/>
                <w:vertAlign w:val="superscript"/>
              </w:rPr>
              <w:t>(5)</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4,146,500</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4,146,500</w:t>
            </w:r>
          </w:p>
        </w:tc>
        <w:tc>
          <w:tcPr>
            <w:tcW w:w="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AVMI Investments, Inc.</w:t>
            </w:r>
            <w:r>
              <w:rPr>
                <w:rFonts w:ascii="Times New Roman" w:cs="Times New Roman" w:eastAsia="Times New Roman" w:hAnsi="Times New Roman"/>
                <w:sz w:val="23"/>
                <w:szCs w:val="23"/>
                <w:color w:val="auto"/>
                <w:vertAlign w:val="superscript"/>
              </w:rPr>
              <w:t>(6)</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Bain Capital Life Sciences Fund II, L.P.</w:t>
            </w:r>
            <w:r>
              <w:rPr>
                <w:rFonts w:ascii="Times New Roman" w:cs="Times New Roman" w:eastAsia="Times New Roman" w:hAnsi="Times New Roman"/>
                <w:sz w:val="23"/>
                <w:szCs w:val="23"/>
                <w:color w:val="auto"/>
                <w:vertAlign w:val="superscript"/>
              </w:rPr>
              <w:t>(7)</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1,782,858</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891,429</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891,429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BCIP Life Sciences Associates, LP</w:t>
            </w:r>
            <w:r>
              <w:rPr>
                <w:rFonts w:ascii="Times New Roman" w:cs="Times New Roman" w:eastAsia="Times New Roman" w:hAnsi="Times New Roman"/>
                <w:sz w:val="23"/>
                <w:szCs w:val="23"/>
                <w:color w:val="auto"/>
                <w:vertAlign w:val="superscript"/>
              </w:rPr>
              <w:t>(7)</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217,142</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108,571</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108,571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Blackwell Partners LLC – Series A</w:t>
            </w:r>
            <w:r>
              <w:rPr>
                <w:rFonts w:ascii="Times New Roman" w:cs="Times New Roman" w:eastAsia="Times New Roman" w:hAnsi="Times New Roman"/>
                <w:sz w:val="23"/>
                <w:szCs w:val="23"/>
                <w:color w:val="auto"/>
                <w:vertAlign w:val="superscript"/>
              </w:rPr>
              <w:t>(8)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156,793</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81,278</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L. Campbell</w:t>
            </w:r>
            <w:r>
              <w:rPr>
                <w:rFonts w:ascii="Times New Roman" w:cs="Times New Roman" w:eastAsia="Times New Roman" w:hAnsi="Times New Roman"/>
                <w:sz w:val="23"/>
                <w:szCs w:val="23"/>
                <w:color w:val="auto"/>
                <w:vertAlign w:val="superscript"/>
              </w:rPr>
              <w:t>(29)</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Decheng Capital Global Healthcare Fund (Master), LP</w:t>
            </w:r>
            <w:r>
              <w:rPr>
                <w:rFonts w:ascii="Times New Roman" w:cs="Times New Roman" w:eastAsia="Times New Roman" w:hAnsi="Times New Roman"/>
                <w:sz w:val="23"/>
                <w:szCs w:val="23"/>
                <w:color w:val="auto"/>
                <w:vertAlign w:val="superscript"/>
              </w:rPr>
              <w:t>(9)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Farzad Nazem</w:t>
            </w:r>
            <w:r>
              <w:rPr>
                <w:rFonts w:ascii="Times New Roman" w:cs="Times New Roman" w:eastAsia="Times New Roman" w:hAnsi="Times New Roman"/>
                <w:sz w:val="23"/>
                <w:szCs w:val="23"/>
                <w:color w:val="auto"/>
                <w:vertAlign w:val="superscript"/>
              </w:rPr>
              <w:t>(10)</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2,010,893</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1,924,426</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86,467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Managed by RTW Investments, LP</w:t>
            </w:r>
            <w:r>
              <w:rPr>
                <w:rFonts w:ascii="Times New Roman" w:cs="Times New Roman" w:eastAsia="Times New Roman" w:hAnsi="Times New Roman"/>
                <w:sz w:val="23"/>
                <w:szCs w:val="23"/>
                <w:color w:val="auto"/>
                <w:vertAlign w:val="superscript"/>
              </w:rPr>
              <w:t>(11)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Hand Capital LLC</w:t>
            </w:r>
            <w:r>
              <w:rPr>
                <w:rFonts w:ascii="Times New Roman" w:cs="Times New Roman" w:eastAsia="Times New Roman" w:hAnsi="Times New Roman"/>
                <w:sz w:val="23"/>
                <w:szCs w:val="23"/>
                <w:color w:val="auto"/>
                <w:vertAlign w:val="superscript"/>
              </w:rPr>
              <w:t>(12)</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1,888,146</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1,888,146</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Madrona Venture Fund VI-A, LP</w:t>
            </w:r>
            <w:r>
              <w:rPr>
                <w:rFonts w:ascii="Times New Roman" w:cs="Times New Roman" w:eastAsia="Times New Roman" w:hAnsi="Times New Roman"/>
                <w:sz w:val="23"/>
                <w:szCs w:val="23"/>
                <w:color w:val="auto"/>
                <w:vertAlign w:val="superscript"/>
              </w:rPr>
              <w:t>(13)</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222,376</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222,376</w:t>
            </w:r>
          </w:p>
        </w:tc>
        <w:tc>
          <w:tcPr>
            <w:tcW w:w="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Madrona Venture Fund VI, LP</w:t>
            </w:r>
            <w:r>
              <w:rPr>
                <w:rFonts w:ascii="Times New Roman" w:cs="Times New Roman" w:eastAsia="Times New Roman" w:hAnsi="Times New Roman"/>
                <w:sz w:val="23"/>
                <w:szCs w:val="23"/>
                <w:color w:val="auto"/>
                <w:vertAlign w:val="superscript"/>
              </w:rPr>
              <w:t>(13)</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5,798,394</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5,798,394</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and Elizabeth Posard Trust</w:t>
            </w:r>
            <w:r>
              <w:rPr>
                <w:rFonts w:ascii="Times New Roman" w:cs="Times New Roman" w:eastAsia="Times New Roman" w:hAnsi="Times New Roman"/>
                <w:sz w:val="23"/>
                <w:szCs w:val="23"/>
                <w:color w:val="auto"/>
                <w:vertAlign w:val="superscript"/>
              </w:rPr>
              <w:t>(14)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McIlwain</w:t>
            </w:r>
            <w:r>
              <w:rPr>
                <w:rFonts w:ascii="Times New Roman" w:cs="Times New Roman" w:eastAsia="Times New Roman" w:hAnsi="Times New Roman"/>
                <w:sz w:val="23"/>
                <w:szCs w:val="23"/>
                <w:color w:val="auto"/>
                <w:vertAlign w:val="superscript"/>
              </w:rPr>
              <w:t>(15)</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6,602,592</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6,379,155</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223,437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Posard</w:t>
            </w:r>
            <w:r>
              <w:rPr>
                <w:rFonts w:ascii="Times New Roman" w:cs="Times New Roman" w:eastAsia="Times New Roman" w:hAnsi="Times New Roman"/>
                <w:sz w:val="23"/>
                <w:szCs w:val="23"/>
                <w:color w:val="auto"/>
                <w:vertAlign w:val="superscript"/>
              </w:rPr>
              <w:t>(16)</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504,943</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368,476</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136,467</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Melissa Epperly</w:t>
            </w:r>
            <w:r>
              <w:rPr>
                <w:rFonts w:ascii="Times New Roman" w:cs="Times New Roman" w:eastAsia="Times New Roman" w:hAnsi="Times New Roman"/>
                <w:sz w:val="23"/>
                <w:szCs w:val="23"/>
                <w:color w:val="auto"/>
                <w:vertAlign w:val="superscript"/>
              </w:rPr>
              <w:t>(17)</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159,028</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72,561</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86,467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Nantahala Capital Partners Limited Partnership</w:t>
            </w:r>
            <w:r>
              <w:rPr>
                <w:rFonts w:ascii="Times New Roman" w:cs="Times New Roman" w:eastAsia="Times New Roman" w:hAnsi="Times New Roman"/>
                <w:sz w:val="23"/>
                <w:szCs w:val="23"/>
                <w:color w:val="auto"/>
                <w:vertAlign w:val="superscript"/>
              </w:rPr>
              <w:t>(8)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54,727</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29,502</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Nantahala Capital Partners SI, LP</w:t>
            </w:r>
            <w:r>
              <w:rPr>
                <w:rFonts w:ascii="Times New Roman" w:cs="Times New Roman" w:eastAsia="Times New Roman" w:hAnsi="Times New Roman"/>
                <w:sz w:val="23"/>
                <w:szCs w:val="23"/>
                <w:color w:val="auto"/>
                <w:vertAlign w:val="superscript"/>
              </w:rPr>
              <w:t>(8)</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309,321</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142,326</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166,995</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Nantahala Capital Partners II Limited Partnership</w:t>
            </w:r>
            <w:r>
              <w:rPr>
                <w:rFonts w:ascii="Times New Roman" w:cs="Times New Roman" w:eastAsia="Times New Roman" w:hAnsi="Times New Roman"/>
                <w:sz w:val="23"/>
                <w:szCs w:val="23"/>
                <w:color w:val="auto"/>
                <w:vertAlign w:val="superscript"/>
              </w:rPr>
              <w:t>(8)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97,621</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79,459</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NCP RFM LP</w:t>
            </w:r>
            <w:r>
              <w:rPr>
                <w:rFonts w:ascii="Times New Roman" w:cs="Times New Roman" w:eastAsia="Times New Roman" w:hAnsi="Times New Roman"/>
                <w:sz w:val="23"/>
                <w:szCs w:val="23"/>
                <w:color w:val="auto"/>
                <w:vertAlign w:val="superscript"/>
              </w:rPr>
              <w:t>(8)</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80,200</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80,200</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Parag Mallick</w:t>
            </w:r>
            <w:r>
              <w:rPr>
                <w:rFonts w:ascii="Times New Roman" w:cs="Times New Roman" w:eastAsia="Times New Roman" w:hAnsi="Times New Roman"/>
                <w:sz w:val="23"/>
                <w:szCs w:val="23"/>
                <w:color w:val="auto"/>
                <w:vertAlign w:val="superscript"/>
              </w:rPr>
              <w:t>(18)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21,423,911</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21,143,911</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Perceptive Life Sciences Master Fund, Ltd</w:t>
            </w:r>
            <w:r>
              <w:rPr>
                <w:rFonts w:ascii="Times New Roman" w:cs="Times New Roman" w:eastAsia="Times New Roman" w:hAnsi="Times New Roman"/>
                <w:sz w:val="23"/>
                <w:szCs w:val="23"/>
                <w:color w:val="auto"/>
                <w:vertAlign w:val="superscript"/>
              </w:rPr>
              <w:t>(19)</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9,111,151</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8,414,113</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697,038</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PFV I, LLC</w:t>
            </w:r>
            <w:r>
              <w:rPr>
                <w:rFonts w:ascii="Times New Roman" w:cs="Times New Roman" w:eastAsia="Times New Roman" w:hAnsi="Times New Roman"/>
                <w:sz w:val="23"/>
                <w:szCs w:val="23"/>
                <w:color w:val="auto"/>
                <w:vertAlign w:val="superscript"/>
              </w:rPr>
              <w:t>(20)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5,280,476</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5,280,476</w:t>
            </w:r>
          </w:p>
        </w:tc>
        <w:tc>
          <w:tcPr>
            <w:tcW w:w="8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Saqib Islam</w:t>
            </w:r>
            <w:r>
              <w:rPr>
                <w:rFonts w:ascii="Times New Roman" w:cs="Times New Roman" w:eastAsia="Times New Roman" w:hAnsi="Times New Roman"/>
                <w:sz w:val="23"/>
                <w:szCs w:val="23"/>
                <w:color w:val="auto"/>
                <w:vertAlign w:val="superscript"/>
              </w:rPr>
              <w:t>(29)</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Sujal Patel</w:t>
            </w:r>
            <w:r>
              <w:rPr>
                <w:rFonts w:ascii="Times New Roman" w:cs="Times New Roman" w:eastAsia="Times New Roman" w:hAnsi="Times New Roman"/>
                <w:sz w:val="23"/>
                <w:szCs w:val="23"/>
                <w:color w:val="auto"/>
                <w:vertAlign w:val="superscript"/>
              </w:rPr>
              <w:t>(21)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18,247,832</w:t>
            </w:r>
          </w:p>
        </w:tc>
        <w:tc>
          <w:tcPr>
            <w:tcW w:w="3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17,497,732</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750,100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 2020 Children’s Trust, u/a/d/ December 3,</w:t>
            </w: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60" w:type="dxa"/>
            <w:vAlign w:val="bottom"/>
          </w:tcPr>
          <w:p>
            <w:pPr>
              <w:ind w:left="180"/>
              <w:spacing w:after="0" w:line="311" w:lineRule="exact"/>
              <w:rPr>
                <w:sz w:val="20"/>
                <w:szCs w:val="20"/>
                <w:color w:val="auto"/>
              </w:rPr>
            </w:pPr>
            <w:r>
              <w:rPr>
                <w:rFonts w:ascii="Times New Roman" w:cs="Times New Roman" w:eastAsia="Times New Roman" w:hAnsi="Times New Roman"/>
                <w:sz w:val="35"/>
                <w:szCs w:val="35"/>
                <w:color w:val="auto"/>
                <w:vertAlign w:val="subscript"/>
              </w:rPr>
              <w:t>2020</w:t>
            </w:r>
            <w:r>
              <w:rPr>
                <w:rFonts w:ascii="Times New Roman" w:cs="Times New Roman" w:eastAsia="Times New Roman" w:hAnsi="Times New Roman"/>
                <w:sz w:val="12"/>
                <w:szCs w:val="12"/>
                <w:color w:val="auto"/>
              </w:rPr>
              <w:t>(22)</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1,814,035</w:t>
            </w:r>
          </w:p>
        </w:tc>
        <w:tc>
          <w:tcPr>
            <w:tcW w:w="3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1,814,035</w:t>
            </w:r>
          </w:p>
        </w:tc>
        <w:tc>
          <w:tcPr>
            <w:tcW w:w="80" w:type="dxa"/>
            <w:vAlign w:val="bottom"/>
          </w:tcPr>
          <w:p>
            <w:pPr>
              <w:spacing w:after="0"/>
              <w:rPr>
                <w:sz w:val="24"/>
                <w:szCs w:val="24"/>
                <w:color w:val="auto"/>
              </w:rPr>
            </w:pPr>
          </w:p>
        </w:tc>
        <w:tc>
          <w:tcPr>
            <w:tcW w:w="22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gridSpan w:val="3"/>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3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3985"/>
                    </a:xfrm>
                    <a:prstGeom prst="rect">
                      <a:avLst/>
                    </a:prstGeom>
                    <a:noFill/>
                  </pic:spPr>
                </pic:pic>
              </a:graphicData>
            </a:graphic>
          </wp:anchor>
        </w:drawing>
      </w:r>
    </w:p>
    <w:p>
      <w:pPr>
        <w:sectPr>
          <w:pgSz w:w="11900" w:h="16940" w:orient="portrait"/>
          <w:cols w:equalWidth="0" w:num="1">
            <w:col w:w="11240"/>
          </w:cols>
          <w:pgMar w:left="320" w:top="1440" w:right="339" w:bottom="0" w:gutter="0" w:footer="0" w:header="0"/>
        </w:sectPr>
      </w:pP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2"/>
          <w:szCs w:val="12"/>
          <w:color w:val="auto"/>
        </w:rPr>
        <w:t>(29)</w:t>
      </w:r>
    </w:p>
    <w:p>
      <w:pPr>
        <w:sectPr>
          <w:pgSz w:w="11900" w:h="16940" w:orient="portrait"/>
          <w:cols w:equalWidth="0" w:num="1">
            <w:col w:w="11240"/>
          </w:cols>
          <w:pgMar w:left="320" w:top="1440" w:right="339" w:bottom="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16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30,000</w:t>
            </w:r>
          </w:p>
        </w:tc>
        <w:tc>
          <w:tcPr>
            <w:tcW w:w="17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VCVC V LLC</w:t>
            </w:r>
            <w:r>
              <w:rPr>
                <w:rFonts w:ascii="Times New Roman" w:cs="Times New Roman" w:eastAsia="Times New Roman" w:hAnsi="Times New Roman"/>
                <w:sz w:val="23"/>
                <w:szCs w:val="23"/>
                <w:color w:val="auto"/>
                <w:vertAlign w:val="superscript"/>
              </w:rPr>
              <w:t>(23)</w:t>
            </w:r>
          </w:p>
        </w:tc>
        <w:tc>
          <w:tcPr>
            <w:tcW w:w="24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3,586,492</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3,586,492</w:t>
            </w:r>
          </w:p>
        </w:tc>
        <w:tc>
          <w:tcPr>
            <w:tcW w:w="18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Vijay Pande</w:t>
            </w:r>
            <w:r>
              <w:rPr>
                <w:rFonts w:ascii="Times New Roman" w:cs="Times New Roman" w:eastAsia="Times New Roman" w:hAnsi="Times New Roman"/>
                <w:sz w:val="23"/>
                <w:szCs w:val="23"/>
                <w:color w:val="auto"/>
                <w:vertAlign w:val="superscript"/>
              </w:rPr>
              <w:t>(24)</w:t>
            </w:r>
          </w:p>
        </w:tc>
        <w:tc>
          <w:tcPr>
            <w:tcW w:w="24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122,747</w:t>
            </w:r>
          </w:p>
        </w:tc>
        <w:tc>
          <w:tcPr>
            <w:tcW w:w="17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36,280</w:t>
            </w:r>
          </w:p>
        </w:tc>
        <w:tc>
          <w:tcPr>
            <w:tcW w:w="18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86,467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VC Capital Holdings Columbia LLC</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28"/>
                <w:szCs w:val="28"/>
                <w:color w:val="auto"/>
                <w:vertAlign w:val="superscript"/>
              </w:rPr>
              <w:t>)</w:t>
            </w:r>
          </w:p>
        </w:tc>
        <w:tc>
          <w:tcPr>
            <w:tcW w:w="24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3,586,493</w:t>
            </w:r>
          </w:p>
        </w:tc>
        <w:tc>
          <w:tcPr>
            <w:tcW w:w="17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3,586,493</w:t>
            </w:r>
          </w:p>
        </w:tc>
        <w:tc>
          <w:tcPr>
            <w:tcW w:w="186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176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5" w:right="339" w:bottom="1440" w:gutter="0" w:footer="0" w:header="0"/>
        </w:sectPr>
      </w:pPr>
    </w:p>
    <w:bookmarkStart w:id="18" w:name="page19"/>
    <w:bookmarkEnd w:id="18"/>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WS Investment Company, LLC (21A)</w:t>
            </w:r>
            <w:r>
              <w:rPr>
                <w:rFonts w:ascii="Times New Roman" w:cs="Times New Roman" w:eastAsia="Times New Roman" w:hAnsi="Times New Roman"/>
                <w:sz w:val="23"/>
                <w:szCs w:val="23"/>
                <w:color w:val="auto"/>
                <w:vertAlign w:val="superscript"/>
              </w:rPr>
              <w:t>(25)</w:t>
            </w:r>
          </w:p>
        </w:tc>
        <w:tc>
          <w:tcPr>
            <w:tcW w:w="17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35,000</w:t>
            </w:r>
          </w:p>
        </w:tc>
        <w:tc>
          <w:tcPr>
            <w:tcW w:w="17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35,000</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Dream Finder Foundation</w:t>
            </w:r>
            <w:r>
              <w:rPr>
                <w:rFonts w:ascii="Times New Roman" w:cs="Times New Roman" w:eastAsia="Times New Roman" w:hAnsi="Times New Roman"/>
                <w:sz w:val="23"/>
                <w:szCs w:val="23"/>
                <w:color w:val="auto"/>
                <w:vertAlign w:val="superscript"/>
              </w:rPr>
              <w:t>(26)</w:t>
            </w:r>
          </w:p>
        </w:tc>
        <w:tc>
          <w:tcPr>
            <w:tcW w:w="17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200,000</w:t>
            </w:r>
          </w:p>
        </w:tc>
        <w:tc>
          <w:tcPr>
            <w:tcW w:w="17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Jesus A Zavaleta III C/F Janhavi Amrita Singhal UTMA/TX</w:t>
            </w:r>
          </w:p>
        </w:tc>
        <w:tc>
          <w:tcPr>
            <w:tcW w:w="172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until Age 21</w:t>
            </w:r>
            <w:r>
              <w:rPr>
                <w:rFonts w:ascii="Times New Roman" w:cs="Times New Roman" w:eastAsia="Times New Roman" w:hAnsi="Times New Roman"/>
                <w:sz w:val="23"/>
                <w:szCs w:val="23"/>
                <w:color w:val="auto"/>
                <w:vertAlign w:val="superscript"/>
              </w:rPr>
              <w:t>(27)</w:t>
            </w:r>
          </w:p>
        </w:tc>
        <w:tc>
          <w:tcPr>
            <w:tcW w:w="17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5,000</w:t>
            </w:r>
          </w:p>
        </w:tc>
        <w:tc>
          <w:tcPr>
            <w:tcW w:w="17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5,000</w:t>
            </w:r>
          </w:p>
        </w:tc>
        <w:tc>
          <w:tcPr>
            <w:tcW w:w="18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Jesus A Zavaleta III C/F Janhavi Amrita Singhal UTMA/TX</w:t>
            </w: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until Age 21</w:t>
            </w:r>
            <w:r>
              <w:rPr>
                <w:rFonts w:ascii="Times New Roman" w:cs="Times New Roman" w:eastAsia="Times New Roman" w:hAnsi="Times New Roman"/>
                <w:sz w:val="23"/>
                <w:szCs w:val="23"/>
                <w:color w:val="auto"/>
                <w:vertAlign w:val="superscript"/>
              </w:rPr>
              <w:t>(28)</w:t>
            </w:r>
          </w:p>
        </w:tc>
        <w:tc>
          <w:tcPr>
            <w:tcW w:w="17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5,000</w:t>
            </w:r>
          </w:p>
        </w:tc>
        <w:tc>
          <w:tcPr>
            <w:tcW w:w="17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5,000</w:t>
            </w:r>
          </w:p>
        </w:tc>
        <w:tc>
          <w:tcPr>
            <w:tcW w:w="186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8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w:t>
            </w:r>
          </w:p>
        </w:tc>
        <w:tc>
          <w:tcPr>
            <w:tcW w:w="17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92,870,727</w:t>
            </w:r>
          </w:p>
        </w:tc>
        <w:tc>
          <w:tcPr>
            <w:tcW w:w="1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88,738,387</w:t>
            </w:r>
          </w:p>
        </w:tc>
        <w:tc>
          <w:tcPr>
            <w:tcW w:w="18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4,132,340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69"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69" w:lineRule="exact"/>
        <w:rPr>
          <w:sz w:val="20"/>
          <w:szCs w:val="20"/>
          <w:color w:val="auto"/>
        </w:rPr>
      </w:pPr>
    </w:p>
    <w:p>
      <w:pPr>
        <w:ind w:left="340" w:right="60" w:hanging="332"/>
        <w:spacing w:after="0" w:line="347"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is a subsidiary of Alexandria Real Estate Equities, Inc., a publicly held corporation.</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Fan Yu is the sole shareholder of ABG Management Ltd., which is the sole member of Ally Bridge Group (NY) LLC. Ally Bridge Group (NY) LLC</w:t>
      </w:r>
    </w:p>
    <w:p>
      <w:pPr>
        <w:spacing w:after="0" w:line="68" w:lineRule="exact"/>
        <w:rPr>
          <w:rFonts w:ascii="Times New Roman" w:cs="Times New Roman" w:eastAsia="Times New Roman" w:hAnsi="Times New Roman"/>
          <w:sz w:val="14"/>
          <w:szCs w:val="14"/>
          <w:color w:val="auto"/>
        </w:rPr>
      </w:pPr>
    </w:p>
    <w:p>
      <w:pPr>
        <w:ind w:left="340"/>
        <w:spacing w:after="0" w:line="34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manages Ally Bridge MedAlpha Master Fund L.P.’s (“Ally Bridge”) investments. As such, each of the foregoing entities and Mr. Fan Yu may be deemed to share beneficial ownership of the shares held of record by Ally Bridge. Each of them disclaims any such beneficial ownership.</w:t>
      </w:r>
    </w:p>
    <w:p>
      <w:pPr>
        <w:jc w:val="both"/>
        <w:ind w:left="340" w:right="100" w:hanging="332"/>
        <w:spacing w:after="0" w:line="338"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Marc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ind w:left="340" w:right="360" w:hanging="332"/>
        <w:spacing w:after="0" w:line="30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Wanda M. Cook and Michael J. McCullough share voting and investment power over the shares held by the selling securityholder.</w:t>
      </w:r>
    </w:p>
    <w:p>
      <w:pPr>
        <w:spacing w:after="0" w:line="28" w:lineRule="exact"/>
        <w:rPr>
          <w:rFonts w:ascii="Times New Roman" w:cs="Times New Roman" w:eastAsia="Times New Roman" w:hAnsi="Times New Roman"/>
          <w:sz w:val="14"/>
          <w:szCs w:val="14"/>
          <w:color w:val="auto"/>
        </w:rPr>
      </w:pPr>
    </w:p>
    <w:p>
      <w:pPr>
        <w:jc w:val="both"/>
        <w:ind w:left="340" w:right="240" w:hanging="332"/>
        <w:spacing w:after="0" w:line="30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Bain Capital Life Sciences Investors, LLC (“BCLSI”) is the manager of the general partner of Bain Capital Life Sciences Fund II, L.P. and governs the investment strategy and decision-making process with respect to investments held by BCIP Life Sciences Associates, LP. As a result, BCLSI may be deemed to share voting and dispositive power over the shares held by Bain Capital Life Sciences Fund II, L.P. and BCIP Life Sciences Associates, LP.</w:t>
      </w:r>
    </w:p>
    <w:p>
      <w:pPr>
        <w:spacing w:after="0" w:line="1" w:lineRule="exact"/>
        <w:rPr>
          <w:rFonts w:ascii="Times New Roman" w:cs="Times New Roman" w:eastAsia="Times New Roman" w:hAnsi="Times New Roman"/>
          <w:sz w:val="14"/>
          <w:szCs w:val="14"/>
          <w:color w:val="auto"/>
        </w:rPr>
      </w:pPr>
    </w:p>
    <w:p>
      <w:pPr>
        <w:jc w:val="both"/>
        <w:ind w:left="340" w:right="20" w:hanging="332"/>
        <w:spacing w:after="0" w:line="30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Nantahala Capital Management, LLC may be deemed to beneficially own 86,136 additional shares of Common Stock in the Company on behalf of managed funds and/or accounts not listed above as selling securityholders. Nantahala Capital Management, LLC is a registered investment adviser and has been delegated the legal power to vote and/or direct the disposition of such</w:t>
      </w:r>
    </w:p>
    <w:p>
      <w:pPr>
        <w:spacing w:after="0" w:line="1" w:lineRule="exact"/>
        <w:rPr>
          <w:rFonts w:ascii="Times New Roman" w:cs="Times New Roman" w:eastAsia="Times New Roman" w:hAnsi="Times New Roman"/>
          <w:sz w:val="14"/>
          <w:szCs w:val="14"/>
          <w:color w:val="auto"/>
        </w:rPr>
      </w:pPr>
    </w:p>
    <w:p>
      <w:pPr>
        <w:ind w:left="340" w:right="60"/>
        <w:spacing w:after="0" w:line="29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spacing w:after="0" w:line="2" w:lineRule="exact"/>
        <w:rPr>
          <w:rFonts w:ascii="Times New Roman" w:cs="Times New Roman" w:eastAsia="Times New Roman" w:hAnsi="Times New Roman"/>
          <w:sz w:val="14"/>
          <w:szCs w:val="14"/>
          <w:color w:val="auto"/>
        </w:rPr>
      </w:pPr>
    </w:p>
    <w:p>
      <w:pPr>
        <w:ind w:left="340" w:right="360" w:hanging="332"/>
        <w:spacing w:after="0" w:line="29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Xiangmin Cui has voting and investment power over the shares held by the selling securityholder. The selling securityholder is an investment company registered under the Investment Company Act of 1940, as amended.</w:t>
      </w:r>
    </w:p>
    <w:p>
      <w:pPr>
        <w:spacing w:after="0" w:line="1" w:lineRule="exact"/>
        <w:rPr>
          <w:rFonts w:ascii="Times New Roman" w:cs="Times New Roman" w:eastAsia="Times New Roman" w:hAnsi="Times New Roman"/>
          <w:sz w:val="14"/>
          <w:szCs w:val="14"/>
          <w:color w:val="auto"/>
        </w:rPr>
      </w:pPr>
    </w:p>
    <w:p>
      <w:pPr>
        <w:ind w:left="340" w:right="120" w:hanging="332"/>
        <w:spacing w:after="0" w:line="301" w:lineRule="auto"/>
        <w:tabs>
          <w:tab w:leader="none" w:pos="33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122,747 shares of Common Stock issuable upon exercise of options held by Mr. Nazem and (ii) 1,888,146 shares of Common Stock held by HAND Capital, LLC. 57,896 options to purchase shares of common stock are exercisable within 60 days of July 29, 2022. The remaining options to purchase shares of Common Stock vest evenly on the 15th day of each month through June 15, 2023, subject to Mr. Nazem’s continued status as a service provider through each vesting date. Mr. Nazem is the manager of HAND Capital, LLC and as such has voting and investment power over the shares held by HAND Capital, LLC. Mr. Nazem is a member of the board of directors of the Company.</w:t>
      </w:r>
    </w:p>
    <w:p>
      <w:pPr>
        <w:spacing w:after="0" w:line="2" w:lineRule="exact"/>
        <w:rPr>
          <w:rFonts w:ascii="Times New Roman" w:cs="Times New Roman" w:eastAsia="Times New Roman" w:hAnsi="Times New Roman"/>
          <w:sz w:val="14"/>
          <w:szCs w:val="14"/>
          <w:color w:val="auto"/>
        </w:rPr>
      </w:pPr>
    </w:p>
    <w:p>
      <w:pPr>
        <w:ind w:left="340" w:right="160" w:hanging="332"/>
        <w:spacing w:after="0" w:line="312" w:lineRule="auto"/>
        <w:tabs>
          <w:tab w:leader="none" w:pos="331"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9" w:lineRule="exact"/>
        <w:rPr>
          <w:sz w:val="20"/>
          <w:szCs w:val="20"/>
          <w:color w:val="auto"/>
        </w:rPr>
      </w:pPr>
    </w:p>
    <w:p>
      <w:pPr>
        <w:ind w:left="332" w:right="160"/>
        <w:spacing w:after="0" w:line="301" w:lineRule="auto"/>
        <w:rPr>
          <w:sz w:val="20"/>
          <w:szCs w:val="20"/>
          <w:color w:val="auto"/>
        </w:rPr>
      </w:pPr>
      <w:r>
        <w:rPr>
          <w:rFonts w:ascii="Times New Roman" w:cs="Times New Roman" w:eastAsia="Times New Roman" w:hAnsi="Times New Roman"/>
          <w:sz w:val="14"/>
          <w:szCs w:val="14"/>
          <w:color w:val="auto"/>
        </w:rPr>
        <w:t>of RTW Investments, LP. and as such has sole voting and investment control over such shares. Dr. Wong disclaims beneficial ownership of the reported securities held by the RTW Funds, except to the extent of any pecuniary interest therein.</w:t>
      </w:r>
    </w:p>
    <w:p>
      <w:pPr>
        <w:spacing w:after="0" w:line="1" w:lineRule="exact"/>
        <w:rPr>
          <w:sz w:val="20"/>
          <w:szCs w:val="20"/>
          <w:color w:val="auto"/>
        </w:rPr>
      </w:pPr>
    </w:p>
    <w:p>
      <w:pPr>
        <w:ind w:left="332" w:right="560" w:hanging="332"/>
        <w:spacing w:after="0" w:line="29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Farzad Nazem and Noosheen Hashemi have voting and investment power over the shares held by the selling securityholder. Mr. Nazem is a member of the board of directors of the Company.</w:t>
      </w:r>
    </w:p>
    <w:p>
      <w:pPr>
        <w:spacing w:after="0" w:line="1" w:lineRule="exact"/>
        <w:rPr>
          <w:rFonts w:ascii="Times New Roman" w:cs="Times New Roman" w:eastAsia="Times New Roman" w:hAnsi="Times New Roman"/>
          <w:sz w:val="14"/>
          <w:szCs w:val="14"/>
          <w:color w:val="auto"/>
        </w:rPr>
      </w:pPr>
    </w:p>
    <w:p>
      <w:pPr>
        <w:ind w:left="332" w:right="140" w:hanging="332"/>
        <w:spacing w:after="0" w:line="297"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spacing w:after="0" w:line="2" w:lineRule="exact"/>
        <w:rPr>
          <w:rFonts w:ascii="Times New Roman" w:cs="Times New Roman" w:eastAsia="Times New Roman" w:hAnsi="Times New Roman"/>
          <w:sz w:val="14"/>
          <w:szCs w:val="14"/>
          <w:color w:val="auto"/>
        </w:rPr>
      </w:pPr>
    </w:p>
    <w:p>
      <w:pPr>
        <w:ind w:left="332" w:right="60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Matthew Posard and Elizabeth Posard share voting and investment power over the shares held by the selling securityholder. Mr. Posard is a member of the board of directors of the Company.</w:t>
      </w:r>
    </w:p>
    <w:p>
      <w:pPr>
        <w:spacing w:after="0" w:line="1" w:lineRule="exact"/>
        <w:rPr>
          <w:rFonts w:ascii="Times New Roman" w:cs="Times New Roman" w:eastAsia="Times New Roman" w:hAnsi="Times New Roman"/>
          <w:sz w:val="14"/>
          <w:szCs w:val="14"/>
          <w:color w:val="auto"/>
        </w:rPr>
      </w:pPr>
    </w:p>
    <w:p>
      <w:pPr>
        <w:ind w:left="332" w:right="36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459,075 shares of Common Stock held directly by Mr. McIlwain (322,105 of which are registered for resale pursuant to this prospectus), (ii) 122,747 shares of Common Stock issuable upon exercise of options held by Mr. McIlwain, (iii) 5,798,394 shares of Common Stock held by Madrona Fund VI, and (iv) 222,376 shares of Common Stock held by</w:t>
      </w:r>
    </w:p>
    <w:p>
      <w:pPr>
        <w:spacing w:after="0" w:line="1" w:lineRule="exact"/>
        <w:rPr>
          <w:rFonts w:ascii="Times New Roman" w:cs="Times New Roman" w:eastAsia="Times New Roman" w:hAnsi="Times New Roman"/>
          <w:sz w:val="14"/>
          <w:szCs w:val="14"/>
          <w:color w:val="auto"/>
        </w:rPr>
      </w:pPr>
    </w:p>
    <w:p>
      <w:pPr>
        <w:ind w:left="332" w:right="10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Madrona Fund VI-A. 57,896 options to purchase shares of common stock are exercisable within 60 days of July 29, 2022. The remaining options to purchase shares of Common Stock vest evenly on the 15th day of each month through June 15, 2023, subject to Mr. McIlwain’s continued status as a service provider through each vesting date. Mr. McIlwain is a member of the board of directors of the Company.</w:t>
      </w:r>
    </w:p>
    <w:p>
      <w:pPr>
        <w:jc w:val="both"/>
        <w:ind w:left="332" w:right="28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354,943 shares of Common Stock issuable upon exercise of options held by Mr. Posard, (ii) 100,000 shares of Common Stock held by the Matthew and Elizabeth Posard Trust (the “Posard Trust”) and (iii) 50,000 shares of Common Stock held by Mr. Posard (which are not registered for resale under this prospectus). 257,451 options to purchase shares of</w:t>
      </w:r>
    </w:p>
    <w:p>
      <w:pPr>
        <w:spacing w:after="0" w:line="1" w:lineRule="exact"/>
        <w:rPr>
          <w:rFonts w:ascii="Times New Roman" w:cs="Times New Roman" w:eastAsia="Times New Roman" w:hAnsi="Times New Roman"/>
          <w:sz w:val="14"/>
          <w:szCs w:val="14"/>
          <w:color w:val="auto"/>
        </w:rPr>
      </w:pPr>
    </w:p>
    <w:p>
      <w:pPr>
        <w:jc w:val="both"/>
        <w:ind w:left="332" w:right="120"/>
        <w:spacing w:after="0" w:line="29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are exercisable within 60 days of July 29, 2022. Of the remaining options to purchase shares of Common Stock (i) 32,641 shares of Common Stock that are issuable upon the exercise of options vest evenly on the 1st of each month through September 1, 2024, and (ii) 64,851 shares of Common Stock that are issuable upon the exercise of options vest evenly on the 15th of each month through June 15, 2023, subject to Mr. Posard’s continued status as a service provider through each vesting date. Mr. Posard is a member of the board of directors of the Company.</w:t>
      </w:r>
    </w:p>
    <w:p>
      <w:pPr>
        <w:spacing w:after="0" w:line="2" w:lineRule="exact"/>
        <w:rPr>
          <w:rFonts w:ascii="Times New Roman" w:cs="Times New Roman" w:eastAsia="Times New Roman" w:hAnsi="Times New Roman"/>
          <w:sz w:val="14"/>
          <w:szCs w:val="14"/>
          <w:color w:val="auto"/>
        </w:rPr>
      </w:pPr>
    </w:p>
    <w:p>
      <w:pPr>
        <w:ind w:left="332"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159,028 shares of Common Stock issuable upon exercise of options held by Ms. Epperly. 59,912 options to purchase shares of common stock are exercisable within 60 days of July 29, 2022. Of the remaining options to purchase shares of Common Stock (i) 34,265 shares of Common Stock that are issuable upon the exercise of options vest evenly on the last day of</w:t>
      </w:r>
    </w:p>
    <w:p>
      <w:pPr>
        <w:spacing w:after="0" w:line="1" w:lineRule="exact"/>
        <w:rPr>
          <w:rFonts w:ascii="Times New Roman" w:cs="Times New Roman" w:eastAsia="Times New Roman" w:hAnsi="Times New Roman"/>
          <w:sz w:val="14"/>
          <w:szCs w:val="14"/>
          <w:color w:val="auto"/>
        </w:rPr>
      </w:pPr>
    </w:p>
    <w:p>
      <w:pPr>
        <w:ind w:left="332" w:right="160"/>
        <w:spacing w:after="0" w:line="29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month through January 31, 2024 and (ii) 64,851 shares of Common Stock that are issuable upon the exercise of options vest evenly on the 15th of each month through June 15, 2023, subject to Ms. Epperly’s continued status as a service provider through each vesting date.</w:t>
      </w:r>
    </w:p>
    <w:p>
      <w:pPr>
        <w:spacing w:after="0" w:line="1" w:lineRule="exact"/>
        <w:rPr>
          <w:rFonts w:ascii="Times New Roman" w:cs="Times New Roman" w:eastAsia="Times New Roman" w:hAnsi="Times New Roman"/>
          <w:sz w:val="14"/>
          <w:szCs w:val="14"/>
          <w:color w:val="auto"/>
        </w:rPr>
      </w:pPr>
    </w:p>
    <w:p>
      <w:pPr>
        <w:ind w:left="332" w:right="8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20,479,892 shares of Common Stock directly owned by Dr. Mallick, (ii) 200,000 shares of Common Stock owned by The Dream Finder Foundation, as described in footnote 27 below, and (iii) 744,019 shares of Common Stock issuable upon exercise of options held by Dr. Mallick. 183,670 shares of Common Stock issuable upon exercise of options are exercisable within 60 days of July 29, 2022. Of the remaining options to purchase shares of Common Stock (i) 280,349 shares of Common Stock that are issuable upon the exercise of</w:t>
      </w:r>
    </w:p>
    <w:p>
      <w:pPr>
        <w:spacing w:after="0" w:line="1" w:lineRule="exact"/>
        <w:rPr>
          <w:rFonts w:ascii="Times New Roman" w:cs="Times New Roman" w:eastAsia="Times New Roman" w:hAnsi="Times New Roman"/>
          <w:sz w:val="14"/>
          <w:szCs w:val="14"/>
          <w:color w:val="auto"/>
        </w:rPr>
      </w:pPr>
    </w:p>
    <w:p>
      <w:pPr>
        <w:jc w:val="both"/>
        <w:ind w:left="332" w:right="200"/>
        <w:spacing w:after="0" w:line="29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vest evenly on the last day of each month through January 31, 2025 and (ii) 280,000 shares of Common Stock that are issuable upon the exercise of options vest as follows: 25% vest on February 25, 2023 and the remaining shares subject to the option vest evenly on the 25th of each month through February 25, 2026, subject to Dr. Mallick’s continued status as a service provider through each vesting date. If, during the period 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spacing w:after="0" w:line="2" w:lineRule="exact"/>
        <w:rPr>
          <w:rFonts w:ascii="Times New Roman" w:cs="Times New Roman" w:eastAsia="Times New Roman" w:hAnsi="Times New Roman"/>
          <w:sz w:val="14"/>
          <w:szCs w:val="14"/>
          <w:color w:val="auto"/>
        </w:rPr>
      </w:pPr>
    </w:p>
    <w:p>
      <w:pPr>
        <w:ind w:left="332" w:right="640" w:hanging="332"/>
        <w:spacing w:after="0" w:line="29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spacing w:after="0" w:line="1" w:lineRule="exact"/>
        <w:rPr>
          <w:rFonts w:ascii="Times New Roman" w:cs="Times New Roman" w:eastAsia="Times New Roman" w:hAnsi="Times New Roman"/>
          <w:sz w:val="14"/>
          <w:szCs w:val="14"/>
          <w:color w:val="auto"/>
        </w:rPr>
      </w:pPr>
    </w:p>
    <w:p>
      <w:pPr>
        <w:ind w:left="332" w:right="20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spacing w:after="0" w:line="1" w:lineRule="exact"/>
        <w:rPr>
          <w:rFonts w:ascii="Times New Roman" w:cs="Times New Roman" w:eastAsia="Times New Roman" w:hAnsi="Times New Roman"/>
          <w:sz w:val="14"/>
          <w:szCs w:val="14"/>
          <w:color w:val="auto"/>
        </w:rPr>
      </w:pPr>
    </w:p>
    <w:p>
      <w:pPr>
        <w:ind w:left="332" w:right="120" w:hanging="332"/>
        <w:spacing w:after="0" w:line="301"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9,964,488 shares of Common Stock directly owned by Mr. Patel (9,614,388 of which are registered for resale under this prospectus), (ii) 5,280,476 shares of Common Stock held by PFV, (iii) 1,814,035 shares of Common Stock held by the Patel Trust, and (iv) 1,188,833 shares of Common Stock issuable upon exercise of options held by Mr. Patel. 312,145 of</w:t>
      </w:r>
    </w:p>
    <w:p>
      <w:pPr>
        <w:spacing w:after="0" w:line="1" w:lineRule="exact"/>
        <w:rPr>
          <w:rFonts w:ascii="Times New Roman" w:cs="Times New Roman" w:eastAsia="Times New Roman" w:hAnsi="Times New Roman"/>
          <w:sz w:val="14"/>
          <w:szCs w:val="14"/>
          <w:color w:val="auto"/>
        </w:rPr>
      </w:pPr>
    </w:p>
    <w:p>
      <w:pPr>
        <w:ind w:left="332"/>
        <w:spacing w:after="0" w:line="30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Common Stock issuable upon exercise of options are exercisable within 60 days of July 29, 2022. Of the remaining options to purchase shares of Common Stock (i) 476,688 shares of Common Stock that are issuable upon the exercise of options vest evenly on the last day of each month through January 31, 2025 and (ii) 400,000 shares of Common Stock that are issuable upon the exercise of options vest as follows: 25% vest on February 25, 2023 and the remaining shares subject to the option vest evenly on the 25th of each month through February 25, 2026, subject to Mr. Patel’s continued status as a service provider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32"/>
          </w:cols>
          <w:pgMar w:left="328" w:top="1440" w:right="339" w:bottom="1440" w:gutter="0" w:footer="0" w:header="0"/>
        </w:sectPr>
      </w:pPr>
    </w:p>
    <w:bookmarkStart w:id="20" w:name="page21"/>
    <w:bookmarkEnd w:id="20"/>
    <w:p>
      <w:pPr>
        <w:spacing w:after="0" w:line="149"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4"/>
          <w:szCs w:val="14"/>
          <w:color w:val="auto"/>
        </w:rPr>
        <w:t>unvested shares shall immediately vest. Mr. Patel is the President, Chief Executive Officer, Secretary and a member of the board of directors of the Company.</w:t>
      </w:r>
    </w:p>
    <w:p>
      <w:pPr>
        <w:spacing w:after="0" w:line="42" w:lineRule="exact"/>
        <w:rPr>
          <w:sz w:val="20"/>
          <w:szCs w:val="20"/>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Patel is a trustee of the Sujal Patel 2020 Children’s Trust, u/a/d December 3, 2020 (the “Patel Trust”) and as such has voting and investment control over the shares held by the Patel</w:t>
      </w:r>
    </w:p>
    <w:p>
      <w:pPr>
        <w:spacing w:after="0" w:line="41" w:lineRule="exact"/>
        <w:rPr>
          <w:rFonts w:ascii="Times New Roman" w:cs="Times New Roman" w:eastAsia="Times New Roman" w:hAnsi="Times New Roman"/>
          <w:sz w:val="14"/>
          <w:szCs w:val="14"/>
          <w:color w:val="auto"/>
        </w:rPr>
      </w:pPr>
    </w:p>
    <w:p>
      <w:pPr>
        <w:ind w:left="332" w:right="4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ind w:left="332" w:right="40" w:hanging="332"/>
        <w:spacing w:after="0" w:line="301"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VCVC Management V LLC (“VCVC Management”) serves as the Manager of VCVC V LLC (“VCVC”) and Cercano Management LLC (“Cercano”) serves as the investment manager of VCVC Management. VCHC Management LLC (“VCHC Management”) serves as the Manager of VC Capital Holdings Columbia LLC (“VCHC”) and Cercano serves as the investment manager of VCHC Management. Cercano has sole voting and dispositive power over the shares held by VCHC and VCVC. Each of VCVC Management, VCHC Management and Cercano</w:t>
      </w:r>
    </w:p>
    <w:p>
      <w:pPr>
        <w:spacing w:after="0" w:line="1" w:lineRule="exact"/>
        <w:rPr>
          <w:rFonts w:ascii="Times New Roman" w:cs="Times New Roman" w:eastAsia="Times New Roman" w:hAnsi="Times New Roman"/>
          <w:sz w:val="14"/>
          <w:szCs w:val="14"/>
          <w:color w:val="auto"/>
        </w:rPr>
      </w:pPr>
    </w:p>
    <w:p>
      <w:pPr>
        <w:ind w:left="332" w:right="12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disclaims, for purposes of Section 16 of the Securities Exchange Act of 1934, beneficial ownership of such securities, except to the extent of its indirect pecuniary interest therein, and this report shall not be deemed an admission that any of VCVC Management, VCHC Management or Cercano is the beneficial owner of such securities for purposes of Section 16 or for any other purposes. Stuart Nagae, an affiliate of Vulcan Capital, was a member of the board of directors of Legacy Nautilus until June 9, 2021.</w:t>
      </w:r>
    </w:p>
    <w:p>
      <w:pPr>
        <w:ind w:left="332" w:right="40" w:hanging="332"/>
        <w:spacing w:after="0" w:line="301"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122,747 shares of Common Stock issuable upon exercise of options held by Mr. Pande. 57,896 options to purchase shares of Common Stock are exercisable within 60 days of July 29, 2022. Of the remaining options to purchase shares of Common Stock 64,851 shares of Common Stock that are issuable upon the exercise of options vest evenly on the 15th of each</w:t>
      </w:r>
    </w:p>
    <w:p>
      <w:pPr>
        <w:spacing w:after="0" w:line="1" w:lineRule="exact"/>
        <w:rPr>
          <w:rFonts w:ascii="Times New Roman" w:cs="Times New Roman" w:eastAsia="Times New Roman" w:hAnsi="Times New Roman"/>
          <w:sz w:val="14"/>
          <w:szCs w:val="14"/>
          <w:color w:val="auto"/>
        </w:rPr>
      </w:pPr>
    </w:p>
    <w:p>
      <w:pPr>
        <w:ind w:left="332" w:right="40"/>
        <w:spacing w:after="0" w:line="29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 through June 15, 2023, subject to Mr. Pande’s continued status as a service provider through each vesting date. Mr. Pande has no voting or investment control over the shares held by entities affiliated with Andreessen Horowitz that are included in footnotes 1 and 5. Mr. Pande is a member of the board of directors of the Company.</w:t>
      </w:r>
    </w:p>
    <w:p>
      <w:pPr>
        <w:spacing w:after="0" w:line="1" w:lineRule="exact"/>
        <w:rPr>
          <w:rFonts w:ascii="Times New Roman" w:cs="Times New Roman" w:eastAsia="Times New Roman" w:hAnsi="Times New Roman"/>
          <w:sz w:val="14"/>
          <w:szCs w:val="14"/>
          <w:color w:val="auto"/>
        </w:rPr>
      </w:pPr>
    </w:p>
    <w:p>
      <w:pPr>
        <w:ind w:left="332" w:hanging="332"/>
        <w:spacing w:after="0" w:line="301"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spacing w:after="0" w:line="1" w:lineRule="exact"/>
        <w:rPr>
          <w:rFonts w:ascii="Times New Roman" w:cs="Times New Roman" w:eastAsia="Times New Roman" w:hAnsi="Times New Roman"/>
          <w:sz w:val="14"/>
          <w:szCs w:val="14"/>
          <w:color w:val="auto"/>
        </w:rPr>
      </w:pPr>
    </w:p>
    <w:p>
      <w:pPr>
        <w:ind w:left="332" w:right="160" w:hanging="332"/>
        <w:spacing w:after="0" w:line="296"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 Dr. Mallick is the Chief Scientist and a member of the board of directors of the Company.</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Jesus A Zavaleta III, custodian, has the power to vote and dispose of the common shares being registered on behalf of Janhavi Amrita Singhal UTMA/TX.</w:t>
      </w:r>
    </w:p>
    <w:p>
      <w:pPr>
        <w:spacing w:after="0" w:line="4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Jesus A Zavaleta III, custodian, has the power to vote and dispose of the common shares being registered on behalf of Jaya Nirmala Singhal UTMA/TX.</w:t>
      </w:r>
    </w:p>
    <w:p>
      <w:pPr>
        <w:spacing w:after="0" w:line="4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securityholder was a member of the board of directors of ARYA Sciences Acquisition Corp III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12"/>
          </w:cols>
          <w:pgMar w:left="328" w:top="1440" w:right="359" w:bottom="1440" w:gutter="0" w:footer="0" w:header="0"/>
        </w:sectPr>
      </w:pPr>
    </w:p>
    <w:bookmarkStart w:id="21" w:name="page22"/>
    <w:bookmarkEnd w:id="21"/>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43" w:lineRule="exact"/>
        <w:rPr>
          <w:sz w:val="20"/>
          <w:szCs w:val="20"/>
          <w:color w:val="auto"/>
        </w:rPr>
      </w:pPr>
    </w:p>
    <w:p>
      <w:pPr>
        <w:ind w:right="240" w:firstLine="324"/>
        <w:spacing w:after="0" w:line="376" w:lineRule="auto"/>
        <w:rPr>
          <w:sz w:val="20"/>
          <w:szCs w:val="20"/>
          <w:color w:val="auto"/>
        </w:rPr>
      </w:pPr>
      <w:r>
        <w:rPr>
          <w:rFonts w:ascii="Times New Roman" w:cs="Times New Roman" w:eastAsia="Times New Roman" w:hAnsi="Times New Roman"/>
          <w:sz w:val="18"/>
          <w:szCs w:val="18"/>
          <w:color w:val="auto"/>
        </w:rPr>
        <w:t>The following summary of certain provisions of our securities does not purport to be complete and is subject to our Certificate of Incorporation, our Bylaws and the provisions of applicable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3" w:lineRule="exact"/>
        <w:rPr>
          <w:sz w:val="20"/>
          <w:szCs w:val="20"/>
          <w:color w:val="auto"/>
        </w:rPr>
      </w:pPr>
    </w:p>
    <w:p>
      <w:pPr>
        <w:ind w:right="460" w:firstLine="324"/>
        <w:spacing w:after="0" w:line="376"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our Common Stock, par value $0.0001 per share, and 200,000,000 shares of our Preferred Stock, par value $0.0001 per share. As of June 30, 2022, we have 124,562,745 shares of our Common Stock outstanding.</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summary describes all material provisions of our capital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w:t>
      </w:r>
    </w:p>
    <w:p>
      <w:pPr>
        <w:spacing w:after="0" w:line="239" w:lineRule="exact"/>
        <w:rPr>
          <w:sz w:val="20"/>
          <w:szCs w:val="20"/>
          <w:color w:val="auto"/>
        </w:rPr>
      </w:pPr>
    </w:p>
    <w:p>
      <w:pPr>
        <w:ind w:right="80" w:firstLine="324"/>
        <w:spacing w:after="0" w:line="342"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Each share of our Common Stock is entitled to one vote per share on all matters (including the election of directors) submitted to a vote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22" w:lineRule="exact"/>
        <w:rPr>
          <w:sz w:val="20"/>
          <w:szCs w:val="20"/>
          <w:color w:val="auto"/>
        </w:rPr>
      </w:pPr>
    </w:p>
    <w:p>
      <w:pPr>
        <w:ind w:right="200" w:firstLine="324"/>
        <w:spacing w:after="0" w:line="380"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dividends, if any, as may be declared from time to time by our board of directors out of legally available funds.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Upon a liquidation event, holders of our Common Stock are entitled to share ratably in the net assets legally available for</w:t>
      </w:r>
    </w:p>
    <w:p>
      <w:pPr>
        <w:spacing w:after="0" w:line="94"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18" w:lineRule="exact"/>
        <w:rPr>
          <w:sz w:val="20"/>
          <w:szCs w:val="20"/>
          <w:color w:val="auto"/>
        </w:rPr>
      </w:pPr>
    </w:p>
    <w:p>
      <w:pPr>
        <w:ind w:right="40" w:firstLine="324"/>
        <w:spacing w:after="0" w:line="346"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Holders of our Common Stock have no preemptive, conversion, subscription or other rights, and there are no redemption or sinking fund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22" w:name="page23"/>
    <w:bookmarkEnd w:id="2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ind w:right="60" w:firstLine="324"/>
        <w:spacing w:after="0" w:line="342"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our company or other corporate action. As of June 30, 2022, there are no shares of preferred stock outstanding, and we have no present plan to issue any shares of preferred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 and Vacancies; Board of Directors</w:t>
      </w:r>
    </w:p>
    <w:p>
      <w:pPr>
        <w:spacing w:after="0" w:line="256" w:lineRule="exact"/>
        <w:rPr>
          <w:sz w:val="20"/>
          <w:szCs w:val="20"/>
          <w:color w:val="auto"/>
        </w:rPr>
      </w:pPr>
    </w:p>
    <w:p>
      <w:pPr>
        <w:ind w:right="40" w:firstLine="324"/>
        <w:spacing w:after="0" w:line="341"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nine (9)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125"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3" w:lineRule="exact"/>
        <w:rPr>
          <w:sz w:val="20"/>
          <w:szCs w:val="20"/>
          <w:color w:val="auto"/>
        </w:rPr>
      </w:pPr>
    </w:p>
    <w:p>
      <w:pPr>
        <w:jc w:val="both"/>
        <w:ind w:right="20" w:firstLine="324"/>
        <w:spacing w:after="0" w:line="352" w:lineRule="auto"/>
        <w:rPr>
          <w:sz w:val="20"/>
          <w:szCs w:val="20"/>
          <w:color w:val="auto"/>
        </w:rPr>
      </w:pPr>
      <w:r>
        <w:rPr>
          <w:rFonts w:ascii="Times New Roman" w:cs="Times New Roman" w:eastAsia="Times New Roman" w:hAnsi="Times New Roman"/>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15" w:lineRule="exact"/>
        <w:rPr>
          <w:sz w:val="20"/>
          <w:szCs w:val="20"/>
          <w:color w:val="auto"/>
        </w:rPr>
      </w:pPr>
    </w:p>
    <w:p>
      <w:pPr>
        <w:ind w:right="40" w:firstLine="324"/>
        <w:spacing w:after="0" w:line="352" w:lineRule="auto"/>
        <w:rPr>
          <w:sz w:val="20"/>
          <w:szCs w:val="20"/>
          <w:color w:val="auto"/>
        </w:rPr>
      </w:pPr>
      <w:r>
        <w:rPr>
          <w:rFonts w:ascii="Times New Roman" w:cs="Times New Roman" w:eastAsia="Times New Roman" w:hAnsi="Times New Roman"/>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80" w:lineRule="exact"/>
        <w:rPr>
          <w:sz w:val="20"/>
          <w:szCs w:val="20"/>
          <w:color w:val="auto"/>
        </w:rPr>
      </w:pPr>
    </w:p>
    <w:p>
      <w:pPr>
        <w:ind w:right="400"/>
        <w:spacing w:after="0" w:line="360" w:lineRule="auto"/>
        <w:rPr>
          <w:sz w:val="20"/>
          <w:szCs w:val="20"/>
          <w:color w:val="auto"/>
        </w:rPr>
      </w:pPr>
      <w:r>
        <w:rPr>
          <w:rFonts w:ascii="Times New Roman" w:cs="Times New Roman" w:eastAsia="Times New Roman" w:hAnsi="Times New Roman"/>
          <w:sz w:val="18"/>
          <w:szCs w:val="18"/>
          <w:color w:val="auto"/>
        </w:rPr>
        <w:t>amended, altered or repealed after the date of our Bylaws will invalidate any prior act of our directors or officers which would have been valid if such Bylaw had not been adopted, amended, altered or repealed.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43" w:lineRule="exact"/>
        <w:rPr>
          <w:sz w:val="20"/>
          <w:szCs w:val="20"/>
          <w:color w:val="auto"/>
        </w:rPr>
      </w:pPr>
    </w:p>
    <w:p>
      <w:pPr>
        <w:ind w:firstLine="324"/>
        <w:spacing w:after="0" w:line="339"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Our Bylaws</w:t>
      </w:r>
    </w:p>
    <w:p>
      <w:pPr>
        <w:spacing w:after="0" w:line="243" w:lineRule="exact"/>
        <w:rPr>
          <w:sz w:val="20"/>
          <w:szCs w:val="20"/>
          <w:color w:val="auto"/>
        </w:rPr>
      </w:pPr>
    </w:p>
    <w:p>
      <w:pPr>
        <w:ind w:right="180" w:firstLine="324"/>
        <w:spacing w:after="0" w:line="344"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43"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36"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1440" w:right="379" w:bottom="1440" w:gutter="0" w:footer="0" w:header="0"/>
        </w:sectPr>
      </w:pPr>
    </w:p>
    <w:bookmarkStart w:id="24" w:name="page25"/>
    <w:bookmarkEnd w:id="24"/>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 Action by Written Consent and Advance Notice Requirements for Stockholder Proposals</w:t>
      </w:r>
    </w:p>
    <w:p>
      <w:pPr>
        <w:spacing w:after="0" w:line="243" w:lineRule="exact"/>
        <w:rPr>
          <w:sz w:val="20"/>
          <w:szCs w:val="20"/>
          <w:color w:val="auto"/>
        </w:rPr>
      </w:pPr>
    </w:p>
    <w:p>
      <w:pPr>
        <w:ind w:right="220" w:firstLine="324"/>
        <w:spacing w:after="0" w:line="356" w:lineRule="auto"/>
        <w:rPr>
          <w:sz w:val="20"/>
          <w:szCs w:val="20"/>
          <w:color w:val="auto"/>
        </w:rPr>
      </w:pPr>
      <w:r>
        <w:rPr>
          <w:rFonts w:ascii="Times New Roman" w:cs="Times New Roman" w:eastAsia="Times New Roman" w:hAnsi="Times New Roman"/>
          <w:sz w:val="17"/>
          <w:szCs w:val="17"/>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w:t>
      </w:r>
    </w:p>
    <w:p>
      <w:pPr>
        <w:spacing w:after="0" w:line="1" w:lineRule="exact"/>
        <w:rPr>
          <w:sz w:val="20"/>
          <w:szCs w:val="20"/>
          <w:color w:val="auto"/>
        </w:rPr>
      </w:pPr>
    </w:p>
    <w:p>
      <w:pPr>
        <w:ind w:right="340" w:firstLine="8"/>
        <w:spacing w:after="0" w:line="376" w:lineRule="auto"/>
        <w:tabs>
          <w:tab w:leader="none" w:pos="3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than sixty (60) days before the date fixed for the meeting. Business transacted at any special meeting of stockholders will be limited to the purposes stated in the notice.</w:t>
      </w:r>
    </w:p>
    <w:p>
      <w:pPr>
        <w:spacing w:after="0" w:line="94" w:lineRule="exact"/>
        <w:rPr>
          <w:sz w:val="20"/>
          <w:szCs w:val="20"/>
          <w:color w:val="auto"/>
        </w:rPr>
      </w:pPr>
    </w:p>
    <w:p>
      <w:pPr>
        <w:ind w:firstLine="324"/>
        <w:spacing w:after="0" w:line="352" w:lineRule="auto"/>
        <w:rPr>
          <w:sz w:val="20"/>
          <w:szCs w:val="20"/>
          <w:color w:val="auto"/>
        </w:rPr>
      </w:pPr>
      <w:r>
        <w:rPr>
          <w:rFonts w:ascii="Times New Roman" w:cs="Times New Roman" w:eastAsia="Times New Roman" w:hAnsi="Times New Roman"/>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29" w:lineRule="exact"/>
        <w:rPr>
          <w:sz w:val="20"/>
          <w:szCs w:val="20"/>
          <w:color w:val="auto"/>
        </w:rPr>
      </w:pPr>
    </w:p>
    <w:p>
      <w:pPr>
        <w:ind w:right="20" w:firstLine="324"/>
        <w:spacing w:after="0" w:line="340" w:lineRule="auto"/>
        <w:rPr>
          <w:sz w:val="20"/>
          <w:szCs w:val="20"/>
          <w:color w:val="auto"/>
        </w:rPr>
      </w:pPr>
      <w:r>
        <w:rPr>
          <w:rFonts w:ascii="Times New Roman" w:cs="Times New Roman" w:eastAsia="Times New Roman" w:hAnsi="Times New Roman"/>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40" w:lineRule="exact"/>
        <w:rPr>
          <w:sz w:val="20"/>
          <w:szCs w:val="20"/>
          <w:color w:val="auto"/>
        </w:rPr>
      </w:pPr>
    </w:p>
    <w:p>
      <w:pPr>
        <w:ind w:right="160" w:firstLine="324"/>
        <w:spacing w:after="0" w:line="360" w:lineRule="auto"/>
        <w:rPr>
          <w:sz w:val="20"/>
          <w:szCs w:val="20"/>
          <w:color w:val="auto"/>
        </w:rPr>
      </w:pPr>
      <w:r>
        <w:rPr>
          <w:rFonts w:ascii="Times New Roman" w:cs="Times New Roman" w:eastAsia="Times New Roman" w:hAnsi="Times New Roman"/>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Certificate of Incorporation and Bylaws</w:t>
      </w:r>
    </w:p>
    <w:p>
      <w:pPr>
        <w:spacing w:after="0" w:line="243" w:lineRule="exact"/>
        <w:rPr>
          <w:sz w:val="20"/>
          <w:szCs w:val="20"/>
          <w:color w:val="auto"/>
        </w:rPr>
      </w:pPr>
    </w:p>
    <w:p>
      <w:pPr>
        <w:ind w:right="80" w:firstLine="324"/>
        <w:spacing w:after="0" w:line="352"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29"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36" w:lineRule="exact"/>
        <w:rPr>
          <w:sz w:val="20"/>
          <w:szCs w:val="20"/>
          <w:color w:val="auto"/>
        </w:rPr>
      </w:pPr>
    </w:p>
    <w:p>
      <w:pPr>
        <w:ind w:left="660" w:right="360" w:hanging="328"/>
        <w:spacing w:after="0" w:line="3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authorizing our board of directors to issues shares of our Preferred Stock, with any rights, preferences or privileges as they may designate;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dividing our board of directors into three classes, each of which stands for election once every three years;</w:t>
      </w:r>
    </w:p>
    <w:p>
      <w:pPr>
        <w:spacing w:after="0" w:line="238" w:lineRule="exact"/>
        <w:rPr>
          <w:rFonts w:ascii="Times New Roman" w:cs="Times New Roman" w:eastAsia="Times New Roman" w:hAnsi="Times New Roman"/>
          <w:sz w:val="18"/>
          <w:szCs w:val="18"/>
          <w:color w:val="auto"/>
        </w:rPr>
      </w:pPr>
    </w:p>
    <w:p>
      <w:pPr>
        <w:ind w:left="660" w:right="20" w:hanging="328"/>
        <w:spacing w:after="0" w:line="37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0" w:lineRule="exact"/>
        <w:rPr>
          <w:sz w:val="20"/>
          <w:szCs w:val="20"/>
          <w:color w:val="auto"/>
        </w:rPr>
      </w:pPr>
    </w:p>
    <w:p>
      <w:pPr>
        <w:ind w:left="660" w:right="480" w:hanging="328"/>
        <w:spacing w:after="0" w:line="3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prohibiting cumulative voting;</w:t>
      </w:r>
    </w:p>
    <w:p>
      <w:pPr>
        <w:spacing w:after="0" w:line="238" w:lineRule="exact"/>
        <w:rPr>
          <w:rFonts w:ascii="Times New Roman" w:cs="Times New Roman" w:eastAsia="Times New Roman" w:hAnsi="Times New Roman"/>
          <w:sz w:val="18"/>
          <w:szCs w:val="18"/>
          <w:color w:val="auto"/>
        </w:rPr>
      </w:pPr>
    </w:p>
    <w:p>
      <w:pPr>
        <w:ind w:left="660" w:right="20" w:hanging="328"/>
        <w:spacing w:after="0" w:line="37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that any action to be taken by our stockholders must be effected at a duly called annual or special meeting of stockholders and not be taken by written consent;</w:t>
      </w:r>
    </w:p>
    <w:p>
      <w:pPr>
        <w:spacing w:after="0" w:line="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calling special meetings of stockholders;</w:t>
      </w:r>
    </w:p>
    <w:p>
      <w:pPr>
        <w:spacing w:after="0" w:line="252" w:lineRule="exact"/>
        <w:rPr>
          <w:rFonts w:ascii="Times New Roman" w:cs="Times New Roman" w:eastAsia="Times New Roman" w:hAnsi="Times New Roman"/>
          <w:sz w:val="18"/>
          <w:szCs w:val="18"/>
          <w:color w:val="auto"/>
        </w:rPr>
      </w:pPr>
    </w:p>
    <w:p>
      <w:pPr>
        <w:ind w:left="660" w:right="160" w:hanging="328"/>
        <w:spacing w:after="0" w:line="3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regarding notice of stockholder nominations for the election of directors and of business to be brought by stockholders before any meeting of our stockholders;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regarding the approval requirements for such amendments;</w:t>
      </w:r>
    </w:p>
    <w:p>
      <w:pPr>
        <w:spacing w:after="0" w:line="239"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Anti-Takeover Statute</w:t>
      </w:r>
    </w:p>
    <w:p>
      <w:pPr>
        <w:spacing w:after="0" w:line="243" w:lineRule="exact"/>
        <w:rPr>
          <w:sz w:val="20"/>
          <w:szCs w:val="20"/>
          <w:color w:val="auto"/>
        </w:rPr>
      </w:pPr>
    </w:p>
    <w:p>
      <w:pPr>
        <w:ind w:right="20" w:firstLine="324"/>
        <w:spacing w:after="0" w:line="342" w:lineRule="auto"/>
        <w:rPr>
          <w:sz w:val="20"/>
          <w:szCs w:val="20"/>
          <w:color w:val="auto"/>
        </w:rPr>
      </w:pPr>
      <w:r>
        <w:rPr>
          <w:rFonts w:ascii="Times New Roman" w:cs="Times New Roman" w:eastAsia="Times New Roman" w:hAnsi="Times New Roman"/>
          <w:sz w:val="18"/>
          <w:szCs w:val="18"/>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43" w:lineRule="exact"/>
        <w:rPr>
          <w:sz w:val="20"/>
          <w:szCs w:val="20"/>
          <w:color w:val="auto"/>
        </w:rPr>
      </w:pPr>
    </w:p>
    <w:p>
      <w:pPr>
        <w:ind w:right="40" w:firstLine="324"/>
        <w:spacing w:after="0" w:line="367" w:lineRule="auto"/>
        <w:rPr>
          <w:sz w:val="20"/>
          <w:szCs w:val="20"/>
          <w:color w:val="auto"/>
        </w:rPr>
      </w:pPr>
      <w:r>
        <w:rPr>
          <w:rFonts w:ascii="Times New Roman" w:cs="Times New Roman" w:eastAsia="Times New Roman" w:hAnsi="Times New Roman"/>
          <w:sz w:val="17"/>
          <w:szCs w:val="17"/>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6" w:name="page27"/>
    <w:bookmarkEnd w:id="26"/>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reduce our available funds to satisfy successful third-party claims against it and may reduce the amount of money available to it.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256" w:lineRule="exact"/>
        <w:rPr>
          <w:sz w:val="20"/>
          <w:szCs w:val="20"/>
          <w:color w:val="auto"/>
        </w:rPr>
      </w:pPr>
    </w:p>
    <w:p>
      <w:pPr>
        <w:ind w:firstLine="324"/>
        <w:spacing w:after="0" w:line="340"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Company.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43"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Securities offered by this prospectus may be sold from time to time to purchasers:</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the selling securityholders;</w:t>
      </w:r>
    </w:p>
    <w:p>
      <w:pPr>
        <w:spacing w:after="0" w:line="238" w:lineRule="exact"/>
        <w:rPr>
          <w:rFonts w:ascii="Times New Roman" w:cs="Times New Roman" w:eastAsia="Times New Roman" w:hAnsi="Times New Roman"/>
          <w:sz w:val="18"/>
          <w:szCs w:val="18"/>
          <w:color w:val="auto"/>
        </w:rPr>
      </w:pPr>
    </w:p>
    <w:p>
      <w:pPr>
        <w:ind w:left="660" w:right="340" w:hanging="328"/>
        <w:spacing w:after="0" w:line="37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9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39" w:lineRule="exact"/>
        <w:rPr>
          <w:sz w:val="20"/>
          <w:szCs w:val="20"/>
          <w:color w:val="auto"/>
        </w:rPr>
      </w:pPr>
    </w:p>
    <w:p>
      <w:pPr>
        <w:ind w:right="20" w:firstLine="324"/>
        <w:spacing w:after="0" w:line="341" w:lineRule="auto"/>
        <w:rPr>
          <w:sz w:val="20"/>
          <w:szCs w:val="20"/>
          <w:color w:val="auto"/>
        </w:rPr>
      </w:pPr>
      <w:r>
        <w:rPr>
          <w:rFonts w:ascii="Times New Roman" w:cs="Times New Roman" w:eastAsia="Times New Roman" w:hAnsi="Times New Roman"/>
          <w:sz w:val="18"/>
          <w:szCs w:val="18"/>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42" w:lineRule="exact"/>
        <w:rPr>
          <w:sz w:val="20"/>
          <w:szCs w:val="20"/>
          <w:color w:val="auto"/>
        </w:rPr>
      </w:pPr>
    </w:p>
    <w:p>
      <w:pPr>
        <w:jc w:val="both"/>
        <w:ind w:right="40" w:firstLine="324"/>
        <w:spacing w:after="0" w:line="352" w:lineRule="auto"/>
        <w:rPr>
          <w:sz w:val="20"/>
          <w:szCs w:val="20"/>
          <w:color w:val="auto"/>
        </w:rPr>
      </w:pPr>
      <w:r>
        <w:rPr>
          <w:rFonts w:ascii="Times New Roman" w:cs="Times New Roman" w:eastAsia="Times New Roman" w:hAnsi="Times New Roman"/>
          <w:sz w:val="18"/>
          <w:szCs w:val="18"/>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11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prices at the time of sale;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related to such prevailing market prices;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sales may be effected in one or more transactions:</w:t>
      </w:r>
    </w:p>
    <w:p>
      <w:pPr>
        <w:spacing w:after="0" w:line="23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 including Nasdaq;</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such exchanges or services or in the over-the-counter market;</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35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52" w:lineRule="exact"/>
        <w:rPr>
          <w:rFonts w:ascii="Times New Roman" w:cs="Times New Roman" w:eastAsia="Times New Roman" w:hAnsi="Times New Roman"/>
          <w:sz w:val="18"/>
          <w:szCs w:val="18"/>
          <w:color w:val="auto"/>
        </w:rPr>
      </w:pPr>
    </w:p>
    <w:p>
      <w:pPr>
        <w:ind w:left="660" w:right="280" w:hanging="328"/>
        <w:spacing w:after="0" w:line="34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3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or other hedging transactions, whether through an options exchange or otherwise;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distributions to members, limited partners or stockholders of selling securityholders;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 foregoing.</w:t>
      </w:r>
    </w:p>
    <w:p>
      <w:pPr>
        <w:spacing w:after="0" w:line="239" w:lineRule="exact"/>
        <w:rPr>
          <w:sz w:val="20"/>
          <w:szCs w:val="20"/>
          <w:color w:val="auto"/>
        </w:rPr>
      </w:pPr>
    </w:p>
    <w:p>
      <w:pPr>
        <w:ind w:right="160" w:firstLine="324"/>
        <w:spacing w:after="0" w:line="376" w:lineRule="auto"/>
        <w:rPr>
          <w:sz w:val="20"/>
          <w:szCs w:val="20"/>
          <w:color w:val="auto"/>
        </w:rPr>
      </w:pPr>
      <w:r>
        <w:rPr>
          <w:rFonts w:ascii="Times New Roman" w:cs="Times New Roman" w:eastAsia="Times New Roman" w:hAnsi="Times New Roman"/>
          <w:sz w:val="18"/>
          <w:szCs w:val="18"/>
          <w:color w:val="auto"/>
        </w:rPr>
        <w:t>These transactions may include block transactions or crosses. Crosses are transactions in which the same broker acts as an agent on both sides of the trade.</w:t>
      </w:r>
    </w:p>
    <w:p>
      <w:pPr>
        <w:spacing w:after="0" w:line="94" w:lineRule="exact"/>
        <w:rPr>
          <w:sz w:val="20"/>
          <w:szCs w:val="20"/>
          <w:color w:val="auto"/>
        </w:rPr>
      </w:pPr>
    </w:p>
    <w:p>
      <w:pPr>
        <w:ind w:firstLine="324"/>
        <w:spacing w:after="0" w:line="341" w:lineRule="auto"/>
        <w:rPr>
          <w:sz w:val="20"/>
          <w:szCs w:val="20"/>
          <w:color w:val="auto"/>
        </w:rPr>
      </w:pPr>
      <w:r>
        <w:rPr>
          <w:rFonts w:ascii="Times New Roman" w:cs="Times New Roman" w:eastAsia="Times New Roman" w:hAnsi="Times New Roman"/>
          <w:sz w:val="18"/>
          <w:szCs w:val="18"/>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1440" w:right="419" w:bottom="1440" w:gutter="0" w:footer="0" w:header="0"/>
        </w:sectPr>
      </w:pPr>
    </w:p>
    <w:bookmarkStart w:id="29" w:name="page30"/>
    <w:bookmarkEnd w:id="29"/>
    <w:p>
      <w:pPr>
        <w:spacing w:after="0" w:line="180" w:lineRule="exact"/>
        <w:rPr>
          <w:sz w:val="20"/>
          <w:szCs w:val="20"/>
          <w:color w:val="auto"/>
        </w:rPr>
      </w:pPr>
    </w:p>
    <w:p>
      <w:pPr>
        <w:jc w:val="both"/>
        <w:ind w:right="320"/>
        <w:spacing w:after="0" w:line="352" w:lineRule="auto"/>
        <w:rPr>
          <w:sz w:val="20"/>
          <w:szCs w:val="20"/>
          <w:color w:val="auto"/>
        </w:rPr>
      </w:pPr>
      <w:r>
        <w:rPr>
          <w:rFonts w:ascii="Times New Roman" w:cs="Times New Roman" w:eastAsia="Times New Roman" w:hAnsi="Times New Roman"/>
          <w:sz w:val="18"/>
          <w:szCs w:val="18"/>
          <w:color w:val="auto"/>
        </w:rPr>
        <w:t>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5" w:lineRule="exact"/>
        <w:rPr>
          <w:sz w:val="20"/>
          <w:szCs w:val="20"/>
          <w:color w:val="auto"/>
        </w:rPr>
      </w:pPr>
    </w:p>
    <w:p>
      <w:pPr>
        <w:ind w:firstLine="324"/>
        <w:spacing w:after="0" w:line="340" w:lineRule="auto"/>
        <w:rPr>
          <w:sz w:val="20"/>
          <w:szCs w:val="20"/>
          <w:color w:val="auto"/>
        </w:rPr>
      </w:pPr>
      <w:r>
        <w:rPr>
          <w:rFonts w:ascii="Times New Roman" w:cs="Times New Roman" w:eastAsia="Times New Roman" w:hAnsi="Times New Roman"/>
          <w:sz w:val="18"/>
          <w:szCs w:val="18"/>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8"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 periods of time for certain reasons, including if the prospectus is required to be supplemented or amended to include additional material information.</w:t>
      </w:r>
    </w:p>
    <w:p>
      <w:pPr>
        <w:spacing w:after="0" w:line="123" w:lineRule="exact"/>
        <w:rPr>
          <w:sz w:val="20"/>
          <w:szCs w:val="20"/>
          <w:color w:val="auto"/>
        </w:rPr>
      </w:pPr>
    </w:p>
    <w:p>
      <w:pPr>
        <w:ind w:right="60" w:firstLine="324"/>
        <w:spacing w:after="0" w:line="341" w:lineRule="auto"/>
        <w:rPr>
          <w:sz w:val="20"/>
          <w:szCs w:val="20"/>
          <w:color w:val="auto"/>
        </w:rPr>
      </w:pPr>
      <w:r>
        <w:rPr>
          <w:rFonts w:ascii="Times New Roman" w:cs="Times New Roman" w:eastAsia="Times New Roman" w:hAnsi="Times New Roman"/>
          <w:sz w:val="18"/>
          <w:szCs w:val="18"/>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139" w:lineRule="exact"/>
        <w:rPr>
          <w:sz w:val="20"/>
          <w:szCs w:val="20"/>
          <w:color w:val="auto"/>
        </w:rPr>
      </w:pPr>
    </w:p>
    <w:p>
      <w:pPr>
        <w:ind w:right="20" w:firstLine="324"/>
        <w:spacing w:after="0" w:line="344" w:lineRule="auto"/>
        <w:rPr>
          <w:sz w:val="20"/>
          <w:szCs w:val="20"/>
          <w:color w:val="auto"/>
        </w:rPr>
      </w:pPr>
      <w:r>
        <w:rPr>
          <w:rFonts w:ascii="Times New Roman" w:cs="Times New Roman" w:eastAsia="Times New Roman" w:hAnsi="Times New Roman"/>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80" w:lineRule="exact"/>
        <w:rPr>
          <w:sz w:val="20"/>
          <w:szCs w:val="20"/>
          <w:color w:val="auto"/>
        </w:rPr>
      </w:pPr>
    </w:p>
    <w:p>
      <w:pPr>
        <w:ind w:right="120" w:firstLine="324"/>
        <w:spacing w:after="0" w:line="341"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39" w:lineRule="exact"/>
        <w:rPr>
          <w:sz w:val="20"/>
          <w:szCs w:val="20"/>
          <w:color w:val="auto"/>
        </w:rPr>
      </w:pPr>
    </w:p>
    <w:p>
      <w:pPr>
        <w:ind w:firstLine="324"/>
        <w:spacing w:after="0" w:line="344"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6" w:lineRule="exact"/>
        <w:rPr>
          <w:sz w:val="20"/>
          <w:szCs w:val="20"/>
          <w:color w:val="auto"/>
        </w:rPr>
      </w:pPr>
    </w:p>
    <w:p>
      <w:pPr>
        <w:ind w:right="120" w:firstLine="324"/>
        <w:spacing w:after="0" w:line="341" w:lineRule="auto"/>
        <w:rPr>
          <w:sz w:val="20"/>
          <w:szCs w:val="20"/>
          <w:color w:val="auto"/>
        </w:rPr>
      </w:pPr>
      <w:r>
        <w:rPr>
          <w:rFonts w:ascii="Times New Roman" w:cs="Times New Roman" w:eastAsia="Times New Roman" w:hAnsi="Times New Roman"/>
          <w:sz w:val="18"/>
          <w:szCs w:val="18"/>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expenses of registration, see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43" w:lineRule="exact"/>
        <w:rPr>
          <w:sz w:val="20"/>
          <w:szCs w:val="20"/>
          <w:color w:val="auto"/>
        </w:rPr>
      </w:pPr>
    </w:p>
    <w:p>
      <w:pPr>
        <w:jc w:val="both"/>
        <w:ind w:firstLine="324"/>
        <w:spacing w:after="0" w:line="352" w:lineRule="auto"/>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0.3% of the outstanding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1440" w:right="499" w:bottom="1440" w:gutter="0" w:footer="0" w:header="0"/>
        </w:sectPr>
      </w:pPr>
    </w:p>
    <w:bookmarkStart w:id="32" w:name="page33"/>
    <w:bookmarkEnd w:id="32"/>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43" w:lineRule="exact"/>
        <w:rPr>
          <w:sz w:val="20"/>
          <w:szCs w:val="20"/>
          <w:color w:val="auto"/>
        </w:rPr>
      </w:pPr>
    </w:p>
    <w:p>
      <w:pPr>
        <w:jc w:val="both"/>
        <w:ind w:firstLine="324"/>
        <w:spacing w:after="0" w:line="352"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1440" w:right="439" w:bottom="1440" w:gutter="0" w:footer="0" w:header="0"/>
        </w:sectPr>
      </w:pPr>
    </w:p>
    <w:bookmarkStart w:id="33" w:name="page34"/>
    <w:bookmarkEnd w:id="33"/>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89" w:lineRule="exact"/>
        <w:rPr>
          <w:sz w:val="20"/>
          <w:szCs w:val="20"/>
          <w:color w:val="auto"/>
        </w:rPr>
      </w:pPr>
    </w:p>
    <w:p>
      <w:pPr>
        <w:ind w:right="280" w:firstLine="441"/>
        <w:spacing w:after="0" w:line="279" w:lineRule="auto"/>
        <w:rPr>
          <w:sz w:val="20"/>
          <w:szCs w:val="20"/>
          <w:color w:val="auto"/>
        </w:rPr>
      </w:pPr>
      <w:r>
        <w:rPr>
          <w:rFonts w:ascii="Times New Roman" w:cs="Times New Roman" w:eastAsia="Times New Roman" w:hAnsi="Times New Roman"/>
          <w:sz w:val="17"/>
          <w:szCs w:val="17"/>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website address is www.nautilus.bio. The information on our web site, however, is not, and should not be deemed to be, a part of this prospectus.</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through the SEC’s website, as provided above.</w:t>
      </w:r>
    </w:p>
    <w:p>
      <w:pPr>
        <w:spacing w:after="0" w:line="16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ind w:firstLine="324"/>
        <w:spacing w:after="0" w:line="340"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40" w:lineRule="exact"/>
        <w:rPr>
          <w:sz w:val="20"/>
          <w:szCs w:val="20"/>
          <w:color w:val="auto"/>
        </w:rPr>
      </w:pPr>
    </w:p>
    <w:p>
      <w:pPr>
        <w:ind w:right="60" w:firstLine="324"/>
        <w:spacing w:after="0" w:line="360"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95" w:lineRule="exact"/>
        <w:rPr>
          <w:sz w:val="20"/>
          <w:szCs w:val="20"/>
          <w:color w:val="auto"/>
        </w:rPr>
      </w:pPr>
    </w:p>
    <w:p>
      <w:pPr>
        <w:ind w:left="1460" w:hanging="318"/>
        <w:spacing w:after="0" w:line="286"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filed with the SEC on February 24, 2022 (our “Annual Report”), including the information specifically incorporated by reference into our Annual Report from our Definitive Proxy Statement on Schedule 14A, filed with the SEC on April 28, 2022;</w:t>
      </w:r>
    </w:p>
    <w:p>
      <w:pPr>
        <w:spacing w:after="0" w:line="2" w:lineRule="exact"/>
        <w:rPr>
          <w:rFonts w:ascii="Times New Roman" w:cs="Times New Roman" w:eastAsia="Times New Roman" w:hAnsi="Times New Roman"/>
          <w:sz w:val="18"/>
          <w:szCs w:val="18"/>
          <w:color w:val="auto"/>
        </w:rPr>
      </w:pPr>
    </w:p>
    <w:p>
      <w:pPr>
        <w:ind w:left="1460" w:right="360" w:hanging="318"/>
        <w:spacing w:after="0" w:line="289"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w:t>
      </w:r>
      <w:hyperlink r:id="rId13">
        <w:r>
          <w:rPr>
            <w:rFonts w:ascii="Times New Roman" w:cs="Times New Roman" w:eastAsia="Times New Roman" w:hAnsi="Times New Roman"/>
            <w:sz w:val="18"/>
            <w:szCs w:val="18"/>
            <w:u w:val="single" w:color="auto"/>
            <w:color w:val="0000FF"/>
          </w:rPr>
          <w:t>March 31, 2022</w:t>
        </w:r>
      </w:hyperlink>
      <w:r>
        <w:rPr>
          <w:rFonts w:ascii="Times New Roman" w:cs="Times New Roman" w:eastAsia="Times New Roman" w:hAnsi="Times New Roman"/>
          <w:sz w:val="18"/>
          <w:szCs w:val="18"/>
          <w:color w:val="auto"/>
        </w:rPr>
        <w:t xml:space="preserve">, filed with the SEC on </w:t>
      </w:r>
      <w:hyperlink r:id="rId13">
        <w:r>
          <w:rPr>
            <w:rFonts w:ascii="Times New Roman" w:cs="Times New Roman" w:eastAsia="Times New Roman" w:hAnsi="Times New Roman"/>
            <w:sz w:val="18"/>
            <w:szCs w:val="18"/>
            <w:u w:val="single" w:color="auto"/>
            <w:color w:val="0000FF"/>
          </w:rPr>
          <w:t>May 3,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for the quarter ended </w:t>
      </w:r>
      <w:hyperlink r:id="rId14">
        <w:r>
          <w:rPr>
            <w:rFonts w:ascii="Times New Roman" w:cs="Times New Roman" w:eastAsia="Times New Roman" w:hAnsi="Times New Roman"/>
            <w:sz w:val="18"/>
            <w:szCs w:val="18"/>
            <w:u w:val="single" w:color="auto"/>
            <w:color w:val="0000FF"/>
          </w:rPr>
          <w:t>June 30, 2022</w:t>
        </w:r>
      </w:hyperlink>
      <w:r>
        <w:rPr>
          <w:rFonts w:ascii="Times New Roman" w:cs="Times New Roman" w:eastAsia="Times New Roman" w:hAnsi="Times New Roman"/>
          <w:sz w:val="18"/>
          <w:szCs w:val="18"/>
          <w:color w:val="auto"/>
        </w:rPr>
        <w:t>, filed with the SEC on August 2, 2022;</w:t>
      </w:r>
    </w:p>
    <w:p>
      <w:pPr>
        <w:spacing w:after="0" w:line="1" w:lineRule="exact"/>
        <w:rPr>
          <w:rFonts w:ascii="Times New Roman" w:cs="Times New Roman" w:eastAsia="Times New Roman" w:hAnsi="Times New Roman"/>
          <w:sz w:val="18"/>
          <w:szCs w:val="18"/>
          <w:color w:val="auto"/>
        </w:rPr>
      </w:pPr>
    </w:p>
    <w:p>
      <w:pPr>
        <w:ind w:left="1460" w:right="160" w:hanging="318"/>
        <w:spacing w:after="0" w:line="289" w:lineRule="auto"/>
        <w:tabs>
          <w:tab w:leader="none" w:pos="14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5">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
        <w:r>
          <w:rPr>
            <w:rFonts w:ascii="Times New Roman" w:cs="Times New Roman" w:eastAsia="Times New Roman" w:hAnsi="Times New Roman"/>
            <w:sz w:val="18"/>
            <w:szCs w:val="18"/>
            <w:u w:val="single" w:color="auto"/>
            <w:color w:val="0000FF"/>
          </w:rPr>
          <w:t>June 16,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(excluding any information furnished but not filed in such reports under Item 2.02, Item 7.01, or Item 9.01); and</w:t>
      </w:r>
    </w:p>
    <w:p>
      <w:pPr>
        <w:spacing w:after="0" w:line="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securities set forth in the section titled “Form 10 Information—Description of Company’s Securities” in our Current</w:t>
      </w:r>
    </w:p>
    <w:p>
      <w:pPr>
        <w:spacing w:after="0" w:line="49" w:lineRule="exact"/>
        <w:rPr>
          <w:rFonts w:ascii="Times New Roman" w:cs="Times New Roman" w:eastAsia="Times New Roman" w:hAnsi="Times New Roman"/>
          <w:sz w:val="18"/>
          <w:szCs w:val="18"/>
          <w:color w:val="auto"/>
        </w:rPr>
      </w:pPr>
    </w:p>
    <w:p>
      <w:pPr>
        <w:ind w:left="14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Report on </w:t>
      </w:r>
      <w:hyperlink r:id="rId17">
        <w:r>
          <w:rPr>
            <w:rFonts w:ascii="Times New Roman" w:cs="Times New Roman" w:eastAsia="Times New Roman" w:hAnsi="Times New Roman"/>
            <w:sz w:val="18"/>
            <w:szCs w:val="18"/>
            <w:u w:val="single" w:color="auto"/>
            <w:color w:val="0000FF"/>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10, 2021, and any amendment or report filed with the SEC for the purpose of updating such description.</w:t>
      </w:r>
    </w:p>
    <w:p>
      <w:pPr>
        <w:spacing w:after="0" w:line="230" w:lineRule="exact"/>
        <w:rPr>
          <w:rFonts w:ascii="Times New Roman" w:cs="Times New Roman" w:eastAsia="Times New Roman" w:hAnsi="Times New Roman"/>
          <w:sz w:val="18"/>
          <w:szCs w:val="18"/>
          <w:color w:val="auto"/>
        </w:rPr>
      </w:pPr>
    </w:p>
    <w:p>
      <w:pPr>
        <w:ind w:right="180" w:firstLine="324"/>
        <w:spacing w:after="0" w:line="344"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440" w:right="379" w:bottom="1440" w:gutter="0" w:footer="0" w:header="0"/>
        </w:sectPr>
      </w:pPr>
    </w:p>
    <w:bookmarkStart w:id="34" w:name="page35"/>
    <w:bookmarkEnd w:id="34"/>
    <w:p>
      <w:pPr>
        <w:spacing w:after="0" w:line="180" w:lineRule="exact"/>
        <w:rPr>
          <w:sz w:val="20"/>
          <w:szCs w:val="20"/>
          <w:color w:val="auto"/>
        </w:rPr>
      </w:pPr>
    </w:p>
    <w:p>
      <w:pPr>
        <w:ind w:right="100" w:firstLine="324"/>
        <w:spacing w:after="0" w:line="360"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17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Nautilus Biotechnology, Inc.</w:t>
      </w:r>
    </w:p>
    <w:p>
      <w:pPr>
        <w:spacing w:after="0" w:line="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2701 Eastlake Avenue East</w:t>
      </w:r>
    </w:p>
    <w:p>
      <w:pPr>
        <w:spacing w:after="0" w:line="9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Seattle, Washington 98102</w:t>
      </w:r>
    </w:p>
    <w:p>
      <w:pPr>
        <w:spacing w:after="0" w:line="7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(206) 333-2001</w:t>
      </w:r>
    </w:p>
    <w:p>
      <w:pPr>
        <w:spacing w:after="0" w:line="252"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0740"/>
      </w:cols>
      <w:pgMar w:left="320" w:top="144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22"/>
    </w:lvl>
  </w:abstractNum>
  <w:abstractNum w:abstractNumId="14">
    <w:nsid w:val="431BD7B7"/>
    <w:multiLevelType w:val="hybridMultilevel"/>
    <w:lvl w:ilvl="0">
      <w:lvlJc w:val="left"/>
      <w:lvlText w:val="(%1)"/>
      <w:numFmt w:val="decimal"/>
      <w:start w:val="10"/>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s://www.sec.gov/ix?doc=/Archives/edgar/data/0001808805/000180880522000010/naut-20211231.htm" TargetMode="External"/><Relationship Id="rId13" Type="http://schemas.openxmlformats.org/officeDocument/2006/relationships/hyperlink" Target="https://www.sec.gov/ix?doc=/Archives/edgar/data/0001808805/000180880522000046/naut-20220331.htm" TargetMode="External"/><Relationship Id="rId14" Type="http://schemas.openxmlformats.org/officeDocument/2006/relationships/hyperlink" Target="https://www.sec.gov/ix?doc=/Archives/edgar/data/0001808805/000180880522000081/naut-20220630.htm" TargetMode="External"/><Relationship Id="rId15" Type="http://schemas.openxmlformats.org/officeDocument/2006/relationships/hyperlink" Target="https://www.sec.gov/ix?doc=/Archives/edgar/data/0001808805/000180880522000030/naut-20220330.htm" TargetMode="External"/><Relationship Id="rId16" Type="http://schemas.openxmlformats.org/officeDocument/2006/relationships/hyperlink" Target="https://www.sec.gov/ix?doc=/Archives/edgar/data/0001808805/000180880522000059/naut-20220614.htm" TargetMode="External"/><Relationship Id="rId17" Type="http://schemas.openxmlformats.org/officeDocument/2006/relationships/hyperlink" Target="https://www.sec.gov/Archives/edgar/data/0001808805/000162828021011892/nautilus-form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2022-08-09T17:30:48Z</dcterms:created>
  <dcterms:modified xsi:type="dcterms:W3CDTF">2022-08-09T17:30:48Z</dcterms:modified>
</cp:coreProperties>
</file>