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color w:val="000000"/>
        </w:rPr>
      </w:pP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bidi w:val="0"/>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20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0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_________ to _________ </w:t>
      </w:r>
    </w:p>
    <w:p>
      <w:pPr>
        <w:pStyle w:val="TextBody"/>
        <w:bidi w:val="0"/>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001-39434</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p>
      <w:pPr>
        <w:pStyle w:val="TextBody"/>
        <w:bidi w:val="0"/>
        <w:spacing w:lineRule="auto" w:line="288" w:before="0" w:after="10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p>
      <w:pPr>
        <w:pStyle w:val="TextBody"/>
        <w:bidi w:val="0"/>
        <w:spacing w:before="0" w:after="0"/>
        <w:jc w:val="center"/>
        <w:rPr/>
      </w:pPr>
      <w:r>
        <w:rPr/>
      </w:r>
    </w:p>
    <w:tbl>
      <w:tblPr>
        <w:tblW w:w="8834" w:type="dxa"/>
        <w:jc w:val="center"/>
        <w:tblInd w:w="0" w:type="dxa"/>
        <w:tblLayout w:type="fixed"/>
        <w:tblCellMar>
          <w:top w:w="28" w:type="dxa"/>
          <w:left w:w="28" w:type="dxa"/>
          <w:bottom w:w="28" w:type="dxa"/>
          <w:right w:w="28" w:type="dxa"/>
        </w:tblCellMar>
      </w:tblPr>
      <w:tblGrid>
        <w:gridCol w:w="1314"/>
        <w:gridCol w:w="1155"/>
        <w:gridCol w:w="1161"/>
        <w:gridCol w:w="1252"/>
        <w:gridCol w:w="1252"/>
        <w:gridCol w:w="1261"/>
        <w:gridCol w:w="419"/>
        <w:gridCol w:w="419"/>
        <w:gridCol w:w="60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98-1541723</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2701 Eastlake Avenue East Seattle, Washington </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180"/>
              <w:jc w:val="center"/>
              <w:rPr/>
            </w:pPr>
            <w:r>
              <w:rPr/>
            </w:r>
          </w:p>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98102</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(206) 333-2001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58" w:type="dxa"/>
        <w:jc w:val="center"/>
        <w:tblInd w:w="0" w:type="dxa"/>
        <w:tblLayout w:type="fixed"/>
        <w:tblCellMar>
          <w:top w:w="28" w:type="dxa"/>
          <w:left w:w="28" w:type="dxa"/>
          <w:bottom w:w="28" w:type="dxa"/>
          <w:right w:w="28" w:type="dxa"/>
        </w:tblCellMar>
      </w:tblPr>
      <w:tblGrid>
        <w:gridCol w:w="1171"/>
        <w:gridCol w:w="1028"/>
        <w:gridCol w:w="1040"/>
        <w:gridCol w:w="564"/>
        <w:gridCol w:w="564"/>
        <w:gridCol w:w="566"/>
        <w:gridCol w:w="1118"/>
        <w:gridCol w:w="1118"/>
        <w:gridCol w:w="1589"/>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NAUT</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9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25, 2024, the registrant had 125,265,015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12"/>
        <w:gridCol w:w="450"/>
        <w:gridCol w:w="450"/>
        <w:gridCol w:w="2819"/>
        <w:gridCol w:w="2716"/>
        <w:gridCol w:w="2713"/>
        <w:gridCol w:w="158"/>
        <w:gridCol w:w="158"/>
        <w:gridCol w:w="229"/>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3">
              <w:r>
                <w:rPr>
                  <w:rStyle w:val="InternetLink"/>
                  <w:rFonts w:ascii="Times New Roman;sans-serif" w:hAnsi="Times New Roman;sans-serif"/>
                  <w:b w:val="false"/>
                  <w:color w:val="0000FF"/>
                  <w:sz w:val="20"/>
                  <w:u w:val="single"/>
                </w:rPr>
                <w:t>PART I. FINANCIAL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3">
              <w:r>
                <w:rPr>
                  <w:rStyle w:val="InternetLink"/>
                  <w:rFonts w:ascii="Times New Roman;sans-serif" w:hAnsi="Times New Roman;sans-serif"/>
                  <w:b w:val="false"/>
                  <w:color w:val="0000FF"/>
                  <w:sz w:val="20"/>
                  <w:u w:val="single"/>
                </w:rPr>
                <w:t>iii</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6">
              <w:r>
                <w:rPr>
                  <w:rStyle w:val="InternetLink"/>
                  <w:rFonts w:ascii="Times New Roman;sans-serif" w:hAnsi="Times New Roman;sans-serif"/>
                  <w:b w:val="false"/>
                  <w:color w:val="0000FF"/>
                  <w:sz w:val="20"/>
                  <w:u w:val="single"/>
                </w:rPr>
                <w:t>Financial Statements</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6">
              <w:r>
                <w:rPr>
                  <w:rStyle w:val="InternetLink"/>
                  <w:rFonts w:ascii="Times New Roman;sans-serif" w:hAnsi="Times New Roman;sans-serif"/>
                  <w:b w:val="false"/>
                  <w:color w:val="0000FF"/>
                  <w:sz w:val="20"/>
                  <w:u w:val="single"/>
                </w:rPr>
                <w:t>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6">
              <w:r>
                <w:rPr>
                  <w:rStyle w:val="InternetLink"/>
                  <w:rFonts w:ascii="Times New Roman;sans-serif" w:hAnsi="Times New Roman;sans-serif"/>
                  <w:b w:val="false"/>
                  <w:color w:val="0000FF"/>
                  <w:sz w:val="20"/>
                  <w:u w:val="single"/>
                </w:rPr>
                <w:t>iii</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22">
              <w:r>
                <w:rPr>
                  <w:rStyle w:val="InternetLink"/>
                  <w:rFonts w:ascii="Times New Roman;sans-serif" w:hAnsi="Times New Roman;sans-serif"/>
                  <w:b w:val="false"/>
                  <w:color w:val="000080"/>
                  <w:sz w:val="20"/>
                  <w:u w:val="single"/>
                </w:rPr>
                <w:t xml:space="preserve">Condensed Consolidated Balance Sheets as of </w:t>
              </w:r>
            </w:hyperlink>
            <w:hyperlink w:anchor="i8924a6ba56714a97b49b2a617d25b717_22">
              <w:r>
                <w:rPr>
                  <w:rStyle w:val="InternetLink"/>
                  <w:rFonts w:ascii="Times New Roman;sans-serif" w:hAnsi="Times New Roman;sans-serif"/>
                  <w:b w:val="false"/>
                  <w:color w:val="000080"/>
                  <w:sz w:val="20"/>
                  <w:u w:val="single"/>
                </w:rPr>
                <w:t>March 31, 2024</w:t>
              </w:r>
            </w:hyperlink>
            <w:hyperlink w:anchor="i8924a6ba56714a97b49b2a617d25b717_22">
              <w:r>
                <w:rPr>
                  <w:rStyle w:val="InternetLink"/>
                  <w:rFonts w:ascii="Times New Roman;sans-serif" w:hAnsi="Times New Roman;sans-serif"/>
                  <w:b w:val="false"/>
                  <w:color w:val="000080"/>
                  <w:sz w:val="20"/>
                  <w:u w:val="single"/>
                </w:rPr>
                <w:t xml:space="preserve"> and December 31, 202</w:t>
              </w:r>
            </w:hyperlink>
            <w:hyperlink w:anchor="i8924a6ba56714a97b49b2a617d25b717_22">
              <w:r>
                <w:rPr>
                  <w:rStyle w:val="InternetLink"/>
                  <w:rFonts w:ascii="Times New Roman;sans-serif" w:hAnsi="Times New Roman;sans-serif"/>
                  <w:b w:val="false"/>
                  <w:color w:val="000080"/>
                  <w:sz w:val="20"/>
                  <w:u w:val="single"/>
                </w:rPr>
                <w:t>3</w:t>
              </w:r>
            </w:hyperlink>
            <w:hyperlink w:anchor="i8924a6ba56714a97b49b2a617d25b717_22">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22">
              <w:r>
                <w:rPr>
                  <w:rStyle w:val="InternetLink"/>
                  <w:rFonts w:ascii="Times New Roman;sans-serif" w:hAnsi="Times New Roman;sans-serif"/>
                  <w:b w:val="false"/>
                  <w:color w:val="0000FF"/>
                  <w:sz w:val="20"/>
                  <w:u w:val="single"/>
                </w:rPr>
                <w:t>1</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28">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8924a6ba56714a97b49b2a617d25b717_28">
              <w:r>
                <w:rPr>
                  <w:rStyle w:val="InternetLink"/>
                  <w:rFonts w:ascii="Times New Roman;sans-serif" w:hAnsi="Times New Roman;sans-serif"/>
                  <w:b w:val="false"/>
                  <w:color w:val="000080"/>
                  <w:sz w:val="20"/>
                  <w:u w:val="single"/>
                </w:rPr>
                <w:t xml:space="preserve">Months Ended </w:t>
              </w:r>
            </w:hyperlink>
            <w:hyperlink w:anchor="i8924a6ba56714a97b49b2a617d25b717_28">
              <w:r>
                <w:rPr>
                  <w:rStyle w:val="InternetLink"/>
                  <w:rFonts w:ascii="Times New Roman;sans-serif" w:hAnsi="Times New Roman;sans-serif"/>
                  <w:b w:val="false"/>
                  <w:color w:val="000080"/>
                  <w:sz w:val="20"/>
                  <w:u w:val="single"/>
                </w:rPr>
                <w:t>March 31</w:t>
              </w:r>
            </w:hyperlink>
            <w:hyperlink w:anchor="i8924a6ba56714a97b49b2a617d25b717_28">
              <w:r>
                <w:rPr>
                  <w:rStyle w:val="InternetLink"/>
                  <w:rFonts w:ascii="Times New Roman;sans-serif" w:hAnsi="Times New Roman;sans-serif"/>
                  <w:b w:val="false"/>
                  <w:color w:val="000080"/>
                  <w:sz w:val="20"/>
                  <w:u w:val="single"/>
                </w:rPr>
                <w:t>, 202</w:t>
              </w:r>
            </w:hyperlink>
            <w:hyperlink w:anchor="i8924a6ba56714a97b49b2a617d25b717_28">
              <w:r>
                <w:rPr>
                  <w:rStyle w:val="InternetLink"/>
                  <w:rFonts w:ascii="Times New Roman;sans-serif" w:hAnsi="Times New Roman;sans-serif"/>
                  <w:b w:val="false"/>
                  <w:color w:val="000080"/>
                  <w:sz w:val="20"/>
                  <w:u w:val="single"/>
                </w:rPr>
                <w:t>4</w:t>
              </w:r>
            </w:hyperlink>
            <w:hyperlink w:anchor="i8924a6ba56714a97b49b2a617d25b717_28">
              <w:r>
                <w:rPr>
                  <w:rStyle w:val="InternetLink"/>
                  <w:rFonts w:ascii="Times New Roman;sans-serif" w:hAnsi="Times New Roman;sans-serif"/>
                  <w:b w:val="false"/>
                  <w:color w:val="000080"/>
                  <w:sz w:val="20"/>
                  <w:u w:val="single"/>
                </w:rPr>
                <w:t xml:space="preserve"> and 202</w:t>
              </w:r>
            </w:hyperlink>
            <w:hyperlink w:anchor="i8924a6ba56714a97b49b2a617d25b717_28">
              <w:r>
                <w:rPr>
                  <w:rStyle w:val="InternetLink"/>
                  <w:rFonts w:ascii="Times New Roman;sans-serif" w:hAnsi="Times New Roman;sans-serif"/>
                  <w:b w:val="false"/>
                  <w:color w:val="000080"/>
                  <w:sz w:val="20"/>
                  <w:u w:val="single"/>
                </w:rPr>
                <w:t>3</w:t>
              </w:r>
            </w:hyperlink>
            <w:hyperlink w:anchor="i8924a6ba56714a97b49b2a617d25b717_28">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28">
              <w:r>
                <w:rPr>
                  <w:rStyle w:val="InternetLink"/>
                  <w:rFonts w:ascii="Times New Roman;sans-serif" w:hAnsi="Times New Roman;sans-serif"/>
                  <w:b w:val="false"/>
                  <w:color w:val="0000FF"/>
                  <w:sz w:val="20"/>
                  <w:u w:val="single"/>
                </w:rPr>
                <w:t>2</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31">
              <w:r>
                <w:rPr>
                  <w:rStyle w:val="InternetLink"/>
                  <w:rFonts w:ascii="Times New Roman;sans-serif" w:hAnsi="Times New Roman;sans-serif"/>
                  <w:b w:val="false"/>
                  <w:color w:val="000080"/>
                  <w:sz w:val="20"/>
                  <w:u w:val="single"/>
                </w:rPr>
                <w:t xml:space="preserve">Condensed Consolidated Statements of Comprehensive Loss for the Three </w:t>
              </w:r>
            </w:hyperlink>
            <w:hyperlink w:anchor="i8924a6ba56714a97b49b2a617d25b717_31">
              <w:r>
                <w:rPr>
                  <w:rStyle w:val="InternetLink"/>
                  <w:rFonts w:ascii="Times New Roman;sans-serif" w:hAnsi="Times New Roman;sans-serif"/>
                  <w:b w:val="false"/>
                  <w:color w:val="000080"/>
                  <w:sz w:val="20"/>
                  <w:u w:val="single"/>
                </w:rPr>
                <w:t xml:space="preserve">Months Ended </w:t>
              </w:r>
            </w:hyperlink>
            <w:hyperlink w:anchor="i8924a6ba56714a97b49b2a617d25b717_31">
              <w:r>
                <w:rPr>
                  <w:rStyle w:val="InternetLink"/>
                  <w:rFonts w:ascii="Times New Roman;sans-serif" w:hAnsi="Times New Roman;sans-serif"/>
                  <w:b w:val="false"/>
                  <w:color w:val="000080"/>
                  <w:sz w:val="20"/>
                  <w:u w:val="single"/>
                </w:rPr>
                <w:t>March 31</w:t>
              </w:r>
            </w:hyperlink>
            <w:hyperlink w:anchor="i8924a6ba56714a97b49b2a617d25b717_31">
              <w:r>
                <w:rPr>
                  <w:rStyle w:val="InternetLink"/>
                  <w:rFonts w:ascii="Times New Roman;sans-serif" w:hAnsi="Times New Roman;sans-serif"/>
                  <w:b w:val="false"/>
                  <w:color w:val="000080"/>
                  <w:sz w:val="20"/>
                  <w:u w:val="single"/>
                </w:rPr>
                <w:t>, 202</w:t>
              </w:r>
            </w:hyperlink>
            <w:hyperlink w:anchor="i8924a6ba56714a97b49b2a617d25b717_31">
              <w:r>
                <w:rPr>
                  <w:rStyle w:val="InternetLink"/>
                  <w:rFonts w:ascii="Times New Roman;sans-serif" w:hAnsi="Times New Roman;sans-serif"/>
                  <w:b w:val="false"/>
                  <w:color w:val="000080"/>
                  <w:sz w:val="20"/>
                  <w:u w:val="single"/>
                </w:rPr>
                <w:t>4</w:t>
              </w:r>
            </w:hyperlink>
            <w:hyperlink w:anchor="i8924a6ba56714a97b49b2a617d25b717_31">
              <w:r>
                <w:rPr>
                  <w:rStyle w:val="InternetLink"/>
                  <w:rFonts w:ascii="Times New Roman;sans-serif" w:hAnsi="Times New Roman;sans-serif"/>
                  <w:b w:val="false"/>
                  <w:color w:val="000080"/>
                  <w:sz w:val="20"/>
                  <w:u w:val="single"/>
                </w:rPr>
                <w:t xml:space="preserve"> and 202</w:t>
              </w:r>
            </w:hyperlink>
            <w:hyperlink w:anchor="i8924a6ba56714a97b49b2a617d25b717_31">
              <w:r>
                <w:rPr>
                  <w:rStyle w:val="InternetLink"/>
                  <w:rFonts w:ascii="Times New Roman;sans-serif" w:hAnsi="Times New Roman;sans-serif"/>
                  <w:b w:val="false"/>
                  <w:color w:val="000080"/>
                  <w:sz w:val="20"/>
                  <w:u w:val="single"/>
                </w:rPr>
                <w:t>3</w:t>
              </w:r>
            </w:hyperlink>
            <w:hyperlink w:anchor="i8924a6ba56714a97b49b2a617d25b717_31">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31">
              <w:r>
                <w:rPr>
                  <w:rStyle w:val="InternetLink"/>
                  <w:rFonts w:ascii="Times New Roman;sans-serif" w:hAnsi="Times New Roman;sans-serif"/>
                  <w:b w:val="false"/>
                  <w:color w:val="0000FF"/>
                  <w:sz w:val="20"/>
                  <w:u w:val="single"/>
                </w:rPr>
                <w:t>3</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34">
              <w:r>
                <w:rPr>
                  <w:rStyle w:val="InternetLink"/>
                  <w:rFonts w:ascii="Times New Roman;sans-serif" w:hAnsi="Times New Roman;sans-serif"/>
                  <w:b w:val="false"/>
                  <w:color w:val="000080"/>
                  <w:sz w:val="20"/>
                  <w:u w:val="single"/>
                </w:rPr>
                <w:t>Condensed Consolidated Statements of Stockholders’ Equity for the Three</w:t>
              </w:r>
            </w:hyperlink>
            <w:hyperlink w:anchor="i8924a6ba56714a97b49b2a617d25b717_34">
              <w:r>
                <w:rPr>
                  <w:rStyle w:val="InternetLink"/>
                  <w:rFonts w:ascii="Times New Roman;sans-serif" w:hAnsi="Times New Roman;sans-serif"/>
                  <w:b w:val="false"/>
                  <w:color w:val="000080"/>
                  <w:sz w:val="20"/>
                  <w:u w:val="single"/>
                </w:rPr>
                <w:t xml:space="preserve"> Months Ended </w:t>
              </w:r>
            </w:hyperlink>
            <w:hyperlink w:anchor="i8924a6ba56714a97b49b2a617d25b717_34">
              <w:r>
                <w:rPr>
                  <w:rStyle w:val="InternetLink"/>
                  <w:rFonts w:ascii="Times New Roman;sans-serif" w:hAnsi="Times New Roman;sans-serif"/>
                  <w:b w:val="false"/>
                  <w:color w:val="000080"/>
                  <w:sz w:val="20"/>
                  <w:u w:val="single"/>
                </w:rPr>
                <w:t>March 31</w:t>
              </w:r>
            </w:hyperlink>
            <w:hyperlink w:anchor="i8924a6ba56714a97b49b2a617d25b717_34">
              <w:r>
                <w:rPr>
                  <w:rStyle w:val="InternetLink"/>
                  <w:rFonts w:ascii="Times New Roman;sans-serif" w:hAnsi="Times New Roman;sans-serif"/>
                  <w:b w:val="false"/>
                  <w:color w:val="000080"/>
                  <w:sz w:val="20"/>
                  <w:u w:val="single"/>
                </w:rPr>
                <w:t>, 202</w:t>
              </w:r>
            </w:hyperlink>
            <w:hyperlink w:anchor="i8924a6ba56714a97b49b2a617d25b717_34">
              <w:r>
                <w:rPr>
                  <w:rStyle w:val="InternetLink"/>
                  <w:rFonts w:ascii="Times New Roman;sans-serif" w:hAnsi="Times New Roman;sans-serif"/>
                  <w:b w:val="false"/>
                  <w:color w:val="000080"/>
                  <w:sz w:val="20"/>
                  <w:u w:val="single"/>
                </w:rPr>
                <w:t>4</w:t>
              </w:r>
            </w:hyperlink>
            <w:hyperlink w:anchor="i8924a6ba56714a97b49b2a617d25b717_34">
              <w:r>
                <w:rPr>
                  <w:rStyle w:val="InternetLink"/>
                  <w:rFonts w:ascii="Times New Roman;sans-serif" w:hAnsi="Times New Roman;sans-serif"/>
                  <w:b w:val="false"/>
                  <w:color w:val="000080"/>
                  <w:sz w:val="20"/>
                  <w:u w:val="single"/>
                </w:rPr>
                <w:t xml:space="preserve"> and 202</w:t>
              </w:r>
            </w:hyperlink>
            <w:hyperlink w:anchor="i8924a6ba56714a97b49b2a617d25b717_34">
              <w:r>
                <w:rPr>
                  <w:rStyle w:val="InternetLink"/>
                  <w:rFonts w:ascii="Times New Roman;sans-serif" w:hAnsi="Times New Roman;sans-serif"/>
                  <w:b w:val="false"/>
                  <w:color w:val="000080"/>
                  <w:sz w:val="20"/>
                  <w:u w:val="single"/>
                </w:rPr>
                <w:t>3</w:t>
              </w:r>
            </w:hyperlink>
            <w:hyperlink w:anchor="i8924a6ba56714a97b49b2a617d25b717_34">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34">
              <w:r>
                <w:rPr>
                  <w:rStyle w:val="InternetLink"/>
                  <w:rFonts w:ascii="Times New Roman;sans-serif" w:hAnsi="Times New Roman;sans-serif"/>
                  <w:b w:val="false"/>
                  <w:color w:val="0000FF"/>
                  <w:sz w:val="20"/>
                  <w:u w:val="single"/>
                </w:rPr>
                <w:t>4</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37">
              <w:r>
                <w:rPr>
                  <w:rStyle w:val="InternetLink"/>
                  <w:rFonts w:ascii="Times New Roman;sans-serif" w:hAnsi="Times New Roman;sans-serif"/>
                  <w:b w:val="false"/>
                  <w:color w:val="000080"/>
                  <w:sz w:val="20"/>
                  <w:u w:val="single"/>
                </w:rPr>
                <w:t xml:space="preserve">Condensed Consolidated Statements of Cash Flows for the </w:t>
              </w:r>
            </w:hyperlink>
            <w:hyperlink w:anchor="i8924a6ba56714a97b49b2a617d25b717_37">
              <w:r>
                <w:rPr>
                  <w:rStyle w:val="InternetLink"/>
                  <w:rFonts w:ascii="Times New Roman;sans-serif" w:hAnsi="Times New Roman;sans-serif"/>
                  <w:b w:val="false"/>
                  <w:color w:val="000080"/>
                  <w:sz w:val="20"/>
                  <w:u w:val="single"/>
                </w:rPr>
                <w:t>Three</w:t>
              </w:r>
            </w:hyperlink>
            <w:hyperlink w:anchor="i8924a6ba56714a97b49b2a617d25b717_37">
              <w:r>
                <w:rPr>
                  <w:rStyle w:val="InternetLink"/>
                  <w:rFonts w:ascii="Times New Roman;sans-serif" w:hAnsi="Times New Roman;sans-serif"/>
                  <w:b w:val="false"/>
                  <w:color w:val="000080"/>
                  <w:sz w:val="20"/>
                  <w:u w:val="single"/>
                </w:rPr>
                <w:t xml:space="preserve"> Months Ended </w:t>
              </w:r>
            </w:hyperlink>
            <w:hyperlink w:anchor="i8924a6ba56714a97b49b2a617d25b717_37">
              <w:r>
                <w:rPr>
                  <w:rStyle w:val="InternetLink"/>
                  <w:rFonts w:ascii="Times New Roman;sans-serif" w:hAnsi="Times New Roman;sans-serif"/>
                  <w:b w:val="false"/>
                  <w:color w:val="000080"/>
                  <w:sz w:val="20"/>
                  <w:u w:val="single"/>
                </w:rPr>
                <w:t>March 31</w:t>
              </w:r>
            </w:hyperlink>
            <w:hyperlink w:anchor="i8924a6ba56714a97b49b2a617d25b717_37">
              <w:r>
                <w:rPr>
                  <w:rStyle w:val="InternetLink"/>
                  <w:rFonts w:ascii="Times New Roman;sans-serif" w:hAnsi="Times New Roman;sans-serif"/>
                  <w:b w:val="false"/>
                  <w:color w:val="000080"/>
                  <w:sz w:val="20"/>
                  <w:u w:val="single"/>
                </w:rPr>
                <w:t>, 202</w:t>
              </w:r>
            </w:hyperlink>
            <w:hyperlink w:anchor="i8924a6ba56714a97b49b2a617d25b717_37">
              <w:r>
                <w:rPr>
                  <w:rStyle w:val="InternetLink"/>
                  <w:rFonts w:ascii="Times New Roman;sans-serif" w:hAnsi="Times New Roman;sans-serif"/>
                  <w:b w:val="false"/>
                  <w:color w:val="000080"/>
                  <w:sz w:val="20"/>
                  <w:u w:val="single"/>
                </w:rPr>
                <w:t>4</w:t>
              </w:r>
            </w:hyperlink>
            <w:hyperlink w:anchor="i8924a6ba56714a97b49b2a617d25b717_37">
              <w:r>
                <w:rPr>
                  <w:rStyle w:val="InternetLink"/>
                  <w:rFonts w:ascii="Times New Roman;sans-serif" w:hAnsi="Times New Roman;sans-serif"/>
                  <w:b w:val="false"/>
                  <w:color w:val="000080"/>
                  <w:sz w:val="20"/>
                  <w:u w:val="single"/>
                </w:rPr>
                <w:t xml:space="preserve"> and 202</w:t>
              </w:r>
            </w:hyperlink>
            <w:hyperlink w:anchor="i8924a6ba56714a97b49b2a617d25b717_37">
              <w:r>
                <w:rPr>
                  <w:rStyle w:val="InternetLink"/>
                  <w:rFonts w:ascii="Times New Roman;sans-serif" w:hAnsi="Times New Roman;sans-serif"/>
                  <w:b w:val="false"/>
                  <w:color w:val="000080"/>
                  <w:sz w:val="20"/>
                  <w:u w:val="single"/>
                </w:rPr>
                <w:t>3</w:t>
              </w:r>
            </w:hyperlink>
            <w:hyperlink w:anchor="i8924a6ba56714a97b49b2a617d25b717_37">
              <w:r>
                <w:rPr>
                  <w:rStyle w:val="InternetLink"/>
                  <w:rFonts w:ascii="Times New Roman;sans-serif" w:hAnsi="Times New Roman;sans-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37">
              <w:r>
                <w:rPr>
                  <w:rStyle w:val="InternetLink"/>
                  <w:rFonts w:ascii="Times New Roman;sans-serif" w:hAnsi="Times New Roman;sans-serif"/>
                  <w:b w:val="false"/>
                  <w:color w:val="0000FF"/>
                  <w:sz w:val="20"/>
                  <w:u w:val="single"/>
                </w:rPr>
                <w:t>5</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40">
              <w:r>
                <w:rPr>
                  <w:rStyle w:val="InternetLink"/>
                  <w:rFonts w:ascii="Times New Roman;sans-serif" w:hAnsi="Times New Roman;sans-serif"/>
                  <w:b w:val="false"/>
                  <w:color w:val="0000FF"/>
                  <w:sz w:val="20"/>
                  <w:u w:val="single"/>
                </w:rPr>
                <w:t>Notes to 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40">
              <w:r>
                <w:rPr>
                  <w:rStyle w:val="InternetLink"/>
                  <w:rFonts w:ascii="Times New Roman;sans-serif" w:hAnsi="Times New Roman;sans-serif"/>
                  <w:b w:val="false"/>
                  <w:color w:val="0000FF"/>
                  <w:sz w:val="20"/>
                  <w:u w:val="single"/>
                </w:rPr>
                <w:t>6</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79">
              <w:r>
                <w:rPr>
                  <w:rStyle w:val="InternetLink"/>
                  <w:rFonts w:ascii="Times New Roman;sans-serif" w:hAnsi="Times New Roman;sans-serif"/>
                  <w:b w:val="false"/>
                  <w:color w:val="0000FF"/>
                  <w:sz w:val="20"/>
                  <w:u w:val="single"/>
                </w:rPr>
                <w:t>17</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12">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12">
              <w:r>
                <w:rPr>
                  <w:rStyle w:val="InternetLink"/>
                  <w:rFonts w:ascii="Times New Roman;sans-serif" w:hAnsi="Times New Roman;sans-serif"/>
                  <w:b w:val="false"/>
                  <w:color w:val="0000FF"/>
                  <w:sz w:val="20"/>
                  <w:u w:val="single"/>
                </w:rPr>
                <w:t>26</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15">
              <w:r>
                <w:rPr>
                  <w:rStyle w:val="InternetLink"/>
                  <w:rFonts w:ascii="Times New Roman;sans-serif" w:hAnsi="Times New Roman;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15">
              <w:r>
                <w:rPr>
                  <w:rStyle w:val="InternetLink"/>
                  <w:rFonts w:ascii="Times New Roman;sans-serif" w:hAnsi="Times New Roman;sans-serif"/>
                  <w:b w:val="false"/>
                  <w:color w:val="0000FF"/>
                  <w:sz w:val="20"/>
                  <w:u w:val="single"/>
                </w:rPr>
                <w:t>27</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18">
              <w:r>
                <w:rPr>
                  <w:rStyle w:val="InternetLink"/>
                  <w:rFonts w:ascii="Times New Roman;sans-serif" w:hAnsi="Times New Roman;sans-serif"/>
                  <w:b w:val="false"/>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21">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21">
              <w:r>
                <w:rPr>
                  <w:rStyle w:val="InternetLink"/>
                  <w:rFonts w:ascii="Times New Roman;sans-serif" w:hAnsi="Times New Roman;sans-serif"/>
                  <w:b w:val="false"/>
                  <w:color w:val="0000FF"/>
                  <w:sz w:val="20"/>
                  <w:u w:val="single"/>
                </w:rPr>
                <w:t>28</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24">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24">
              <w:r>
                <w:rPr>
                  <w:rStyle w:val="InternetLink"/>
                  <w:rFonts w:ascii="Times New Roman;sans-serif" w:hAnsi="Times New Roman;sans-serif"/>
                  <w:b w:val="false"/>
                  <w:color w:val="0000FF"/>
                  <w:sz w:val="20"/>
                  <w:u w:val="single"/>
                </w:rPr>
                <w:t>28</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27">
              <w:r>
                <w:rPr>
                  <w:rStyle w:val="InternetLink"/>
                  <w:rFonts w:ascii="Times New Roman;sans-serif" w:hAnsi="Times New Roman;sans-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27">
              <w:r>
                <w:rPr>
                  <w:rStyle w:val="InternetLink"/>
                  <w:rFonts w:ascii="Times New Roman;sans-serif" w:hAnsi="Times New Roman;sans-serif"/>
                  <w:b w:val="false"/>
                  <w:color w:val="0000FF"/>
                  <w:sz w:val="20"/>
                  <w:u w:val="single"/>
                </w:rPr>
                <w:t>72</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30">
              <w:r>
                <w:rPr>
                  <w:rStyle w:val="InternetLink"/>
                  <w:rFonts w:ascii="Times New Roman;sans-serif" w:hAnsi="Times New Roman;sans-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30">
              <w:r>
                <w:rPr>
                  <w:rStyle w:val="InternetLink"/>
                  <w:rFonts w:ascii="Times New Roman;sans-serif" w:hAnsi="Times New Roman;sans-serif"/>
                  <w:b w:val="false"/>
                  <w:color w:val="0000FF"/>
                  <w:sz w:val="20"/>
                  <w:u w:val="single"/>
                </w:rPr>
                <w:t>72</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33">
              <w:r>
                <w:rPr>
                  <w:rStyle w:val="InternetLink"/>
                  <w:rFonts w:ascii="Times New Roman;sans-serif" w:hAnsi="Times New Roman;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33">
              <w:r>
                <w:rPr>
                  <w:rStyle w:val="InternetLink"/>
                  <w:rFonts w:ascii="Times New Roman;sans-serif" w:hAnsi="Times New Roman;sans-serif"/>
                  <w:b w:val="false"/>
                  <w:color w:val="0000FF"/>
                  <w:sz w:val="20"/>
                  <w:u w:val="single"/>
                </w:rPr>
                <w:t>72</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36">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36">
              <w:r>
                <w:rPr>
                  <w:rStyle w:val="InternetLink"/>
                  <w:rFonts w:ascii="Times New Roman;sans-serif" w:hAnsi="Times New Roman;sans-serif"/>
                  <w:b w:val="false"/>
                  <w:color w:val="0000FF"/>
                  <w:sz w:val="20"/>
                  <w:u w:val="single"/>
                </w:rPr>
                <w:t>72</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39">
              <w:r>
                <w:rPr>
                  <w:rStyle w:val="InternetLink"/>
                  <w:rFonts w:ascii="Times New Roman;sans-serif" w:hAnsi="Times New Roman;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39">
              <w:r>
                <w:rPr>
                  <w:rStyle w:val="InternetLink"/>
                  <w:rFonts w:ascii="Times New Roman;sans-serif" w:hAnsi="Times New Roman;sans-serif"/>
                  <w:b w:val="false"/>
                  <w:color w:val="0000FF"/>
                  <w:sz w:val="20"/>
                  <w:u w:val="single"/>
                </w:rPr>
                <w:t>73</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924a6ba56714a97b49b2a617d25b717_142">
              <w:r>
                <w:rPr>
                  <w:rStyle w:val="InternetLink"/>
                  <w:rFonts w:ascii="Times New Roman;sans-serif" w:hAnsi="Times New Roman;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24a6ba56714a97b49b2a617d25b717_142">
              <w:r>
                <w:rPr>
                  <w:rStyle w:val="InternetLink"/>
                  <w:rFonts w:ascii="Times New Roman;sans-serif" w:hAnsi="Times New Roman;sans-serif"/>
                  <w:b w:val="false"/>
                  <w:color w:val="0000FF"/>
                  <w:sz w:val="20"/>
                  <w:u w:val="single"/>
                </w:rPr>
                <w:t>74</w:t>
              </w:r>
            </w:hyperlink>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SPECIAL NOTE REGARDING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our dependence on the success of our proteomics platform (the “Nautilus platform”), which remains in the development stage and subject to scientific and technical validation;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timing and progress of the development of the Nautilus platform and any commercialization timelines;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functionality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rate and degree of market acceptance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manage and grow our business and commercialize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successfully implement our three phase commercial launch plan;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implementation of our business model and strategic plans for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use of proceeds from the Business Combination (as defined in Part I, Item I, Note 1, “Description of Business and Basis of Presentation,” in our notes to condensed consolidated financial statements in this Quarterly Report on Form 10-Q);</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performance of third-party partners, manufacturers and suppliers;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volatility of the trading price of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develop and commercialize new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about market trends;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of local, regional, national and international economic conditions and events including the COVID-19 pandemic, the conflicts in Eastern Europe and the Middle East, increasing interest rates, instability in the global financial markets and general economic downturns, on the foregoing;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tbl>
      <w:tblPr>
        <w:tblW w:w="6074" w:type="dxa"/>
        <w:jc w:val="left"/>
        <w:tblInd w:w="0" w:type="dxa"/>
        <w:tblLayout w:type="fixed"/>
        <w:tblCellMar>
          <w:top w:w="28" w:type="dxa"/>
          <w:left w:w="28" w:type="dxa"/>
          <w:bottom w:w="28" w:type="dxa"/>
          <w:right w:w="28" w:type="dxa"/>
        </w:tblCellMar>
      </w:tblPr>
      <w:tblGrid>
        <w:gridCol w:w="1943"/>
        <w:gridCol w:w="1710"/>
        <w:gridCol w:w="2421"/>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Balance Sheets</w:t>
              <w:br/>
              <w:t>As of March 31, 2024 and December 31, 2023 (Unaudited)</w:t>
            </w:r>
          </w:p>
        </w:tc>
      </w:tr>
    </w:tbl>
    <w:tbl>
      <w:tblPr>
        <w:tblW w:w="10205" w:type="dxa"/>
        <w:jc w:val="left"/>
        <w:tblInd w:w="0" w:type="dxa"/>
        <w:tblLayout w:type="fixed"/>
        <w:tblCellMar>
          <w:top w:w="28" w:type="dxa"/>
          <w:left w:w="28" w:type="dxa"/>
          <w:bottom w:w="28" w:type="dxa"/>
          <w:right w:w="28" w:type="dxa"/>
        </w:tblCellMar>
      </w:tblPr>
      <w:tblGrid>
        <w:gridCol w:w="2873"/>
        <w:gridCol w:w="2246"/>
        <w:gridCol w:w="2263"/>
        <w:gridCol w:w="218"/>
        <w:gridCol w:w="853"/>
        <w:gridCol w:w="112"/>
        <w:gridCol w:w="109"/>
        <w:gridCol w:w="109"/>
        <w:gridCol w:w="109"/>
        <w:gridCol w:w="231"/>
        <w:gridCol w:w="909"/>
        <w:gridCol w:w="173"/>
      </w:tblGrid>
      <w:tr>
        <w:trPr/>
        <w:tc>
          <w:tcPr>
            <w:tcW w:w="2873"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176,837 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305,565 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200,000,000 authorized as of March 31, 2024 and December 31, 2023; 0 shares issued and outstanding as of March 31, 2024 and December 31, 2023</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as of March 31, 2024 and December 31, 2023; 125,265,015 and 125,068,601 shares issued and outstanding as of March 31, 2024 and December 31, 2023, respectively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288,650 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305,565 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6285" w:type="dxa"/>
        <w:jc w:val="left"/>
        <w:tblInd w:w="0" w:type="dxa"/>
        <w:tblLayout w:type="fixed"/>
        <w:tblCellMar>
          <w:top w:w="28" w:type="dxa"/>
          <w:left w:w="28" w:type="dxa"/>
          <w:bottom w:w="28" w:type="dxa"/>
          <w:right w:w="28" w:type="dxa"/>
        </w:tblCellMar>
      </w:tblPr>
      <w:tblGrid>
        <w:gridCol w:w="2011"/>
        <w:gridCol w:w="1769"/>
        <w:gridCol w:w="2505"/>
      </w:tblGrid>
      <w:tr>
        <w:trPr/>
        <w:tc>
          <w:tcPr>
            <w:tcW w:w="201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Statements of Operations</w:t>
              <w:br/>
              <w:t>Three Months Ended March 31, 2024 and 2023 (Unaudited)</w:t>
            </w:r>
          </w:p>
        </w:tc>
      </w:tr>
    </w:tbl>
    <w:tbl>
      <w:tblPr>
        <w:tblW w:w="10205" w:type="dxa"/>
        <w:jc w:val="left"/>
        <w:tblInd w:w="0" w:type="dxa"/>
        <w:tblLayout w:type="fixed"/>
        <w:tblCellMar>
          <w:top w:w="28" w:type="dxa"/>
          <w:left w:w="28" w:type="dxa"/>
          <w:bottom w:w="28" w:type="dxa"/>
          <w:right w:w="28" w:type="dxa"/>
        </w:tblCellMar>
      </w:tblPr>
      <w:tblGrid>
        <w:gridCol w:w="2627"/>
        <w:gridCol w:w="2082"/>
        <w:gridCol w:w="2097"/>
        <w:gridCol w:w="264"/>
        <w:gridCol w:w="922"/>
        <w:gridCol w:w="109"/>
        <w:gridCol w:w="109"/>
        <w:gridCol w:w="109"/>
        <w:gridCol w:w="109"/>
        <w:gridCol w:w="264"/>
        <w:gridCol w:w="922"/>
        <w:gridCol w:w="109"/>
        <w:gridCol w:w="109"/>
        <w:gridCol w:w="109"/>
        <w:gridCol w:w="109"/>
        <w:gridCol w:w="155"/>
      </w:tblGrid>
      <w:tr>
        <w:trPr/>
        <w:tc>
          <w:tcPr>
            <w:tcW w:w="2627"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125,135,451 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124,590,351 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6299" w:type="dxa"/>
        <w:jc w:val="left"/>
        <w:tblInd w:w="0" w:type="dxa"/>
        <w:tblLayout w:type="fixed"/>
        <w:tblCellMar>
          <w:top w:w="28" w:type="dxa"/>
          <w:left w:w="28" w:type="dxa"/>
          <w:bottom w:w="28" w:type="dxa"/>
          <w:right w:w="28" w:type="dxa"/>
        </w:tblCellMar>
      </w:tblPr>
      <w:tblGrid>
        <w:gridCol w:w="2016"/>
        <w:gridCol w:w="1772"/>
        <w:gridCol w:w="2511"/>
      </w:tblGrid>
      <w:tr>
        <w:trPr/>
        <w:tc>
          <w:tcPr>
            <w:tcW w:w="201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Statements of Comprehensive Loss</w:t>
              <w:br/>
              <w:t>Three Months Ended March 31, 2024 and 2023 (Unaudited)</w:t>
            </w:r>
          </w:p>
        </w:tc>
      </w:tr>
    </w:tbl>
    <w:tbl>
      <w:tblPr>
        <w:tblW w:w="7449" w:type="dxa"/>
        <w:jc w:val="left"/>
        <w:tblInd w:w="0" w:type="dxa"/>
        <w:tblLayout w:type="fixed"/>
        <w:tblCellMar>
          <w:top w:w="28" w:type="dxa"/>
          <w:left w:w="28" w:type="dxa"/>
          <w:bottom w:w="28" w:type="dxa"/>
          <w:right w:w="28" w:type="dxa"/>
        </w:tblCellMar>
      </w:tblPr>
      <w:tblGrid>
        <w:gridCol w:w="1596"/>
        <w:gridCol w:w="1403"/>
        <w:gridCol w:w="1410"/>
        <w:gridCol w:w="211"/>
        <w:gridCol w:w="796"/>
        <w:gridCol w:w="109"/>
        <w:gridCol w:w="109"/>
        <w:gridCol w:w="109"/>
        <w:gridCol w:w="109"/>
        <w:gridCol w:w="211"/>
        <w:gridCol w:w="796"/>
        <w:gridCol w:w="109"/>
        <w:gridCol w:w="1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6330" w:type="dxa"/>
        <w:jc w:val="left"/>
        <w:tblInd w:w="0" w:type="dxa"/>
        <w:tblLayout w:type="fixed"/>
        <w:tblCellMar>
          <w:top w:w="28" w:type="dxa"/>
          <w:left w:w="28" w:type="dxa"/>
          <w:bottom w:w="28" w:type="dxa"/>
          <w:right w:w="28" w:type="dxa"/>
        </w:tblCellMar>
      </w:tblPr>
      <w:tblGrid>
        <w:gridCol w:w="2025"/>
        <w:gridCol w:w="1782"/>
        <w:gridCol w:w="2523"/>
      </w:tblGrid>
      <w:tr>
        <w:trP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Stockholders’ Equity</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 March 31, 2024 and 2023 (Unaudited)</w:t>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92"/>
        <w:gridCol w:w="285"/>
        <w:gridCol w:w="288"/>
        <w:gridCol w:w="593"/>
        <w:gridCol w:w="593"/>
        <w:gridCol w:w="196"/>
        <w:gridCol w:w="109"/>
        <w:gridCol w:w="109"/>
        <w:gridCol w:w="109"/>
        <w:gridCol w:w="214"/>
        <w:gridCol w:w="366"/>
        <w:gridCol w:w="111"/>
        <w:gridCol w:w="109"/>
        <w:gridCol w:w="109"/>
        <w:gridCol w:w="109"/>
        <w:gridCol w:w="219"/>
        <w:gridCol w:w="860"/>
        <w:gridCol w:w="113"/>
        <w:gridCol w:w="109"/>
        <w:gridCol w:w="109"/>
        <w:gridCol w:w="109"/>
        <w:gridCol w:w="345"/>
        <w:gridCol w:w="789"/>
        <w:gridCol w:w="179"/>
        <w:gridCol w:w="109"/>
        <w:gridCol w:w="109"/>
        <w:gridCol w:w="109"/>
        <w:gridCol w:w="214"/>
        <w:gridCol w:w="858"/>
        <w:gridCol w:w="110"/>
        <w:gridCol w:w="109"/>
        <w:gridCol w:w="109"/>
        <w:gridCol w:w="109"/>
        <w:gridCol w:w="219"/>
        <w:gridCol w:w="859"/>
        <w:gridCol w:w="167"/>
      </w:tblGrid>
      <w:tr>
        <w:trPr/>
        <w:tc>
          <w:tcPr>
            <w:tcW w:w="9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Three Months Ended March 31, 2024</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125,068,601 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(202,239)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125,265,015 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471,193 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249,492 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2"/>
        <w:gridCol w:w="285"/>
        <w:gridCol w:w="288"/>
        <w:gridCol w:w="593"/>
        <w:gridCol w:w="593"/>
        <w:gridCol w:w="196"/>
        <w:gridCol w:w="109"/>
        <w:gridCol w:w="109"/>
        <w:gridCol w:w="109"/>
        <w:gridCol w:w="214"/>
        <w:gridCol w:w="366"/>
        <w:gridCol w:w="111"/>
        <w:gridCol w:w="109"/>
        <w:gridCol w:w="109"/>
        <w:gridCol w:w="109"/>
        <w:gridCol w:w="219"/>
        <w:gridCol w:w="860"/>
        <w:gridCol w:w="113"/>
        <w:gridCol w:w="109"/>
        <w:gridCol w:w="109"/>
        <w:gridCol w:w="109"/>
        <w:gridCol w:w="290"/>
        <w:gridCol w:w="871"/>
        <w:gridCol w:w="152"/>
        <w:gridCol w:w="109"/>
        <w:gridCol w:w="109"/>
        <w:gridCol w:w="109"/>
        <w:gridCol w:w="214"/>
        <w:gridCol w:w="858"/>
        <w:gridCol w:w="110"/>
        <w:gridCol w:w="109"/>
        <w:gridCol w:w="109"/>
        <w:gridCol w:w="109"/>
        <w:gridCol w:w="219"/>
        <w:gridCol w:w="859"/>
        <w:gridCol w:w="167"/>
      </w:tblGrid>
      <w:tr>
        <w:trPr/>
        <w:tc>
          <w:tcPr>
            <w:tcW w:w="9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Three Months Ended March 31, 2023</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124,865,485 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124,866,392 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458,191 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303,715 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6285" w:type="dxa"/>
        <w:jc w:val="left"/>
        <w:tblInd w:w="0" w:type="dxa"/>
        <w:tblLayout w:type="fixed"/>
        <w:tblCellMar>
          <w:top w:w="28" w:type="dxa"/>
          <w:left w:w="28" w:type="dxa"/>
          <w:bottom w:w="28" w:type="dxa"/>
          <w:right w:w="28" w:type="dxa"/>
        </w:tblCellMar>
      </w:tblPr>
      <w:tblGrid>
        <w:gridCol w:w="2011"/>
        <w:gridCol w:w="1769"/>
        <w:gridCol w:w="2505"/>
      </w:tblGrid>
      <w:tr>
        <w:trPr/>
        <w:tc>
          <w:tcPr>
            <w:tcW w:w="201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 March 31, 2024 and 2023 (Unaudited)</w:t>
            </w:r>
          </w:p>
        </w:tc>
      </w:tr>
    </w:tbl>
    <w:tbl>
      <w:tblPr>
        <w:tblW w:w="8574" w:type="dxa"/>
        <w:jc w:val="left"/>
        <w:tblInd w:w="0" w:type="dxa"/>
        <w:tblLayout w:type="fixed"/>
        <w:tblCellMar>
          <w:top w:w="28" w:type="dxa"/>
          <w:left w:w="28" w:type="dxa"/>
          <w:bottom w:w="28" w:type="dxa"/>
          <w:right w:w="28" w:type="dxa"/>
        </w:tblCellMar>
      </w:tblPr>
      <w:tblGrid>
        <w:gridCol w:w="2162"/>
        <w:gridCol w:w="1901"/>
        <w:gridCol w:w="1907"/>
        <w:gridCol w:w="211"/>
        <w:gridCol w:w="796"/>
        <w:gridCol w:w="109"/>
        <w:gridCol w:w="109"/>
        <w:gridCol w:w="109"/>
        <w:gridCol w:w="109"/>
        <w:gridCol w:w="211"/>
        <w:gridCol w:w="796"/>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(accretion) of premium (discount) on securities,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cash flow information on non-cash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operating lease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5760" w:type="dxa"/>
        <w:jc w:val="left"/>
        <w:tblInd w:w="0" w:type="dxa"/>
        <w:tblLayout w:type="fixed"/>
        <w:tblCellMar>
          <w:top w:w="28" w:type="dxa"/>
          <w:left w:w="28" w:type="dxa"/>
          <w:bottom w:w="28" w:type="dxa"/>
          <w:right w:w="28" w:type="dxa"/>
        </w:tblCellMar>
      </w:tblPr>
      <w:tblGrid>
        <w:gridCol w:w="1843"/>
        <w:gridCol w:w="1621"/>
        <w:gridCol w:w="2296"/>
      </w:tblGrid>
      <w:tr>
        <w:trPr/>
        <w:tc>
          <w:tcPr>
            <w:tcW w:w="18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Description of Business and Basis of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2023 on file with the SEC. The Company’s reporting currency is the U.S. dollar.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2024, the Company had an accumulated deficit of $221.0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$181.4 million as of March 31, 2024.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Significant Accounting Policies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represents the accounting loss that would be recognized as of the reporting date if counterparties failed to perform as contracted.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 Company is subject to risks similar to those of</w:t>
      </w:r>
      <w:r>
        <w:rPr>
          <w:color w:val="000000"/>
          <w:shd w:fill="FFFFFF" w:val="clear"/>
        </w:rPr>
        <w:t> </w:t>
      </w:r>
      <w:r>
        <w:rPr>
          <w:rFonts w:ascii="Times New Roman;sans-serif" w:hAnsi="Times New Roman;sans-serif"/>
          <w:b w:val="false"/>
          <w:color w:val="000000"/>
          <w:sz w:val="20"/>
          <w:shd w:fill="FFFFFF" w:val="clear"/>
        </w:rPr>
        <w:t xml:space="preserve">pre-clinical stage companies in the biopharmaceutical industry, including dependence on key individuals, the need to develop commercially viable products, competition from other companies, many of whom are larger and better capitalized, the impact of negative global and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Operating segments are defined as components of an entity where discrete financial information is evaluated regularly by the chief operating decision m</w:t>
      </w:r>
      <w:r>
        <w:rPr>
          <w:rFonts w:ascii="Times New Roman;sans-serif" w:hAnsi="Times New Roman;sans-serif"/>
          <w:b w:val="false"/>
          <w:color w:val="000000"/>
          <w:sz w:val="20"/>
          <w:shd w:fill="FFFFFF" w:val="clear"/>
        </w:rPr>
        <w:t>aker (“CODM”) in deciding how to allocate resources and in assessing performance. The Company’s Chief Executive Officer is its CODM. The Company’s CODM re</w:t>
      </w:r>
      <w:r>
        <w:rPr>
          <w:rFonts w:ascii="Times New Roman;sans-serif" w:hAnsi="Times New Roman;sans-serif"/>
          <w:b w:val="false"/>
          <w:color w:val="000000"/>
          <w:sz w:val="20"/>
        </w:rPr>
        <w:t xml:space="preserv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highly-liquid investments with an original maturity of three months or less as of the date of acquisition to be cash equivalents.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No credit-related losses or allowance for credit losses were necessary during the periods presented.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1, defined as observable inputs such as quoted prices for identical instruments in active markets;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prepaid expenses and other current assets, accounts payable and accrued expenses and other liabilities approximate their respective fair values due to their short-term nature.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determines if an arrangement includes a lease at inception by assessing whether there is an identified asset and whether the contract conveys the right to control the use of the identified asset for a period of </w:t>
      </w:r>
      <w:r>
        <w:rPr>
          <w:rFonts w:ascii="Times New Roman;sans-serif" w:hAnsi="Times New Roman;sans-serif"/>
          <w:b w:val="false"/>
          <w:color w:val="000000"/>
          <w:sz w:val="20"/>
          <w:shd w:fill="FFFFFF" w:val="clear"/>
        </w:rPr>
        <w:t>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and other gains or losses affecting stockholders’ equity that, under U.S. GAAP are excluded from net loss. For the three months ended March 31, 2024 and 2023, net unrealized gains and losses on marketable debt securities were included as a component of comprehensive income (loss).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Accounting Pronouncements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is provided the option to adopt new or revised accounting guidance as an “emerging growth company” under the Jumpstart Our Business Startups Act of 2012 (the “JOBS Act”) either (1) within the same periods as those </w:t>
      </w:r>
      <w:r>
        <w:rPr>
          <w:rFonts w:ascii="Times New Roman;sans-serif" w:hAnsi="Times New Roman;sans-serif"/>
          <w:b w:val="false"/>
          <w:color w:val="000000"/>
          <w:sz w:val="20"/>
          <w:shd w:fill="FFFFFF" w:val="clear"/>
        </w:rPr>
        <w:t xml:space="preserve">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which amends existing guidance on segment reporting to improve reportable segment disclosure requirements through enhanced disclosures about significant segment expenses. The ASU is effective for the Company for the fiscal year ending December 31, 2024 and for interim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 The Company is in the process of evaluating the impact of the adoption of this Accounting Standards Update on its consolidated financial statements and related disclosures.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assets carried at fair value and measured on a recurring basis within the three levels of fair value as of March 31, 2024 and December 31, 2023:</w:t>
      </w:r>
    </w:p>
    <w:tbl>
      <w:tblPr>
        <w:tblW w:w="10492"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06"/>
        <w:gridCol w:w="109"/>
        <w:gridCol w:w="109"/>
        <w:gridCol w:w="109"/>
        <w:gridCol w:w="109"/>
        <w:gridCol w:w="211"/>
        <w:gridCol w:w="48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52"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66"/>
        <w:gridCol w:w="109"/>
        <w:gridCol w:w="109"/>
        <w:gridCol w:w="109"/>
        <w:gridCol w:w="109"/>
        <w:gridCol w:w="211"/>
        <w:gridCol w:w="48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have a contractual maturity date that is one year or less from the respective balance sheet date. Long-term investments have a contractual maturity date that is more than one year, but less than two years from the respective balance sheet date.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unrealized losses and fair values of available-for-sale securities that have been in an unrealized loss position for a period of less than and greater than 12 months as of March 31, 2024 and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tbl>
      <w:tblPr>
        <w:tblW w:w="10205" w:type="dxa"/>
        <w:jc w:val="left"/>
        <w:tblInd w:w="0" w:type="dxa"/>
        <w:tblLayout w:type="fixed"/>
        <w:tblCellMar>
          <w:top w:w="28" w:type="dxa"/>
          <w:left w:w="28" w:type="dxa"/>
          <w:bottom w:w="28" w:type="dxa"/>
          <w:right w:w="28" w:type="dxa"/>
        </w:tblCellMar>
      </w:tblPr>
      <w:tblGrid>
        <w:gridCol w:w="613"/>
        <w:gridCol w:w="327"/>
        <w:gridCol w:w="328"/>
        <w:gridCol w:w="109"/>
        <w:gridCol w:w="109"/>
        <w:gridCol w:w="109"/>
        <w:gridCol w:w="339"/>
        <w:gridCol w:w="562"/>
        <w:gridCol w:w="131"/>
        <w:gridCol w:w="124"/>
        <w:gridCol w:w="124"/>
        <w:gridCol w:w="124"/>
        <w:gridCol w:w="240"/>
        <w:gridCol w:w="941"/>
        <w:gridCol w:w="124"/>
        <w:gridCol w:w="109"/>
        <w:gridCol w:w="109"/>
        <w:gridCol w:w="109"/>
        <w:gridCol w:w="339"/>
        <w:gridCol w:w="562"/>
        <w:gridCol w:w="131"/>
        <w:gridCol w:w="127"/>
        <w:gridCol w:w="127"/>
        <w:gridCol w:w="127"/>
        <w:gridCol w:w="247"/>
        <w:gridCol w:w="846"/>
        <w:gridCol w:w="127"/>
        <w:gridCol w:w="109"/>
        <w:gridCol w:w="109"/>
        <w:gridCol w:w="109"/>
        <w:gridCol w:w="276"/>
        <w:gridCol w:w="612"/>
        <w:gridCol w:w="144"/>
        <w:gridCol w:w="109"/>
        <w:gridCol w:w="109"/>
        <w:gridCol w:w="109"/>
        <w:gridCol w:w="219"/>
        <w:gridCol w:w="860"/>
        <w:gridCol w:w="176"/>
      </w:tblGrid>
      <w:tr>
        <w:trPr/>
        <w:tc>
          <w:tcPr>
            <w:tcW w:w="6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189,625 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
        <w:gridCol w:w="327"/>
        <w:gridCol w:w="328"/>
        <w:gridCol w:w="109"/>
        <w:gridCol w:w="109"/>
        <w:gridCol w:w="109"/>
        <w:gridCol w:w="339"/>
        <w:gridCol w:w="562"/>
        <w:gridCol w:w="131"/>
        <w:gridCol w:w="124"/>
        <w:gridCol w:w="124"/>
        <w:gridCol w:w="124"/>
        <w:gridCol w:w="240"/>
        <w:gridCol w:w="941"/>
        <w:gridCol w:w="124"/>
        <w:gridCol w:w="109"/>
        <w:gridCol w:w="109"/>
        <w:gridCol w:w="109"/>
        <w:gridCol w:w="339"/>
        <w:gridCol w:w="562"/>
        <w:gridCol w:w="131"/>
        <w:gridCol w:w="127"/>
        <w:gridCol w:w="127"/>
        <w:gridCol w:w="127"/>
        <w:gridCol w:w="247"/>
        <w:gridCol w:w="846"/>
        <w:gridCol w:w="127"/>
        <w:gridCol w:w="109"/>
        <w:gridCol w:w="109"/>
        <w:gridCol w:w="109"/>
        <w:gridCol w:w="276"/>
        <w:gridCol w:w="612"/>
        <w:gridCol w:w="144"/>
        <w:gridCol w:w="109"/>
        <w:gridCol w:w="109"/>
        <w:gridCol w:w="109"/>
        <w:gridCol w:w="219"/>
        <w:gridCol w:w="860"/>
        <w:gridCol w:w="176"/>
      </w:tblGrid>
      <w:tr>
        <w:trPr/>
        <w:tc>
          <w:tcPr>
            <w:tcW w:w="6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186,938 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 Company reviewed its investment portfolio based on the underlying risk profile of the securities and have a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months ended March 31, 2024 and 2023, and had no allowance for credit losses as of March 31, 2024 and December 31, 2023.</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Composition of Certain Condensed Consolidated Financial Statement Line Items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5747" w:type="dxa"/>
        <w:jc w:val="left"/>
        <w:tblInd w:w="0" w:type="dxa"/>
        <w:tblLayout w:type="fixed"/>
        <w:tblCellMar>
          <w:top w:w="28" w:type="dxa"/>
          <w:left w:w="28" w:type="dxa"/>
          <w:bottom w:w="28" w:type="dxa"/>
          <w:right w:w="28" w:type="dxa"/>
        </w:tblCellMar>
      </w:tblPr>
      <w:tblGrid>
        <w:gridCol w:w="1211"/>
        <w:gridCol w:w="1064"/>
        <w:gridCol w:w="1069"/>
        <w:gridCol w:w="211"/>
        <w:gridCol w:w="616"/>
        <w:gridCol w:w="109"/>
        <w:gridCol w:w="109"/>
        <w:gridCol w:w="109"/>
        <w:gridCol w:w="109"/>
        <w:gridCol w:w="245"/>
        <w:gridCol w:w="716"/>
        <w:gridCol w:w="179"/>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depreciation expense of $0.5 million and $0.4 million for the three months ended March 31, 2024 and 2023, respectively, which was primarily allocated to research and development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5852" w:type="dxa"/>
        <w:jc w:val="left"/>
        <w:tblInd w:w="0" w:type="dxa"/>
        <w:tblLayout w:type="fixed"/>
        <w:tblCellMar>
          <w:top w:w="28" w:type="dxa"/>
          <w:left w:w="28" w:type="dxa"/>
          <w:bottom w:w="28" w:type="dxa"/>
          <w:right w:w="28" w:type="dxa"/>
        </w:tblCellMar>
      </w:tblPr>
      <w:tblGrid>
        <w:gridCol w:w="1248"/>
        <w:gridCol w:w="1096"/>
        <w:gridCol w:w="1105"/>
        <w:gridCol w:w="211"/>
        <w:gridCol w:w="616"/>
        <w:gridCol w:w="109"/>
        <w:gridCol w:w="109"/>
        <w:gridCol w:w="109"/>
        <w:gridCol w:w="109"/>
        <w:gridCol w:w="245"/>
        <w:gridCol w:w="716"/>
        <w:gridCol w:w="179"/>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consulting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w:t>
      </w:r>
    </w:p>
    <w:tbl>
      <w:tblPr>
        <w:tblW w:w="7352" w:type="dxa"/>
        <w:jc w:val="left"/>
        <w:tblInd w:w="0" w:type="dxa"/>
        <w:tblLayout w:type="fixed"/>
        <w:tblCellMar>
          <w:top w:w="28" w:type="dxa"/>
          <w:left w:w="28" w:type="dxa"/>
          <w:bottom w:w="28" w:type="dxa"/>
          <w:right w:w="28" w:type="dxa"/>
        </w:tblCellMar>
      </w:tblPr>
      <w:tblGrid>
        <w:gridCol w:w="1755"/>
        <w:gridCol w:w="1543"/>
        <w:gridCol w:w="1547"/>
        <w:gridCol w:w="211"/>
        <w:gridCol w:w="721"/>
        <w:gridCol w:w="109"/>
        <w:gridCol w:w="109"/>
        <w:gridCol w:w="109"/>
        <w:gridCol w:w="109"/>
        <w:gridCol w:w="221"/>
        <w:gridCol w:w="757"/>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long-term assets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consisted of $1.0 million of restricted cash and $0.2 million of deposits as of March 31, 2024, and $1.0 million of restricted cash and $0.2 million of deposits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125,265,015 shares issued and outstanding as of March 31, 2024.</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on an as-if converted basis, were as follows:</w:t>
      </w:r>
    </w:p>
    <w:tbl>
      <w:tblPr>
        <w:tblW w:w="8947" w:type="dxa"/>
        <w:jc w:val="left"/>
        <w:tblInd w:w="0" w:type="dxa"/>
        <w:tblLayout w:type="fixed"/>
        <w:tblCellMar>
          <w:top w:w="28" w:type="dxa"/>
          <w:left w:w="28" w:type="dxa"/>
          <w:bottom w:w="28" w:type="dxa"/>
          <w:right w:w="28" w:type="dxa"/>
        </w:tblCellMar>
      </w:tblPr>
      <w:tblGrid>
        <w:gridCol w:w="2065"/>
        <w:gridCol w:w="1814"/>
        <w:gridCol w:w="1821"/>
        <w:gridCol w:w="540"/>
        <w:gridCol w:w="541"/>
        <w:gridCol w:w="286"/>
        <w:gridCol w:w="109"/>
        <w:gridCol w:w="109"/>
        <w:gridCol w:w="109"/>
        <w:gridCol w:w="540"/>
        <w:gridCol w:w="541"/>
        <w:gridCol w:w="472"/>
      </w:tblGrid>
      <w:tr>
        <w:trPr/>
        <w:tc>
          <w:tcPr>
            <w:tcW w:w="20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24,707,942 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20,279,560 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16,304,969 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14,676,335 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4,755,824 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3,505,138 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45,768,735 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38,461,033 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2024 and 2023, no income tax expense or benefit was recognized, due to a full valuation allowance recorded against its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Equity Incentive Plans and Stock-based Compensation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On June 8, 2021, the stockholders of the Company approved the 2021 Equity Incentive Plan (“2021 Plan”) and the 2021 Employee Stock Purchase Plan (</w:t>
      </w:r>
      <w:r>
        <w:rPr>
          <w:color w:val="000000"/>
          <w:shd w:fill="FFFFFF" w:val="clear"/>
        </w:rPr>
        <w:t>“</w:t>
      </w:r>
      <w:r>
        <w:rPr>
          <w:rFonts w:ascii="Times New Roman;sans-serif" w:hAnsi="Times New Roman;sans-serif"/>
          <w:b w:val="false"/>
          <w:color w:val="000000"/>
          <w:sz w:val="20"/>
          <w:shd w:fill="FFFFFF" w:val="clear"/>
        </w:rPr>
        <w:t xml:space="preserve">2021 ESPP”). As of </w:t>
      </w:r>
      <w:r>
        <w:rPr>
          <w:rFonts w:ascii="Times New Roman;sans-serif" w:hAnsi="Times New Roman;sans-serif"/>
          <w:b w:val="false"/>
          <w:color w:val="000000"/>
          <w:sz w:val="20"/>
        </w:rPr>
        <w:t xml:space="preserve">March 31, 2024, 24,707,942 and 4,755,824 shares were available for grant under the 2021 Plan and 2021 ESPP,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w:t>
      </w:r>
      <w:r>
        <w:rPr>
          <w:rFonts w:ascii="Times New Roman;sans-serif" w:hAnsi="Times New Roman;sans-serif"/>
          <w:b w:val="false"/>
          <w:color w:val="000000"/>
          <w:sz w:val="20"/>
        </w:rPr>
        <w:t>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2024, the number of shares available under the 2021 ESPP increased by 1,250,686 shares pursuant to this feature.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Under the 2021 Plan, the Company can grant incentive stock options, nonstatutory stock options, stock appreciation rig</w:t>
      </w:r>
      <w:r>
        <w:rPr>
          <w:rFonts w:ascii="Times New Roman;sans-serif" w:hAnsi="Times New Roman;sans-serif"/>
          <w:b w:val="false"/>
          <w:color w:val="000000"/>
          <w:sz w:val="20"/>
          <w:shd w:fill="FFFFFF" w:val="clear"/>
        </w:rPr>
        <w:t xml:space="preserve">hts, restricted stock, restricted stock units and performance awards to employees, non-employee directors and consultants. </w:t>
      </w:r>
      <w:r>
        <w:rPr>
          <w:rFonts w:ascii="Times New Roman;sans-serif" w:hAnsi="Times New Roman;sans-serif"/>
          <w:b w:val="false"/>
          <w:color w:val="000000"/>
          <w:sz w:val="20"/>
        </w:rPr>
        <w:t xml:space="preserve">Options generally expire ten years after the date of grant. </w:t>
      </w:r>
      <w:r>
        <w:rPr>
          <w:rFonts w:ascii="Times New Roman;sans-serif" w:hAnsi="Times New Roman;sans-serif"/>
          <w:b w:val="false"/>
          <w:color w:val="000000"/>
          <w:sz w:val="20"/>
          <w:shd w:fill="FFFFFF" w:val="clear"/>
        </w:rPr>
        <w:t>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r>
        <w:rPr>
          <w:rFonts w:ascii="Times New Roman;sans-serif" w:hAnsi="Times New Roman;sans-serif"/>
          <w:b w:val="false"/>
          <w:color w:val="000000"/>
          <w:sz w:val="20"/>
        </w:rPr>
        <w:t>. On January 1, 2024, the number of shares available under the 2021 Plan increased by 6,253,430 shares pursuant to this feature.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Grant Date Fair Value of Stock Options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determining the compensation cost of the option awards, the fair value for each option award has been estimated using the</w:t>
      </w:r>
      <w:r>
        <w:rPr>
          <w:color w:val="000000"/>
          <w:shd w:fill="FFFFFF" w:val="clear"/>
        </w:rPr>
        <w:t xml:space="preserve"> </w:t>
      </w:r>
      <w:r>
        <w:rPr>
          <w:rFonts w:ascii="Times New Roman;sans-serif" w:hAnsi="Times New Roman;sans-serif"/>
          <w:b w:val="false"/>
          <w:color w:val="000000"/>
          <w:sz w:val="20"/>
          <w:shd w:fill="FFFFFF" w:val="clear"/>
        </w:rPr>
        <w:t>Black Scholes model</w:t>
      </w:r>
      <w:r>
        <w:rPr>
          <w:rFonts w:ascii="Times New Roman;sans-serif" w:hAnsi="Times New Roman;sans-serif"/>
          <w:b w:val="false"/>
          <w:color w:val="000000"/>
          <w:sz w:val="20"/>
        </w:rPr>
        <w:t>. The significant assumptions used in these calculations are summarized as follows:</w:t>
      </w:r>
    </w:p>
    <w:tbl>
      <w:tblPr>
        <w:tblW w:w="6089" w:type="dxa"/>
        <w:jc w:val="left"/>
        <w:tblInd w:w="0" w:type="dxa"/>
        <w:tblLayout w:type="fixed"/>
        <w:tblCellMar>
          <w:top w:w="28" w:type="dxa"/>
          <w:left w:w="28" w:type="dxa"/>
          <w:bottom w:w="28" w:type="dxa"/>
          <w:right w:w="28" w:type="dxa"/>
        </w:tblCellMar>
      </w:tblPr>
      <w:tblGrid>
        <w:gridCol w:w="755"/>
        <w:gridCol w:w="663"/>
        <w:gridCol w:w="666"/>
        <w:gridCol w:w="314"/>
        <w:gridCol w:w="314"/>
        <w:gridCol w:w="782"/>
        <w:gridCol w:w="200"/>
        <w:gridCol w:w="200"/>
        <w:gridCol w:w="200"/>
        <w:gridCol w:w="337"/>
        <w:gridCol w:w="337"/>
        <w:gridCol w:w="840"/>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6.0 - 6.4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99.7% - 100.1%</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102.7% - 107.5%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4.01% - 4.22%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- 4.08%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Historically, the Company has been a private company and lacked company</w:t>
        <w:noBreakHyphen/>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 The expected dividend rate is zero as the Company has no history or expectation of declaring dividends on its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award activity during the three months ended March 31, 2024:</w:t>
      </w:r>
    </w:p>
    <w:tbl>
      <w:tblPr>
        <w:tblW w:w="10205" w:type="dxa"/>
        <w:jc w:val="left"/>
        <w:tblInd w:w="0" w:type="dxa"/>
        <w:tblLayout w:type="fixed"/>
        <w:tblCellMar>
          <w:top w:w="28" w:type="dxa"/>
          <w:left w:w="28" w:type="dxa"/>
          <w:bottom w:w="28" w:type="dxa"/>
          <w:right w:w="28" w:type="dxa"/>
        </w:tblCellMar>
      </w:tblPr>
      <w:tblGrid>
        <w:gridCol w:w="867"/>
        <w:gridCol w:w="762"/>
        <w:gridCol w:w="764"/>
        <w:gridCol w:w="829"/>
        <w:gridCol w:w="440"/>
        <w:gridCol w:w="426"/>
        <w:gridCol w:w="109"/>
        <w:gridCol w:w="109"/>
        <w:gridCol w:w="109"/>
        <w:gridCol w:w="350"/>
        <w:gridCol w:w="849"/>
        <w:gridCol w:w="181"/>
        <w:gridCol w:w="109"/>
        <w:gridCol w:w="109"/>
        <w:gridCol w:w="109"/>
        <w:gridCol w:w="670"/>
        <w:gridCol w:w="670"/>
        <w:gridCol w:w="672"/>
        <w:gridCol w:w="109"/>
        <w:gridCol w:w="109"/>
        <w:gridCol w:w="109"/>
        <w:gridCol w:w="337"/>
        <w:gridCol w:w="1154"/>
        <w:gridCol w:w="253"/>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14,676,335 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2,003,800 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16,304,969 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as of March 31, 2024</w:t>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16,304,969 </w:t>
            </w:r>
          </w:p>
        </w:tc>
        <w:tc>
          <w:tcPr>
            <w:tcW w:w="4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2024</w:t>
            </w:r>
          </w:p>
        </w:tc>
        <w:tc>
          <w:tcPr>
            <w:tcW w:w="12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8,592,134 </w:t>
            </w:r>
          </w:p>
        </w:tc>
        <w:tc>
          <w:tcPr>
            <w:tcW w:w="4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was $20.0 million of total unrecognized compensation expense expected to be recognized over a weighted average-period of 2.3 years. Aggregate intrinsic value represents the difference between the fair market value of the common stock and the exercise price of outstanding, in-the-money options.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stock-based compensation expense included in the Company’s condensed consolidated statement of operations:</w:t>
      </w:r>
    </w:p>
    <w:tbl>
      <w:tblPr>
        <w:tblW w:w="6329" w:type="dxa"/>
        <w:jc w:val="left"/>
        <w:tblInd w:w="0" w:type="dxa"/>
        <w:tblLayout w:type="fixed"/>
        <w:tblCellMar>
          <w:top w:w="28" w:type="dxa"/>
          <w:left w:w="28" w:type="dxa"/>
          <w:bottom w:w="28" w:type="dxa"/>
          <w:right w:w="28" w:type="dxa"/>
        </w:tblCellMar>
      </w:tblPr>
      <w:tblGrid>
        <w:gridCol w:w="1247"/>
        <w:gridCol w:w="1097"/>
        <w:gridCol w:w="1105"/>
        <w:gridCol w:w="230"/>
        <w:gridCol w:w="672"/>
        <w:gridCol w:w="119"/>
        <w:gridCol w:w="119"/>
        <w:gridCol w:w="119"/>
        <w:gridCol w:w="119"/>
        <w:gridCol w:w="230"/>
        <w:gridCol w:w="672"/>
        <w:gridCol w:w="119"/>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March 31, 2024 as the Company had not yet received the related goods or services. As of March 31, 2024, the Company had open purchase commitments for goods and services of $2.4 million, of which $1.8 million are expected to be received through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litigation relating to claims arising from the ordinary course of business where the expense, distraction and/or the ultimate disposition could have a material adverse effect on the Company’s results of operations, financial condition or cash flows. The Company filed suit in the United States District Court for the Northern District of California against Somalogic (now known as Standard Biotools, Inc.), and the California Institute of Technology seeking declaratory judgment that the Company does not infringe any claims of US Patent No. 7,842,793 related to DNA origami structures, allegedly licensed from the California Institute of Technology through Somalogic’s purchase of Palamedrix, Inc. On March 29, 2024, Somalogic filed a motion to dismiss the suit. On April 19, 2024, the Company filed a First Amended Complaint addressing issues raised in Somalogic’s motion to dismiss. On April 22, 2024, the Court issued an order dismissing Somalogic’s motion to dismiss as moot. While the Company believes that it will be able to prevail as to its claims in this litigation, the Company may incur significant expense and management distraction in prosecuting this litigation. Moreover, notwithstanding management’s belief as to the strength of the Company’s claims in this matter, litigation generally, and patent litigation in particular, can be unpredictable. As such, management cannot be certain that the Company will prevail in this litigation.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under certain non-cancellable operating leases for office space and laboratory space. This space includes operating leases in Seattle, Washington, San Carlos, California, and San Diego, California.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future principal contractual obligations for operating lease commitments as of March 31, 2024:</w:t>
      </w:r>
    </w:p>
    <w:tbl>
      <w:tblPr>
        <w:tblW w:w="4829" w:type="dxa"/>
        <w:jc w:val="left"/>
        <w:tblInd w:w="0" w:type="dxa"/>
        <w:tblLayout w:type="fixed"/>
        <w:tblCellMar>
          <w:top w:w="28" w:type="dxa"/>
          <w:left w:w="28" w:type="dxa"/>
          <w:bottom w:w="28" w:type="dxa"/>
          <w:right w:w="28" w:type="dxa"/>
        </w:tblCellMar>
      </w:tblPr>
      <w:tblGrid>
        <w:gridCol w:w="1225"/>
        <w:gridCol w:w="1077"/>
        <w:gridCol w:w="1088"/>
        <w:gridCol w:w="279"/>
        <w:gridCol w:w="956"/>
        <w:gridCol w:w="204"/>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ending December 31, 2024</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cash paid for amounts included in the measurement of operating lease liabilities included in cash flows used in operating activities was $1.7 million and $1.2 million, respectively.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$1.0 million in cash-collateralized letters of credit with one financial institution in lieu of security deposits in connection with the San Carlos and San Diego lease agreements.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Basic and Diluted Net Loss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basic and diluted net loss per share attributable to common stockholders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2542"/>
        <w:gridCol w:w="2123"/>
        <w:gridCol w:w="2141"/>
        <w:gridCol w:w="264"/>
        <w:gridCol w:w="922"/>
        <w:gridCol w:w="109"/>
        <w:gridCol w:w="109"/>
        <w:gridCol w:w="109"/>
        <w:gridCol w:w="109"/>
        <w:gridCol w:w="264"/>
        <w:gridCol w:w="922"/>
        <w:gridCol w:w="109"/>
        <w:gridCol w:w="109"/>
        <w:gridCol w:w="109"/>
        <w:gridCol w:w="109"/>
        <w:gridCol w:w="155"/>
      </w:tblGrid>
      <w:tr>
        <w:trPr/>
        <w:tc>
          <w:tcPr>
            <w:tcW w:w="2542"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common stockholders,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125,135,451 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7390" w:type="dxa"/>
        <w:jc w:val="left"/>
        <w:tblInd w:w="0" w:type="dxa"/>
        <w:tblLayout w:type="fixed"/>
        <w:tblCellMar>
          <w:top w:w="28" w:type="dxa"/>
          <w:left w:w="28" w:type="dxa"/>
          <w:bottom w:w="28" w:type="dxa"/>
          <w:right w:w="28" w:type="dxa"/>
        </w:tblCellMar>
      </w:tblPr>
      <w:tblGrid>
        <w:gridCol w:w="1588"/>
        <w:gridCol w:w="1400"/>
        <w:gridCol w:w="1406"/>
        <w:gridCol w:w="551"/>
        <w:gridCol w:w="259"/>
        <w:gridCol w:w="259"/>
        <w:gridCol w:w="259"/>
        <w:gridCol w:w="259"/>
        <w:gridCol w:w="259"/>
        <w:gridCol w:w="524"/>
        <w:gridCol w:w="259"/>
        <w:gridCol w:w="367"/>
      </w:tblGrid>
      <w:tr>
        <w:trPr/>
        <w:tc>
          <w:tcPr>
            <w:tcW w:w="15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16,304,969</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13,603,285</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133,978</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60,694</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common share equivalents</w:t>
            </w:r>
          </w:p>
        </w:tc>
        <w:tc>
          <w:tcPr>
            <w:tcW w:w="10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16,438,947</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13,663,979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2023 and the related notes included in the Company’s Annual Report on Form 10-K filed with the SEC on February 28, 2024.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consumable production capacity internally or find one or more suitable manufacturing or production partners, or both, to meet the volume and quality requirements necessary to be successful in the proteomics market.</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During this phase, we plan to provide early access program partners with broad-scale analysis and profiling of samples analyzed in our facility and shared via a cloud platform. We anticipate early access engagements and associated revenue in 2025. We expect this second phase to lead into the third phase of broad commercialization and launch of our proteome analysis platform in 2025.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of approximately $345.5 million from PIPE Investors and the Business Combination, offset by approximately $18.2 million of transaction costs and underwriters’ fees relating to the closing of the Business Combination. As of March 31, 2024, we had cash, cash equivalents and short-term investments of $181.4 million. Based on this, we believe that our existing cash, cash equivalents, and short-term investments will enable us to fund our planned operating expenses and capital expenditures through at least the next 12 months.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since the commencement of our operations. Our net loss was $18.7 million during the three months ended March 31, 2024, and we expect to continue to incur significant losses for the foreseeable future as we continue our research and development activities and planned commercialization of our Nautilus platform. As of March 31, 2024, we had an accumulated deficit of $221.0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expenses and capital requirements will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operate as a public company.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noBreakHyphen/>
        <w:t xml:space="preserve">19 pandemic, </w:t>
      </w:r>
      <w:r>
        <w:rPr>
          <w:rFonts w:ascii="Times New Roman;sans-serif" w:hAnsi="Times New Roman;sans-serif"/>
          <w:b w:val="false"/>
          <w:color w:val="000000"/>
          <w:sz w:val="20"/>
          <w:shd w:fill="FFFFFF" w:val="clear"/>
        </w:rPr>
        <w:t>recent and any potential future financial institution failures,</w:t>
      </w:r>
      <w:r>
        <w:rPr>
          <w:color w:val="000000"/>
        </w:rPr>
        <w:t xml:space="preserve"> </w:t>
      </w:r>
      <w:r>
        <w:rPr>
          <w:rFonts w:ascii="Times New Roman;sans-serif" w:hAnsi="Times New Roman;sans-serif"/>
          <w:b w:val="false"/>
          <w:color w:val="000000"/>
          <w:sz w:val="20"/>
        </w:rPr>
        <w:t>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Impact of Negative Global or National Events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extreme weather conditions, increased economic uncertainty, inflation, rising interest rates, </w:t>
      </w:r>
      <w:r>
        <w:rPr>
          <w:rFonts w:ascii="Times New Roman;sans-serif" w:hAnsi="Times New Roman;sans-serif"/>
          <w:b w:val="false"/>
          <w:color w:val="000000"/>
          <w:sz w:val="20"/>
          <w:shd w:fill="FFFFFF" w:val="clear"/>
        </w:rPr>
        <w:t>recent and any potential future financial institution failures,</w:t>
      </w:r>
      <w:r>
        <w:rPr>
          <w:color w:val="000000"/>
        </w:rPr>
        <w:t xml:space="preserve"> </w:t>
      </w:r>
      <w:r>
        <w:rPr>
          <w:rFonts w:ascii="Times New Roman;sans-serif" w:hAnsi="Times New Roman;sans-serif"/>
          <w:b w:val="false"/>
          <w:color w:val="000000"/>
          <w:sz w:val="20"/>
        </w:rPr>
        <w:t xml:space="preserve">and conflicts in Eastern Europe, the Middle East and in other countries. The extent of the impact of these events and circumstances on our business, operations and development timelines and plans remains uncertain, and will depend on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We will continue to actively monitor any developments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of salaries, related benefits, and stock-based compensation expense for personnel in executive, operations, legal, human resources, finance, marketing, commercial, IT personnel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functions, professional fees for legal, patent, consulting, accounting and audit services, directors and officers insurance, allocated expenses for technology and facilities, and marketing expenses. We expense general and administrative expenses in the periods in which they are incurred.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income on our cash, cash equivalents and investments (including accretion and amortization of discounts and premiums on marketable debt securities), and other miscellaneous non-recurring expenses such as gains or losses on disposal of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2024 to the Three Months Ended March 31, 2023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condensed consolidated statements of operations for the periods indicated:</w:t>
      </w:r>
    </w:p>
    <w:tbl>
      <w:tblPr>
        <w:tblW w:w="7518" w:type="dxa"/>
        <w:jc w:val="left"/>
        <w:tblInd w:w="0" w:type="dxa"/>
        <w:tblLayout w:type="fixed"/>
        <w:tblCellMar>
          <w:top w:w="28" w:type="dxa"/>
          <w:left w:w="28" w:type="dxa"/>
          <w:bottom w:w="28" w:type="dxa"/>
          <w:right w:w="28" w:type="dxa"/>
        </w:tblCellMar>
      </w:tblPr>
      <w:tblGrid>
        <w:gridCol w:w="837"/>
        <w:gridCol w:w="734"/>
        <w:gridCol w:w="73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68"/>
        <w:gridCol w:w="272"/>
        <w:gridCol w:w="4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$12.9 million for the three months ended March 31, 2024, compared to $10.9 million for the three months ended March 31, 2023, an increase of $2.1 million, or 19%. The increase was due to a $1.3 million increase in salaries, related benefits, and stock-based compensation, a $0.7 million increase in laboratory supplies and equipment expense, and a $0.4 million increase in facilities costs. These increases were caused by increased headcount during the period and a new lease that commenced in March 2023. These increases were partially offset by a decrease of $0.5 million in professional services and external development services as more development efforts were performed by the Company. </w:t>
      </w:r>
    </w:p>
    <w:p>
      <w:pPr>
        <w:pStyle w:val="TextBody"/>
        <w:bidi w:val="0"/>
        <w:spacing w:lineRule="auto" w:line="288" w:before="0" w:after="180"/>
        <w:ind w:left="0" w:right="0" w:firstLine="360"/>
        <w:jc w:val="left"/>
        <w:rPr/>
      </w:pPr>
      <w:r>
        <w:rPr>
          <w:rFonts w:ascii="Times New Roman;sans-serif" w:hAnsi="Times New Roman;sans-serif"/>
          <w:b w:val="false"/>
          <w:i/>
          <w:color w:val="000000"/>
          <w:sz w:val="20"/>
        </w:rPr>
        <w:t>General and Administrative Expense</w:t>
      </w:r>
      <w:r>
        <w:rPr>
          <w:rFonts w:ascii="Times New Roman;sans-serif" w:hAnsi="Times New Roman;sans-serif"/>
          <w:b w:val="false"/>
          <w:i/>
          <w:color w:val="000000"/>
          <w:sz w:val="20"/>
          <w:shd w:fill="FFFFFF" w:val="clear"/>
        </w:rPr>
        <w: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were $8.7 million for the three months ended March 31, 2024, compared to $7.2 million for the three months ended March 31, 2023, an increase of $1.5 million, or 21%. The increase was due to a $0.7 million increase in salaries, related benefits, and stock-based compensation, attributable to increased hiring during the period, a $0.5 million increase in professional services from fees related to the shelf registration statement filed during the period, and a $0.1 million increase in other legal and audit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for the three months ended March 31, 2024 decreased compared to the three months ended March 31, 2023. The decrease was driven by the decrease in our cash, cash equivalents, and investments balance used to fund operations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Our net loss was $18.7 million for the three months ended March 31, 2024. As of March 31, 2024, we had an accumulated deficit of $221.0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March 31, 2024, we had cash, cash equivalents and investments of $247.7 million.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February 2024, we entered into a sales agreement (the “Sales Agreement”) with Cowen and Company, LLC (“TD Cowen”) </w:t>
      </w:r>
      <w:r>
        <w:rPr>
          <w:rFonts w:ascii="Times New Roman;sans-serif" w:hAnsi="Times New Roman;sans-serif"/>
          <w:b w:val="false"/>
          <w:color w:val="000000"/>
          <w:sz w:val="20"/>
        </w:rPr>
        <w:t>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three months ended March 31, 2024, we did not sell any shares of common stock pursuant to the sales agreement.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operate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noBreakHyphen/>
        <w:t xml:space="preserve">19 pandemic, </w:t>
      </w:r>
      <w:r>
        <w:rPr>
          <w:rFonts w:ascii="Times New Roman;sans-serif" w:hAnsi="Times New Roman;sans-serif"/>
          <w:b w:val="false"/>
          <w:color w:val="000000"/>
          <w:sz w:val="20"/>
          <w:shd w:fill="FFFFFF" w:val="clear"/>
        </w:rPr>
        <w:t xml:space="preserve">recent and any potential future financial institution failures, </w:t>
      </w:r>
      <w:r>
        <w:rPr>
          <w:rFonts w:ascii="Times New Roman;sans-serif" w:hAnsi="Times New Roman;sans-serif"/>
          <w:b w:val="false"/>
          <w:color w:val="000000"/>
          <w:sz w:val="20"/>
        </w:rPr>
        <w:t>the conflicts in Eastern Europe, the Middle East and in other countries, and otherwise. Our failure to raise additional capital, if needed, would have a negative impact on our financial condition and our ability to execute our business plan.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For the Three Months Ended March 31, 2024 and 2023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three months ended March 31, 2024 and 2023:</w:t>
      </w:r>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net cash used in operating activities was $16.3 million, resulting from our net loss of $18.7 million and decrease in net changes in assets and liabilities aggregating $1.5 million. Net cash used in operating activities was partially offset by non-cash charges aggregating $4.0 million, which included $3.1 million of stock-based compensation, $1.1 million of amortization of operating lease right-of-use assets, and $0.5 million of depreciation. These non-cash charges were partially offset by $0.8 million of net accretion of discounts on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During the three months ended March 31, 2023, net cash used in operating activities was $12.5 million, resulting from our net loss of $15.0 million and decrease in net changes in assets and liabilities aggregating $0.9 million. Net cash used in operating activities was partially offset by non-cash charges aggregating $3.4 million, which included $2.9 million of stock-based compensation, $0.8 million amortization of operating lease right-of-use assets, and </w:t>
      </w:r>
      <w:r>
        <w:rPr>
          <w:rFonts w:ascii="Times New Roman;sans-serif" w:hAnsi="Times New Roman;sans-serif"/>
          <w:b w:val="false"/>
          <w:color w:val="000000"/>
          <w:sz w:val="20"/>
        </w:rPr>
        <w:t>$0.4 million of depreciation</w:t>
      </w:r>
      <w:r>
        <w:rPr>
          <w:rFonts w:ascii="Times New Roman;sans-serif" w:hAnsi="Times New Roman;sans-serif"/>
          <w:b w:val="false"/>
          <w:color w:val="000000"/>
          <w:sz w:val="20"/>
          <w:shd w:fill="FFFFFF" w:val="clear"/>
        </w:rPr>
        <w:t xml:space="preserve">. These non-cash charges were partially offset by </w:t>
      </w:r>
      <w:r>
        <w:rPr>
          <w:rFonts w:ascii="Times New Roman;sans-serif" w:hAnsi="Times New Roman;sans-serif"/>
          <w:b w:val="false"/>
          <w:color w:val="000000"/>
          <w:sz w:val="20"/>
        </w:rPr>
        <w:t>$0.7 million of net accretion of discounts on securities.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net cash provided by investing activities was $22.4 million, resulting from $23.0 million in proceeds from the maturity of securities, partially offset by $0.6 million in purchases of property and equipment.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March 31, 2023, net cash used in investing activities was $13.5 million, resulting from $27.1 million in purchases of securities and $0.7 million in purchases of property and equipment, partially offset by $14.2 million in proceeds from maturities of securities.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cash provided by financing activities was comprised of $0.2 million of proceeds from exercise of stock options.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March 31, 2023, cash provided by financing activities was comprised of proceeds from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contractual obligations and commitments, refer to Part I, Item 1, Note 8, “Commitments and Contingencies,” in our notes to condensed consolidated financial statements in this Quarterly Report on Form 10-Q.</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Qualitative and Quantitative Disclosures About Market Risk</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 risk exposure is primarily a result of fluctuations in interest rates and inflation. We do not hold or issue financial instruments for trading purposes.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cash equivalents and investments of $247.7 million as of March 31, 2024.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March 31, 2024, the effect of a hypothetical 1.00% (100 basis point) change in interest rates would have changed the fair value of our marketable debt securities by $1.7 million. Such change would only be realized if we sold the marketable debt securities prior to maturity.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noBreakHyphen/>
        <w:t>15(e) and 15d</w:t>
        <w:noBreakHyphen/>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March 31, 2024.</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no change in our internal control over financial reporting during the quarter ended March 31, 2024 that has materially affected, or is reasonably likely to materially affect, our internal control over financial reporting.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Inherent Limitations on the Effectiveness of Controls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U.S. District Court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seeks declaratory judgment that Nautilus does not infringe any claims of US Patent No. 7,842,793 related to DNA origami structures (the ‘793 Patent), which Somalogic has allegedly licensed from the California Institute of Technology through its purchase of Palamedrix, Inc. We have taken this action in response to Somalogic’s allegations that the Nautilus proteome analysis platform infringes the claims of the ‘793 Patent. We believe that it does not use any technology related to what the ‘793 Patent purports to claim in any of the products or services that we are developing. Nor do we have any interest or plans to use such technology in any of our future products or services. We intend to vigorously pursue our claims in this litigation. On March 29, 2024, Somalogic filed a motion to dismiss the suit. On April 19, 2024, Nautilus filed a First Amended Complaint addressing issues raised in Somalogic’s motion to dismiss. On April 22, 2024, the Court issued an order dismissing Somalogic’s motion to dismiss as moot.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Item 1A. Risk Factors</w:t>
      </w:r>
      <w:r>
        <w:rPr>
          <w:color w:val="000000"/>
        </w:rPr>
        <w:t>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We are a development stage company that has incurred net losses in every period to date, has not yet commercialized any products, and expects to continue to incur significant losses as we develop our business.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Our business is entirely dependent on the successful development and commercialization of our proteomics platform (the “Nautilus platform”), which remains in the development stage and could be subject to delays, technical challenges and market acceptance challenges.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not compete successfully with our initial or future products in the highly competitive life sciences technology market.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are dependent upon third parties for certain aspects of the development and commercialization of the Nautilus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business depends significantly on research and development spending by pharmaceutical companies as well as by academic institutions and other research institutions and any reduction in spending could limit demand for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not be able to launch our Nautilus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operating results may fluctuate significantly in the future, which makes our future operating results difficult to predict and could cause our operating results to fall below expectations or our guidance.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need to raise additional capital to fund our development and commercialization plans.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We may not be able to protect our intellectual property and proprietary rights throughout the world. </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become involved in litigation to enforce or defend our intellectual property rights, or to defend ourselves from claims that we infringe the intellectual property rights of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face liability and/or negative publicity for any unknown defects or errors in our products.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products may, in the future, be subject to regulation by the FDA or other regulatory authorities.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are currently subject to, and may in the future become subject to additional, U.S. federal and state laws and regulations, as well as the laws and regulations of other countries, relating to how we collect, store and process personal information.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 xml:space="preserve">Future expansion of our development and commercialization activities outside of the United States, may subject us to an increased risk of inadvertently conducting activities in a manner that violates the U.S. Foreign Corrupt Practices Act and similar laws.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Environmental and health safety laws, including any failure to comply with such laws, may result in liabilities, expenses and restrictions on our operations.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experience a significant disruption in our information technology systems or breaches of data security.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are highly dependent on our key personnel, and if we are unable to recruit and retain key executives and scientists, we may not be able to achieve our goals.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operations and financial results could be adversely impacted by global and national events, such as the COVID-19 pandemic, conflicts in Eastern Europe and the Middle East, and general economic downturns.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Global supply chain interruptions may negatively impact the development and commercialization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 of and market for our Common Stock may be volatile, which could result in substantial losses for investors and/or an inability to readily trade in our Common Stock.</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timely and accurately report our financial results and projections as a public company may be impacted by the effectiveness of our internal controls, and our estimates and judgments relating to critical accounting policies.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 xml:space="preserve">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$18.7 million and $15.0 million during the years ended March 31, 2024 and 2023, respectively. As of March 31, 2024, we had an accumulated deficit of $221.0 million. These losses and accumulated deficit were primarily due to the substantial investments we made in the scientific and technological development of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platform. We expect to incur substantial losses and negative cash flows for the foreseeable future. In addition, as a public company, we will continue to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future success is entirely dependent on our ability to successfully develop and commercialize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 xml:space="preserve">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not yet commercially launched our Nautilus platform. We may not be able to launch our Nautilus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anticipate commercializing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During this phase, we plan to provide early access program partners with broad-scale analysis and profiling of samples analyzed in our facility and shared via a cloud platform. We anticipate early access engagements and associated revenue in 2025. We expect this second phase to lead into the third phase of broad commercialization and launch of our proteome analysis platform in 2025.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with a focus in part on publication of results in peer-reviewed scientific journals, we also intend to pursue additional, potentially revenue-generating collaborations in areas of biological interest. Among other examples, we may pursue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collaborations relating to the development and commercialization of therapeutic product candidates targeting proteins identified by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entering into collaborations, the success of such collaborations will depend heavily on the efforts and activities of our collaborators.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Scientific collaborations of the nature we propose to pursue are subject to numerous risks, including that: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have significant discretion in determining the efforts and resources that they will apply to a specific project;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own intellectual property covering products that result from our collaboration with them, and in such cases, we would not have the right to develop or commercialize such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co-own intellectual property covering products that result from our collaboration with them, and in such cases, we would not have the right to exclude others from developing or commercializing such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could independently develop, or develop with third parties, products that compete directly or indirectly with product candidates that are being developed under the collaboration with us;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could grant exclusive rights to our collaborators that would prevent us from collaborating with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disputes may arise between us and a collaborator that cause the delay or termination of the research, development, or commercialization of products or that result in costly litigation or arbitration that diverts management attention and resources;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collaborations may be terminated, and, if terminated, in addition to reducing our revenue, may reduce exposure to research and clinical trials that facilitate the collection and incorporation of new information into our platform;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collaborator’s sales and marketing activities or other operations may not be in compliance with applicable laws resulting in civil or criminal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we are able to complete development of our Nautilus platform, we may not achieve or maintain significant commercial market acceptance.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Even if we are able to complete development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w:t>
      </w:r>
      <w:r>
        <w:rPr>
          <w:color w:val="000000"/>
          <w:shd w:fill="FFFFFF" w:val="clear"/>
        </w:rPr>
        <w:t xml:space="preserve">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relative to existing technologies and to validate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takes longer than anticipated or does not occur, our business will be materially and adversely affected.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Specific, material factors that will influence our ability to achieve market acceptance include the following: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ability of our marketing and engagement initiatives to increase awareness of the capabilities of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ability of our Nautilus platform to demonstrate reliable performance in intended use applications, in particular, when the platform is used by customers in their own research;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demonstrate that the functionality and performance of our Nautilus platform relative to alternative products and technologies justifies the substantial anticipated cost of the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willingness of prospective customers to adopt new products and workflows;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ease of use of our Nautilus platform and whether it reliably provides significant advantages over alternative products and technologies;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rate of adoption of our Nautilus platform by biopharmaceutical companies, laboratories, academic institutions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prices at which we will be able to sell our Nautilus platform instruments and consumables;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develop new products, workflows, and solutions that meet customer requirements;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introduction or development and commercialization by competitors of new products or enhancements to existing products with functionality and/or performance similar to our Nautilus platform;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impact of our investments in product innovation and commercial growth.</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cannot assure you that we will be successful in addressing any of these criteria or any additional criteria that might affect the market acceptance of our products. If we are unsuccessful in achieving and maintaining market acceptance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our business, financial condition and results of operations would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order for us to commercialize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including our proteome analysis system and related consumables. Among other factors, we will need to develop reliable supply chains for the various components in our platform instruments and consumables to support large-scale commercial production. In connection with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establish an effective commercial organization, including effective distribution channels and sales and marketing functions, we may not be successful in commercializing our Nautilus platform.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only beginning to establish an internal organization focused specifically on the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Accordingly, these initiatives will adversely affect our operating expenses prior to us having material off-setting revenue, if 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develop these functions successfully, we will face a number of additional risks,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time and cost of establishing a specialized sales, marketing and customer service and support force.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may not gain market acceptance, which could materially impact our business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size of the markets for our Nautilus platform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market for proteomics technologies and products is evolving, making it difficult to predict with any accuracy the size of the markets for our current and future products,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i/>
          <w:color w:val="000000"/>
          <w:sz w:val="20"/>
        </w:rPr>
        <w:t>We are dependent on single source suppliers for some of the components and materials used in our</w:t>
      </w:r>
      <w:r>
        <w:rPr>
          <w:color w:val="000000"/>
          <w:shd w:fill="FFFFFF" w:val="clear"/>
        </w:rPr>
        <w:t xml:space="preserve"> </w:t>
      </w:r>
      <w:r>
        <w:rPr>
          <w:rFonts w:ascii="Times New Roman;sans-serif" w:hAnsi="Times New Roman;sans-serif"/>
          <w:b/>
          <w:i/>
          <w:color w:val="000000"/>
          <w:sz w:val="20"/>
        </w:rPr>
        <w:t>Nautilus platform, and the loss of any of these suppliers could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rely on single source suppliers for certain components and materials used in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including our click-reagent </w:t>
      </w:r>
      <w:r>
        <w:rPr>
          <w:rFonts w:ascii="Times New Roman;sans-serif" w:hAnsi="Times New Roman;sans-serif"/>
          <w:b w:val="false"/>
          <w:color w:val="000000"/>
          <w:sz w:val="20"/>
          <w:shd w:fill="FFFFFF" w:val="clear"/>
        </w:rPr>
        <w:t>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w:t>
      </w:r>
      <w:r>
        <w:rPr>
          <w:rFonts w:ascii="Times New Roman;sans-serif" w:hAnsi="Times New Roman;sans-serif"/>
          <w:b w:val="false"/>
          <w:color w:val="000000"/>
          <w:sz w:val="20"/>
        </w:rPr>
        <w:t xml:space="preserve">urrently have contracts for third parties to provide manufacturing capabilities for each component of our </w:t>
      </w:r>
      <w:r>
        <w:rPr>
          <w:rFonts w:ascii="Times New Roman;sans-serif" w:hAnsi="Times New Roman;sans-serif"/>
          <w:b w:val="false"/>
          <w:color w:val="000000"/>
          <w:sz w:val="20"/>
          <w:shd w:fill="FFFFFF" w:val="clear"/>
        </w:rPr>
        <w:t>Nautilus platform for which we expect to employ such third party manufacturers</w:t>
      </w:r>
      <w:r>
        <w:rPr>
          <w:rFonts w:ascii="Times New Roman;sans-serif" w:hAnsi="Times New Roman;sans-serif"/>
          <w:b w:val="false"/>
          <w:color w:val="000000"/>
          <w:sz w:val="20"/>
        </w:rPr>
        <w:t>,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also rely, and expect to continue to rely, on third-party manufacturers and, in many cases, single third-party manufacturers for the production of certain reagents and antibodies needed to generate the deep proteomic information at the speed and scale which we expect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life sciences technology market is highly competitive. If we fail to compete effectively, our business and results of operation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face significant competition in the life sciences technology market. We currently compete with technology and diagnostic companies tha</w:t>
      </w:r>
      <w:r>
        <w:rPr>
          <w:rFonts w:ascii="Times New Roman;sans-serif" w:hAnsi="Times New Roman;sans-serif"/>
          <w:b w:val="false"/>
          <w:color w:val="000000"/>
          <w:sz w:val="20"/>
          <w:shd w:fill="FFFFFF" w:val="clear"/>
        </w:rPr>
        <w:t>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We also compete with a number of emerging companies that are developing proteomic products and solut</w:t>
      </w:r>
      <w:r>
        <w:rPr>
          <w:rFonts w:ascii="Times New Roman;sans-serif" w:hAnsi="Times New Roman;sans-serif"/>
          <w:b w:val="false"/>
          <w:color w:val="000000"/>
          <w:sz w:val="20"/>
        </w:rPr>
        <w: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current competitors are large publicly-traded companies, or are divisions of large publicly-traded companies, and enjoy a number of competitive advantages over us,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greater name and brand recognition;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greater financial and human resources;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broader product lines;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larger sales forces and more established distributor networks;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substantial intellectual property portfolios;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larger and more established customer bases and relationships;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better established, larger scale and lower cost manufacturing capabilities.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investors that our products will compete favorably or that we will be successful in the face of increasing competition from products and technologies introduced by our existing or future competitors or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our Nautilus platform is commercialized and achieves broad scientific and market acceptance, if we fail to improve it or introduce compelling new products, our revenue and our prospects could be harmed.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life sciences industry is characterized by rapid and significant technological changes, frequent new product introductions and enhancements and evolving industry standards. Even if we are able to commercialize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achieve broad scientific and market acceptance, our ability to attract new customers and increase revenue from existing customers will depend in large part on our ability to enhance and improve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to introduce compelling new products. The success of any enhancement to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that we develop may not be introduced in a timely or cost-effective manner, may contain defects, errors, vulnerabilities or bugs, or may not achieve the market acceptance necessary to generate significant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expect that our revenue in the foreseeable future will be derived primarily from sales of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These reductions and delays may result from factors that are not within our control, such as: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decreases in government funding of research and development;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changes in economic conditions, including recessionary effects, inflationary pressures </w:t>
      </w:r>
      <w:r>
        <w:rPr>
          <w:rFonts w:ascii="Times New Roman;sans-serif" w:hAnsi="Times New Roman;sans-serif"/>
          <w:b w:val="false"/>
          <w:color w:val="000000"/>
          <w:sz w:val="20"/>
        </w:rPr>
        <w:t xml:space="preserve">and instability in the global financial markets, including with respect to </w:t>
      </w:r>
      <w:r>
        <w:rPr>
          <w:rFonts w:ascii="Times New Roman;sans-serif" w:hAnsi="Times New Roman;sans-serif"/>
          <w:b w:val="false"/>
          <w:color w:val="000000"/>
          <w:sz w:val="20"/>
          <w:shd w:fill="FFFFFF" w:val="clear"/>
        </w:rPr>
        <w:t>any</w:t>
      </w:r>
      <w:r>
        <w:rPr>
          <w:color w:val="000000"/>
        </w:rPr>
        <w:t xml:space="preserve"> </w:t>
      </w:r>
      <w:r>
        <w:rPr>
          <w:rFonts w:ascii="Times New Roman;sans-serif" w:hAnsi="Times New Roman;sans-serif"/>
          <w:b w:val="false"/>
          <w:color w:val="000000"/>
          <w:sz w:val="20"/>
        </w:rPr>
        <w:t>future financial institution failures</w:t>
      </w:r>
      <w:r>
        <w:rPr>
          <w:rFonts w:ascii="Times New Roman;sans-serif" w:hAnsi="Times New Roman;sans-serif"/>
          <w:b w:val="false"/>
          <w:color w:val="000000"/>
          <w:sz w:val="20"/>
          <w:shd w:fill="FFFFFF" w:val="clear"/>
        </w:rPr>
        <w: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the regulatory environment affecting life science and Ag-Bio companies engaged in research and commercial activities;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differences in budget cycles across various geographies and industries;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market-driven pressures on companies to consolidate operations and reduce costs;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mergers and acquisitions in the life science and Ag-Bio industries;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 factors affecting research and development spending.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specific factors that may result in fluctuations include, without limitation: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and cost of, and level of investment in, research and development and commercialization activities relating to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our ability to successfully establish and successfully maintain appropriate collaborations and derive revenue from those collaborations; </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any litigation or governmental investigations involving us, our industry or both;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successfully develop and commercialize our Nautilus platform on our anticipated timeline.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level of demand for any products we are able to commercialize, particularly our Nautilus platform, which may vary significantly from period to period;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drive adoption of our Nautilus platform in our target markets and our ability to expand into any future target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prices at which we will be able to sell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volume and mix of our sales between consumables, instruments and software, or changes in the manufacturing or sales costs related to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and amount of expenditures that we may incur to develop, commercialize or acquire additional products and technologies or for other purposes, such as the expansion of our facilities;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governmental funding of life sciences research and development or changes that impact budgets and budget cycles;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seasonal spending patterns of our customers;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of when we recognize any revenue;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future accounting pronouncements or changes in our accounting policies;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higher than anticipated service, replacement and warranty costs;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impact of the COVID-19 pandemic, the conflicts in Eastern Europe and the Middle East, recent and any potential future financial institution failures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and other national and global events on the economy, investment in life sciences and research industries, our business operations, and resources and operations of our customers, suppliers, and distributors;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general industry, economic and market conditions and other factors, including factors unrelated to our operating performance or the operating performance of our competitors.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a life sciences technology company with a limited operating history. We have not completed development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or any other products and have not generated any revenue to date. Our operations to date have been limited to developing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 business with a limited operating history, we may encounter unforeseen expenses, difficulties, complications, delays and other known and unknown obstacles. We will eventually need to transition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development and commercialization plans.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we will need to raise additional capital in the future to expand our business, to pursue strategic investments, to take advantage of financing or acquisition opportunities or for other reasons,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funding development and marketing efforts of our Nautilus platform or any other future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increasing our sales and marketing and other commercialization efforts to drive market adoption of our Nautilus platform, once commercialized;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expanding our technologies into additional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preparing,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acquiring, licensing or defending against third party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acquiring or investing in complementary technologies, businesses or assets;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financing capital expenditures and general and administrative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delays in execution of our development plans;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scope and timing of our investment in our sales, marketing, and distribution capabilities;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to our business that affect ongoing operating expenses;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costs of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in our business or commercialization strategy;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in our research and development spending plans;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effect of competing technological and market developments;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need to implement additional infrastructure and internal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the impact of the COVID-19 pandemic, </w:t>
      </w:r>
      <w:r>
        <w:rPr>
          <w:rFonts w:ascii="Times New Roman;sans-serif" w:hAnsi="Times New Roman;sans-serif"/>
          <w:b w:val="false"/>
          <w:color w:val="000000"/>
          <w:sz w:val="20"/>
        </w:rPr>
        <w:t>the conflicts in Eastern Europe and the Middle East</w:t>
      </w:r>
      <w:r>
        <w:rPr>
          <w:rFonts w:ascii="Times New Roman;sans-serif" w:hAnsi="Times New Roman;sans-serif"/>
          <w:b w:val="false"/>
          <w:color w:val="000000"/>
          <w:sz w:val="20"/>
          <w:shd w:fill="FFFFFF" w:val="clear"/>
        </w:rPr>
        <w: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noBreakHyphen/>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 costs related to litigation or other patent proceedings in our attempts to recover or restrict use of our intellectual property.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w:t>
      </w:r>
      <w:r>
        <w:rPr>
          <w:rFonts w:ascii="Times New Roman;sans-serif" w:hAnsi="Times New Roman;sans-serif"/>
          <w:b w:val="false"/>
          <w:color w:val="000000"/>
          <w:sz w:val="20"/>
          <w:shd w:fill="FFFFFF" w:val="clear"/>
        </w:rPr>
        <w:t>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Various courts, including the U.S. Supreme Court, have recently rendered decisions that impact the scope of patentability of certain inventions or discoveries relating to our technology and commercial goals. Specifically, these </w:t>
      </w:r>
      <w:r>
        <w:rPr>
          <w:rFonts w:ascii="Times New Roman;sans-serif" w:hAnsi="Times New Roman;sans-serif"/>
          <w:b w:val="false"/>
          <w:color w:val="000000"/>
          <w:sz w:val="20"/>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cannot assure you that our patent portfolio will not be negatively impacted by the current uncertain state of the law, new court rulings or changes in guidance or procedures issued by governments or patent offices around the world. From ti</w:t>
      </w:r>
      <w:r>
        <w:rPr>
          <w:rFonts w:ascii="Times New Roman;sans-serif" w:hAnsi="Times New Roman;sans-serif"/>
          <w:b w:val="false"/>
          <w:color w:val="000000"/>
          <w:sz w:val="20"/>
          <w:shd w:fill="FFFFFF" w:val="clear"/>
        </w:rPr>
        <w:t>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throughout the world.</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Many companies have enc</w:t>
      </w:r>
      <w:r>
        <w:rPr>
          <w:rFonts w:ascii="Times New Roman;sans-serif" w:hAnsi="Times New Roman;sans-serif"/>
          <w:b w:val="false"/>
          <w:color w:val="000000"/>
          <w:sz w:val="20"/>
        </w:rPr>
        <w:t xml:space="preserve">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For example, on December 14, 2023, we filed suit in the United States District Court for the Northern District of California against Somalogic, Inc. (Somalogic) which recently merged with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now part of “Standard Biotools, Inc.”, and the California Institute of Technology. This suit seeks declaratory judgment that we do not infringe any claims of US Patent No. 7,842,793 related to DNA origami structures (the ‘793 Patent), which Somalogic has allegedly licensed from the California Institute of Technology through its purchase of Palamedrix, Inc. We took this action in response to Somalogic’s allegations that our proteome analysis platform infringes the claims of the ‘793 Patent. Notwithstanding our belief as to the strength of our claims, litigation generally, and patent litigation in particular, can be unpredictable. If we do not succeed in establishing that our products or services do not infringe the claims of the ‘793 Patent, it could negatively impact our business by imposing royalties on our products or services, requiring significant redevelopment of certain aspects of our products and/or preventing us from making, using or selling our products or services. Even if we were to prevail in this or any future litigation, litigation could also result in substantial costs and diversion of resources and could have a material adverse effect on our business, operating results or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owned and any future licensed patents and</w:t>
      </w:r>
      <w:r>
        <w:rPr>
          <w:color w:val="000000"/>
          <w:shd w:fill="FFFFFF" w:val="clear"/>
        </w:rPr>
        <w:t xml:space="preserve"> </w:t>
      </w:r>
      <w:r>
        <w:rPr>
          <w:rFonts w:ascii="Times New Roman;sans-serif" w:hAnsi="Times New Roman;sans-serif"/>
          <w:b w:val="false"/>
          <w:color w:val="000000"/>
          <w:sz w:val="20"/>
          <w:shd w:fill="FFFFFF" w:val="clear"/>
        </w:rPr>
        <w:t xml:space="preserve">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sans-serif" w:hAnsi="Times New Roman;sans-serif"/>
          <w:b w:val="false"/>
          <w:i/>
          <w:color w:val="000000"/>
          <w:sz w:val="20"/>
        </w:rPr>
        <w:t>inter partes</w:t>
      </w:r>
      <w:r>
        <w:rPr>
          <w:color w:val="000000"/>
          <w:shd w:fill="FFFFFF" w:val="clear"/>
        </w:rPr>
        <w:t xml:space="preserve"> </w:t>
      </w:r>
      <w:r>
        <w:rPr>
          <w:rFonts w:ascii="Times New Roman;sans-serif" w:hAnsi="Times New Roman;sans-serif"/>
          <w:b w:val="false"/>
          <w:color w:val="000000"/>
          <w:sz w:val="20"/>
          <w:shd w:fill="FFFFFF" w:val="clear"/>
        </w:rPr>
        <w:t>review, post-grant review or interference or other similar proceedings. Any successful third-party challenge to our patents in this or any other proceeding could result in the unenforceability or invalidity of such patents, which may lead to increase</w:t>
      </w:r>
      <w:r>
        <w:rPr>
          <w:rFonts w:ascii="Times New Roman;sans-serif" w:hAnsi="Times New Roman;sans-serif"/>
          <w:b w:val="false"/>
          <w:color w:val="000000"/>
          <w:sz w:val="20"/>
        </w:rPr>
        <w:t>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w:t>
      </w:r>
      <w:r>
        <w:rPr>
          <w:rFonts w:ascii="Times New Roman;sans-serif" w:hAnsi="Times New Roman;sans-serif"/>
          <w:b w:val="false"/>
          <w:color w:val="000000"/>
          <w:sz w:val="20"/>
          <w:shd w:fill="FFFFFF" w:val="clear"/>
        </w:rPr>
        <w:t xml:space="preserve">isleading statement, during prosecution. Third parties may also raise similar claims before administrative bodies in the United States or abroad, even outside the context of litigation. Such mechanisms include ex parte re-examination, </w:t>
      </w:r>
      <w:r>
        <w:rPr>
          <w:rFonts w:ascii="Times New Roman;sans-serif" w:hAnsi="Times New Roman;sans-serif"/>
          <w:b w:val="false"/>
          <w:i/>
          <w:color w:val="000000"/>
          <w:sz w:val="20"/>
        </w:rPr>
        <w:t>inter partes</w:t>
      </w:r>
      <w:r>
        <w:rPr>
          <w:color w:val="000000"/>
          <w:shd w:fill="FFFFFF" w:val="clear"/>
        </w:rPr>
        <w:t xml:space="preserve"> </w:t>
      </w:r>
      <w:r>
        <w:rPr>
          <w:rFonts w:ascii="Times New Roman;sans-serif" w:hAnsi="Times New Roman;sans-serif"/>
          <w:b w:val="false"/>
          <w:color w:val="000000"/>
          <w:sz w:val="20"/>
          <w:shd w:fill="FFFFFF" w:val="clear"/>
        </w:rPr>
        <w:t>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may not be aware of all third-party intel</w:t>
      </w:r>
      <w:r>
        <w:rPr>
          <w:rFonts w:ascii="Times New Roman;sans-serif" w:hAnsi="Times New Roman;sans-serif"/>
          <w:b w:val="false"/>
          <w:color w:val="000000"/>
          <w:sz w:val="20"/>
        </w:rPr>
        <w:t xml:space="preserve">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rely heavily on trade secrets and confidentiality agreements to protect our unpatented know-how, technology and other proprietary information, including parts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w:t>
      </w:r>
      <w:r>
        <w:rPr>
          <w:rFonts w:ascii="Times New Roman;sans-serif" w:hAnsi="Times New Roman;sans-serif"/>
          <w:b w:val="false"/>
          <w:color w:val="000000"/>
          <w:sz w:val="20"/>
          <w:shd w:fill="FFFFFF" w:val="clear"/>
        </w:rPr>
        <w:t>,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claims challenging the inventorship of our patents and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w:t>
      </w:r>
      <w:r>
        <w:rPr>
          <w:rFonts w:ascii="Times New Roman;sans-serif" w:hAnsi="Times New Roman;sans-serif"/>
          <w:b w:val="false"/>
          <w:color w:val="000000"/>
          <w:sz w:val="20"/>
        </w:rPr>
        <w:t xml:space="preserve">portant to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Nautilus platform for an adequate amount of time.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w:t>
      </w:r>
      <w:r>
        <w:rPr>
          <w:rFonts w:ascii="Times New Roman;sans-serif" w:hAnsi="Times New Roman;sans-serif"/>
          <w:b w:val="false"/>
          <w:color w:val="000000"/>
          <w:sz w:val="20"/>
          <w:shd w:fill="FFFFFF" w:val="clear"/>
        </w:rPr>
        <w:t>ensates a patentee for administrative delays by the USPTO in examining and granting a patent, or may be shortened</w:t>
      </w:r>
      <w:r>
        <w:rPr>
          <w:color w:val="000000"/>
        </w:rPr>
        <w:t xml:space="preserve"> </w:t>
      </w:r>
      <w:r>
        <w:rPr>
          <w:rFonts w:ascii="Times New Roman;sans-serif" w:hAnsi="Times New Roman;sans-serif"/>
          <w:b w:val="false"/>
          <w:color w:val="000000"/>
          <w:sz w:val="20"/>
        </w:rPr>
        <w:t>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Furthermore, we or any future licensor may in the futur</w:t>
      </w:r>
      <w:r>
        <w:rPr>
          <w:rFonts w:ascii="Times New Roman;sans-serif" w:hAnsi="Times New Roman;sans-serif"/>
          <w:b w:val="false"/>
          <w:color w:val="000000"/>
          <w:sz w:val="20"/>
          <w:shd w:fill="FFFFFF" w:val="clear"/>
        </w:rPr>
        <w:t xml:space="preserve">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w:t>
      </w:r>
      <w:r>
        <w:rPr>
          <w:rFonts w:ascii="Times New Roman;sans-serif" w:hAnsi="Times New Roman;sans-serif"/>
          <w:b w:val="false"/>
          <w:color w:val="000000"/>
          <w:sz w:val="20"/>
        </w:rPr>
        <w:t xml:space="preserve">other consultants that are or have been employed by third parties, which may assert an ownership right in any of our owned patents or patent applications. In addition, we are aware that we might not be able to obtain ownership of or seek a license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and failure to comply with the terms of the underlying open source software licenses could impose limitations on our ability to commercialize our products and provide third parties to our proprietary software.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others may be able to make products that are similar to products and technologies we may develop or may be able to utilize similar technologies that are not covered by the claims of the patents that we own or licenses now or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or any future licensor(s), might not have been the first to make the inventions covered by the issued patent or pending patent application that we license or may own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or any future licensor(s), might not have been the first to file patent applications covering certain of our or their inventions;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others may independently develop similar or alternative technologies or duplicate any of our technologies without infringing, misappropriating or otherwise violating our owned or future licensed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it is possible that our pending patent applications or those that we may license or own in the future will not lead to issued patents;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issued patents that we hold rights to may be held invalid or unenforceable, including as a result of legal challenges by our competitors;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not develop additional proprietary technologies that are patentable;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patents of others may harm our business;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choose not to file a patent for certain trade secrets or know-how, and a third party may independently derive, use, commercialize, publish or patent such intellectual property.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products could have unknown defects or errors, which may give rise to claims against us and adversely affect market adoption of our Nautilus platform.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these risks may increase. We expect to provide warranties that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will meet performance expectations or be free from defects. The costs incurred in correcting any defects or errors may be substantial and could adversely affect our operating margins.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manufacturing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products contain defects, we may experience: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failure to achieve market acceptance or expansion of our product sales;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loss of customer orders and delay in order fulfillment;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damage to our brand reputation;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increased cost of our warranty program due to product repair or replacement;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product recalls or replacements;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inability to attract new customers;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diversion of resources from our manufacturing and research and development departments into our service department;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legal claims against us, including product liability claims, which could be costly and time consuming to defend and result in substantial damages.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foregoing could negatively affect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sued for product liability, we could face substantial liabilities that exceed our resources.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products are currently labeled and promoted, and are, and in the n</w:t>
      </w:r>
      <w:r>
        <w:rPr>
          <w:rFonts w:ascii="Times New Roman;sans-serif" w:hAnsi="Times New Roman;sans-serif"/>
          <w:b w:val="false"/>
          <w:color w:val="000000"/>
          <w:sz w:val="20"/>
          <w:shd w:fill="FFFFFF" w:val="clear"/>
        </w:rPr>
        <w:t>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w:t>
      </w:r>
      <w:r>
        <w:rPr>
          <w:rFonts w:ascii="Times New Roman;sans-serif" w:hAnsi="Times New Roman;sans-serif"/>
          <w:b w:val="false"/>
          <w:color w:val="000000"/>
          <w:sz w:val="20"/>
        </w:rPr>
        <w:t>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w</w:t>
      </w:r>
      <w:r>
        <w:rPr>
          <w:rFonts w:ascii="Times New Roman;sans-serif" w:hAnsi="Times New Roman;sans-serif"/>
          <w:b w:val="false"/>
          <w:color w:val="000000"/>
          <w:sz w:val="20"/>
          <w:shd w:fill="FFFFFF" w:val="clear"/>
        </w:rPr>
        <w:t>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w:t>
      </w:r>
      <w:r>
        <w:rPr>
          <w:color w:val="000000"/>
        </w:rPr>
        <w:t xml:space="preserve"> </w:t>
      </w:r>
      <w:r>
        <w:rPr>
          <w:rFonts w:ascii="Times New Roman;sans-serif" w:hAnsi="Times New Roman;sans-serif"/>
          <w:b w:val="false"/>
          <w:color w:val="000000"/>
          <w:sz w:val="20"/>
          <w:shd w:fill="FFFFFF" w:val="clear"/>
        </w:rPr>
        <w:t>regulatory requirements of the Medicines and Healthcare products Regulatory Agency (the “MHRA”), including the new UK Medical Device Regulations, which are scheduled to go into effect by July 2024. In July 2023, MHRA updated its guidance to reflect that the government now aims to delay implementation of the core aspects of the regulations to July 2025.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w:t>
      </w:r>
      <w:r>
        <w:rPr>
          <w:rFonts w:ascii="Times New Roman;sans-serif" w:hAnsi="Times New Roman;sans-serif"/>
          <w:b w:val="false"/>
          <w:color w:val="000000"/>
          <w:sz w:val="20"/>
        </w:rPr>
        <w:t>nts or obtain and maintain required approvals, clearances or certifications could impair our ability to commercialize our products for diagnostic use outside of the United States.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do not currentl</w:t>
      </w:r>
      <w:r>
        <w:rPr>
          <w:rFonts w:ascii="Times New Roman;sans-serif" w:hAnsi="Times New Roman;sans-serif"/>
          <w:b w:val="false"/>
          <w:color w:val="000000"/>
          <w:sz w:val="20"/>
          <w:shd w:fill="FFFFFF" w:val="clear"/>
        </w:rPr>
        <w:t>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 FDA has historically exercised enforcement discretion in not enforcing the medical device regulations against laboratories offering LDTs. FDA recently issued a proposed rule that, if finalized, will amend FDA’s regulations to make explicit that </w:t>
      </w:r>
      <w:r>
        <w:rPr>
          <w:rFonts w:ascii="Times New Roman;sans-serif" w:hAnsi="Times New Roman;sans-serif"/>
          <w:b w:val="false"/>
          <w:i/>
          <w:color w:val="000000"/>
          <w:sz w:val="20"/>
        </w:rPr>
        <w:t>in vitro</w:t>
      </w:r>
      <w:r>
        <w:rPr>
          <w:color w:val="000000"/>
          <w:shd w:fill="FFFFFF" w:val="clear"/>
        </w:rPr>
        <w:t xml:space="preserve"> </w:t>
      </w:r>
      <w:r>
        <w:rPr>
          <w:rFonts w:ascii="Times New Roman;sans-serif" w:hAnsi="Times New Roman;sans-serif"/>
          <w:b w:val="false"/>
          <w:color w:val="000000"/>
          <w:sz w:val="20"/>
          <w:shd w:fill="FFFFFF" w:val="clear"/>
        </w:rPr>
        <w:t xml:space="preserve">diagnostis (“IVDs”) are devices under the Federal Food, Drug, and Cosmetic Act, including when the manufacturer of the IVD is a laboratory and will phase out its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discretion for LDTs. It is unclear how this proposed rule, if finalized, as well as future legislation by the government will impact the industry, including our business and that of our customers.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w:t>
      </w:r>
      <w:r>
        <w:rPr>
          <w:rFonts w:ascii="Times New Roman;sans-serif" w:hAnsi="Times New Roman;sans-serif"/>
          <w:b w:val="false"/>
          <w:color w:val="000000"/>
          <w:sz w:val="20"/>
          <w:shd w:fill="FFFFFF" w:val="clear"/>
        </w:rPr>
        <w:t>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w:t>
      </w:r>
      <w:r>
        <w:rPr>
          <w:rFonts w:ascii="Times New Roman;sans-serif" w:hAnsi="Times New Roman;sans-serif"/>
          <w:b w:val="false"/>
          <w:color w:val="000000"/>
          <w:sz w:val="20"/>
        </w:rPr>
        <w:t>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possible that they will be interpreted and applied in ways that may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w:t>
      </w:r>
      <w:r>
        <w:rPr>
          <w:rFonts w:ascii="Times New Roman;sans-serif" w:hAnsi="Times New Roman;sans-serif"/>
          <w:b w:val="false"/>
          <w:color w:val="000000"/>
          <w:sz w:val="20"/>
          <w:shd w:fill="FFFFFF" w:val="clear"/>
        </w:rPr>
        <w:t>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For example, Virginia, Colorado, Utah and Connecticut have each passed laws similar to but different from the CCPA and CPRA that have taken effect in 2023; Florida, Montana, Oregon and Texas have enacted similar laws that go into effect in 2024; Tennessee, Delaware and Iowa have enacted similar laws that go into effect in 2025; and Indiana has enacted a similar law that will go into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regulations promulgated pursuant to the Health Insurance Portability and Accountability Act of 1996 (the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in the process of evaluating compliance needs but do not currently have in place formal policies and procedures related to the storage, collection and processing of information, and have not conducted any internal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shd w:fill="FFFFFF" w:val="clear"/>
        </w:rPr>
        <w:t>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w:t>
      </w:r>
      <w:r>
        <w:rPr>
          <w:rFonts w:ascii="Times New Roman;sans-serif" w:hAnsi="Times New Roman;sans-serif"/>
          <w:b w:val="false"/>
          <w:color w:val="000000"/>
          <w:sz w:val="20"/>
        </w:rPr>
        <w:t>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use of artificial intelligence and machine learning technologies may result in reputational harm or liability.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commercialize our Nautilus platform outside of the United States, our international business could expose us to business, tax, regulatory, political, operational, financial, and economic risks associated with doing business outside of the United States.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we commercialize our</w:t>
      </w:r>
      <w:r>
        <w:rPr>
          <w:color w:val="000000"/>
          <w:shd w:fill="FFFFFF" w:val="clear"/>
        </w:rPr>
        <w:t xml:space="preserve">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outside of the United States, our international business may be adversely affected by changing economic, political and regulatory conditions in foreign countries. Engaging in international business inherently involves a number of difficulties and risks,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required compliance with existing and changing foreign regulatory requirements and laws;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required compliance with U.S. laws such as the Foreign Corrupt Practices Act, and other U.S. federal laws and regulations established by the office of Foreign Asset Control;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export or import restrictions;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laws and business practices favoring local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foreign currency exchange, longer payment cycles and difficulties in enforcing agreements and collecting receivables through certain foreign legal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political and economic instability;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potentially adverse tax consequences, tariffs, customs charges, bureaucratic requirements and other trade barriers;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difficulties and costs of staffing and managing foreign operations, including compliance with diverse and complex local employment laws and practices;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difficulties protecting, maintaining, enforcing or procuring intellectual property rights.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if we commercialize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outside of the United States, we may rely on distributors for sales of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pStyle w:val="TextBody"/>
        <w:bidi w:val="0"/>
        <w:spacing w:lineRule="auto" w:line="288" w:before="0" w:after="180"/>
        <w:ind w:left="0" w:right="0" w:firstLine="360"/>
        <w:jc w:val="left"/>
        <w:rPr/>
      </w:pPr>
      <w:r>
        <w:rPr>
          <w:rFonts w:ascii="Times New Roman;sans-serif" w:hAnsi="Times New Roman;sans-serif"/>
          <w:b/>
          <w:i/>
          <w:color w:val="000000"/>
          <w:sz w:val="20"/>
        </w:rPr>
        <w:t xml:space="preserve">If we expand our development and commercialization activities outside of the United States, we will be subject to an increased risk of conducting activities in a manner that violates the U.S. Foreign Corrupt Practices Act and similar laws. If that occurs, </w:t>
      </w:r>
      <w:r>
        <w:rPr>
          <w:rFonts w:ascii="Times New Roman;sans-serif" w:hAnsi="Times New Roman;sans-serif"/>
          <w:b/>
          <w:i/>
          <w:color w:val="000000"/>
          <w:sz w:val="20"/>
          <w:shd w:fill="FFFFFF" w:val="clear"/>
        </w:rPr>
        <w:t>we may be subject to civil or criminal penalties and other adverse consequences which could have a material adverse effect on our business, financial condition, results of operations and growth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w:t>
      </w:r>
      <w:r>
        <w:rPr>
          <w:color w:val="000000"/>
        </w:rPr>
        <w:t xml:space="preserve"> </w:t>
      </w:r>
      <w:r>
        <w:rPr>
          <w:rFonts w:ascii="Times New Roman;sans-serif" w:hAnsi="Times New Roman;sans-serif"/>
          <w:b w:val="false"/>
          <w:color w:val="000000"/>
          <w:sz w:val="20"/>
          <w:shd w:fill="FFFFFF" w:val="clear"/>
        </w:rPr>
        <w:t>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w:t>
      </w:r>
      <w:r>
        <w:rPr>
          <w:rFonts w:ascii="Times New Roman;sans-serif" w:hAnsi="Times New Roman;sans-serif"/>
          <w:b w:val="false"/>
          <w:color w:val="000000"/>
          <w:sz w:val="20"/>
        </w:rPr>
        <w:t>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Demand for our technology could be reduced by legal, social and ethical concerns surrounding the use of genetic information and biological materials.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cybersecurity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cyber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 security risks. While cyber insurance may be available for companies, any available insurance for cyber events, may be limited in amount, subject to deductibles, and may not be adequate to cover us for all costs arising from cyber security incidents. Given increasing cyber security risks, cyber insurance may not be available to us in the future, or may not be available on commercially reasonable terms.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impossible for us to entirely mitigate these risks.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security measures, or those of our vendors and partners, are compromised due to cybersecurity attacks or security breaches or incidents,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unable to manage our anticipated growth effectively.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March 31, 2024, we had 163 employees. To execute our anticipated growth successfully, we must continue to attract and retain qualified personnel and manage and train them effectively. Developing and commercializing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these requirements and effectively manage these growth activities. We may face challenges integrating, developing and motivating our rapidly growing employee base.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recruit and retain key executives and scientists, we may be unable to achieve our goals.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performance is substan</w:t>
      </w:r>
      <w:r>
        <w:rPr>
          <w:rFonts w:ascii="Times New Roman;sans-serif" w:hAnsi="Times New Roman;sans-serif"/>
          <w:b w:val="false"/>
          <w:color w:val="000000"/>
          <w:sz w:val="20"/>
          <w:shd w:fill="FFFFFF" w:val="clear"/>
        </w:rPr>
        <w:t>tially dependent on the performance of our senior management and key scientific and technical personnel, particularly Sujal Patel, one of our founders and our Chief Executive Officer, and Parag Mallick, one of our founders and our Chief Scientist.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r>
        <w:rPr>
          <w:color w:val="000000"/>
        </w:rPr>
        <w:t xml:space="preserve"> </w:t>
      </w:r>
      <w:r>
        <w:rPr>
          <w:rFonts w:ascii="Times New Roman;sans-serif" w:hAnsi="Times New Roman;sans-serif"/>
          <w:b w:val="false"/>
          <w:color w:val="000000"/>
          <w:sz w:val="20"/>
        </w:rPr>
        <w:t>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as a result of multiple global events, including the COVID-19 pandemic, the conflicts in Eastern Europe and the Middle East, increasing interest rates, instability in the global financial markets, and general economic downturns, could adversely affect our ability to raise capital and our business, results of operations and financial condition.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While the potential economic impact brought by multiple adverse global circumstances, such as the COVID-19 pandemic, conflicts in Eastern Europe and the Middle East, potential uncertainty related to Taiwan and its relationship with China, increasing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2024, we had cash, cash equivalents and investments of $247.7 million, consisting of U.S. treasury securities, mutual funds, commercial paper, corporate debt securities, and agency securities. Any default by the U.S. government or credit downgrade of the securities we hold could impact the liquidity or valuation of our 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pStyle w:val="TextBody"/>
        <w:bidi w:val="0"/>
        <w:spacing w:lineRule="auto" w:line="288" w:before="0" w:after="180"/>
        <w:ind w:left="0" w:right="0" w:firstLine="360"/>
        <w:jc w:val="left"/>
        <w:rPr/>
      </w:pPr>
      <w:r>
        <w:rPr>
          <w:rFonts w:ascii="Times New Roman;sans-serif" w:hAnsi="Times New Roman;sans-serif"/>
          <w:b/>
          <w:i/>
          <w:color w:val="000000"/>
          <w:sz w:val="20"/>
        </w:rPr>
        <w:t>Global supply chain interruptions could adversely affect our ability to develop and commercialize our products</w:t>
      </w:r>
      <w:r>
        <w:rPr>
          <w:rFonts w:ascii="Times New Roman;sans-serif" w:hAnsi="Times New Roman;sans-serif"/>
          <w:b/>
          <w:color w:val="000000"/>
          <w:sz w:val="20"/>
        </w:rPr>
        <w: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Seattle, Washington, facility primarily houses our corporate executive team and our software development operations, while our facilities in San Carlos and San Diego, California primarily house our research and development teams.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If our research and development program or planned commercialization program were disrupted by a disaster or catastrophe, the launch of new products,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use hazardous chemicals and biological materials in our business. Any claims relating to improper handling, storage or disposal of these materials could be time consuming and costly.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never develop or be sustained.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market price of our Common Stock has been and may continue to be volatile, which could result in substantial losses for investors.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and may continue to be highly volatile and could be subject to wide fluctuations in response to various factors, some of which are beyond our control.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due to a variety of factors,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of the launch and commercialization of our products and degree to which such launch and commercialization meets the expectations of securities analysts and investors;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actual or anticipated fluctuations in our operating results, including fluctuations in our quarterly and annual results;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operating expenses being more than anticipated;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failure or discontinuation of any of our product development and research programs;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success of existing or new competitive businesses or technologies;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announcements about new research programs or products of our competitors;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developments or disputes concerning patent applications, issued patents or other proprietary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recruitment or departure of key personnel;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litigation and governmental investigations involving us, our industry or both;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regulatory or legal developments in the United States and other countries;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volatility and variations in market conditions in the life sciences technology sector generally, or the proteomics or genomics sectors specifically;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investor perceptions of us or our industry;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level of expenses related to any of our research and development programs or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whether our financial results meet the expectations of securities analysts or investors;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announcement or expectation of additional financing efforts;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sales of our Common Stock by us or by our insiders or other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general economic, industry and market conditions;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COVID-19 pandemic, natural disasters or major catastrophic events.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limited availability of market quotations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reduced liquidity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determination that our Common Stock is a “penny stock” which will require brokers trading in our Common Stock to adhere to more stringent rules and possibly result in a reduced level of trading activity in the secondary trading market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limited amount of new and analyst coverage; and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decreased ability to issue additional securities or obtain additional financing in the future.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our directors, executive officers, holders of more than 5% of our outstanding shares of Common Stock and their respective affiliates beneficially owned, collectively, approximately 68.8%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sale or the perception of future sales of a substantial number of shares of our Common Stock could cause the market price of our Common Stock to drop significantly, even if our business is doing well.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do not expect to pay any dividends for the foreseeable future. Investors may never obtain a return on their investment.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certain amendments to our certificate of incorporation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any stockholder-proposed amendment to certain provisions of our bylaws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stockholders are only able to take action at a meeting of stockholders and are not able to take action by written consent for any matter;</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vacancies on our board of directors are able to be filled only by our board of directors and not by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only the chair of our board of directors, our chief executive officer, our president or a majority of our board of directors are authorized to call a special meeting of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certain litigation against us can only be brought in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certificate of incorporation authorizes undesignated preferred stock, the terms of which may be established by our Board and shares of which may be issued, without the approval of the holders of our capital stock;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broad discretion in the use of the net proceeds from the Business Combination and the PIPE Financing and may not use them effectively.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and certain other tax attributes to offset future taxable income may be subject to certain limitations.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after December 31, 2020, the deductibility of such U.S. federal NOLs will be limited to 80% of our current year taxable income. State NOLs may be subject to similar or different limitations. As of December 31, 2023, we had U.S. federal NOLs of $71.2 million, of which $70.6 million do not expire, and state NOLs of $95.5 million that will begin to expire in 2037.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w:t>
      </w:r>
      <w:r>
        <w:rPr>
          <w:rFonts w:ascii="Times New Roman;sans-serif" w:hAnsi="Times New Roman;sans-serif"/>
          <w:b w:val="false"/>
          <w:color w:val="000000"/>
          <w:sz w:val="20"/>
        </w:rPr>
        <w:t>d adversely impact our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tax laws could have a material adverse effect on our future business, cash flows, results of operations or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w:t>
      </w:r>
      <w:r>
        <w:rPr>
          <w:rFonts w:ascii="Times New Roman;sans-serif" w:hAnsi="Times New Roman;sans-serif"/>
          <w:b w:val="false"/>
          <w:color w:val="000000"/>
          <w:sz w:val="20"/>
          <w:shd w:fill="FFFFFF" w:val="clear"/>
        </w:rPr>
        <w:t>ligations in a timely manner, or at all. In addition, any testing by us conducted in connection with Section 404(a) of the Sarbanes-Oxley Act of 2002 (“SOX”) or any subsequent testing by our independent registered public accounting firm in connection with Sectio</w:t>
      </w:r>
      <w:r>
        <w:rPr>
          <w:rFonts w:ascii="Times New Roman;sans-serif" w:hAnsi="Times New Roman;sans-serif"/>
          <w:b w:val="false"/>
          <w:color w:val="000000"/>
          <w:sz w:val="20"/>
        </w:rPr>
        <w:t>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Investor advocacy groups, proxy advisory services, investment funds, institutional investors, stockholders, and customers are increasingly focused on environmental, social, and governance (“ESG”) practices of companies. Additionally, public interest and legislative pressure related to public companies’ ESG practices continues to grow. For example, the SEC recently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none of our directors or officers, as defined in Rule 16a-1(f), adopted and/or terminated a “Rule 10b5-1 trading arrangement” or a “non-Rule 10b5-1 trading arrangement,”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67"/>
        <w:gridCol w:w="236"/>
        <w:gridCol w:w="237"/>
        <w:gridCol w:w="109"/>
        <w:gridCol w:w="109"/>
        <w:gridCol w:w="109"/>
        <w:gridCol w:w="2665"/>
        <w:gridCol w:w="2665"/>
        <w:gridCol w:w="3808"/>
      </w:tblGrid>
      <w:tr>
        <w:trPr/>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Sales Agreement, dated as of February 28, 2024, between Nautilus Biotechnology, Inc. and Cow</w:t>
              </w:r>
            </w:hyperlink>
            <w:hyperlink r:id="rId4">
              <w:r>
                <w:rPr>
                  <w:rStyle w:val="InternetLink"/>
                  <w:rFonts w:ascii="Times New Roman;sans-serif" w:hAnsi="Times New Roman;sans-serif"/>
                  <w:b w:val="false"/>
                  <w:color w:val="000080"/>
                  <w:sz w:val="20"/>
                  <w:u w:val="single"/>
                </w:rPr>
                <w:t>en and C</w:t>
              </w:r>
            </w:hyperlink>
            <w:hyperlink r:id="rId5">
              <w:r>
                <w:rPr>
                  <w:rStyle w:val="InternetLink"/>
                  <w:rFonts w:ascii="Times New Roman;sans-serif" w:hAnsi="Times New Roman;sans-serif"/>
                  <w:b w:val="false"/>
                  <w:color w:val="000080"/>
                  <w:sz w:val="20"/>
                  <w:u w:val="single"/>
                </w:rPr>
                <w:t>ompany, LLC</w:t>
              </w:r>
            </w:hyperlink>
            <w:hyperlink r:id="rId6">
              <w:r>
                <w:rPr>
                  <w:rStyle w:val="InternetLink"/>
                  <w:rFonts w:ascii="Times New Roman;sans-serif" w:hAnsi="Times New Roman;sans-serif"/>
                  <w:b w:val="false"/>
                  <w:color w:val="000080"/>
                  <w:sz w:val="20"/>
                  <w:u w:val="single"/>
                </w:rPr>
                <w:t xml:space="preserve"> (inc</w:t>
              </w:r>
            </w:hyperlink>
            <w:hyperlink r:id="rId7">
              <w:r>
                <w:rPr>
                  <w:rStyle w:val="InternetLink"/>
                  <w:rFonts w:ascii="Times New Roman;sans-serif" w:hAnsi="Times New Roman;sans-serif"/>
                  <w:b w:val="false"/>
                  <w:color w:val="000080"/>
                  <w:sz w:val="20"/>
                  <w:u w:val="single"/>
                </w:rPr>
                <w:t>orpora</w:t>
              </w:r>
            </w:hyperlink>
            <w:hyperlink r:id="rId8">
              <w:r>
                <w:rPr>
                  <w:rStyle w:val="InternetLink"/>
                  <w:rFonts w:ascii="Times New Roman;sans-serif" w:hAnsi="Times New Roman;sans-serif"/>
                  <w:b w:val="false"/>
                  <w:color w:val="000080"/>
                  <w:sz w:val="20"/>
                  <w:u w:val="single"/>
                </w:rPr>
                <w:t>ted by reference to Exhibit 1.</w:t>
              </w:r>
            </w:hyperlink>
            <w:hyperlink r:id="rId9">
              <w:r>
                <w:rPr>
                  <w:rStyle w:val="InternetLink"/>
                  <w:rFonts w:ascii="Times New Roman;sans-serif" w:hAnsi="Times New Roman;sans-serif"/>
                  <w:b w:val="false"/>
                  <w:color w:val="000080"/>
                  <w:sz w:val="20"/>
                  <w:u w:val="single"/>
                </w:rPr>
                <w:t>2</w:t>
              </w:r>
            </w:hyperlink>
            <w:hyperlink r:id="rId10">
              <w:r>
                <w:rPr>
                  <w:rStyle w:val="InternetLink"/>
                  <w:rFonts w:ascii="Times New Roman;sans-serif" w:hAnsi="Times New Roman;sans-serif"/>
                  <w:b w:val="false"/>
                  <w:color w:val="000080"/>
                  <w:sz w:val="20"/>
                  <w:u w:val="single"/>
                </w:rPr>
                <w:t xml:space="preserve"> to the Company</w:t>
              </w:r>
            </w:hyperlink>
            <w:hyperlink r:id="rId11">
              <w:r>
                <w:rPr>
                  <w:rStyle w:val="InternetLink"/>
                  <w:rFonts w:ascii="Times New Roman;sans-serif" w:hAnsi="Times New Roman;sans-serif"/>
                  <w:b w:val="false"/>
                  <w:color w:val="000080"/>
                  <w:sz w:val="20"/>
                  <w:u w:val="single"/>
                </w:rPr>
                <w:t>’</w:t>
              </w:r>
            </w:hyperlink>
            <w:hyperlink r:id="rId12">
              <w:r>
                <w:rPr>
                  <w:rStyle w:val="InternetLink"/>
                  <w:rFonts w:ascii="Times New Roman;sans-serif" w:hAnsi="Times New Roman;sans-serif"/>
                  <w:b w:val="false"/>
                  <w:color w:val="000080"/>
                  <w:sz w:val="20"/>
                  <w:u w:val="single"/>
                </w:rPr>
                <w:t xml:space="preserve">s </w:t>
              </w:r>
            </w:hyperlink>
            <w:hyperlink r:id="rId13">
              <w:r>
                <w:rPr>
                  <w:rStyle w:val="InternetLink"/>
                  <w:rFonts w:ascii="Times New Roman;sans-serif" w:hAnsi="Times New Roman;sans-serif"/>
                  <w:b w:val="false"/>
                  <w:color w:val="000080"/>
                  <w:sz w:val="20"/>
                  <w:u w:val="single"/>
                </w:rPr>
                <w:t>Registration Statement on Form S-3</w:t>
              </w:r>
            </w:hyperlink>
            <w:hyperlink r:id="rId14">
              <w:r>
                <w:rPr>
                  <w:rStyle w:val="InternetLink"/>
                  <w:rFonts w:ascii="Times New Roman;sans-serif" w:hAnsi="Times New Roman;sans-serif"/>
                  <w:b w:val="false"/>
                  <w:color w:val="000080"/>
                  <w:sz w:val="20"/>
                  <w:u w:val="single"/>
                </w:rPr>
                <w:t xml:space="preserve"> f</w:t>
              </w:r>
            </w:hyperlink>
            <w:hyperlink r:id="rId15">
              <w:r>
                <w:rPr>
                  <w:rStyle w:val="InternetLink"/>
                  <w:rFonts w:ascii="Times New Roman;sans-serif" w:hAnsi="Times New Roman;sans-serif"/>
                  <w:b w:val="false"/>
                  <w:color w:val="000080"/>
                  <w:sz w:val="20"/>
                  <w:u w:val="single"/>
                </w:rPr>
                <w:t>iled with the SEC on February 2</w:t>
              </w:r>
            </w:hyperlink>
            <w:hyperlink r:id="rId16">
              <w:r>
                <w:rPr>
                  <w:rStyle w:val="InternetLink"/>
                  <w:rFonts w:ascii="Times New Roman;sans-serif" w:hAnsi="Times New Roman;sans-serif"/>
                  <w:b w:val="false"/>
                  <w:color w:val="000080"/>
                  <w:sz w:val="20"/>
                  <w:u w:val="single"/>
                </w:rPr>
                <w:t xml:space="preserve">8, 2024). </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Certificate of Incorporation of Nautilus Biotechnology, Inc. (incorporated by reference to Exhibit 3.1 to the Company’s Current Report on Form 8-K filed with the SEC on June 10, 2021)</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Amended and Restated Bylaws of Nautilus Biotechnology, Inc. (incorporated by reference to Exhibit 3.2 to the Company’s Quarterly Report on Form 10-Q filed with the SEC on August 2, 2023)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80"/>
                  <w:sz w:val="20"/>
                  <w:u w:val="single"/>
                </w:rPr>
                <w:t xml:space="preserve">Amendment No. 1 to Amended and Restated Registration Rights and Lock-Up Agreement (incorporated by </w:t>
              </w:r>
            </w:hyperlink>
            <w:hyperlink r:id="rId23">
              <w:r>
                <w:rPr>
                  <w:rStyle w:val="InternetLink"/>
                  <w:rFonts w:ascii="Times New Roman;sans-serif" w:hAnsi="Times New Roman;sans-serif"/>
                  <w:b w:val="false"/>
                  <w:color w:val="000080"/>
                  <w:sz w:val="20"/>
                  <w:u w:val="single"/>
                </w:rPr>
                <w:t>reference to Exhibit 10.3 to the Company</w:t>
              </w:r>
            </w:hyperlink>
            <w:hyperlink r:id="rId24">
              <w:r>
                <w:rPr>
                  <w:rStyle w:val="InternetLink"/>
                  <w:rFonts w:ascii="Times New Roman;sans-serif" w:hAnsi="Times New Roman;sans-serif"/>
                  <w:b w:val="false"/>
                  <w:color w:val="000080"/>
                  <w:sz w:val="20"/>
                  <w:u w:val="single"/>
                </w:rPr>
                <w:t>’</w:t>
              </w:r>
            </w:hyperlink>
            <w:hyperlink r:id="rId25">
              <w:r>
                <w:rPr>
                  <w:rStyle w:val="InternetLink"/>
                  <w:rFonts w:ascii="Times New Roman;sans-serif" w:hAnsi="Times New Roman;sans-serif"/>
                  <w:b w:val="false"/>
                  <w:color w:val="000080"/>
                  <w:sz w:val="20"/>
                  <w:u w:val="single"/>
                </w:rPr>
                <w:t xml:space="preserve">s Annual Report on Form 10-K filed with the SEC on </w:t>
              </w:r>
            </w:hyperlink>
            <w:hyperlink r:id="rId26">
              <w:r>
                <w:rPr>
                  <w:rStyle w:val="InternetLink"/>
                  <w:rFonts w:ascii="Times New Roman;sans-serif" w:hAnsi="Times New Roman;sans-serif"/>
                  <w:b w:val="false"/>
                  <w:color w:val="000080"/>
                  <w:sz w:val="20"/>
                  <w:u w:val="single"/>
                </w:rPr>
                <w:t>February 28, 2024).</w:t>
              </w:r>
            </w:hyperlink>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4.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4.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4.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4.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left"/>
        <w:rPr>
          <w:color w:val="000000"/>
        </w:rPr>
      </w:pPr>
      <w:r>
        <w:rPr>
          <w:color w:val="000000"/>
        </w:rPr>
        <w:t xml:space="preserve">† </w:t>
      </w:r>
      <w:r>
        <w:rPr>
          <w:rFonts w:ascii="Times New Roman;sans-serif" w:hAnsi="Times New Roman;sans-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056" w:type="dxa"/>
        <w:jc w:val="center"/>
        <w:tblInd w:w="0" w:type="dxa"/>
        <w:tblLayout w:type="fixed"/>
        <w:tblCellMar>
          <w:top w:w="28" w:type="dxa"/>
          <w:left w:w="28" w:type="dxa"/>
          <w:bottom w:w="28" w:type="dxa"/>
          <w:right w:w="28" w:type="dxa"/>
        </w:tblCellMar>
      </w:tblPr>
      <w:tblGrid>
        <w:gridCol w:w="645"/>
        <w:gridCol w:w="568"/>
        <w:gridCol w:w="571"/>
        <w:gridCol w:w="534"/>
        <w:gridCol w:w="534"/>
        <w:gridCol w:w="534"/>
        <w:gridCol w:w="1654"/>
        <w:gridCol w:w="1654"/>
        <w:gridCol w:w="23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Sujal Patel,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Nautilus Biotechnology, Inc.;</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51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70"/>
        <w:gridCol w:w="970"/>
        <w:gridCol w:w="13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Anna Mowry,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Nautilus Biotechnology, Inc.;</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611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148"/>
        <w:gridCol w:w="1148"/>
        <w:gridCol w:w="163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Nautilus Biotechnology, Inc. (the “Company”) on Form 10-Q for the period ended March 31, 2024 as filed with the Securities and Exchange Commission on the date hereof (the “Report”), I, Sujal Patel,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551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70"/>
        <w:gridCol w:w="970"/>
        <w:gridCol w:w="13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Nautilus Biotechnology, Inc. (the “Company”) on Form 10-Q for the period ended March 31, 2024 as filed with the Securities and Exchange Commission on the date hereof (the “Report”), I, Anna Mowry,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611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148"/>
        <w:gridCol w:w="1148"/>
        <w:gridCol w:w="163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805/000162828024007392/exhibit12-sx3.htm" TargetMode="External"/><Relationship Id="rId3" Type="http://schemas.openxmlformats.org/officeDocument/2006/relationships/hyperlink" Target="https://www.sec.gov/Archives/edgar/data/1808805/000162828024007392/exhibit12-sx3.htm" TargetMode="External"/><Relationship Id="rId4" Type="http://schemas.openxmlformats.org/officeDocument/2006/relationships/hyperlink" Target="https://www.sec.gov/Archives/edgar/data/1808805/000162828024007392/exhibit12-sx3.htm" TargetMode="External"/><Relationship Id="rId5" Type="http://schemas.openxmlformats.org/officeDocument/2006/relationships/hyperlink" Target="https://www.sec.gov/Archives/edgar/data/1808805/000162828024007392/exhibit12-sx3.htm" TargetMode="External"/><Relationship Id="rId6" Type="http://schemas.openxmlformats.org/officeDocument/2006/relationships/hyperlink" Target="https://www.sec.gov/Archives/edgar/data/1808805/000162828024007392/exhibit12-sx3.htm" TargetMode="External"/><Relationship Id="rId7" Type="http://schemas.openxmlformats.org/officeDocument/2006/relationships/hyperlink" Target="https://www.sec.gov/Archives/edgar/data/1808805/000162828024007392/exhibit12-sx3.htm" TargetMode="External"/><Relationship Id="rId8" Type="http://schemas.openxmlformats.org/officeDocument/2006/relationships/hyperlink" Target="https://www.sec.gov/Archives/edgar/data/1808805/000162828024007392/exhibit12-sx3.htm" TargetMode="External"/><Relationship Id="rId9" Type="http://schemas.openxmlformats.org/officeDocument/2006/relationships/hyperlink" Target="https://www.sec.gov/Archives/edgar/data/1808805/000162828024007392/exhibit12-sx3.htm" TargetMode="External"/><Relationship Id="rId10" Type="http://schemas.openxmlformats.org/officeDocument/2006/relationships/hyperlink" Target="https://www.sec.gov/Archives/edgar/data/1808805/000162828024007392/exhibit12-sx3.htm" TargetMode="External"/><Relationship Id="rId11" Type="http://schemas.openxmlformats.org/officeDocument/2006/relationships/hyperlink" Target="https://www.sec.gov/Archives/edgar/data/1808805/000162828024007392/exhibit12-sx3.htm" TargetMode="External"/><Relationship Id="rId12" Type="http://schemas.openxmlformats.org/officeDocument/2006/relationships/hyperlink" Target="https://www.sec.gov/Archives/edgar/data/1808805/000162828024007392/exhibit12-sx3.htm" TargetMode="External"/><Relationship Id="rId13" Type="http://schemas.openxmlformats.org/officeDocument/2006/relationships/hyperlink" Target="https://www.sec.gov/Archives/edgar/data/1808805/000162828024007392/exhibit12-sx3.htm" TargetMode="External"/><Relationship Id="rId14" Type="http://schemas.openxmlformats.org/officeDocument/2006/relationships/hyperlink" Target="https://www.sec.gov/Archives/edgar/data/1808805/000162828024007392/exhibit12-sx3.htm" TargetMode="External"/><Relationship Id="rId15" Type="http://schemas.openxmlformats.org/officeDocument/2006/relationships/hyperlink" Target="https://www.sec.gov/Archives/edgar/data/1808805/000162828024007392/exhibit12-sx3.htm" TargetMode="External"/><Relationship Id="rId16" Type="http://schemas.openxmlformats.org/officeDocument/2006/relationships/hyperlink" Target="https://www.sec.gov/Archives/edgar/data/1808805/000162828024007392/exhibit12-sx3.htm" TargetMode="External"/><Relationship Id="rId17" Type="http://schemas.openxmlformats.org/officeDocument/2006/relationships/hyperlink" Target="https://www.sec.gov/Archives/edgar/data/1808805/000162828021011892/exhibit31-form8xkclosing.htm" TargetMode="External"/><Relationship Id="rId18" Type="http://schemas.openxmlformats.org/officeDocument/2006/relationships/hyperlink" Target="https://www.sec.gov/Archives/edgar/data/1808805/000162828021011892/exhibit31-form8xkclosing.htm" TargetMode="External"/><Relationship Id="rId19" Type="http://schemas.openxmlformats.org/officeDocument/2006/relationships/hyperlink" Target="https://www.sec.gov/Archives/edgar/data/1808805/000180880523000069/exhibit32-nautilusbiotechn.htm" TargetMode="External"/><Relationship Id="rId20" Type="http://schemas.openxmlformats.org/officeDocument/2006/relationships/hyperlink" Target="https://www.sec.gov/Archives/edgar/data/1808805/000180880523000069/exhibit32-nautilusbiotechn.htm" TargetMode="External"/><Relationship Id="rId21" Type="http://schemas.openxmlformats.org/officeDocument/2006/relationships/hyperlink" Target="https://www.sec.gov/ix?doc=/Archives/edgar/data/1808805/000180880524000005/naut-20231231.htm" TargetMode="External"/><Relationship Id="rId22" Type="http://schemas.openxmlformats.org/officeDocument/2006/relationships/hyperlink" Target="https://www.sec.gov/ix?doc=/Archives/edgar/data/1808805/000180880524000005/exhibit103nautilus-amendme.htm" TargetMode="External"/><Relationship Id="rId23" Type="http://schemas.openxmlformats.org/officeDocument/2006/relationships/hyperlink" Target="https://www.sec.gov/ix?doc=/Archives/edgar/data/1808805/000180880524000005/exhibit103nautilus-amendme.htm" TargetMode="External"/><Relationship Id="rId24" Type="http://schemas.openxmlformats.org/officeDocument/2006/relationships/hyperlink" Target="https://www.sec.gov/ix?doc=/Archives/edgar/data/1808805/000180880524000005/exhibit103nautilus-amendme.htm" TargetMode="External"/><Relationship Id="rId25" Type="http://schemas.openxmlformats.org/officeDocument/2006/relationships/hyperlink" Target="https://www.sec.gov/ix?doc=/Archives/edgar/data/1808805/000180880524000005/exhibit103nautilus-amendme.htm" TargetMode="External"/><Relationship Id="rId26" Type="http://schemas.openxmlformats.org/officeDocument/2006/relationships/hyperlink" Target="https://www.sec.gov/ix?doc=/Archives/edgar/data/1808805/000180880524000005/exhibit103nautilus-amendme.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47269</Words>
  <Characters>266255</Characters>
  <CharactersWithSpaces>312190</CharactersWithSpaces>
  <Paragraphs>1958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