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333-258100</w:t>
      </w:r>
    </w:p>
    <w:p>
      <w:pPr>
        <w:spacing w:after="0" w:line="10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 prospectus dated March 1, 2022)</w:t>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156210</wp:posOffset>
            </wp:positionV>
            <wp:extent cx="214312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6940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996315</wp:posOffset>
            </wp:positionV>
            <wp:extent cx="1123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and amends the prospectus dated March 1, 2022 (as supplemented to date, the “Prospectus”), which forms a part of our Registration Statement on Post-Effective Amendment No. 1 to the Form S-1 (Registration Statement No. 333-258100) filed with the Securities and Exchange Commission (the “SEC”) on February 24, 2022 and declared effective by the SEC on March 1, 2022.</w:t>
      </w:r>
    </w:p>
    <w:p>
      <w:pPr>
        <w:spacing w:after="0" w:line="122" w:lineRule="exact"/>
        <w:rPr>
          <w:sz w:val="24"/>
          <w:szCs w:val="24"/>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Prospectus and this prospectus supplement relate to (i) the resale of 4,286,500 shares of common stock, par value $0.0001 per share (the “Common Stock”) issued in connection with the Domestication (as defined in the Prospectus)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w:t>
      </w:r>
    </w:p>
    <w:p>
      <w:pPr>
        <w:spacing w:after="0" w:line="13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122"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to it.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on Form 8-K</w:t>
      </w:r>
    </w:p>
    <w:p>
      <w:pPr>
        <w:spacing w:after="0" w:line="20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31, 2022 and June 16, 2022, we filed Current Reports on Form 8-K with the SEC. The Current Reports on Form 8-K are attached hereto.</w:t>
      </w:r>
    </w:p>
    <w:p>
      <w:pPr>
        <w:spacing w:after="0" w:line="167" w:lineRule="exact"/>
        <w:rPr>
          <w:sz w:val="24"/>
          <w:szCs w:val="24"/>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01" w:lineRule="exact"/>
        <w:rPr>
          <w:sz w:val="24"/>
          <w:szCs w:val="24"/>
          <w:color w:val="auto"/>
        </w:rPr>
      </w:pPr>
    </w:p>
    <w:p>
      <w:pPr>
        <w:ind w:right="140" w:firstLine="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hyperlink r:id="rId10">
        <w:r>
          <w:rPr>
            <w:rFonts w:ascii="Times New Roman" w:cs="Times New Roman" w:eastAsia="Times New Roman" w:hAnsi="Times New Roman"/>
            <w:sz w:val="18"/>
            <w:szCs w:val="18"/>
            <w:b w:val="1"/>
            <w:bCs w:val="1"/>
            <w:i w:val="1"/>
            <w:iCs w:val="1"/>
            <w:u w:val="single" w:color="auto"/>
            <w:color w:val="0000FF"/>
          </w:rPr>
          <w:t>Risk Factors</w:t>
        </w:r>
      </w:hyperlink>
      <w:r>
        <w:rPr>
          <w:rFonts w:ascii="Times New Roman" w:cs="Times New Roman" w:eastAsia="Times New Roman" w:hAnsi="Times New Roman"/>
          <w:sz w:val="18"/>
          <w:szCs w:val="18"/>
          <w:b w:val="1"/>
          <w:bCs w:val="1"/>
          <w:color w:val="auto"/>
        </w:rPr>
        <w:t>” beginning on page 6 of the Prospectus.</w:t>
      </w:r>
    </w:p>
    <w:p>
      <w:pPr>
        <w:spacing w:after="0" w:line="101" w:lineRule="exact"/>
        <w:rPr>
          <w:sz w:val="24"/>
          <w:szCs w:val="24"/>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01"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95250</wp:posOffset>
            </wp:positionV>
            <wp:extent cx="1123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date of this prospectus supplement is June 16, 2022.</w:t>
      </w:r>
    </w:p>
    <w:p>
      <w:pPr>
        <w:sectPr>
          <w:pgSz w:w="11900" w:h="16838" w:orient="portrait"/>
          <w:cols w:equalWidth="0" w:num="1">
            <w:col w:w="11240"/>
          </w:cols>
          <w:pgMar w:left="320" w:top="873" w:right="339" w:bottom="1440" w:gutter="0" w:footer="0" w:header="0"/>
        </w:sectPr>
      </w:pPr>
    </w:p>
    <w:bookmarkStart w:id="1" w:name="page2"/>
    <w:bookmarkEnd w:id="1"/>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30, 2022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58" w:lineRule="exact"/>
        <w:rPr>
          <w:sz w:val="20"/>
          <w:szCs w:val="20"/>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46" w:lineRule="exact"/>
        <w:rPr>
          <w:sz w:val="20"/>
          <w:szCs w:val="20"/>
          <w:color w:val="auto"/>
        </w:rPr>
      </w:pPr>
    </w:p>
    <w:p>
      <w:pPr>
        <w:sectPr>
          <w:pgSz w:w="11900" w:h="16838" w:orient="portrait"/>
          <w:cols w:equalWidth="0" w:num="3">
            <w:col w:w="4000" w:space="720"/>
            <w:col w:w="3400" w:space="720"/>
            <w:col w:w="2400"/>
          </w:cols>
          <w:pgMar w:left="320" w:top="1440"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0"/>
          <w:szCs w:val="20"/>
          <w:color w:val="auto"/>
        </w:rPr>
      </w:pPr>
    </w:p>
    <w:p>
      <w:pPr>
        <w:sectPr>
          <w:pgSz w:w="11900" w:h="16838" w:orient="portrait"/>
          <w:cols w:equalWidth="0" w:num="2">
            <w:col w:w="8080" w:space="720"/>
            <w:col w:w="2440"/>
          </w:cols>
          <w:pgMar w:left="320" w:top="1440"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6"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54"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40" w:lineRule="exact"/>
        <w:rPr>
          <w:sz w:val="20"/>
          <w:szCs w:val="20"/>
          <w:color w:val="auto"/>
        </w:rPr>
      </w:pPr>
    </w:p>
    <w:p>
      <w:pPr>
        <w:jc w:val="center"/>
        <w:ind w:right="2540"/>
        <w:spacing w:after="0"/>
        <w:rPr>
          <w:sz w:val="20"/>
          <w:szCs w:val="20"/>
          <w:color w:val="auto"/>
        </w:rPr>
      </w:pPr>
      <w:r>
        <w:rPr>
          <w:rFonts w:ascii="Times New Roman" w:cs="Times New Roman" w:eastAsia="Times New Roman" w:hAnsi="Times New Roman"/>
          <w:sz w:val="17"/>
          <w:szCs w:val="17"/>
          <w:color w:val="auto"/>
        </w:rPr>
        <w:t>(Zip code)</w:t>
      </w:r>
    </w:p>
    <w:p>
      <w:pPr>
        <w:spacing w:after="0" w:line="225" w:lineRule="exact"/>
        <w:rPr>
          <w:sz w:val="20"/>
          <w:szCs w:val="20"/>
          <w:color w:val="auto"/>
        </w:rPr>
      </w:pPr>
    </w:p>
    <w:p>
      <w:pPr>
        <w:sectPr>
          <w:pgSz w:w="11900" w:h="16838" w:orient="portrait"/>
          <w:cols w:equalWidth="0" w:num="2">
            <w:col w:w="7240" w:space="720"/>
            <w:col w:w="3280"/>
          </w:cols>
          <w:pgMar w:left="320" w:top="1440" w:right="3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0"/>
          <w:szCs w:val="20"/>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x</w:t>
      </w:r>
    </w:p>
    <w:p>
      <w:pPr>
        <w:spacing w:after="0" w:line="18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ind w:right="12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On March 30, 2022, the board of directors (the “Board”) of Nautilus Biotechnology, Inc. (the “Company”), upon recommendation of the Nominating and Governance Committee of the Board, appointed Karen Akinsanya to the Board, effective immediately. Dr. Akinsanya will serve as a Class III director, with a term expiring at the annual meeting of stockholders to be held in 2024.</w:t>
      </w:r>
    </w:p>
    <w:p>
      <w:pPr>
        <w:spacing w:after="0" w:line="169"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Dr. Akinsanya has served as 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is currently a member of the board of directors of the Imperial College Foundation and the Board of Trustees of The Rockefeller University. Dr. Akinsanya received a B.Sc. in Biochemistry from Queen Mary College, University of London, a Ph.D. in Endocrine Physiology from the Imperial College and completed postdoctoral studies at the Ludwig Institute for Cancer Research, University College, London. The Board believes that she is qualified to serve as a director of the Company because of her extensive industry background and experience in the life sciences industry.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Akinsanya will be compensated in accordance with the Company’s outside director compensation policy (the “Policy”). Pursuant to the Policy, Dr.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Akinsanya will be entitled to receive $40,000 per year for service as a member of the Board, paid quarterly in arrears on a pro-rata basis.</w:t>
      </w:r>
    </w:p>
    <w:p>
      <w:pPr>
        <w:spacing w:after="0" w:line="252" w:lineRule="exact"/>
        <w:rPr>
          <w:sz w:val="20"/>
          <w:szCs w:val="20"/>
          <w:color w:val="auto"/>
        </w:rPr>
      </w:pPr>
    </w:p>
    <w:p>
      <w:pPr>
        <w:jc w:val="both"/>
        <w:ind w:firstLine="324"/>
        <w:spacing w:after="0" w:line="246" w:lineRule="exact"/>
        <w:rPr>
          <w:sz w:val="20"/>
          <w:szCs w:val="20"/>
          <w:color w:val="auto"/>
        </w:rPr>
      </w:pPr>
      <w:r>
        <w:rPr>
          <w:rFonts w:ascii="Times New Roman" w:cs="Times New Roman" w:eastAsia="Times New Roman" w:hAnsi="Times New Roman"/>
          <w:sz w:val="17"/>
          <w:szCs w:val="17"/>
          <w:color w:val="auto"/>
        </w:rPr>
        <w:t>In connection with her appointment to the Board as a non-employee director and pursuant to the Company’s 2021 Equity Incentive Plan and the Policy, Dr. Akinsanya also automatically received an initial award of stock options to purchase 105,998 shares of Common Stock of the Company (the “Initial Award”) with an aggregate grant date fair value (determined in accordance with U.S. GAAP) of $370,000, which will vest as to one thirty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sixth (1/36th) of the shares subject to the Initial Award on a monthly basis following the Initial Award’s grant date on the same day of the month as such grant date (or on the last day of the month, if there is no corresponding day in such month), subject to Dr. Akinsanya continuing to be a service provider of the Company.</w:t>
      </w:r>
    </w:p>
    <w:p>
      <w:pPr>
        <w:spacing w:after="0" w:line="242"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Dr. Akinsanya has entered into the Company’s standard form of indemnification agreement, a copy of which has been filed as Exhibit 10.24 to the Company’s Form S-4/A (File No. 333-254796) filed with the Securities and Exchange Commission on April 26, 2021.</w:t>
      </w:r>
    </w:p>
    <w:p>
      <w:pPr>
        <w:spacing w:after="0" w:line="14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There is no arrangement or understanding between Dr. Akinsanya and any other persons pursuant to which Dr. Akinsanya was elected as a director. In addition, Dr. Akinsanya is not a party to any transaction, or series of transactions, required to be disclosed pursuant to Item 404(a) of Regulation S-K. There are no family relationships between Dr. Akinsanya and any of the Company’s directors or executive officers.</w:t>
      </w:r>
    </w:p>
    <w:p>
      <w:pPr>
        <w:spacing w:after="0" w:line="2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On March 31, 2022, the Company issued a press release announcing Dr. Akinsanya’s appointment as a director. A copy of the press release is furnished herewith as Exhibit 99.1.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5" w:right="339" w:bottom="1440" w:gutter="0" w:footer="0" w:header="0"/>
        </w:sectPr>
      </w:pPr>
    </w:p>
    <w:bookmarkStart w:id="3" w:name="page4"/>
    <w:bookmarkEnd w:id="3"/>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pgSz w:w="11900" w:h="16838" w:orient="portrait"/>
          <w:cols w:equalWidth="0" w:num="1">
            <w:col w:w="11240"/>
          </w:cols>
          <w:pgMar w:left="320" w:top="1215" w:right="339" w:bottom="1440" w:gutter="0" w:footer="0" w:header="0"/>
        </w:sectPr>
      </w:pPr>
    </w:p>
    <w:bookmarkStart w:id="4" w:name="page5"/>
    <w:bookmarkEnd w:id="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Press Release dated March 31, 2022.</w:t>
            </w:r>
          </w:p>
        </w:tc>
        <w:tc>
          <w:tcPr>
            <w:tcW w:w="0" w:type="dxa"/>
            <w:vAlign w:val="bottom"/>
          </w:tcPr>
          <w:p>
            <w:pPr>
              <w:spacing w:after="0"/>
              <w:rPr>
                <w:sz w:val="1"/>
                <w:szCs w:val="1"/>
                <w:color w:val="auto"/>
              </w:rPr>
            </w:pPr>
          </w:p>
        </w:tc>
      </w:tr>
      <w:tr>
        <w:trPr>
          <w:trHeight w:val="29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 the Inline XBRL document)</w:t>
            </w:r>
          </w:p>
        </w:tc>
        <w:tc>
          <w:tcPr>
            <w:tcW w:w="0" w:type="dxa"/>
            <w:vAlign w:val="bottom"/>
          </w:tcPr>
          <w:p>
            <w:pPr>
              <w:spacing w:after="0"/>
              <w:rPr>
                <w:sz w:val="1"/>
                <w:szCs w:val="1"/>
                <w:color w:val="auto"/>
              </w:rPr>
            </w:pPr>
          </w:p>
        </w:tc>
      </w:tr>
    </w:tbl>
    <w:p>
      <w:pPr>
        <w:sectPr>
          <w:pgSz w:w="11900" w:h="16838" w:orient="portrait"/>
          <w:cols w:equalWidth="0" w:num="1">
            <w:col w:w="10139"/>
          </w:cols>
          <w:pgMar w:left="320" w:top="1265"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4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Appoints Karen Akinsanya, Ph.D., to Board of Directors</w:t>
      </w:r>
    </w:p>
    <w:p>
      <w:pPr>
        <w:spacing w:after="0" w:line="268" w:lineRule="exact"/>
        <w:rPr>
          <w:sz w:val="20"/>
          <w:szCs w:val="20"/>
          <w:color w:val="auto"/>
        </w:rPr>
      </w:pPr>
    </w:p>
    <w:p>
      <w:pPr>
        <w:jc w:val="center"/>
        <w:spacing w:after="0" w:line="315" w:lineRule="auto"/>
        <w:rPr>
          <w:sz w:val="20"/>
          <w:szCs w:val="20"/>
          <w:color w:val="auto"/>
        </w:rPr>
      </w:pPr>
      <w:r>
        <w:rPr>
          <w:rFonts w:ascii="Times New Roman" w:cs="Times New Roman" w:eastAsia="Times New Roman" w:hAnsi="Times New Roman"/>
          <w:sz w:val="18"/>
          <w:szCs w:val="18"/>
          <w:i w:val="1"/>
          <w:iCs w:val="1"/>
          <w:color w:val="auto"/>
        </w:rPr>
        <w:t>Schrödinger President of R&amp;D, Therapeutics brings extensive leadership in commercializing breakthrough biotechnologies to company developing platform for comprehensively quantifying the proteome to enable fundamental advancements in biomedicine</w:t>
      </w:r>
    </w:p>
    <w:p>
      <w:pPr>
        <w:spacing w:after="0" w:line="157"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SEATTLE, March 31, 2022 </w:t>
      </w:r>
      <w:r>
        <w:rPr>
          <w:rFonts w:ascii="Times New Roman" w:cs="Times New Roman" w:eastAsia="Times New Roman" w:hAnsi="Times New Roman"/>
          <w:sz w:val="18"/>
          <w:szCs w:val="18"/>
          <w:color w:val="auto"/>
        </w:rPr>
        <w:t>– Nautilus Biotechnology, Inc. (NASDAQ: NAUT; or “Nautilus”), a company pioneering a single-molecule protein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for quantifying the proteome, today announced the appointment of Karen Akinsanya, Ph.D., to its Board of Directors.</w:t>
      </w:r>
    </w:p>
    <w:p>
      <w:pPr>
        <w:spacing w:after="0" w:line="19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8"/>
          <w:szCs w:val="18"/>
          <w:color w:val="auto"/>
        </w:rPr>
        <w:t>Dr. Akinsanya brings more than 25 years of experience in drug discovery and development, commercialization, partnerships, and licensing from across academia and pharmaceutical research and development (R&amp;D). In her current role as President of R&amp;D, Therapeutics at Schrödinger, she leads the company’s therapeutics group that leverages Schrödinger's leading physics-based platform for preclinical drug discovery and is responsible for translational research and early development, in addition to business development and collaborations.</w:t>
      </w:r>
    </w:p>
    <w:p>
      <w:pPr>
        <w:spacing w:after="0" w:line="21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Prior to joining Schrödinger, Dr. Akinsanya held positions of increasing responsibility during more than a decade at Merck Research Laboratories, as Associate Director of Clinical Pharmacology driving first-in-human studies through late-stage label studies; Executive Director and therapeutic area lead in Discovery Preclinical and Early Development; and AVP of Business Development and Licensing where she managed the search and evaluation of pre-proof of concept therapeutic assets and enabling technologies as well as execution and alliance management of a number of significant licensing and partnering deals. Dr. Akinsanya received her B.Sc. in biochemistry at Queen Mary University of London, and her Ph.D. in endocrine physiology from the Royal Postgraduate Medical School at Imperial College in London.</w:t>
      </w:r>
    </w:p>
    <w:p>
      <w:pPr>
        <w:spacing w:after="0" w:line="2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8"/>
          <w:szCs w:val="18"/>
          <w:color w:val="auto"/>
        </w:rPr>
        <w:t>“Dr. Akinsanya’s proven leadership in realizing and strategically executing on the potential of high-impact clinical and translational programs as well as transformative technologies is virtually unrivaled in the biopharmaceutical industry,” said Sujal Patel, co-founder and CEO of Nautilus. “We are excited to welcome her as the newest member of our board, expanding the breadth and depth of business and scientific acumen that will bolster our go-to-market and commercialization strategy for widening access to and understanding of the human proteome to improve human health.”</w:t>
      </w:r>
    </w:p>
    <w:p>
      <w:pPr>
        <w:spacing w:after="0" w:line="21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Dr. Akinsanya is currently a member of the Board of Directors of the Imperial College Foundation, the Board of Trustees of The Rockefeller University, the Scientific Advisory Boards of Variant Bio and Thermo Fisher Scientific, and was previously a Scientific Advisor at CQDM. While at Merck, she provided leadership to the National Medical Fellowships to increase diversity in medicine and access to quality healthcare in underserved communities, and as Executive Ambassador to Merck For Mothers to improve maternal health in more than 30 countries. She founded My Tech Learning and served as a mentor at The Prince’s Trust to connect students to educational opportunities in science and technology.</w:t>
      </w:r>
    </w:p>
    <w:p>
      <w:pPr>
        <w:spacing w:after="0" w:line="20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color w:val="auto"/>
        </w:rPr>
        <w:t>“I’m thrilled to serve on Nautilus’ Board of Directors among renowned business leaders who have brought revolutionary innovations in the fields of genomics, cancer therapeutics, and technology to market and are now guiding an innovative approach that has enormous potential for democratizing access to proteomics for all,” said Dr. Akinsanya. “The possibilities that Nautilus’ platform for unlocking the proteome will present are significant for the future of healthcare, from powering the discovery of breakthrough science to enabling disease diagnosis and the development of therapeutics for unmet needs with greater precision.”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Akinsanya joins a Board of Directors that includes:</w:t>
      </w:r>
    </w:p>
    <w:p>
      <w:pPr>
        <w:spacing w:after="0" w:line="27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 Posard</w:t>
      </w:r>
      <w:r>
        <w:rPr>
          <w:rFonts w:ascii="Times New Roman" w:cs="Times New Roman" w:eastAsia="Times New Roman" w:hAnsi="Times New Roman"/>
          <w:sz w:val="18"/>
          <w:szCs w:val="18"/>
          <w:color w:val="auto"/>
        </w:rPr>
        <w:t>, Board Chair and Founding Principal at Explore DNA, former Senior Vice President and Head of Sales at Illumina</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Altman</w:t>
      </w:r>
      <w:r>
        <w:rPr>
          <w:rFonts w:ascii="Times New Roman" w:cs="Times New Roman" w:eastAsia="Times New Roman" w:hAnsi="Times New Roman"/>
          <w:sz w:val="18"/>
          <w:szCs w:val="18"/>
          <w:color w:val="auto"/>
        </w:rPr>
        <w:t>, Managing Director at Perceptive Advisors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Melissa Epperly</w:t>
      </w:r>
      <w:r>
        <w:rPr>
          <w:rFonts w:ascii="Times New Roman" w:cs="Times New Roman" w:eastAsia="Times New Roman" w:hAnsi="Times New Roman"/>
          <w:sz w:val="18"/>
          <w:szCs w:val="18"/>
          <w:color w:val="auto"/>
        </w:rPr>
        <w:t>, Chief Financial Officer at Zentalis Pharmaceuticals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41" w:right="339" w:bottom="1440" w:gutter="0" w:footer="0" w:header="0"/>
        </w:sectPr>
      </w:pPr>
    </w:p>
    <w:bookmarkStart w:id="7" w:name="page8"/>
    <w:bookmarkEnd w:id="7"/>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 Mallick, Ph.D.</w:t>
      </w:r>
      <w:r>
        <w:rPr>
          <w:rFonts w:ascii="Times New Roman" w:cs="Times New Roman" w:eastAsia="Times New Roman" w:hAnsi="Times New Roman"/>
          <w:sz w:val="18"/>
          <w:szCs w:val="18"/>
          <w:color w:val="auto"/>
        </w:rPr>
        <w:t>, Founder and Chief Scientist, Nautilus Biotechnology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 McIlwain</w:t>
      </w:r>
      <w:r>
        <w:rPr>
          <w:rFonts w:ascii="Times New Roman" w:cs="Times New Roman" w:eastAsia="Times New Roman" w:hAnsi="Times New Roman"/>
          <w:sz w:val="18"/>
          <w:szCs w:val="18"/>
          <w:color w:val="auto"/>
        </w:rPr>
        <w:t>, Managing Director at Madrona Venture Group</w:t>
      </w:r>
    </w:p>
    <w:p>
      <w:pPr>
        <w:spacing w:after="0" w:line="36"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Farzad Nazem</w:t>
      </w:r>
      <w:r>
        <w:rPr>
          <w:rFonts w:ascii="Times New Roman" w:cs="Times New Roman" w:eastAsia="Times New Roman" w:hAnsi="Times New Roman"/>
          <w:sz w:val="18"/>
          <w:szCs w:val="18"/>
          <w:color w:val="auto"/>
        </w:rPr>
        <w:t>, Former EVP Engineering and Chief Technology Officer at Yahoo</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Vijay Pande, Ph.D.</w:t>
      </w:r>
      <w:r>
        <w:rPr>
          <w:rFonts w:ascii="Times New Roman" w:cs="Times New Roman" w:eastAsia="Times New Roman" w:hAnsi="Times New Roman"/>
          <w:sz w:val="18"/>
          <w:szCs w:val="18"/>
          <w:color w:val="auto"/>
        </w:rPr>
        <w:t>, General Partner at Andreessen Horowitz</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Sujal Patel</w:t>
      </w:r>
      <w:r>
        <w:rPr>
          <w:rFonts w:ascii="Times New Roman" w:cs="Times New Roman" w:eastAsia="Times New Roman" w:hAnsi="Times New Roman"/>
          <w:sz w:val="18"/>
          <w:szCs w:val="18"/>
          <w:color w:val="auto"/>
        </w:rPr>
        <w:t>, Founder and CEO, Nautilus Biotechnology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5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8"/>
          <w:szCs w:val="18"/>
          <w:color w:val="auto"/>
        </w:rPr>
        <w:t>With its corporate headquarters in Seattle and its research and development headquarters in the San Francisco Bay Area,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visit </w:t>
      </w:r>
      <w:r>
        <w:rPr>
          <w:rFonts w:ascii="Times New Roman" w:cs="Times New Roman" w:eastAsia="Times New Roman" w:hAnsi="Times New Roman"/>
          <w:sz w:val="18"/>
          <w:szCs w:val="18"/>
          <w:color w:val="3051F2"/>
        </w:rPr>
        <w:t>www.nautilus.bio</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5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the suitability of the Nautilus product platform to investigate proteins and proteoforms; and expectations with respect to the functionality and performance of Nautilus’ product platform, its potential impact on pharmaceutical development and drug discovery; statements regarding the partnership between Nautilus’ board of directors and management; and the ability of management and board of directors personnel to contribute to the execution of Nautilus’ strategic plans and goals.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the Registration Statement on Form S-1 filed with the SEC as well as in our Annual Report on Form 10-K filed for the year ended December 31, 2021.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t>
      </w:r>
      <w:r>
        <w:rPr>
          <w:rFonts w:ascii="Times New Roman" w:cs="Times New Roman" w:eastAsia="Times New Roman" w:hAnsi="Times New Roman"/>
          <w:sz w:val="18"/>
          <w:szCs w:val="18"/>
          <w:color w:val="3051F2"/>
        </w:rPr>
        <w:t>www.nautilus.bio</w:t>
      </w:r>
      <w:r>
        <w:rPr>
          <w:rFonts w:ascii="Times New Roman" w:cs="Times New Roman" w:eastAsia="Times New Roman" w:hAnsi="Times New Roman"/>
          <w:sz w:val="18"/>
          <w:szCs w:val="18"/>
          <w:color w:val="auto"/>
        </w:rPr>
        <w:t>),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Thermal for Nautilus Biotechnology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Kaustuva Das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41" w:right="359" w:bottom="1440" w:gutter="0" w:footer="0" w:header="0"/>
        </w:sectPr>
      </w:pPr>
    </w:p>
    <w:bookmarkStart w:id="8" w:name="page9"/>
    <w:bookmarkEnd w:id="8"/>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14, 2022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2820" w:type="dxa"/>
            <w:vAlign w:val="bottom"/>
          </w:tcPr>
          <w:p>
            <w:pPr>
              <w:jc w:val="center"/>
              <w:ind w:right="8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0" w:type="dxa"/>
            <w:vAlign w:val="bottom"/>
          </w:tcPr>
          <w:p>
            <w:pPr>
              <w:spacing w:after="0"/>
              <w:rPr>
                <w:sz w:val="1"/>
                <w:szCs w:val="1"/>
                <w:color w:val="auto"/>
              </w:rPr>
            </w:pPr>
          </w:p>
        </w:tc>
      </w:tr>
      <w:tr>
        <w:trPr>
          <w:trHeight w:val="210"/>
        </w:trPr>
        <w:tc>
          <w:tcPr>
            <w:tcW w:w="2820" w:type="dxa"/>
            <w:vAlign w:val="bottom"/>
            <w:vMerge w:val="restart"/>
          </w:tcPr>
          <w:p>
            <w:pPr>
              <w:jc w:val="center"/>
              <w:ind w:right="896"/>
              <w:spacing w:after="0"/>
              <w:rPr>
                <w:sz w:val="20"/>
                <w:szCs w:val="20"/>
                <w:color w:val="auto"/>
              </w:rPr>
            </w:pPr>
            <w:r>
              <w:rPr>
                <w:rFonts w:ascii="Arial" w:cs="Arial" w:eastAsia="Arial" w:hAnsi="Arial"/>
                <w:sz w:val="16"/>
                <w:szCs w:val="16"/>
                <w:color w:val="auto"/>
              </w:rPr>
              <w:t>(State or other jurisdiction</w:t>
            </w:r>
          </w:p>
        </w:tc>
        <w:tc>
          <w:tcPr>
            <w:tcW w:w="2760" w:type="dxa"/>
            <w:vAlign w:val="bottom"/>
          </w:tcPr>
          <w:p>
            <w:pPr>
              <w:jc w:val="center"/>
              <w:ind w:left="895"/>
              <w:spacing w:after="0"/>
              <w:rPr>
                <w:sz w:val="20"/>
                <w:szCs w:val="20"/>
                <w:color w:val="auto"/>
              </w:rPr>
            </w:pPr>
            <w:r>
              <w:rPr>
                <w:rFonts w:ascii="Times New Roman" w:cs="Times New Roman" w:eastAsia="Times New Roman" w:hAnsi="Times New Roman"/>
                <w:sz w:val="16"/>
                <w:szCs w:val="16"/>
                <w:color w:val="auto"/>
              </w:rPr>
              <w:t>(Commission File Number)</w:t>
            </w:r>
          </w:p>
        </w:tc>
        <w:tc>
          <w:tcPr>
            <w:tcW w:w="0" w:type="dxa"/>
            <w:vAlign w:val="bottom"/>
          </w:tcPr>
          <w:p>
            <w:pPr>
              <w:spacing w:after="0"/>
              <w:rPr>
                <w:sz w:val="1"/>
                <w:szCs w:val="1"/>
                <w:color w:val="auto"/>
              </w:rPr>
            </w:pPr>
          </w:p>
        </w:tc>
      </w:tr>
      <w:tr>
        <w:trPr>
          <w:trHeight w:val="85"/>
        </w:trPr>
        <w:tc>
          <w:tcPr>
            <w:tcW w:w="282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820" w:type="dxa"/>
            <w:vAlign w:val="bottom"/>
          </w:tcPr>
          <w:p>
            <w:pPr>
              <w:jc w:val="center"/>
              <w:ind w:right="896"/>
              <w:spacing w:after="0"/>
              <w:rPr>
                <w:sz w:val="20"/>
                <w:szCs w:val="20"/>
                <w:color w:val="auto"/>
              </w:rPr>
            </w:pPr>
            <w:r>
              <w:rPr>
                <w:rFonts w:ascii="Arial" w:cs="Arial" w:eastAsia="Arial" w:hAnsi="Arial"/>
                <w:sz w:val="16"/>
                <w:szCs w:val="16"/>
                <w:color w:val="auto"/>
              </w:rPr>
              <w:t>of incorporation)</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Seattle</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Washington</w:t>
      </w:r>
    </w:p>
    <w:p>
      <w:pPr>
        <w:ind w:left="1220"/>
        <w:spacing w:after="0"/>
        <w:rPr>
          <w:sz w:val="20"/>
          <w:szCs w:val="20"/>
          <w:color w:val="auto"/>
        </w:rPr>
      </w:pPr>
      <w:r>
        <w:rPr>
          <w:rFonts w:ascii="Arial" w:cs="Arial" w:eastAsia="Arial" w:hAnsi="Arial"/>
          <w:sz w:val="18"/>
          <w:szCs w:val="18"/>
          <w:color w:val="auto"/>
        </w:rPr>
        <w:t>(Address of principal executive offices)</w:t>
      </w:r>
    </w:p>
    <w:p>
      <w:pPr>
        <w:spacing w:after="0" w:line="298"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rPr>
          <w:sz w:val="20"/>
          <w:szCs w:val="20"/>
          <w:color w:val="auto"/>
        </w:rPr>
      </w:pP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819" w:lineRule="exact"/>
        <w:rPr>
          <w:sz w:val="20"/>
          <w:szCs w:val="20"/>
          <w:color w:val="auto"/>
        </w:rPr>
      </w:pPr>
    </w:p>
    <w:p>
      <w:pPr>
        <w:sectPr>
          <w:pgSz w:w="11900" w:h="16838" w:orient="portrait"/>
          <w:cols w:equalWidth="0" w:num="3">
            <w:col w:w="7620" w:space="340"/>
            <w:col w:w="740" w:space="100"/>
            <w:col w:w="2440"/>
          </w:cols>
          <w:pgMar w:left="320" w:top="1440" w:right="339" w:bottom="1440" w:gutter="0" w:footer="0" w:header="0"/>
          <w:type w:val="continuous"/>
        </w:sectPr>
      </w:pPr>
    </w:p>
    <w:p>
      <w:pPr>
        <w:spacing w:after="0" w:line="30" w:lineRule="exact"/>
        <w:rPr>
          <w:sz w:val="20"/>
          <w:szCs w:val="20"/>
          <w:color w:val="auto"/>
        </w:rPr>
      </w:pPr>
    </w:p>
    <w:p>
      <w:pPr>
        <w:ind w:firstLine="648"/>
        <w:spacing w:after="0" w:line="3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0" w:lineRule="exact"/>
        <w:rPr>
          <w:sz w:val="20"/>
          <w:szCs w:val="20"/>
          <w:color w:val="auto"/>
        </w:rPr>
      </w:pPr>
    </w:p>
    <w:p>
      <w:pPr>
        <w:ind w:left="400" w:hanging="374"/>
        <w:spacing w:after="0"/>
        <w:tabs>
          <w:tab w:leader="none" w:pos="40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32"/>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43" w:lineRule="exact"/>
        <w:rPr>
          <w:sz w:val="20"/>
          <w:szCs w:val="20"/>
          <w:color w:val="auto"/>
        </w:rPr>
      </w:pPr>
    </w:p>
    <w:p>
      <w:pPr>
        <w:jc w:val="both"/>
        <w:ind w:right="20"/>
        <w:spacing w:after="0" w:line="3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x</w:t>
      </w:r>
    </w:p>
    <w:p>
      <w:pPr>
        <w:sectPr>
          <w:pgSz w:w="11900" w:h="16838" w:orient="portrait"/>
          <w:cols w:equalWidth="0" w:num="1">
            <w:col w:w="11240"/>
          </w:cols>
          <w:pgMar w:left="320" w:top="1440" w:right="339" w:bottom="1440" w:gutter="0" w:footer="0" w:header="0"/>
          <w:type w:val="continuous"/>
        </w:sectPr>
      </w:pPr>
    </w:p>
    <w:bookmarkStart w:id="9" w:name="page10"/>
    <w:bookmarkEnd w:id="9"/>
    <w:p>
      <w:pPr>
        <w:jc w:val="both"/>
        <w:spacing w:after="0" w:line="36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Nautilus Biotechnology, Inc. (the “Company”) held its 2022 annual meeting of stockholders on June 14, 2022 (the “Annual Meeting”). Of the 124,456,653</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shares of the Company’s common stock outstanding as of the record date of April 18, 2022, 81,224,940 shares were represented at the Annual Meeting, either by proxy or by attending the meeting. The matters voted on at the Annual Meeting and the votes cast with respect to each such matter are set forth below:</w:t>
      </w:r>
    </w:p>
    <w:p>
      <w:pPr>
        <w:spacing w:after="0" w:line="168" w:lineRule="exact"/>
        <w:rPr>
          <w:sz w:val="20"/>
          <w:szCs w:val="20"/>
          <w:color w:val="auto"/>
        </w:rPr>
      </w:pPr>
    </w:p>
    <w:p>
      <w:pPr>
        <w:jc w:val="both"/>
        <w:ind w:left="380" w:hanging="388"/>
        <w:spacing w:after="0" w:line="239" w:lineRule="auto"/>
        <w:tabs>
          <w:tab w:leader="none" w:pos="360" w:val="left"/>
        </w:tabs>
        <w:rPr>
          <w:sz w:val="20"/>
          <w:szCs w:val="20"/>
          <w:color w:val="auto"/>
        </w:rPr>
      </w:pPr>
      <w:r>
        <w:rPr>
          <w:rFonts w:ascii="Times New Roman" w:cs="Times New Roman" w:eastAsia="Times New Roman" w:hAnsi="Times New Roman"/>
          <w:sz w:val="18"/>
          <w:szCs w:val="18"/>
          <w:b w:val="1"/>
          <w:bCs w:val="1"/>
          <w:color w:val="auto"/>
        </w:rPr>
        <w:t>1.</w:t>
        <w:tab/>
        <w:t xml:space="preserve">Election of Class I Directors. </w:t>
      </w:r>
      <w:r>
        <w:rPr>
          <w:rFonts w:ascii="Times New Roman" w:cs="Times New Roman" w:eastAsia="Times New Roman" w:hAnsi="Times New Roman"/>
          <w:sz w:val="18"/>
          <w:szCs w:val="18"/>
          <w:color w:val="auto"/>
        </w:rPr>
        <w:t>The following nominees were elected to serve as Class I directors, each to hold office until the Company’s 2025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or until his respective successor has been duly elected and qualified:</w:t>
      </w:r>
    </w:p>
    <w:p>
      <w:pPr>
        <w:spacing w:after="0" w:line="225" w:lineRule="exact"/>
        <w:rPr>
          <w:sz w:val="20"/>
          <w:szCs w:val="20"/>
          <w:color w:val="auto"/>
        </w:rPr>
      </w:pPr>
    </w:p>
    <w:tbl>
      <w:tblPr>
        <w:tblLayout w:type="fixed"/>
        <w:tblInd w:w="470" w:type="dxa"/>
        <w:tblCellMar>
          <w:top w:w="0" w:type="dxa"/>
          <w:left w:w="0" w:type="dxa"/>
          <w:bottom w:w="0" w:type="dxa"/>
          <w:right w:w="0" w:type="dxa"/>
        </w:tblCellMar>
      </w:tblPr>
      <w:tr>
        <w:trPr>
          <w:trHeight w:val="229"/>
        </w:trPr>
        <w:tc>
          <w:tcPr>
            <w:tcW w:w="3320" w:type="dxa"/>
            <w:vAlign w:val="bottom"/>
            <w:tcBorders>
              <w:top w:val="single" w:sz="8" w:color="auto"/>
              <w:left w:val="single" w:sz="8" w:color="auto"/>
            </w:tcBorders>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240" w:type="dxa"/>
            <w:vAlign w:val="bottom"/>
            <w:tcBorders>
              <w:top w:val="single" w:sz="8" w:color="auto"/>
            </w:tcBorders>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80" w:type="dxa"/>
            <w:vAlign w:val="bottom"/>
            <w:tcBorders>
              <w:top w:val="single" w:sz="8" w:color="auto"/>
            </w:tcBorders>
            <w:gridSpan w:val="2"/>
            <w:shd w:val="clear" w:color="auto" w:fill="CFF0FC"/>
          </w:tcPr>
          <w:p>
            <w:pPr>
              <w:ind w:left="40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2020" w:type="dxa"/>
            <w:vAlign w:val="bottom"/>
            <w:tcBorders>
              <w:top w:val="single" w:sz="8" w:color="auto"/>
              <w:right w:val="single" w:sz="8" w:color="auto"/>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7"/>
        </w:trPr>
        <w:tc>
          <w:tcPr>
            <w:tcW w:w="306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Sujal Patel</w:t>
            </w:r>
          </w:p>
        </w:tc>
        <w:tc>
          <w:tcPr>
            <w:tcW w:w="26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68,521,823</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862,321</w:t>
            </w:r>
          </w:p>
        </w:tc>
        <w:tc>
          <w:tcPr>
            <w:tcW w:w="40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right w:val="single" w:sz="8" w:color="auto"/>
            </w:tcBorders>
          </w:tcPr>
          <w:p>
            <w:pPr>
              <w:spacing w:after="0"/>
              <w:rPr>
                <w:sz w:val="17"/>
                <w:szCs w:val="17"/>
                <w:color w:val="auto"/>
              </w:rPr>
            </w:pPr>
          </w:p>
        </w:tc>
      </w:tr>
      <w:tr>
        <w:trPr>
          <w:trHeight w:val="209"/>
        </w:trPr>
        <w:tc>
          <w:tcPr>
            <w:tcW w:w="3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Vijay Pande</w:t>
            </w:r>
          </w:p>
        </w:tc>
        <w:tc>
          <w:tcPr>
            <w:tcW w:w="260" w:type="dxa"/>
            <w:vAlign w:val="bottom"/>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68,516,709</w:t>
            </w:r>
          </w:p>
        </w:tc>
        <w:tc>
          <w:tcPr>
            <w:tcW w:w="400" w:type="dxa"/>
            <w:vAlign w:val="bottom"/>
          </w:tcPr>
          <w:p>
            <w:pPr>
              <w:spacing w:after="0"/>
              <w:rPr>
                <w:sz w:val="18"/>
                <w:szCs w:val="18"/>
                <w:color w:val="auto"/>
              </w:rPr>
            </w:pPr>
          </w:p>
        </w:tc>
        <w:tc>
          <w:tcPr>
            <w:tcW w:w="18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867,435</w:t>
            </w:r>
          </w:p>
        </w:tc>
        <w:tc>
          <w:tcPr>
            <w:tcW w:w="400" w:type="dxa"/>
            <w:vAlign w:val="bottom"/>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right w:val="single" w:sz="8" w:color="auto"/>
            </w:tcBorders>
          </w:tcPr>
          <w:p>
            <w:pPr>
              <w:spacing w:after="0"/>
              <w:rPr>
                <w:sz w:val="18"/>
                <w:szCs w:val="18"/>
                <w:color w:val="auto"/>
              </w:rPr>
            </w:pPr>
          </w:p>
        </w:tc>
      </w:tr>
      <w:tr>
        <w:trPr>
          <w:trHeight w:val="209"/>
        </w:trPr>
        <w:tc>
          <w:tcPr>
            <w:tcW w:w="306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Michael Altman</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68,518,666</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865,478</w:t>
            </w:r>
          </w:p>
        </w:tc>
        <w:tc>
          <w:tcPr>
            <w:tcW w:w="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11,840,796</w:t>
            </w:r>
          </w:p>
        </w:tc>
        <w:tc>
          <w:tcPr>
            <w:tcW w:w="140" w:type="dxa"/>
            <w:vAlign w:val="bottom"/>
            <w:tcBorders>
              <w:bottom w:val="single" w:sz="8" w:color="auto"/>
              <w:right w:val="single" w:sz="8" w:color="auto"/>
            </w:tcBorders>
          </w:tcPr>
          <w:p>
            <w:pPr>
              <w:spacing w:after="0"/>
              <w:rPr>
                <w:sz w:val="18"/>
                <w:szCs w:val="18"/>
                <w:color w:val="auto"/>
              </w:rPr>
            </w:pPr>
          </w:p>
        </w:tc>
      </w:tr>
    </w:tbl>
    <w:p>
      <w:pPr>
        <w:spacing w:after="0" w:line="302" w:lineRule="exact"/>
        <w:rPr>
          <w:sz w:val="20"/>
          <w:szCs w:val="20"/>
          <w:color w:val="auto"/>
        </w:rPr>
      </w:pPr>
    </w:p>
    <w:p>
      <w:pPr>
        <w:jc w:val="right"/>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2.   Ratification of Appointment of Independent Registered Public Accounting Firm. </w:t>
      </w:r>
      <w:r>
        <w:rPr>
          <w:rFonts w:ascii="Times New Roman" w:cs="Times New Roman" w:eastAsia="Times New Roman" w:hAnsi="Times New Roman"/>
          <w:sz w:val="18"/>
          <w:szCs w:val="18"/>
          <w:color w:val="auto"/>
        </w:rPr>
        <w:t>The appointment of Pricewaterhouse Coopers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independent registered public accounting firm for the fiscal year ending December 31, 2022 was ratified based on the following results of</w:t>
      </w:r>
    </w:p>
    <w:p>
      <w:pPr>
        <w:ind w:left="400"/>
        <w:spacing w:after="0"/>
        <w:rPr>
          <w:sz w:val="20"/>
          <w:szCs w:val="20"/>
          <w:color w:val="auto"/>
        </w:rPr>
      </w:pPr>
      <w:r>
        <w:rPr>
          <w:rFonts w:ascii="Times New Roman" w:cs="Times New Roman" w:eastAsia="Times New Roman" w:hAnsi="Times New Roman"/>
          <w:sz w:val="18"/>
          <w:szCs w:val="18"/>
          <w:color w:val="auto"/>
        </w:rPr>
        <w:t>voting:</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1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3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7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26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4"/>
        </w:trPr>
        <w:tc>
          <w:tcPr>
            <w:tcW w:w="16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80,903,155</w:t>
            </w:r>
          </w:p>
        </w:tc>
        <w:tc>
          <w:tcPr>
            <w:tcW w:w="440" w:type="dxa"/>
            <w:vAlign w:val="bottom"/>
          </w:tcPr>
          <w:p>
            <w:pPr>
              <w:spacing w:after="0"/>
              <w:rPr>
                <w:sz w:val="17"/>
                <w:szCs w:val="17"/>
                <w:color w:val="auto"/>
              </w:rPr>
            </w:pPr>
          </w:p>
        </w:tc>
        <w:tc>
          <w:tcPr>
            <w:tcW w:w="18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31,871</w:t>
            </w:r>
          </w:p>
        </w:tc>
        <w:tc>
          <w:tcPr>
            <w:tcW w:w="460" w:type="dxa"/>
            <w:vAlign w:val="bottom"/>
          </w:tcPr>
          <w:p>
            <w:pPr>
              <w:spacing w:after="0"/>
              <w:rPr>
                <w:sz w:val="17"/>
                <w:szCs w:val="17"/>
                <w:color w:val="auto"/>
              </w:rPr>
            </w:pPr>
          </w:p>
        </w:tc>
        <w:tc>
          <w:tcPr>
            <w:tcW w:w="23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289,914</w:t>
            </w:r>
          </w:p>
        </w:tc>
        <w:tc>
          <w:tcPr>
            <w:tcW w:w="440" w:type="dxa"/>
            <w:vAlign w:val="bottom"/>
          </w:tcPr>
          <w:p>
            <w:pPr>
              <w:spacing w:after="0"/>
              <w:rPr>
                <w:sz w:val="17"/>
                <w:szCs w:val="17"/>
                <w:color w:val="auto"/>
              </w:rPr>
            </w:pPr>
          </w:p>
        </w:tc>
        <w:tc>
          <w:tcPr>
            <w:tcW w:w="2500" w:type="dxa"/>
            <w:vAlign w:val="bottom"/>
            <w:tcBorders>
              <w:top w:val="single" w:sz="8" w:color="auto"/>
            </w:tcBorders>
          </w:tcPr>
          <w:p>
            <w:pPr>
              <w:jc w:val="right"/>
              <w:ind w:right="108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r>
    </w:tbl>
    <w:p>
      <w:pPr>
        <w:sectPr>
          <w:pgSz w:w="11900" w:h="16838" w:orient="portrait"/>
          <w:cols w:equalWidth="0" w:num="1">
            <w:col w:w="11240"/>
          </w:cols>
          <w:pgMar w:left="320" w:top="120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3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2022</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0" Type="http://schemas.openxmlformats.org/officeDocument/2006/relationships/hyperlink" Target="https://www.sec.gov/Archives/edgar/data/0001808805/000180880522000048/a2022q110-qprosupp.htm#i4657294e83c84594866466138495abae_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2022-06-16T15:11:21Z</dcterms:created>
  <dcterms:modified xsi:type="dcterms:W3CDTF">2022-06-16T15:11:21Z</dcterms:modified>
</cp:coreProperties>
</file>