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9" w:lineRule="exact"/>
        <w:rPr>
          <w:sz w:val="24"/>
          <w:szCs w:val="24"/>
          <w:color w:val="auto"/>
        </w:rPr>
      </w:pPr>
    </w:p>
    <w:p>
      <w:pPr>
        <w:ind w:left="360"/>
        <w:spacing w:after="0" w:line="248"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-233045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0"/>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37"/>
              <w:spacing w:after="0" w:line="13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2"/>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60" w:type="dxa"/>
            <w:vAlign w:val="bottom"/>
            <w:vMerge w:val="restart"/>
          </w:tcPr>
          <w:p>
            <w:pPr>
              <w:jc w:val="center"/>
              <w:ind w:right="217"/>
              <w:spacing w:after="0" w:line="186"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5"/>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-617855</wp:posOffset>
            </wp:positionV>
            <wp:extent cx="57785" cy="631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13970</wp:posOffset>
            </wp:positionV>
            <wp:extent cx="7047230" cy="44354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4435475"/>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20" w:space="380"/>
            <w:col w:w="8480"/>
          </w:cols>
          <w:pgMar w:left="460" w:top="220"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Mallick Parag</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9"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C/O NAUTILUS BIOTECHNOLOGY, INC.</w:t>
      </w:r>
    </w:p>
    <w:p>
      <w:pPr>
        <w:spacing w:after="0" w:line="7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2701 EASTLAKE AVENUE EAST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4" w:lineRule="exact"/>
        <w:rPr>
          <w:sz w:val="24"/>
          <w:szCs w:val="24"/>
          <w:color w:val="auto"/>
        </w:rPr>
      </w:pPr>
    </w:p>
    <w:p>
      <w:pPr>
        <w:jc w:val="center"/>
        <w:ind w:right="15"/>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Nautilus Biotechnology,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NAUT</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9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02/27/2023</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5" w:right="660" w:hanging="5"/>
        <w:spacing w:after="0" w:line="235"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tbl>
      <w:tblPr>
        <w:tblLayout w:type="fixed"/>
        <w:tblInd w:w="185" w:type="dxa"/>
        <w:tblCellMar>
          <w:top w:w="0" w:type="dxa"/>
          <w:left w:w="0" w:type="dxa"/>
          <w:bottom w:w="0" w:type="dxa"/>
          <w:right w:w="0" w:type="dxa"/>
        </w:tblCellMar>
      </w:tblPr>
      <w:tr>
        <w:trPr>
          <w:trHeight w:val="209"/>
        </w:trPr>
        <w:tc>
          <w:tcPr>
            <w:tcW w:w="240" w:type="dxa"/>
            <w:vAlign w:val="bottom"/>
          </w:tcPr>
          <w:p>
            <w:pPr>
              <w:spacing w:after="0"/>
              <w:rPr>
                <w:sz w:val="20"/>
                <w:szCs w:val="20"/>
                <w:color w:val="auto"/>
              </w:rPr>
            </w:pPr>
            <w:r>
              <w:rPr>
                <w:rFonts w:ascii="Arial" w:cs="Arial" w:eastAsia="Arial" w:hAnsi="Arial"/>
                <w:sz w:val="17"/>
                <w:szCs w:val="17"/>
                <w:color w:val="0000FF"/>
              </w:rPr>
              <w:t>X</w:t>
            </w:r>
          </w:p>
        </w:tc>
        <w:tc>
          <w:tcPr>
            <w:tcW w:w="118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280" w:type="dxa"/>
            <w:vAlign w:val="bottom"/>
          </w:tcPr>
          <w:p>
            <w:pPr>
              <w:ind w:left="1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10% Owner</w:t>
            </w:r>
          </w:p>
        </w:tc>
        <w:tc>
          <w:tcPr>
            <w:tcW w:w="0" w:type="dxa"/>
            <w:vAlign w:val="bottom"/>
          </w:tcPr>
          <w:p>
            <w:pPr>
              <w:spacing w:after="0"/>
              <w:rPr>
                <w:sz w:val="1"/>
                <w:szCs w:val="1"/>
                <w:color w:val="auto"/>
              </w:rPr>
            </w:pPr>
          </w:p>
        </w:tc>
      </w:tr>
      <w:tr>
        <w:trPr>
          <w:trHeight w:val="193"/>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18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280" w:type="dxa"/>
            <w:vAlign w:val="bottom"/>
          </w:tcPr>
          <w:p>
            <w:pPr>
              <w:ind w:left="50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00"/>
        </w:trPr>
        <w:tc>
          <w:tcPr>
            <w:tcW w:w="240" w:type="dxa"/>
            <w:vAlign w:val="bottom"/>
            <w:vMerge w:val="continue"/>
          </w:tcPr>
          <w:p>
            <w:pPr>
              <w:spacing w:after="0"/>
              <w:rPr>
                <w:sz w:val="8"/>
                <w:szCs w:val="8"/>
                <w:color w:val="auto"/>
              </w:rPr>
            </w:pPr>
          </w:p>
        </w:tc>
        <w:tc>
          <w:tcPr>
            <w:tcW w:w="118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280" w:type="dxa"/>
            <w:vAlign w:val="bottom"/>
            <w:vMerge w:val="restart"/>
          </w:tcPr>
          <w:p>
            <w:pPr>
              <w:ind w:left="5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180" w:type="dxa"/>
            <w:vAlign w:val="bottom"/>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1085"/>
        <w:spacing w:after="0"/>
        <w:rPr>
          <w:sz w:val="20"/>
          <w:szCs w:val="20"/>
          <w:color w:val="auto"/>
        </w:rPr>
      </w:pPr>
      <w:r>
        <w:rPr>
          <w:rFonts w:ascii="Arial" w:cs="Arial" w:eastAsia="Arial" w:hAnsi="Arial"/>
          <w:sz w:val="17"/>
          <w:szCs w:val="17"/>
          <w:color w:val="0000FF"/>
        </w:rPr>
        <w:t>Chief Scientist</w:t>
      </w:r>
    </w:p>
    <w:p>
      <w:pPr>
        <w:spacing w:after="0" w:line="387" w:lineRule="exact"/>
        <w:rPr>
          <w:sz w:val="24"/>
          <w:szCs w:val="24"/>
          <w:color w:val="auto"/>
        </w:rPr>
      </w:pPr>
    </w:p>
    <w:p>
      <w:pPr>
        <w:sectPr>
          <w:pgSz w:w="11900" w:h="16838" w:orient="portrait"/>
          <w:cols w:equalWidth="0" w:num="3">
            <w:col w:w="3180" w:space="720"/>
            <w:col w:w="3115" w:space="720"/>
            <w:col w:w="3345"/>
          </w:cols>
          <w:pgMar w:left="460" w:top="220" w:right="359" w:bottom="144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53"/>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26"/>
        </w:trPr>
        <w:tc>
          <w:tcPr>
            <w:tcW w:w="20" w:type="dxa"/>
            <w:vAlign w:val="bottom"/>
          </w:tcPr>
          <w:p>
            <w:pPr>
              <w:spacing w:after="0"/>
              <w:rPr>
                <w:sz w:val="19"/>
                <w:szCs w:val="19"/>
                <w:color w:val="auto"/>
              </w:rPr>
            </w:pPr>
          </w:p>
        </w:tc>
        <w:tc>
          <w:tcPr>
            <w:tcW w:w="980" w:type="dxa"/>
            <w:vAlign w:val="bottom"/>
          </w:tcPr>
          <w:p>
            <w:pPr>
              <w:ind w:left="20"/>
              <w:spacing w:after="0"/>
              <w:rPr>
                <w:sz w:val="20"/>
                <w:szCs w:val="20"/>
                <w:color w:val="auto"/>
              </w:rPr>
            </w:pPr>
            <w:r>
              <w:rPr>
                <w:rFonts w:ascii="Arial" w:cs="Arial" w:eastAsia="Arial" w:hAnsi="Arial"/>
                <w:sz w:val="17"/>
                <w:szCs w:val="17"/>
                <w:color w:val="0000FF"/>
              </w:rPr>
              <w:t>SEATTLE</w:t>
            </w:r>
          </w:p>
        </w:tc>
        <w:tc>
          <w:tcPr>
            <w:tcW w:w="1060" w:type="dxa"/>
            <w:vAlign w:val="bottom"/>
          </w:tcPr>
          <w:p>
            <w:pPr>
              <w:ind w:left="260"/>
              <w:spacing w:after="0"/>
              <w:rPr>
                <w:sz w:val="20"/>
                <w:szCs w:val="20"/>
                <w:color w:val="auto"/>
              </w:rPr>
            </w:pPr>
            <w:r>
              <w:rPr>
                <w:rFonts w:ascii="Arial" w:cs="Arial" w:eastAsia="Arial" w:hAnsi="Arial"/>
                <w:sz w:val="17"/>
                <w:szCs w:val="17"/>
                <w:color w:val="0000FF"/>
              </w:rPr>
              <w:t>WA</w:t>
            </w:r>
          </w:p>
        </w:tc>
        <w:tc>
          <w:tcPr>
            <w:tcW w:w="1620" w:type="dxa"/>
            <w:vAlign w:val="bottom"/>
          </w:tcPr>
          <w:p>
            <w:pPr>
              <w:ind w:left="420"/>
              <w:spacing w:after="0"/>
              <w:rPr>
                <w:sz w:val="20"/>
                <w:szCs w:val="20"/>
                <w:color w:val="auto"/>
              </w:rPr>
            </w:pPr>
            <w:r>
              <w:rPr>
                <w:rFonts w:ascii="Arial" w:cs="Arial" w:eastAsia="Arial" w:hAnsi="Arial"/>
                <w:sz w:val="17"/>
                <w:szCs w:val="17"/>
                <w:color w:val="0000FF"/>
              </w:rPr>
              <w:t>98102</w:t>
            </w:r>
          </w:p>
        </w:tc>
      </w:tr>
      <w:tr>
        <w:trPr>
          <w:trHeight w:val="148"/>
        </w:trPr>
        <w:tc>
          <w:tcPr>
            <w:tcW w:w="20" w:type="dxa"/>
            <w:vAlign w:val="bottom"/>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2"/>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40"/>
        <w:spacing w:after="0"/>
        <w:rPr>
          <w:sz w:val="20"/>
          <w:szCs w:val="20"/>
          <w:color w:val="auto"/>
        </w:rPr>
      </w:pPr>
      <w:r>
        <w:rPr>
          <w:rFonts w:ascii="Arial" w:cs="Arial" w:eastAsia="Arial" w:hAnsi="Arial"/>
          <w:sz w:val="13"/>
          <w:szCs w:val="13"/>
          <w:color w:val="auto"/>
        </w:rPr>
        <w:t>Line)</w:t>
      </w:r>
    </w:p>
    <w:p>
      <w:pPr>
        <w:ind w:left="4040"/>
        <w:spacing w:after="0" w:line="213"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0"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342" w:lineRule="exact"/>
        <w:rPr>
          <w:sz w:val="24"/>
          <w:szCs w:val="24"/>
          <w:color w:val="auto"/>
        </w:rPr>
      </w:pPr>
    </w:p>
    <w:p>
      <w:pPr>
        <w:sectPr>
          <w:pgSz w:w="11900" w:h="16838" w:orient="portrait"/>
          <w:cols w:equalWidth="0" w:num="2">
            <w:col w:w="3760" w:space="140"/>
            <w:col w:w="7180"/>
          </w:cols>
          <w:pgMar w:left="460" w:top="220"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520" w:type="dxa"/>
            <w:vAlign w:val="bottom"/>
          </w:tcPr>
          <w:p>
            <w:pPr>
              <w:spacing w:after="0"/>
              <w:rPr>
                <w:sz w:val="10"/>
                <w:szCs w:val="10"/>
                <w:color w:val="auto"/>
              </w:rPr>
            </w:pPr>
          </w:p>
        </w:tc>
        <w:tc>
          <w:tcPr>
            <w:tcW w:w="1820" w:type="dxa"/>
            <w:vAlign w:val="bottom"/>
          </w:tcPr>
          <w:p>
            <w:pPr>
              <w:ind w:left="820"/>
              <w:spacing w:after="0" w:line="124" w:lineRule="exact"/>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96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Form: Direct</w:t>
            </w:r>
          </w:p>
        </w:tc>
        <w:tc>
          <w:tcPr>
            <w:tcW w:w="8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60" w:type="dxa"/>
            <w:vAlign w:val="bottom"/>
          </w:tcPr>
          <w:p>
            <w:pPr>
              <w:spacing w:after="0"/>
              <w:rPr>
                <w:sz w:val="6"/>
                <w:szCs w:val="6"/>
                <w:color w:val="auto"/>
              </w:rPr>
            </w:pPr>
          </w:p>
        </w:tc>
        <w:tc>
          <w:tcPr>
            <w:tcW w:w="8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52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8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6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52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59"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4" w:lineRule="exact"/>
        <w:rPr>
          <w:sz w:val="24"/>
          <w:szCs w:val="24"/>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22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22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2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680" w:type="dxa"/>
            <w:vAlign w:val="bottom"/>
          </w:tcPr>
          <w:p>
            <w:pPr>
              <w:ind w:left="60"/>
              <w:spacing w:after="0"/>
              <w:rPr>
                <w:sz w:val="20"/>
                <w:szCs w:val="20"/>
                <w:color w:val="auto"/>
              </w:rPr>
            </w:pPr>
            <w:r>
              <w:rPr>
                <w:rFonts w:ascii="Arial" w:cs="Arial" w:eastAsia="Arial" w:hAnsi="Arial"/>
                <w:sz w:val="13"/>
                <w:szCs w:val="13"/>
                <w:color w:val="0000FF"/>
              </w:rPr>
              <w:t>Option</w:t>
            </w:r>
          </w:p>
        </w:tc>
        <w:tc>
          <w:tcPr>
            <w:tcW w:w="760" w:type="dxa"/>
            <w:vAlign w:val="bottom"/>
          </w:tcPr>
          <w:p>
            <w:pPr>
              <w:ind w:left="32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2</w:t>
            </w:r>
          </w:p>
        </w:tc>
        <w:tc>
          <w:tcPr>
            <w:tcW w:w="1060" w:type="dxa"/>
            <w:vAlign w:val="bottom"/>
          </w:tcPr>
          <w:p>
            <w:pPr>
              <w:jc w:val="right"/>
              <w:ind w:right="181"/>
              <w:spacing w:after="0"/>
              <w:rPr>
                <w:sz w:val="20"/>
                <w:szCs w:val="20"/>
                <w:color w:val="auto"/>
              </w:rPr>
            </w:pPr>
            <w:r>
              <w:rPr>
                <w:rFonts w:ascii="Arial" w:cs="Arial" w:eastAsia="Arial" w:hAnsi="Arial"/>
                <w:sz w:val="13"/>
                <w:szCs w:val="13"/>
                <w:color w:val="0000FF"/>
              </w:rPr>
              <w:t>02/27/2023</w:t>
            </w:r>
          </w:p>
        </w:tc>
        <w:tc>
          <w:tcPr>
            <w:tcW w:w="1080" w:type="dxa"/>
            <w:vAlign w:val="bottom"/>
          </w:tcPr>
          <w:p>
            <w:pPr>
              <w:spacing w:after="0"/>
              <w:rPr>
                <w:sz w:val="17"/>
                <w:szCs w:val="17"/>
                <w:color w:val="auto"/>
              </w:rPr>
            </w:pPr>
          </w:p>
        </w:tc>
        <w:tc>
          <w:tcPr>
            <w:tcW w:w="780" w:type="dxa"/>
            <w:vAlign w:val="bottom"/>
          </w:tcPr>
          <w:p>
            <w:pPr>
              <w:ind w:left="160"/>
              <w:spacing w:after="0"/>
              <w:rPr>
                <w:sz w:val="20"/>
                <w:szCs w:val="20"/>
                <w:color w:val="auto"/>
              </w:rPr>
            </w:pPr>
            <w:r>
              <w:rPr>
                <w:rFonts w:ascii="Arial" w:cs="Arial" w:eastAsia="Arial" w:hAnsi="Arial"/>
                <w:sz w:val="13"/>
                <w:szCs w:val="13"/>
                <w:color w:val="0000FF"/>
              </w:rPr>
              <w:t>A</w:t>
            </w:r>
          </w:p>
        </w:tc>
        <w:tc>
          <w:tcPr>
            <w:tcW w:w="640" w:type="dxa"/>
            <w:vAlign w:val="bottom"/>
          </w:tcPr>
          <w:p>
            <w:pPr>
              <w:ind w:left="80"/>
              <w:spacing w:after="0"/>
              <w:rPr>
                <w:sz w:val="20"/>
                <w:szCs w:val="20"/>
                <w:color w:val="auto"/>
              </w:rPr>
            </w:pPr>
            <w:r>
              <w:rPr>
                <w:rFonts w:ascii="Arial" w:cs="Arial" w:eastAsia="Arial" w:hAnsi="Arial"/>
                <w:sz w:val="13"/>
                <w:szCs w:val="13"/>
                <w:color w:val="0000FF"/>
              </w:rPr>
              <w:t>280,000</w:t>
            </w:r>
          </w:p>
        </w:tc>
        <w:tc>
          <w:tcPr>
            <w:tcW w:w="220" w:type="dxa"/>
            <w:vAlign w:val="bottom"/>
          </w:tcPr>
          <w:p>
            <w:pPr>
              <w:spacing w:after="0"/>
              <w:rPr>
                <w:sz w:val="17"/>
                <w:szCs w:val="17"/>
                <w:color w:val="auto"/>
              </w:rPr>
            </w:pPr>
          </w:p>
        </w:tc>
        <w:tc>
          <w:tcPr>
            <w:tcW w:w="780" w:type="dxa"/>
            <w:vAlign w:val="bottom"/>
          </w:tcPr>
          <w:p>
            <w:pPr>
              <w:ind w:left="320"/>
              <w:spacing w:after="0"/>
              <w:rPr>
                <w:sz w:val="20"/>
                <w:szCs w:val="20"/>
                <w:color w:val="auto"/>
              </w:rPr>
            </w:pPr>
            <w:r>
              <w:rPr>
                <w:rFonts w:ascii="Arial" w:cs="Arial" w:eastAsia="Arial" w:hAnsi="Arial"/>
                <w:sz w:val="11"/>
                <w:szCs w:val="11"/>
                <w:color w:val="008000"/>
              </w:rPr>
              <w:t>(1)</w:t>
            </w:r>
          </w:p>
        </w:tc>
        <w:tc>
          <w:tcPr>
            <w:tcW w:w="700" w:type="dxa"/>
            <w:vAlign w:val="bottom"/>
          </w:tcPr>
          <w:p>
            <w:pPr>
              <w:ind w:left="60"/>
              <w:spacing w:after="0"/>
              <w:rPr>
                <w:sz w:val="20"/>
                <w:szCs w:val="20"/>
                <w:color w:val="auto"/>
              </w:rPr>
            </w:pPr>
            <w:r>
              <w:rPr>
                <w:rFonts w:ascii="Arial" w:cs="Arial" w:eastAsia="Arial" w:hAnsi="Arial"/>
                <w:sz w:val="13"/>
                <w:szCs w:val="13"/>
                <w:color w:val="0000FF"/>
                <w:w w:val="95"/>
              </w:rPr>
              <w:t>02/27/2033</w:t>
            </w:r>
          </w:p>
        </w:tc>
        <w:tc>
          <w:tcPr>
            <w:tcW w:w="680" w:type="dxa"/>
            <w:vAlign w:val="bottom"/>
          </w:tcPr>
          <w:p>
            <w:pPr>
              <w:ind w:left="80"/>
              <w:spacing w:after="0"/>
              <w:rPr>
                <w:sz w:val="20"/>
                <w:szCs w:val="20"/>
                <w:color w:val="auto"/>
              </w:rPr>
            </w:pPr>
            <w:r>
              <w:rPr>
                <w:rFonts w:ascii="Arial" w:cs="Arial" w:eastAsia="Arial" w:hAnsi="Arial"/>
                <w:sz w:val="13"/>
                <w:szCs w:val="13"/>
                <w:color w:val="0000FF"/>
              </w:rPr>
              <w:t>Common</w:t>
            </w:r>
          </w:p>
        </w:tc>
        <w:tc>
          <w:tcPr>
            <w:tcW w:w="620" w:type="dxa"/>
            <w:vAlign w:val="bottom"/>
          </w:tcPr>
          <w:p>
            <w:pPr>
              <w:spacing w:after="0"/>
              <w:rPr>
                <w:sz w:val="20"/>
                <w:szCs w:val="20"/>
                <w:color w:val="auto"/>
              </w:rPr>
            </w:pPr>
            <w:r>
              <w:rPr>
                <w:rFonts w:ascii="Arial" w:cs="Arial" w:eastAsia="Arial" w:hAnsi="Arial"/>
                <w:sz w:val="17"/>
                <w:szCs w:val="17"/>
                <w:color w:val="0000FF"/>
                <w:w w:val="97"/>
              </w:rPr>
              <w:t>280,000</w:t>
            </w:r>
          </w:p>
        </w:tc>
        <w:tc>
          <w:tcPr>
            <w:tcW w:w="680" w:type="dxa"/>
            <w:vAlign w:val="bottom"/>
          </w:tcPr>
          <w:p>
            <w:pPr>
              <w:ind w:left="28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920" w:type="dxa"/>
            <w:vAlign w:val="bottom"/>
          </w:tcPr>
          <w:p>
            <w:pPr>
              <w:ind w:left="260"/>
              <w:spacing w:after="0"/>
              <w:rPr>
                <w:sz w:val="20"/>
                <w:szCs w:val="20"/>
                <w:color w:val="auto"/>
              </w:rPr>
            </w:pPr>
            <w:r>
              <w:rPr>
                <w:rFonts w:ascii="Arial" w:cs="Arial" w:eastAsia="Arial" w:hAnsi="Arial"/>
                <w:sz w:val="13"/>
                <w:szCs w:val="13"/>
                <w:color w:val="0000FF"/>
              </w:rPr>
              <w:t>280,000</w:t>
            </w:r>
          </w:p>
        </w:tc>
        <w:tc>
          <w:tcPr>
            <w:tcW w:w="720" w:type="dxa"/>
            <w:vAlign w:val="bottom"/>
          </w:tcPr>
          <w:p>
            <w:pPr>
              <w:ind w:left="32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680" w:type="dxa"/>
            <w:vAlign w:val="bottom"/>
          </w:tcPr>
          <w:p>
            <w:pPr>
              <w:ind w:left="60"/>
              <w:spacing w:after="0" w:line="91" w:lineRule="exact"/>
              <w:rPr>
                <w:sz w:val="20"/>
                <w:szCs w:val="20"/>
                <w:color w:val="auto"/>
              </w:rPr>
            </w:pPr>
            <w:r>
              <w:rPr>
                <w:rFonts w:ascii="Arial" w:cs="Arial" w:eastAsia="Arial" w:hAnsi="Arial"/>
                <w:sz w:val="10"/>
                <w:szCs w:val="10"/>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80" w:type="dxa"/>
            <w:vAlign w:val="bottom"/>
          </w:tcPr>
          <w:p>
            <w:pPr>
              <w:ind w:left="180"/>
              <w:spacing w:after="0" w:line="91" w:lineRule="exact"/>
              <w:rPr>
                <w:sz w:val="20"/>
                <w:szCs w:val="20"/>
                <w:color w:val="auto"/>
              </w:rPr>
            </w:pPr>
            <w:r>
              <w:rPr>
                <w:rFonts w:ascii="Arial" w:cs="Arial" w:eastAsia="Arial" w:hAnsi="Arial"/>
                <w:sz w:val="10"/>
                <w:szCs w:val="10"/>
                <w:color w:val="0000FF"/>
              </w:rPr>
              <w:t>Stock</w:t>
            </w:r>
          </w:p>
        </w:tc>
        <w:tc>
          <w:tcPr>
            <w:tcW w:w="6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8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9" w:lineRule="exact"/>
        <w:rPr>
          <w:sz w:val="24"/>
          <w:szCs w:val="24"/>
          <w:color w:val="auto"/>
        </w:rPr>
      </w:pPr>
    </w:p>
    <w:p>
      <w:pPr>
        <w:jc w:val="both"/>
        <w:ind w:left="40" w:right="240"/>
        <w:spacing w:after="0" w:line="292" w:lineRule="auto"/>
        <w:tabs>
          <w:tab w:leader="none" w:pos="167"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Subject to reporting person's continuous status as a "Service Provider" (as defined in the the Issuer's 2021 Equity Incentive Plan) through each vesting date, twenty-five percent (25%) of the shares subject to the Option shall vest on the one (1) year anniversary of the Vesting Commencement Date (as defined below), and one thirty-sixth (1/36th) of the remaining shares subject to the Option shall vest each month thereafter on the same day of the month as the Vesting Commencement Date (and if there is no corresponding day, on the last day of the month). The Vesting Commencement Date is January 1, 2023.</w:t>
      </w:r>
    </w:p>
    <w:p>
      <w:pPr>
        <w:spacing w:after="0" w:line="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9"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7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88"/>
              </w:rPr>
              <w:t>/s/ Matthew B. Murphy, as</w:t>
            </w:r>
          </w:p>
        </w:tc>
        <w:tc>
          <w:tcPr>
            <w:tcW w:w="440" w:type="dxa"/>
            <w:vAlign w:val="bottom"/>
          </w:tcPr>
          <w:p>
            <w:pPr>
              <w:spacing w:after="0"/>
              <w:rPr>
                <w:sz w:val="16"/>
                <w:szCs w:val="16"/>
                <w:color w:val="auto"/>
              </w:rPr>
            </w:pPr>
          </w:p>
        </w:tc>
        <w:tc>
          <w:tcPr>
            <w:tcW w:w="740" w:type="dxa"/>
            <w:vAlign w:val="bottom"/>
            <w:vMerge w:val="restart"/>
          </w:tcPr>
          <w:p>
            <w:pPr>
              <w:spacing w:after="0"/>
              <w:rPr>
                <w:sz w:val="20"/>
                <w:szCs w:val="20"/>
                <w:color w:val="auto"/>
              </w:rPr>
            </w:pPr>
            <w:r>
              <w:rPr>
                <w:rFonts w:ascii="Arial" w:cs="Arial" w:eastAsia="Arial" w:hAnsi="Arial"/>
                <w:sz w:val="17"/>
                <w:szCs w:val="17"/>
                <w:color w:val="0000FF"/>
                <w:w w:val="84"/>
              </w:rPr>
              <w:t>03/01/2023</w:t>
            </w:r>
          </w:p>
        </w:tc>
        <w:tc>
          <w:tcPr>
            <w:tcW w:w="0" w:type="dxa"/>
            <w:vAlign w:val="bottom"/>
          </w:tcPr>
          <w:p>
            <w:pPr>
              <w:spacing w:after="0"/>
              <w:rPr>
                <w:sz w:val="1"/>
                <w:szCs w:val="1"/>
                <w:color w:val="auto"/>
              </w:rPr>
            </w:pPr>
          </w:p>
        </w:tc>
      </w:tr>
      <w:tr>
        <w:trPr>
          <w:trHeight w:val="87"/>
        </w:trPr>
        <w:tc>
          <w:tcPr>
            <w:tcW w:w="1080" w:type="dxa"/>
            <w:vAlign w:val="bottom"/>
            <w:vMerge w:val="restart"/>
          </w:tcPr>
          <w:p>
            <w:pPr>
              <w:spacing w:after="0" w:line="184" w:lineRule="exact"/>
              <w:rPr>
                <w:sz w:val="20"/>
                <w:szCs w:val="20"/>
                <w:color w:val="auto"/>
              </w:rPr>
            </w:pPr>
            <w:r>
              <w:rPr>
                <w:rFonts w:ascii="Arial" w:cs="Arial" w:eastAsia="Arial" w:hAnsi="Arial"/>
                <w:sz w:val="17"/>
                <w:szCs w:val="17"/>
                <w:color w:val="0000FF"/>
                <w:w w:val="88"/>
              </w:rPr>
              <w:t>Attorney in Fact</w:t>
            </w:r>
          </w:p>
        </w:tc>
        <w:tc>
          <w:tcPr>
            <w:tcW w:w="1120" w:type="dxa"/>
            <w:vAlign w:val="bottom"/>
            <w:gridSpan w:val="2"/>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080" w:type="dxa"/>
            <w:vAlign w:val="bottom"/>
            <w:tcBorders>
              <w:bottom w:val="single" w:sz="8" w:color="auto"/>
            </w:tcBorders>
            <w:vMerge w:val="continue"/>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28"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57948" TargetMode="External"/><Relationship Id="rId13" Type="http://schemas.openxmlformats.org/officeDocument/2006/relationships/hyperlink" Target="http://www.sec.gov/cgi-bin/browse-edgar?action=getcompany&amp;CIK=000180880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2023-03-01T19:07:40Z</dcterms:created>
  <dcterms:modified xsi:type="dcterms:W3CDTF">2023-03-01T19:07:40Z</dcterms:modified>
</cp:coreProperties>
</file>