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As filed with the Securities and Exchange Commission on March 26, 2021</w:t>
      </w:r>
    </w:p>
    <w:p>
      <w:pPr>
        <w:pStyle w:val="TextBody"/>
        <w:spacing w:lineRule="auto" w:line="288" w:before="0" w:after="40"/>
        <w:jc w:val="right"/>
        <w:rPr>
          <w:rFonts w:ascii="Times New Roman;sans-serif" w:hAnsi="Times New Roman;sans-serif"/>
          <w:b/>
          <w:color w:val="000000"/>
          <w:sz w:val="16"/>
        </w:rPr>
      </w:pPr>
      <w:r>
        <w:rPr>
          <w:rFonts w:ascii="Times New Roman;sans-serif" w:hAnsi="Times New Roman;sans-serif"/>
          <w:b/>
          <w:color w:val="000000"/>
          <w:sz w:val="16"/>
        </w:rPr>
        <w:t>No. 333-______</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S-4 </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REGISTRATION STATEMENT</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UNDER</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ARYA SCIENCES ACQUISITION CORP III*</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889" w:type="dxa"/>
        <w:jc w:val="left"/>
        <w:tblInd w:w="0" w:type="dxa"/>
        <w:tblCellMar>
          <w:top w:w="28" w:type="dxa"/>
          <w:left w:w="28" w:type="dxa"/>
          <w:bottom w:w="28" w:type="dxa"/>
          <w:right w:w="28" w:type="dxa"/>
        </w:tblCellMar>
      </w:tblPr>
      <w:tblGrid>
        <w:gridCol w:w="1128"/>
        <w:gridCol w:w="995"/>
        <w:gridCol w:w="997"/>
        <w:gridCol w:w="697"/>
        <w:gridCol w:w="697"/>
        <w:gridCol w:w="705"/>
        <w:gridCol w:w="780"/>
        <w:gridCol w:w="780"/>
        <w:gridCol w:w="1110"/>
      </w:tblGrid>
      <w:tr>
        <w:trPr/>
        <w:tc>
          <w:tcPr>
            <w:tcW w:w="1128"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Cayman Islands*</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6770</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98-1541723</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br/>
              <w:t>or organization)</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51 Astor Place, 10th Floor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NY 10003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Tel.: (212) 284-2300</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Adam Stone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51 Astor Place, 10th Floor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 10003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Tel.: (212) 284-2300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address, including zip code, and 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Copies of all communications, including communications sent to agent for service, should be sent to:</w:t>
      </w:r>
    </w:p>
    <w:tbl>
      <w:tblPr>
        <w:tblW w:w="5205" w:type="dxa"/>
        <w:jc w:val="left"/>
        <w:tblInd w:w="0" w:type="dxa"/>
        <w:tblCellMar>
          <w:top w:w="28" w:type="dxa"/>
          <w:left w:w="28" w:type="dxa"/>
          <w:bottom w:w="28" w:type="dxa"/>
          <w:right w:w="28" w:type="dxa"/>
        </w:tblCellMar>
      </w:tblPr>
      <w:tblGrid>
        <w:gridCol w:w="788"/>
        <w:gridCol w:w="691"/>
        <w:gridCol w:w="696"/>
        <w:gridCol w:w="888"/>
        <w:gridCol w:w="888"/>
        <w:gridCol w:w="1254"/>
      </w:tblGrid>
      <w:tr>
        <w:trPr/>
        <w:tc>
          <w:tcPr>
            <w:tcW w:w="7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Christian O. Nagler, Esq.</w:t>
              <w:br/>
              <w:t>Peter Seligson, Esq.</w:t>
              <w:br/>
              <w:t>Kirkland &amp; Ellis LLP</w:t>
              <w:br/>
              <w:t>601 Lexington Avenue</w:t>
              <w:br/>
              <w:t>New York, New York 10022</w:t>
              <w:br/>
              <w:t>Tel: (212) 446-4800</w:t>
              <w:br/>
              <w:t>Fax: (212) 446-4900</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Robert F. Kornegay</w:t>
              <w:br/>
              <w:t>Michael Nordtvedt</w:t>
              <w:br/>
              <w:t>Brian Keyes</w:t>
              <w:br/>
              <w:t>Zachary B. Myers</w:t>
              <w:br/>
              <w:t>Wilson Sonsini Goodrich &amp; Rosati, P.C.</w:t>
              <w:br/>
              <w:t>650 Page Mill Road</w:t>
              <w:br/>
              <w:t>Palo Alto, California 94304</w:t>
              <w:br/>
              <w:t>Tel: (650) 493-9300</w:t>
              <w:br/>
              <w:t>Fax: (650) 493-6811</w:t>
            </w:r>
          </w:p>
        </w:tc>
      </w:tr>
    </w:tbl>
    <w:p>
      <w:pPr>
        <w:pStyle w:val="TextBody"/>
        <w:spacing w:lineRule="auto" w:line="288" w:before="0" w:after="0"/>
        <w:jc w:val="center"/>
        <w:rPr/>
      </w:pPr>
      <w:r>
        <w:rPr>
          <w:rFonts w:ascii="Times New Roman;sans-serif" w:hAnsi="Times New Roman;sans-serif"/>
          <w:b/>
          <w:color w:val="000000"/>
          <w:sz w:val="14"/>
        </w:rPr>
        <w:t>Approximate date of commencement of proposed sale of the securities to the public:</w:t>
      </w:r>
      <w:r>
        <w:rPr>
          <w:color w:val="000000"/>
        </w:rPr>
        <w:t xml:space="preserve"> </w:t>
      </w:r>
      <w:r>
        <w:rPr>
          <w:rFonts w:ascii="Times New Roman;sans-serif" w:hAnsi="Times New Roman;sans-serif"/>
          <w:b w:val="false"/>
          <w:color w:val="000000"/>
          <w:sz w:val="14"/>
        </w:rPr>
        <w:t>As soon as practicable after this Registration Statement becomes effective.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the securities being registered on this Form are being offered in connection with the formation of a holding company and there is compliance with General Instruction G, check the following box.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4389" w:type="dxa"/>
        <w:jc w:val="center"/>
        <w:tblInd w:w="0" w:type="dxa"/>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applicable, place an X in the box to designate the appropriate rule provision relied upon in conducting this transaction:</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Exchange Act Rule 13e-4(i) (Cross-Border Issuer Tender Offer)  ☐</w:t>
      </w:r>
    </w:p>
    <w:p>
      <w:pPr>
        <w:pStyle w:val="TextBody"/>
        <w:spacing w:lineRule="auto" w:line="288" w:before="0" w:after="40"/>
        <w:rPr>
          <w:rFonts w:ascii="Times New Roman;sans-serif" w:hAnsi="Times New Roman;sans-serif"/>
          <w:b w:val="false"/>
          <w:color w:val="000000"/>
          <w:sz w:val="16"/>
        </w:rPr>
      </w:pPr>
      <w:r>
        <w:rPr>
          <w:rFonts w:ascii="Times New Roman;sans-serif" w:hAnsi="Times New Roman;sans-serif"/>
          <w:b w:val="false"/>
          <w:color w:val="000000"/>
          <w:sz w:val="16"/>
        </w:rPr>
        <w:t>Exchange Act Rule 14d-l(d) (Cross-Border Third-Party Tender Offer)  ☐</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CALCULATION OF REGISTRATION FEE</w:t>
      </w:r>
    </w:p>
    <w:tbl>
      <w:tblPr>
        <w:tblW w:w="9119" w:type="dxa"/>
        <w:jc w:val="left"/>
        <w:tblInd w:w="0" w:type="dxa"/>
        <w:tblCellMar>
          <w:top w:w="28" w:type="dxa"/>
          <w:left w:w="28" w:type="dxa"/>
          <w:bottom w:w="28" w:type="dxa"/>
          <w:right w:w="28" w:type="dxa"/>
        </w:tblCellMar>
      </w:tblPr>
      <w:tblGrid>
        <w:gridCol w:w="835"/>
        <w:gridCol w:w="736"/>
        <w:gridCol w:w="739"/>
        <w:gridCol w:w="525"/>
        <w:gridCol w:w="526"/>
        <w:gridCol w:w="316"/>
        <w:gridCol w:w="364"/>
        <w:gridCol w:w="364"/>
        <w:gridCol w:w="366"/>
        <w:gridCol w:w="299"/>
        <w:gridCol w:w="1814"/>
        <w:gridCol w:w="166"/>
        <w:gridCol w:w="604"/>
        <w:gridCol w:w="604"/>
        <w:gridCol w:w="861"/>
      </w:tblGrid>
      <w:tr>
        <w:trPr/>
        <w:tc>
          <w:tcPr>
            <w:tcW w:w="83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Title of Each Class of Securities</w:t>
              <w:br/>
              <w:t>to be Registered</w:t>
            </w:r>
          </w:p>
        </w:tc>
        <w:tc>
          <w:tcPr>
            <w:tcW w:w="136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to be</w:t>
            </w:r>
          </w:p>
          <w:p>
            <w:pPr>
              <w:pStyle w:val="TableContents"/>
              <w:spacing w:lineRule="auto" w:line="240" w:before="0" w:after="0"/>
              <w:jc w:val="center"/>
              <w:rPr/>
            </w:pPr>
            <w:r>
              <w:rPr>
                <w:rFonts w:ascii="Times New Roman;sans-serif" w:hAnsi="Times New Roman;sans-serif"/>
                <w:b w:val="false"/>
                <w:color w:val="000000"/>
                <w:sz w:val="16"/>
              </w:rPr>
              <w:t>Registered</w:t>
            </w:r>
            <w:r>
              <w:rPr>
                <w:rFonts w:ascii="Times New Roman;sans-serif" w:hAnsi="Times New Roman;sans-serif"/>
                <w:b w:val="false"/>
                <w:color w:val="000000"/>
                <w:sz w:val="10"/>
              </w:rPr>
              <w:t>(2)</w:t>
            </w:r>
          </w:p>
        </w:tc>
        <w:tc>
          <w:tcPr>
            <w:tcW w:w="10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Proposed</w:t>
              <w:br/>
              <w:t>Maximum</w:t>
              <w:br/>
              <w:t>Offering Price</w:t>
              <w:br/>
              <w:t>Per Share</w:t>
            </w:r>
          </w:p>
        </w:tc>
        <w:tc>
          <w:tcPr>
            <w:tcW w:w="22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Proposed Maximum Aggregate</w:t>
            </w:r>
          </w:p>
          <w:p>
            <w:pPr>
              <w:pStyle w:val="TableContents"/>
              <w:spacing w:lineRule="auto" w:line="240" w:before="0" w:after="0"/>
              <w:jc w:val="center"/>
              <w:rPr/>
            </w:pPr>
            <w:r>
              <w:rPr>
                <w:rFonts w:ascii="Times New Roman;sans-serif" w:hAnsi="Times New Roman;sans-serif"/>
                <w:b w:val="false"/>
                <w:color w:val="000000"/>
                <w:sz w:val="16"/>
              </w:rPr>
              <w:t>Offering Price</w:t>
            </w:r>
            <w:r>
              <w:rPr>
                <w:rFonts w:ascii="Times New Roman;sans-serif" w:hAnsi="Times New Roman;sans-serif"/>
                <w:b w:val="false"/>
                <w:color w:val="000000"/>
                <w:sz w:val="10"/>
              </w:rPr>
              <w:t>(1)</w:t>
            </w:r>
          </w:p>
        </w:tc>
        <w:tc>
          <w:tcPr>
            <w:tcW w:w="20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 of Registration Fee</w:t>
            </w:r>
          </w:p>
        </w:tc>
      </w:tr>
      <w:tr>
        <w:trPr/>
        <w:tc>
          <w:tcPr>
            <w:tcW w:w="231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New Nautilus Common Stock</w:t>
            </w:r>
            <w:r>
              <w:rPr>
                <w:rFonts w:ascii="Times New Roman;sans-serif" w:hAnsi="Times New Roman;sans-serif"/>
                <w:b w:val="false"/>
                <w:color w:val="000000"/>
                <w:sz w:val="10"/>
              </w:rPr>
              <w:t>(1)</w:t>
            </w:r>
          </w:p>
        </w:tc>
        <w:tc>
          <w:tcPr>
            <w:tcW w:w="1051"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111,674,810 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$12.02 </w:t>
            </w:r>
            <w:r>
              <w:rPr>
                <w:rFonts w:ascii="Times New Roman;sans-serif" w:hAnsi="Times New Roman;sans-serif"/>
                <w:b w:val="false"/>
                <w:color w:val="000000"/>
                <w:sz w:val="10"/>
              </w:rPr>
              <w:t>(3)</w:t>
            </w:r>
          </w:p>
        </w:tc>
        <w:tc>
          <w:tcPr>
            <w:tcW w:w="299" w:type="dxa"/>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1,342,331,216 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$146,449</w:t>
            </w:r>
            <w:r>
              <w:rPr>
                <w:color w:val="000000"/>
              </w:rPr>
              <w:t xml:space="preserve"> </w:t>
            </w:r>
            <w:r>
              <w:rPr>
                <w:rFonts w:ascii="Times New Roman;sans-serif" w:hAnsi="Times New Roman;sans-serif"/>
                <w:b w:val="false"/>
                <w:color w:val="000000"/>
                <w:sz w:val="10"/>
              </w:rPr>
              <w:t>(4)</w:t>
            </w:r>
          </w:p>
        </w:tc>
      </w:tr>
      <w:tr>
        <w:trPr/>
        <w:tc>
          <w:tcPr>
            <w:tcW w:w="231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51"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111,674,810 </w:t>
            </w:r>
          </w:p>
        </w:tc>
        <w:tc>
          <w:tcPr>
            <w:tcW w:w="31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27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right"/>
              <w:rPr/>
            </w:pPr>
            <w:r>
              <w:rPr>
                <w:rFonts w:ascii="Times New Roman;sans-serif" w:hAnsi="Times New Roman;sans-serif"/>
                <w:b w:val="false"/>
                <w:color w:val="000000"/>
                <w:sz w:val="16"/>
              </w:rPr>
              <w:t xml:space="preserve">$146,449 </w:t>
            </w:r>
            <w:r>
              <w:rPr>
                <w:rFonts w:ascii="Times New Roman;sans-serif" w:hAnsi="Times New Roman;sans-serif"/>
                <w:b w:val="false"/>
                <w:color w:val="000000"/>
                <w:sz w:val="10"/>
              </w:rPr>
              <w:t>(4)</w:t>
            </w:r>
          </w:p>
        </w:tc>
      </w:tr>
    </w:tbl>
    <w:p>
      <w:pPr>
        <w:pStyle w:val="TextBody"/>
        <w:spacing w:lineRule="auto" w:line="288" w:before="120" w:after="283"/>
        <w:ind w:left="0" w:right="0" w:hanging="360"/>
        <w:rPr/>
      </w:pPr>
      <w:r>
        <w:rPr>
          <w:rFonts w:ascii="Times New Roman;sans-serif" w:hAnsi="Times New Roman;sans-serif"/>
          <w:b w:val="false"/>
          <w:color w:val="000000"/>
          <w:sz w:val="9"/>
        </w:rPr>
        <w:t>(1)</w:t>
      </w:r>
      <w:r>
        <w:rPr>
          <w:rFonts w:ascii="Times New Roman;sans-serif" w:hAnsi="Times New Roman;sans-serif"/>
          <w:b w:val="false"/>
          <w:color w:val="000000"/>
          <w:sz w:val="14"/>
        </w:rPr>
        <w:t>The number of shares of common stock of New Nautilus (as defined below) being registered represents (i) 14,950,000 Class A ordinary shares issued in ARYA’s initial public offering, which will be converted by operation of law into shares of common stock of New Nautilus (the “</w:t>
      </w:r>
      <w:r>
        <w:rPr>
          <w:rFonts w:ascii="Times New Roman;sans-serif" w:hAnsi="Times New Roman;sans-serif"/>
          <w:b w:val="false"/>
          <w:color w:val="000000"/>
          <w:sz w:val="14"/>
          <w:u w:val="single"/>
        </w:rPr>
        <w:t>New Nautilus Common Stock</w:t>
      </w:r>
      <w:r>
        <w:rPr>
          <w:color w:val="000000"/>
        </w:rPr>
        <w:t>”</w:t>
      </w:r>
      <w:r>
        <w:rPr>
          <w:rFonts w:ascii="Times New Roman;sans-serif" w:hAnsi="Times New Roman;sans-serif"/>
          <w:b w:val="false"/>
          <w:color w:val="000000"/>
          <w:sz w:val="14"/>
        </w:rPr>
        <w:t>) in the Domestication (each as defined below) (ii) 499,000 Class A ordinary shares issued in a private placement simultaneously with the closing of ARYA’s initial public offering which will be converted by operation of law into shares of New Nautilus Common Stock in the Domestication, (iii) 3,737,500 Class B ordinary shares held by ARYA’s initial shareholders which will be converted by operation of law into shares of New Nautilus Common Stock in the Domestication, (iv) up to 85,295,562  shares of New Nautilus Common Stock that will be issued to the equity holders of Nautilus Biotechnology, Inc. in connection with the Business Combination described in the proxy statement/prospectus forming part of this registration statement (the “</w:t>
      </w:r>
      <w:r>
        <w:rPr>
          <w:rFonts w:ascii="Times New Roman;sans-serif" w:hAnsi="Times New Roman;sans-serif"/>
          <w:b w:val="false"/>
          <w:color w:val="000000"/>
          <w:sz w:val="14"/>
          <w:u w:val="single"/>
        </w:rPr>
        <w:t>proxy statement/prospectus</w:t>
      </w:r>
      <w:r>
        <w:rPr>
          <w:color w:val="000000"/>
        </w:rPr>
        <w:t>”</w:t>
      </w:r>
      <w:r>
        <w:rPr>
          <w:rFonts w:ascii="Times New Roman;sans-serif" w:hAnsi="Times New Roman;sans-serif"/>
          <w:b w:val="false"/>
          <w:color w:val="000000"/>
          <w:sz w:val="14"/>
        </w:rPr>
        <w:t>), assuming an exchange ratio of 3.6275, and (v) up to 7,192,748 shares of New Nautilus Common Stock that may be issued upon the exercise of outstanding options to purchase shares of Nautilus Biotechnology, Inc. common stock being assumed in connection with the Business Combination, assuming an exchange ratio of 3.6275.</w:t>
      </w:r>
    </w:p>
    <w:p>
      <w:pPr>
        <w:pStyle w:val="TextBody"/>
        <w:spacing w:lineRule="auto" w:line="288" w:before="0" w:after="0"/>
        <w:ind w:left="0" w:right="0" w:hanging="360"/>
        <w:rPr/>
      </w:pPr>
      <w:r>
        <w:rPr>
          <w:rFonts w:ascii="Times New Roman;sans-serif" w:hAnsi="Times New Roman;sans-serif"/>
          <w:b w:val="false"/>
          <w:color w:val="000000"/>
          <w:sz w:val="9"/>
        </w:rPr>
        <w:t>(2)</w:t>
      </w:r>
      <w:r>
        <w:rPr>
          <w:rFonts w:ascii="Times New Roman;sans-serif" w:hAnsi="Times New Roman;sans-serif"/>
          <w:b w:val="false"/>
          <w:color w:val="000000"/>
          <w:sz w:val="14"/>
        </w:rPr>
        <w:t>Pursuant to Rule 416(a) of Securities Act of 1933, as amended (the “</w:t>
      </w:r>
      <w:r>
        <w:rPr>
          <w:rFonts w:ascii="Times New Roman;sans-serif" w:hAnsi="Times New Roman;sans-serif"/>
          <w:b w:val="false"/>
          <w:color w:val="000000"/>
          <w:sz w:val="14"/>
          <w:u w:val="single"/>
        </w:rPr>
        <w:t>Securities Act</w:t>
      </w:r>
      <w:r>
        <w:rPr>
          <w:color w:val="000000"/>
        </w:rPr>
        <w:t>”</w:t>
      </w:r>
      <w:r>
        <w:rPr>
          <w:rFonts w:ascii="Times New Roman;sans-serif" w:hAnsi="Times New Roman;sans-serif"/>
          <w:b w:val="false"/>
          <w:color w:val="000000"/>
          <w:sz w:val="14"/>
        </w:rPr>
        <w:t>), there are also being registered an indeterminable number of additional securities as may be issued to prevent dilution resulting from stock splits, stock dividends or similar transactions.</w:t>
      </w:r>
    </w:p>
    <w:p>
      <w:pPr>
        <w:pStyle w:val="TextBody"/>
        <w:spacing w:lineRule="auto" w:line="288" w:before="0" w:after="0"/>
        <w:ind w:left="0" w:right="0" w:hanging="360"/>
        <w:rPr/>
      </w:pPr>
      <w:r>
        <w:rPr>
          <w:rFonts w:ascii="Times New Roman;sans-serif" w:hAnsi="Times New Roman;sans-serif"/>
          <w:b w:val="false"/>
          <w:color w:val="000000"/>
          <w:sz w:val="9"/>
        </w:rPr>
        <w:t>(3)</w:t>
      </w:r>
      <w:r>
        <w:rPr>
          <w:rFonts w:ascii="Times New Roman;sans-serif" w:hAnsi="Times New Roman;sans-serif"/>
          <w:b w:val="false"/>
          <w:color w:val="000000"/>
          <w:sz w:val="14"/>
        </w:rPr>
        <w:t>Estimated solely for the purpose of calculating the registration fee, based on the average of the high and low prices of the Class A ordinary shares of ARYA on the Nasdaq Capital Market on  March 25 , 2021 ($12.02  per Class A ordinary share). This calculation is in accordance with Rule 457(f)(1) of the Securities Act.</w:t>
      </w:r>
    </w:p>
    <w:p>
      <w:pPr>
        <w:pStyle w:val="TextBody"/>
        <w:spacing w:lineRule="auto" w:line="288" w:before="0" w:after="0"/>
        <w:ind w:left="0" w:right="0" w:hanging="360"/>
        <w:rPr/>
      </w:pPr>
      <w:r>
        <w:rPr>
          <w:rFonts w:ascii="Times New Roman;sans-serif" w:hAnsi="Times New Roman;sans-serif"/>
          <w:b w:val="false"/>
          <w:color w:val="000000"/>
          <w:sz w:val="9"/>
        </w:rPr>
        <w:t>(4)</w:t>
      </w:r>
      <w:r>
        <w:rPr>
          <w:rFonts w:ascii="Times New Roman;sans-serif" w:hAnsi="Times New Roman;sans-serif"/>
          <w:b w:val="false"/>
          <w:color w:val="000000"/>
          <w:sz w:val="14"/>
        </w:rPr>
        <w:t>Calculated by multiplying the proposed maximum aggregate offering price of securities to be registered by 0.0001091.</w:t>
      </w:r>
    </w:p>
    <w:p>
      <w:pPr>
        <w:pStyle w:val="TextBody"/>
        <w:spacing w:lineRule="auto" w:line="288" w:before="0" w:after="180"/>
        <w:ind w:left="0" w:right="0" w:hanging="360"/>
        <w:rPr/>
      </w:pPr>
      <w:r>
        <w:rPr>
          <w:rFonts w:ascii="Times New Roman;sans-serif" w:hAnsi="Times New Roman;sans-serif"/>
          <w:b w:val="false"/>
          <w:color w:val="000000"/>
          <w:sz w:val="14"/>
        </w:rPr>
        <w:t>*Immediately prior to the consummation of the Business Combination, ARYA Sciences Acquisition Corp III, a Cayman Islands exempted company (“</w:t>
      </w:r>
      <w:r>
        <w:rPr>
          <w:rFonts w:ascii="Times New Roman;sans-serif" w:hAnsi="Times New Roman;sans-serif"/>
          <w:b w:val="false"/>
          <w:color w:val="000000"/>
          <w:sz w:val="14"/>
          <w:u w:val="single"/>
        </w:rPr>
        <w:t>ARYA</w:t>
      </w:r>
      <w:r>
        <w:rPr>
          <w:color w:val="000000"/>
        </w:rPr>
        <w:t>”</w:t>
      </w:r>
      <w:r>
        <w:rPr>
          <w:rFonts w:ascii="Times New Roman;sans-serif" w:hAnsi="Times New Roman;sans-serif"/>
          <w:b w:val="false"/>
          <w:color w:val="000000"/>
          <w:sz w:val="14"/>
        </w:rPr>
        <w:t>), intends to effect a deregistration under the Cayman Islands Companies Act (2021 Revision) and a domestication under Section 388 of the Delaware General Corporation Law, pursuant to which ARYA’s jurisdiction of incorporation will be changed from the Cayman Islands to the State of Delaware (the “</w:t>
      </w:r>
      <w:r>
        <w:rPr>
          <w:rFonts w:ascii="Times New Roman;sans-serif" w:hAnsi="Times New Roman;sans-serif"/>
          <w:b w:val="false"/>
          <w:color w:val="000000"/>
          <w:sz w:val="14"/>
          <w:u w:val="single"/>
        </w:rPr>
        <w:t>Domestication</w:t>
      </w:r>
      <w:r>
        <w:rPr>
          <w:color w:val="000000"/>
        </w:rPr>
        <w:t>”</w:t>
      </w:r>
      <w:r>
        <w:rPr>
          <w:rFonts w:ascii="Times New Roman;sans-serif" w:hAnsi="Times New Roman;sans-serif"/>
          <w:b w:val="false"/>
          <w:color w:val="000000"/>
          <w:sz w:val="14"/>
        </w:rPr>
        <w:t>). All securities being registered will be issued by the continuing entity following the Domestication, which will be renamed “Nautilus Biotechnology, Inc.” upon the consummation of the Domestication. As used herein, “New Nautilus” refers to ARYA after giving effect to the Domestication.</w:t>
      </w:r>
    </w:p>
    <w:p>
      <w:pPr>
        <w:pStyle w:val="TextBody"/>
        <w:spacing w:lineRule="auto" w:line="288" w:before="0" w:after="0"/>
        <w:ind w:left="0" w:right="0" w:firstLine="720"/>
        <w:rPr>
          <w:rFonts w:ascii="Times New Roman;sans-serif" w:hAnsi="Times New Roman;sans-serif"/>
          <w:b/>
          <w:color w:val="000000"/>
          <w:sz w:val="16"/>
        </w:rPr>
      </w:pPr>
      <w:r>
        <w:rPr>
          <w:rFonts w:ascii="Times New Roman;sans-serif" w:hAnsi="Times New Roman;sans-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may determine.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20"/>
        <w:rPr>
          <w:rFonts w:ascii="Times New Roman;sans-serif" w:hAnsi="Times New Roman;sans-serif"/>
          <w:b/>
          <w:color w:val="F1665F"/>
          <w:sz w:val="16"/>
        </w:rPr>
      </w:pPr>
      <w:r>
        <w:rPr>
          <w:rFonts w:ascii="Times New Roman;sans-serif" w:hAnsi="Times New Roman;sans-serif"/>
          <w:b/>
          <w:color w:val="F1665F"/>
          <w:sz w:val="16"/>
        </w:rPr>
        <w:t>The information in this preliminary proxy statement/prospectus is not complete and may be changed. The registrant may not sell the securities described in this preliminary proxy statement/prospectus until the registration statement filed with the Securities and Exchange Commission is declared effective. This preliminary proxy statement/prospectus is not an offer to sell these securities and it is not soliciting an offer to buy these securities in any jurisdiction where the offer or sale is not permitted.</w:t>
      </w:r>
    </w:p>
    <w:p>
      <w:pPr>
        <w:pStyle w:val="TextBody"/>
        <w:spacing w:lineRule="auto" w:line="288" w:before="0" w:after="180"/>
        <w:jc w:val="center"/>
        <w:rPr>
          <w:rFonts w:ascii="Times New Roman;sans-serif" w:hAnsi="Times New Roman;sans-serif"/>
          <w:b/>
          <w:color w:val="F1665F"/>
          <w:sz w:val="20"/>
        </w:rPr>
      </w:pPr>
      <w:r>
        <w:rPr>
          <w:rFonts w:ascii="Times New Roman;sans-serif" w:hAnsi="Times New Roman;sans-serif"/>
          <w:b/>
          <w:color w:val="F1665F"/>
          <w:sz w:val="20"/>
        </w:rPr>
        <w:t>PRELIMINARY—SUBJECT TO COMPLETION, DATED MARCH 26,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EXTRAORDINARY GENERAL MEETING OF 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PROSPECTUS FOR</w:t>
      </w:r>
    </w:p>
    <w:p>
      <w:pPr>
        <w:pStyle w:val="TextBody"/>
        <w:spacing w:lineRule="auto" w:line="288" w:before="0" w:after="120"/>
        <w:jc w:val="center"/>
        <w:rPr>
          <w:color w:val="000000"/>
        </w:rPr>
      </w:pPr>
      <w:r>
        <w:rPr>
          <w:color w:val="000000"/>
        </w:rPr>
        <w:t>               </w:t>
      </w:r>
      <w:r>
        <w:rPr>
          <w:rFonts w:ascii="Times New Roman;sans-serif" w:hAnsi="Times New Roman;sans-serif"/>
          <w:b/>
          <w:color w:val="000000"/>
          <w:sz w:val="20"/>
        </w:rPr>
        <w:t>SHARES OF COMMON STOCK OF ARYA SCIENCES ACQUISITION CORP III (AFTER ITS DOMESTICATION AS A CORPORATION INCORPORATED IN THE STATE OF DELAWARE, WHICH WILL BE RENAMED NAUTILUS BIOTECHNOLOGY, INC. IN CONNECTION WITH THE DOMESTICATION DESCRIBED HEREIN)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20"/>
        </w:rPr>
        <w:t>The board of directors of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has unanimously approved the transactions (collectively, the “</w:t>
      </w:r>
      <w:r>
        <w:rPr>
          <w:rFonts w:ascii="Times New Roman;sans-serif" w:hAnsi="Times New Roman;sans-serif"/>
          <w:b w:val="false"/>
          <w:color w:val="000000"/>
          <w:sz w:val="20"/>
          <w:u w:val="single"/>
        </w:rPr>
        <w:t>Business Combination</w:t>
      </w:r>
      <w:r>
        <w:rPr>
          <w:color w:val="000000"/>
        </w:rPr>
        <w:t>”</w:t>
      </w:r>
      <w:r>
        <w:rPr>
          <w:rFonts w:ascii="Times New Roman;sans-serif" w:hAnsi="Times New Roman;sans-serif"/>
          <w:b w:val="false"/>
          <w:color w:val="000000"/>
          <w:sz w:val="20"/>
        </w:rPr>
        <w:t>) contemplated by that certain Business Combination Agreement, dated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this proxy statement/prospectus as Annex A, including the domestication of ARYA as a Delaware corporation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 As described in this proxy statement/prospectus, ARYA’s shareholders are being asked to consider a vote upon each of the Domestication and the Business Combination, among other items. As used in this proxy statement/prospectus, “New Nautilus” refers to ARYA after giving effect to the consummation of the Domestication and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Domestication, on the Closing Date prior to the Effective Time (as defined below): (i) each issued and outstanding Class A ordinary share, par value $0.0001 per share (the “</w:t>
      </w:r>
      <w:r>
        <w:rPr>
          <w:rFonts w:ascii="Times New Roman;sans-serif" w:hAnsi="Times New Roman;sans-serif"/>
          <w:b w:val="false"/>
          <w:color w:val="000000"/>
          <w:sz w:val="20"/>
          <w:u w:val="single"/>
        </w:rPr>
        <w:t>Class A ordinary shares</w:t>
      </w:r>
      <w:r>
        <w:rPr>
          <w:color w:val="000000"/>
        </w:rPr>
        <w:t>”</w:t>
      </w:r>
      <w:r>
        <w:rPr>
          <w:rFonts w:ascii="Times New Roman;sans-serif" w:hAnsi="Times New Roman;sans-serif"/>
          <w:b w:val="false"/>
          <w:color w:val="000000"/>
          <w:sz w:val="20"/>
        </w:rPr>
        <w:t>), and each issued and outstanding Class B ordinary share, par value $0.0001 per share (the “</w:t>
      </w:r>
      <w:r>
        <w:rPr>
          <w:rFonts w:ascii="Times New Roman;sans-serif" w:hAnsi="Times New Roman;sans-serif"/>
          <w:b w:val="false"/>
          <w:color w:val="000000"/>
          <w:sz w:val="20"/>
          <w:u w:val="single"/>
        </w:rPr>
        <w:t>Class B ordinary shares</w:t>
      </w:r>
      <w:r>
        <w:rPr>
          <w:color w:val="000000"/>
        </w:rPr>
        <w:t>”</w:t>
      </w:r>
      <w:r>
        <w:rPr>
          <w:rFonts w:ascii="Times New Roman;sans-serif" w:hAnsi="Times New Roman;sans-serif"/>
          <w:b w:val="false"/>
          <w:color w:val="000000"/>
          <w:sz w:val="20"/>
        </w:rPr>
        <w:t>), of ARYA will be converted into one share of common stock, par value $0.0001 per share, of New Nautilus (the “</w:t>
      </w:r>
      <w:r>
        <w:rPr>
          <w:rFonts w:ascii="Times New Roman;sans-serif" w:hAnsi="Times New Roman;sans-serif"/>
          <w:b w:val="false"/>
          <w:color w:val="000000"/>
          <w:sz w:val="20"/>
          <w:u w:val="single"/>
        </w:rPr>
        <w:t>New Nautilus Common Stock</w:t>
      </w:r>
      <w:r>
        <w:rPr>
          <w:color w:val="000000"/>
        </w:rPr>
        <w:t>”</w:t>
      </w:r>
      <w:r>
        <w:rPr>
          <w:rFonts w:ascii="Times New Roman;sans-serif" w:hAnsi="Times New Roman;sans-serif"/>
          <w:b w:val="false"/>
          <w:color w:val="000000"/>
          <w:sz w:val="20"/>
        </w:rPr>
        <w:t xml:space="preserve">); (ii) the governing documents of ARYA will be amended and restated and become the certificate of incorporation and the bylaws of New Nautilus as described in this proxy statement/prospectus; and (iii) ARYA’s name will change to “Nautilus Biotechnology, Inc.” </w:t>
      </w:r>
    </w:p>
    <w:p>
      <w:pPr>
        <w:pStyle w:val="TextBody"/>
        <w:spacing w:lineRule="auto" w:line="288" w:before="0" w:after="180"/>
        <w:ind w:left="0" w:right="0" w:firstLine="360"/>
        <w:rPr/>
      </w:pPr>
      <w:r>
        <w:rPr>
          <w:rFonts w:ascii="Times New Roman;sans-serif" w:hAnsi="Times New Roman;sans-serif"/>
          <w:b w:val="false"/>
          <w:color w:val="000000"/>
          <w:sz w:val="20"/>
        </w:rPr>
        <w:t>On the date of Closing, promptly following the consummation of the Domestication,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the Merger, Nautilus will be a wholly-owned subsidiary of ARYA (the time that the Merger becomes effective being referred to as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prospectus covers 111,674,810 shares of New Nautilus Common Stock. The number of shares of New Nautilus Common Stock that this prospectus covers represents the maximum number of shares that may be issued to holders of shares and equity awards of Nautilus in connection with the Business Combination (as more fully described in this proxy statement/prospectus), together with the shares issued or issuable to the existing shareholders of ARYA in connection with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ARYA’s public shares are currently listed on the Nasdaq Capital Market (“Nasdaq”) under the symbol “ARYA.” ARYA will apply for listing, to be effective at the time of the Business Combination, of New Nautilus Common Stock on Nasdaq under the proposed symbol “NAUT”. It is a condition of the consummation of the Business Combination that ARYA receive confirmation from Nasdaq that New Nautilus has been conditionally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approved for listing on Nasdaq, but there can be no assurance such listing condition will be met or that ARYA will obtain such confirmation from Nasdaq. If such listing condition is not met or if such confirmation is not obtained, the Business Combination will not be consummated unless the Nasdaq condition set forth in the Business Combination Agreement is waived by the applicable parties.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color w:val="000000"/>
          <w:sz w:val="20"/>
        </w:rPr>
        <w:t>The accompanying proxy statement/prospectus provides shareholders of ARYA with detailed information about the Business Combination and other matters to be considered at the extraordinary general meeting of ARYA. We encourage you to read the entire accompanying proxy statement/prospectus, including the Annexes and other documents referred to therein, carefully and in their entirety. You should also carefully consider the risk factors described in “</w:t>
      </w:r>
      <w:hyperlink w:anchor="if2baefd677284383b89cb6f605e45e0e_237">
        <w:r>
          <w:rPr>
            <w:rStyle w:val="InternetLink"/>
            <w:rFonts w:ascii="Times New Roman;sans-serif" w:hAnsi="Times New Roman;sans-serif"/>
            <w:b/>
            <w:i/>
            <w:color w:val="000000"/>
            <w:sz w:val="20"/>
            <w:u w:val="single"/>
          </w:rPr>
          <w:t>Risk Factors</w:t>
        </w:r>
      </w:hyperlink>
      <w:r>
        <w:rPr>
          <w:color w:val="000000"/>
        </w:rPr>
        <w:t xml:space="preserve">” </w:t>
      </w:r>
      <w:r>
        <w:rPr>
          <w:rFonts w:ascii="Times New Roman;sans-serif" w:hAnsi="Times New Roman;sans-serif"/>
          <w:b/>
          <w:color w:val="000000"/>
          <w:sz w:val="20"/>
        </w:rPr>
        <w:t>beginning on page 28 of the accompanying proxy statement/prospectus.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accompanying proxy statement/prospectus is dated           , 2021,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is first being mailed to ARYA’s shareholders on or about         , 2021.</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Astor Place, 10th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New York, New York 10003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Dear ARYA Sciences Acquisition Corp III Shareholders:</w:t>
      </w:r>
    </w:p>
    <w:p>
      <w:pPr>
        <w:pStyle w:val="TextBody"/>
        <w:spacing w:lineRule="auto" w:line="288" w:before="0" w:after="180"/>
        <w:ind w:left="0" w:right="0" w:firstLine="360"/>
        <w:rPr/>
      </w:pPr>
      <w:r>
        <w:rPr>
          <w:rFonts w:ascii="Times New Roman;sans-serif" w:hAnsi="Times New Roman;sans-serif"/>
          <w:b w:val="false"/>
          <w:color w:val="000000"/>
          <w:sz w:val="20"/>
        </w:rPr>
        <w:t>You are cordially invited to attend the extraordinary general meeting (the “</w:t>
      </w:r>
      <w:r>
        <w:rPr>
          <w:rFonts w:ascii="Times New Roman;sans-serif" w:hAnsi="Times New Roman;sans-serif"/>
          <w:b w:val="false"/>
          <w:color w:val="000000"/>
          <w:sz w:val="20"/>
          <w:u w:val="single"/>
        </w:rPr>
        <w:t>extraordinary general meeting</w:t>
      </w:r>
      <w:r>
        <w:rPr>
          <w:color w:val="000000"/>
        </w:rPr>
        <w:t>”</w:t>
      </w:r>
      <w:r>
        <w:rPr>
          <w:rFonts w:ascii="Times New Roman;sans-serif" w:hAnsi="Times New Roman;sans-serif"/>
          <w:b w:val="false"/>
          <w:color w:val="000000"/>
          <w:sz w:val="20"/>
        </w:rPr>
        <w:t>) of ARYA Sciences Acquisitions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at 9:00 a.m., Eastern Time, on            , 2021, at the offices of Kirkland &amp; Ellis LLP located at 601 Lexington Avenue, New York, New York 10022, or at such other time, on such other date and at such other place to which the meeting may be adjourned.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further described in the accompanying proxy statement/prospectus, in connection with the Domestication, on the Closing Date prior to the Effective Time (as described below), among other things, (i) ARYA will change its name to “Nautilus Biotechnology, Inc.,” (ii) all of the outstanding shares of ARYA will be converted into common stock of a domesticated Delaware corporation, and (iii) the governing documents of ARYA will be amended and restated. As used in the accompanying proxy statement/prospectus, “New Nautilus” refers to ARYA after giving effect to the Domestication and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At the extraordinary general meeting, ARYA shareholders will be asked to consider and vote upon a proposal, which is referred to herein as the “</w:t>
      </w:r>
      <w:r>
        <w:rPr>
          <w:rFonts w:ascii="Times New Roman;sans-serif" w:hAnsi="Times New Roman;sans-serif"/>
          <w:b w:val="false"/>
          <w:color w:val="000000"/>
          <w:sz w:val="20"/>
          <w:u w:val="single"/>
        </w:rPr>
        <w:t>Business Combination Proposal</w:t>
      </w:r>
      <w:r>
        <w:rPr>
          <w:color w:val="000000"/>
        </w:rPr>
        <w:t xml:space="preserve">” </w:t>
      </w:r>
      <w:r>
        <w:rPr>
          <w:rFonts w:ascii="Times New Roman;sans-serif" w:hAnsi="Times New Roman;sans-serif"/>
          <w:b w:val="false"/>
          <w:color w:val="000000"/>
          <w:sz w:val="20"/>
        </w:rPr>
        <w:t>to approve and adopt the Business Combination Agreement (and the transactions contemplated thereby)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accompanying proxy statement/prospectus as Annex A, including the transactions contemplated thereby.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further described in the accompanying proxy statement/prospectus, subject to the terms and conditions of the Business Combination Agreement, the following transactions will occur:</w:t>
      </w:r>
    </w:p>
    <w:p>
      <w:pPr>
        <w:pStyle w:val="TextBody"/>
        <w:spacing w:lineRule="auto" w:line="288" w:before="0" w:after="180"/>
        <w:ind w:left="0" w:right="0" w:hanging="360"/>
        <w:rPr/>
      </w:pPr>
      <w:r>
        <w:rPr>
          <w:rFonts w:ascii="Times New Roman;sans-serif" w:hAnsi="Times New Roman;sans-serif"/>
          <w:b w:val="false"/>
          <w:color w:val="000000"/>
          <w:sz w:val="20"/>
        </w:rPr>
        <w:t>(a)On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 upon which ARYA will change its name to “Nautilus Biotechnology, Inc.” (“</w:t>
      </w:r>
      <w:r>
        <w:rPr>
          <w:rFonts w:ascii="Times New Roman;sans-serif" w:hAnsi="Times New Roman;sans-serif"/>
          <w:b w:val="false"/>
          <w:color w:val="000000"/>
          <w:sz w:val="20"/>
          <w:u w:val="single"/>
        </w:rPr>
        <w:t>New Nautilus</w:t>
      </w:r>
      <w:r>
        <w:rPr>
          <w:color w:val="000000"/>
        </w:rPr>
        <w:t>”</w:t>
      </w:r>
      <w:r>
        <w:rPr>
          <w:rFonts w:ascii="Times New Roman;sans-serif" w:hAnsi="Times New Roman;sans-serif"/>
          <w:b w:val="false"/>
          <w:color w:val="000000"/>
          <w:sz w:val="20"/>
        </w:rPr>
        <w:t>) (for further details, see the section entitled “</w:t>
      </w:r>
      <w:r>
        <w:rPr>
          <w:rFonts w:ascii="Times New Roman;sans-serif" w:hAnsi="Times New Roman;sans-serif"/>
          <w:b w:val="false"/>
          <w:i/>
          <w:color w:val="000000"/>
          <w:sz w:val="20"/>
        </w:rPr>
        <w:t>Proposal No. 2—The Domestication Proposal</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rFonts w:ascii="Times New Roman;sans-serif" w:hAnsi="Times New Roman;sans-serif"/>
          <w:b w:val="false"/>
          <w:color w:val="000000"/>
          <w:sz w:val="20"/>
        </w:rPr>
        <w:t>(b)Merger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foregoing and concurrently with the execution of the Business Combination Agreement, ARYA entered into Subscription Agreements (the “</w:t>
      </w:r>
      <w:r>
        <w:rPr>
          <w:rFonts w:ascii="Times New Roman;sans-serif" w:hAnsi="Times New Roman;sans-serif"/>
          <w:b w:val="false"/>
          <w:color w:val="000000"/>
          <w:sz w:val="20"/>
          <w:u w:val="single"/>
        </w:rPr>
        <w:t>Subscription Agreements</w:t>
      </w:r>
      <w:r>
        <w:rPr>
          <w:color w:val="000000"/>
        </w:rPr>
        <w:t>”</w:t>
      </w:r>
      <w:r>
        <w:rPr>
          <w:rFonts w:ascii="Times New Roman;sans-serif" w:hAnsi="Times New Roman;sans-serif"/>
          <w:b w:val="false"/>
          <w:color w:val="000000"/>
          <w:sz w:val="20"/>
        </w:rPr>
        <w:t>) with Perceptive Life Sciences Master Fund Ltd, a Cayman Islands exempted company (the “</w:t>
      </w:r>
      <w:r>
        <w:rPr>
          <w:rFonts w:ascii="Times New Roman;sans-serif" w:hAnsi="Times New Roman;sans-serif"/>
          <w:b w:val="false"/>
          <w:color w:val="000000"/>
          <w:sz w:val="20"/>
          <w:u w:val="single"/>
        </w:rPr>
        <w:t>Perceptive PIPE Investor</w:t>
      </w:r>
      <w:r>
        <w:rPr>
          <w:color w:val="000000"/>
        </w:rPr>
        <w:t>”</w:t>
      </w:r>
      <w:r>
        <w:rPr>
          <w:rFonts w:ascii="Times New Roman;sans-serif" w:hAnsi="Times New Roman;sans-serif"/>
          <w:b w:val="false"/>
          <w:color w:val="000000"/>
          <w:sz w:val="20"/>
        </w:rPr>
        <w:t>) and certain other investors (the “</w:t>
      </w:r>
      <w:r>
        <w:rPr>
          <w:rFonts w:ascii="Times New Roman;sans-serif" w:hAnsi="Times New Roman;sans-serif"/>
          <w:b w:val="false"/>
          <w:color w:val="000000"/>
          <w:sz w:val="20"/>
          <w:u w:val="single"/>
        </w:rPr>
        <w:t>Other PIPE Investors</w:t>
      </w:r>
      <w:r>
        <w:rPr>
          <w:rFonts w:ascii="Times New Roman;sans-serif" w:hAnsi="Times New Roman;sans-serif"/>
          <w:b w:val="false"/>
          <w:color w:val="000000"/>
          <w:sz w:val="20"/>
        </w:rPr>
        <w:t>,” and the Other PIPE Investors, together with the Perceptive PIPE Investor, the “</w:t>
      </w:r>
      <w:r>
        <w:rPr>
          <w:rFonts w:ascii="Times New Roman;sans-serif" w:hAnsi="Times New Roman;sans-serif"/>
          <w:b w:val="false"/>
          <w:color w:val="000000"/>
          <w:sz w:val="20"/>
          <w:u w:val="single"/>
        </w:rPr>
        <w:t>PIPE Investors</w:t>
      </w:r>
      <w:r>
        <w:rPr>
          <w:color w:val="000000"/>
        </w:rPr>
        <w:t>”</w:t>
      </w:r>
      <w:r>
        <w:rPr>
          <w:rFonts w:ascii="Times New Roman;sans-serif" w:hAnsi="Times New Roman;sans-serif"/>
          <w:b w:val="false"/>
          <w:color w:val="000000"/>
          <w:sz w:val="20"/>
        </w:rPr>
        <w:t>), pursuant to which the PIPE Investors have agreed to subscribe for and purchase, and ARYA has agreed to issue and sell to the PIPE Investors, an aggregate of 20,000,000 shares of New Nautilus Common Stock at a price of $10.00 per share, for aggregate gross proceeds of $200 million (the “</w:t>
      </w:r>
      <w:r>
        <w:rPr>
          <w:rFonts w:ascii="Times New Roman;sans-serif" w:hAnsi="Times New Roman;sans-serif"/>
          <w:b w:val="false"/>
          <w:color w:val="000000"/>
          <w:sz w:val="20"/>
          <w:u w:val="single"/>
        </w:rPr>
        <w:t>PIPE Financing</w:t>
      </w:r>
      <w:r>
        <w:rPr>
          <w:color w:val="000000"/>
        </w:rPr>
        <w:t>”</w:t>
      </w:r>
      <w:r>
        <w:rPr>
          <w:rFonts w:ascii="Times New Roman;sans-serif" w:hAnsi="Times New Roman;sans-serif"/>
          <w:b w:val="false"/>
          <w:color w:val="000000"/>
          <w:sz w:val="20"/>
        </w:rPr>
        <w:t>). The Perceptive PIPE Investor will fund $55 million in the PIPE Financing. The shares of New Nautilus Common Stock to be issued pursuant to the Subscription Agreements have not been registered under the Securities Act of 1933, as amended (the “</w:t>
      </w:r>
      <w:r>
        <w:rPr>
          <w:rFonts w:ascii="Times New Roman;sans-serif" w:hAnsi="Times New Roman;sans-serif"/>
          <w:b w:val="false"/>
          <w:color w:val="000000"/>
          <w:sz w:val="20"/>
          <w:u w:val="single"/>
        </w:rPr>
        <w:t>Securities Act</w:t>
      </w:r>
      <w:r>
        <w:rPr>
          <w:color w:val="000000"/>
        </w:rPr>
        <w:t>”</w:t>
      </w:r>
      <w:r>
        <w:rPr>
          <w:rFonts w:ascii="Times New Roman;sans-serif" w:hAnsi="Times New Roman;sans-serif"/>
          <w:b w:val="false"/>
          <w:color w:val="000000"/>
          <w:sz w:val="20"/>
        </w:rPr>
        <w:t xml:space="preserve">) and will be issued in reliance upon the exemption provided in Section 4(a)(2) of the Securities Act.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You will also be asked to consider and vote upon (a) a proposal to approve the Domestication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(b) the proposed new certificate of incorporation of New Nautilus upon the Domestication, a copy of which is attached to the accompanying proxy statement/prospectus as Annex C, which is referred to herein as the “</w:t>
      </w:r>
      <w:r>
        <w:rPr>
          <w:rFonts w:ascii="Times New Roman;sans-serif" w:hAnsi="Times New Roman;sans-serif"/>
          <w:b w:val="false"/>
          <w:color w:val="000000"/>
          <w:sz w:val="20"/>
          <w:u w:val="single"/>
        </w:rPr>
        <w:t>Charter Proposal</w:t>
      </w:r>
      <w:r>
        <w:rPr>
          <w:color w:val="000000"/>
        </w:rPr>
        <w:t>”</w:t>
      </w:r>
      <w:r>
        <w:rPr>
          <w:rFonts w:ascii="Times New Roman;sans-serif" w:hAnsi="Times New Roman;sans-serif"/>
          <w:b w:val="false"/>
          <w:color w:val="000000"/>
          <w:sz w:val="20"/>
        </w:rPr>
        <w:t>, (c) on a non-binding advisory basis, proposals related to material differences between ARYA’s existing amended and restated memorandum and articles of association (the “</w:t>
      </w:r>
      <w:r>
        <w:rPr>
          <w:rFonts w:ascii="Times New Roman;sans-serif" w:hAnsi="Times New Roman;sans-serif"/>
          <w:b w:val="false"/>
          <w:color w:val="000000"/>
          <w:sz w:val="20"/>
          <w:u w:val="single"/>
        </w:rPr>
        <w:t>Existing Governing Documents</w:t>
      </w:r>
      <w:r>
        <w:rPr>
          <w:color w:val="000000"/>
        </w:rPr>
        <w:t>”</w:t>
      </w:r>
      <w:r>
        <w:rPr>
          <w:rFonts w:ascii="Times New Roman;sans-serif" w:hAnsi="Times New Roman;sans-serif"/>
          <w:b w:val="false"/>
          <w:color w:val="000000"/>
          <w:sz w:val="20"/>
        </w:rPr>
        <w:t>), which are referred to herein collectively as the “</w:t>
      </w:r>
      <w:r>
        <w:rPr>
          <w:rFonts w:ascii="Times New Roman;sans-serif" w:hAnsi="Times New Roman;sans-serif"/>
          <w:b w:val="false"/>
          <w:color w:val="000000"/>
          <w:sz w:val="20"/>
          <w:u w:val="single"/>
        </w:rPr>
        <w:t>Advisory Governing Documents Proposals</w:t>
      </w:r>
      <w:r>
        <w:rPr>
          <w:rFonts w:ascii="Times New Roman;sans-serif" w:hAnsi="Times New Roman;sans-serif"/>
          <w:b w:val="false"/>
          <w:color w:val="000000"/>
          <w:sz w:val="20"/>
        </w:rPr>
        <w:t>,” (d) a proposal to approve, for purpose of complying with Nasdaq Listing Rule 5635, the issuance of New Nautilus Common Stock in connection with the Business Combination and the PIPE Financing, which is referred to herein as the “</w:t>
      </w:r>
      <w:r>
        <w:rPr>
          <w:rFonts w:ascii="Times New Roman;sans-serif" w:hAnsi="Times New Roman;sans-serif"/>
          <w:b w:val="false"/>
          <w:color w:val="000000"/>
          <w:sz w:val="20"/>
          <w:u w:val="single"/>
        </w:rPr>
        <w:t>Nasdaq Proposal</w:t>
      </w:r>
      <w:r>
        <w:rPr>
          <w:rFonts w:ascii="Times New Roman;sans-serif" w:hAnsi="Times New Roman;sans-serif"/>
          <w:b w:val="false"/>
          <w:color w:val="000000"/>
          <w:sz w:val="20"/>
        </w:rPr>
        <w:t>,” (e) a proposal to approve and adopt the Nautilus Biotechnology, Inc. 2021 Equity Incentive Plan, a copy of which is attached to the accompanying proxy statement/prospectus as Annex I, which is referred to herein as the “</w:t>
      </w:r>
      <w:r>
        <w:rPr>
          <w:rFonts w:ascii="Times New Roman;sans-serif" w:hAnsi="Times New Roman;sans-serif"/>
          <w:b w:val="false"/>
          <w:color w:val="000000"/>
          <w:sz w:val="20"/>
          <w:u w:val="single"/>
        </w:rPr>
        <w:t>Incentive Award Plan Proposal</w:t>
      </w:r>
      <w:r>
        <w:rPr>
          <w:rFonts w:ascii="Times New Roman;sans-serif" w:hAnsi="Times New Roman;sans-serif"/>
          <w:b w:val="false"/>
          <w:color w:val="000000"/>
          <w:sz w:val="20"/>
        </w:rPr>
        <w:t>,” (f) a proposal to approve and adopt the Nautilus Biotechnology, Inc. 2021 Employee Stock Purchase Plan, a copy of which is attached to the accompanying proxy statement/prospectus as Annex J, which is referred to herein as the “</w:t>
      </w:r>
      <w:r>
        <w:rPr>
          <w:rFonts w:ascii="Times New Roman;sans-serif" w:hAnsi="Times New Roman;sans-serif"/>
          <w:b w:val="false"/>
          <w:color w:val="000000"/>
          <w:sz w:val="20"/>
          <w:highlight w:val="white"/>
          <w:u w:val="single"/>
        </w:rPr>
        <w:t>Employee Stock Purchase Plan Proposal</w:t>
      </w:r>
      <w:r>
        <w:rPr>
          <w:rFonts w:ascii="Times New Roman;sans-serif" w:hAnsi="Times New Roman;sans-serif"/>
          <w:b w:val="false"/>
          <w:color w:val="000000"/>
          <w:sz w:val="20"/>
        </w:rPr>
        <w:t>,” and (g) a proposal to adjourn the extraordinary general meeting to a later date or dates to the extent necessary, which is referred to herein as the “</w:t>
      </w:r>
      <w:r>
        <w:rPr>
          <w:rFonts w:ascii="Times New Roman;sans-serif" w:hAnsi="Times New Roman;sans-serif"/>
          <w:b w:val="false"/>
          <w:color w:val="000000"/>
          <w:sz w:val="20"/>
          <w:u w:val="single"/>
        </w:rPr>
        <w:t>Adjournment Proposal</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The Business Combination will be consummated only if the Business Combination Proposal, the Domestication Proposal, the Charter Proposal, the Incentive Award Plan Proposal, the Employee Stock Purchase Plan Proposal and the Nasdaq Proposal (collectively, the “</w:t>
      </w:r>
      <w:r>
        <w:rPr>
          <w:rFonts w:ascii="Times New Roman;sans-serif" w:hAnsi="Times New Roman;sans-serif"/>
          <w:b w:val="false"/>
          <w:color w:val="000000"/>
          <w:sz w:val="20"/>
          <w:u w:val="single"/>
        </w:rPr>
        <w:t>Condition Precedent Proposals</w:t>
      </w:r>
      <w:r>
        <w:rPr>
          <w:color w:val="000000"/>
        </w:rPr>
        <w:t>”</w:t>
      </w:r>
      <w:r>
        <w:rPr>
          <w:rFonts w:ascii="Times New Roman;sans-serif" w:hAnsi="Times New Roman;sans-serif"/>
          <w:b w:val="false"/>
          <w:color w:val="000000"/>
          <w:sz w:val="20"/>
        </w:rPr>
        <w:t>) are approved at the extraordinary general meeting. The Advisory Governing Documents Proposals are conditioned on the approval of the Condition Precedent Proposals. The Adjournment Proposal is not conditioned upon the approval of any other proposal. Each of these proposals is more fully described in the accompanying proxy statement/prospectus, which each shareholder is encouraged to read carefully and in its entirety.</w:t>
      </w:r>
    </w:p>
    <w:p>
      <w:pPr>
        <w:pStyle w:val="TextBody"/>
        <w:spacing w:lineRule="auto" w:line="288" w:before="0" w:after="180"/>
        <w:ind w:left="0" w:right="0" w:firstLine="360"/>
        <w:rPr/>
      </w:pPr>
      <w:r>
        <w:rPr>
          <w:rFonts w:ascii="Times New Roman;sans-serif" w:hAnsi="Times New Roman;sans-serif"/>
          <w:b w:val="false"/>
          <w:color w:val="000000"/>
          <w:sz w:val="20"/>
        </w:rPr>
        <w:t>The Adjournment Proposal provides for a vote to adjourn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the aggregate gross proceeds from the PIPE Financing, equal no less than $250,000,000 after deducting ARYA’s unpaid expenses, liabilities, and any amounts paid to ARYA shareholders that exercise their redemption rights in connection with the Business Combination would not be satisfied (such aggregate proceeds, the “</w:t>
      </w:r>
      <w:r>
        <w:rPr>
          <w:rFonts w:ascii="Times New Roman;sans-serif" w:hAnsi="Times New Roman;sans-serif"/>
          <w:b w:val="false"/>
          <w:color w:val="000000"/>
          <w:sz w:val="20"/>
          <w:u w:val="single"/>
        </w:rPr>
        <w:t>Aggregate Transaction Proceeds</w:t>
      </w:r>
      <w:r>
        <w:rPr>
          <w:color w:val="000000"/>
        </w:rPr>
        <w:t>”</w:t>
      </w:r>
      <w:r>
        <w:rPr>
          <w:rFonts w:ascii="Times New Roman;sans-serif" w:hAnsi="Times New Roman;sans-serif"/>
          <w:b w:val="false"/>
          <w:color w:val="000000"/>
          <w:sz w:val="20"/>
        </w:rPr>
        <w:t>, and such condition to the consummation of the Business Combination, the “</w:t>
      </w:r>
      <w:r>
        <w:rPr>
          <w:rFonts w:ascii="Times New Roman;sans-serif" w:hAnsi="Times New Roman;sans-serif"/>
          <w:b w:val="false"/>
          <w:color w:val="000000"/>
          <w:sz w:val="20"/>
          <w:u w:val="single"/>
        </w:rPr>
        <w:t>Aggregate Transaction Proceeds Condition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Business Combination, certain related agreements were entered into in connection with the signing of the Business Combination Agreement, including the Subscription Agreements, the Nautilus Shareholder Transaction Support Agreements, the Sponsor Letter Agreement, and the Amended and Restated Registration Rights and Lock-up Agreement (each as defined in the accompanying proxy statement/prospectus). See the section entitled “</w:t>
      </w:r>
      <w:r>
        <w:rPr>
          <w:rFonts w:ascii="Times New Roman;sans-serif" w:hAnsi="Times New Roman;sans-serif"/>
          <w:b w:val="false"/>
          <w:i/>
          <w:color w:val="000000"/>
          <w:sz w:val="20"/>
        </w:rPr>
        <w:t>Business Combination Proposal—Related Agreements</w:t>
      </w:r>
      <w:r>
        <w:rPr>
          <w:color w:val="000000"/>
        </w:rPr>
        <w:t xml:space="preserve">” </w:t>
      </w:r>
      <w:r>
        <w:rPr>
          <w:rFonts w:ascii="Times New Roman;sans-serif" w:hAnsi="Times New Roman;sans-serif"/>
          <w:b w:val="false"/>
          <w:color w:val="000000"/>
          <w:sz w:val="20"/>
        </w:rPr>
        <w:t>in the accompanying proxy statement/prospectus for more information.</w:t>
      </w:r>
    </w:p>
    <w:p>
      <w:pPr>
        <w:pStyle w:val="TextBody"/>
        <w:spacing w:lineRule="auto" w:line="288" w:before="0" w:after="180"/>
        <w:ind w:left="0" w:right="0" w:firstLine="360"/>
        <w:rPr/>
      </w:pPr>
      <w:r>
        <w:rPr>
          <w:rFonts w:ascii="Times New Roman;sans-serif" w:hAnsi="Times New Roman;sans-serif"/>
          <w:b w:val="false"/>
          <w:color w:val="000000"/>
          <w:sz w:val="20"/>
        </w:rPr>
        <w:t>Pursuant to the Existing Governing Documents, a holder of ARYA’s public shares (a “</w:t>
      </w:r>
      <w:r>
        <w:rPr>
          <w:rFonts w:ascii="Times New Roman;sans-serif" w:hAnsi="Times New Roman;sans-serif"/>
          <w:b w:val="false"/>
          <w:color w:val="000000"/>
          <w:sz w:val="20"/>
          <w:u w:val="single"/>
        </w:rPr>
        <w:t>public shareholder</w:t>
      </w:r>
      <w:r>
        <w:rPr>
          <w:color w:val="000000"/>
        </w:rPr>
        <w:t>”</w:t>
      </w:r>
      <w:r>
        <w:rPr>
          <w:rFonts w:ascii="Times New Roman;sans-serif" w:hAnsi="Times New Roman;sans-serif"/>
          <w:b w:val="false"/>
          <w:color w:val="000000"/>
          <w:sz w:val="20"/>
        </w:rPr>
        <w:t>) may request that ARYA redeem all or a portion of such public shares for cash if the Business Combination is consummated. The redemption rights include the requirement that a holder must identify itself in writing as a beneficial holder and provide its legal name, phone number and address to Continental Stock Transfer &amp; Trust Company (“</w:t>
      </w:r>
      <w:r>
        <w:rPr>
          <w:rFonts w:ascii="Times New Roman;sans-serif" w:hAnsi="Times New Roman;sans-serif"/>
          <w:b w:val="false"/>
          <w:color w:val="000000"/>
          <w:sz w:val="20"/>
          <w:u w:val="single"/>
        </w:rPr>
        <w:t>Continental</w:t>
      </w:r>
      <w:r>
        <w:rPr>
          <w:color w:val="000000"/>
        </w:rPr>
        <w:t>”</w:t>
      </w:r>
      <w:r>
        <w:rPr>
          <w:rFonts w:ascii="Times New Roman;sans-serif" w:hAnsi="Times New Roman;sans-serif"/>
          <w:b w:val="false"/>
          <w:color w:val="000000"/>
          <w:sz w:val="20"/>
        </w:rPr>
        <w:t xml:space="preserve">) in order to validly redeem its shares. </w:t>
      </w:r>
      <w:r>
        <w:rPr>
          <w:rFonts w:ascii="Times New Roman;sans-serif" w:hAnsi="Times New Roman;sans-serif"/>
          <w:b/>
          <w:color w:val="000000"/>
          <w:sz w:val="20"/>
        </w:rPr>
        <w:t>Public shareholders may elect to redeem their public shares even if they vote “for” the Business Combination Proposal.</w:t>
      </w:r>
      <w:r>
        <w:rPr>
          <w:color w:val="000000"/>
        </w:rPr>
        <w:t xml:space="preserve"> </w:t>
      </w:r>
      <w:r>
        <w:rPr>
          <w:rFonts w:ascii="Times New Roman;sans-serif" w:hAnsi="Times New Roman;sans-serif"/>
          <w:b w:val="false"/>
          <w:color w:val="000000"/>
          <w:sz w:val="20"/>
        </w:rPr>
        <w:t xml:space="preserve">If the Business Combination is not consummated, the public shares will be returned to the respective holder, broker or bank. If the Business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Combination is consummated, and if a public shareholder properly exercises its right to redeem all or a portion of the public shares that it holds and timely delivers its shares to Continental, New Nautilus will redeem such public shares for a per-share price, payable in cash, equal to the pro rata portion of the trust account established at the consummation of ARYA’s initial public offering, calculated as of two business days prior to the consummation of the Business Combination.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rPr>
        <w:t>Extraordinary General Meeting of ARYA— Redemption Rights</w:t>
      </w:r>
      <w:r>
        <w:rPr>
          <w:color w:val="000000"/>
        </w:rPr>
        <w:t xml:space="preserve">” </w:t>
      </w:r>
      <w:r>
        <w:rPr>
          <w:rFonts w:ascii="Times New Roman;sans-serif" w:hAnsi="Times New Roman;sans-serif"/>
          <w:b w:val="false"/>
          <w:color w:val="000000"/>
          <w:sz w:val="20"/>
        </w:rPr>
        <w:t>in the accompanying proxy statement/prospectus for a detailed description of the procedures to be followed if you wish to redeem your public shares for cash.</w:t>
      </w:r>
    </w:p>
    <w:p>
      <w:pPr>
        <w:pStyle w:val="TextBody"/>
        <w:spacing w:lineRule="auto" w:line="288" w:before="0" w:after="180"/>
        <w:ind w:left="0" w:right="0" w:firstLine="36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Sponsor and each of Messrs. Wider, Campbell and Islam (collectively, the “</w:t>
      </w:r>
      <w:r>
        <w:rPr>
          <w:rFonts w:ascii="Times New Roman;sans-serif" w:hAnsi="Times New Roman;sans-serif"/>
          <w:b w:val="false"/>
          <w:color w:val="000000"/>
          <w:sz w:val="20"/>
          <w:u w:val="single"/>
        </w:rPr>
        <w:t>initial shareholders</w:t>
      </w:r>
      <w:r>
        <w:rPr>
          <w:color w:val="000000"/>
        </w:rPr>
        <w:t>”</w:t>
      </w:r>
      <w:r>
        <w:rPr>
          <w:rFonts w:ascii="Times New Roman;sans-serif" w:hAnsi="Times New Roman;sans-serif"/>
          <w:b w:val="false"/>
          <w:color w:val="000000"/>
          <w:sz w:val="20"/>
        </w:rPr>
        <w:t>)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the accompanying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pStyle w:val="TextBody"/>
        <w:spacing w:lineRule="auto" w:line="288" w:before="0" w:after="180"/>
        <w:ind w:left="0" w:right="0" w:firstLine="360"/>
        <w:rPr/>
      </w:pPr>
      <w:r>
        <w:rPr>
          <w:rFonts w:ascii="Times New Roman;sans-serif" w:hAnsi="Times New Roman;sans-serif"/>
          <w:b w:val="false"/>
          <w:color w:val="000000"/>
          <w:sz w:val="20"/>
        </w:rPr>
        <w:t xml:space="preserve">ARYA is providing the accompanying proxy statement/prospectus and accompanying proxy card to ARYA’s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ARYA’s shareholders at the extraordinary general meeting is included in the accompanying proxy statement/prospectus. </w:t>
      </w:r>
      <w:r>
        <w:rPr>
          <w:rFonts w:ascii="Times New Roman;sans-serif" w:hAnsi="Times New Roman;sans-serif"/>
          <w:b/>
          <w:color w:val="000000"/>
          <w:sz w:val="20"/>
        </w:rPr>
        <w:t>Whether or not you plan to attend the extraordinary general meeting, all of ARYA’s shareholders are urged to read the accompanying proxy statement/prospectus, including the Annexes and other documents referred to therein, carefully and in their entirety. You should also carefully consider the risk factors described in “</w:t>
      </w:r>
      <w:r>
        <w:rPr>
          <w:rFonts w:ascii="Times New Roman;sans-serif" w:hAnsi="Times New Roman;sans-serif"/>
          <w:b/>
          <w:i/>
          <w:color w:val="000000"/>
          <w:sz w:val="20"/>
          <w:u w:val="single"/>
        </w:rPr>
        <w:t>Risk Factors</w:t>
      </w:r>
      <w:r>
        <w:rPr>
          <w:color w:val="000000"/>
        </w:rPr>
        <w:t xml:space="preserve">” </w:t>
      </w:r>
      <w:r>
        <w:rPr>
          <w:rFonts w:ascii="Times New Roman;sans-serif" w:hAnsi="Times New Roman;sans-serif"/>
          <w:b/>
          <w:color w:val="000000"/>
          <w:sz w:val="20"/>
        </w:rPr>
        <w:t>beginning on page 28 of the accompanying proxy statement/prospectus.</w:t>
      </w:r>
    </w:p>
    <w:p>
      <w:pPr>
        <w:pStyle w:val="TextBody"/>
        <w:spacing w:lineRule="auto" w:line="288" w:before="0" w:after="180"/>
        <w:ind w:left="0" w:right="0" w:firstLine="360"/>
        <w:rPr/>
      </w:pPr>
      <w:r>
        <w:rPr>
          <w:rFonts w:ascii="Times New Roman;sans-serif" w:hAnsi="Times New Roman;sans-serif"/>
          <w:b/>
          <w:color w:val="000000"/>
          <w:sz w:val="20"/>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the accompanying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Times New Roman;sans-serif" w:hAnsi="Times New Roman;sans-serif"/>
          <w:b/>
          <w:i/>
          <w:color w:val="000000"/>
          <w:sz w:val="20"/>
        </w:rPr>
        <w:t xml:space="preserve">Business Combination Proposal—Interests of ARYA’s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i/>
          <w:color w:val="000000"/>
          <w:sz w:val="20"/>
        </w:rPr>
        <w:t>Directors and Executive Officers in the Business Combination</w:t>
      </w:r>
      <w:r>
        <w:rPr>
          <w:color w:val="000000"/>
        </w:rPr>
        <w:t xml:space="preserve">” </w:t>
      </w:r>
      <w:r>
        <w:rPr>
          <w:rFonts w:ascii="Times New Roman;sans-serif" w:hAnsi="Times New Roman;sans-serif"/>
          <w:b/>
          <w:color w:val="000000"/>
          <w:sz w:val="20"/>
        </w:rPr>
        <w:t>in the accompanying proxy statement/prospectus for a further discussion of these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pPr>
      <w:r>
        <w:rPr>
          <w:rFonts w:ascii="Times New Roman;sans-serif" w:hAnsi="Times New Roman;sans-serif"/>
          <w:b/>
          <w:i/>
          <w:color w:val="000000"/>
          <w:sz w:val="20"/>
        </w:rPr>
        <w:t>Your vote is very important.</w:t>
      </w:r>
      <w:r>
        <w:rPr>
          <w:color w:val="000000"/>
        </w:rPr>
        <w:t xml:space="preserve"> </w:t>
      </w:r>
      <w:r>
        <w:rPr>
          <w:rFonts w:ascii="Times New Roman;sans-serif" w:hAnsi="Times New Roman;sans-serif"/>
          <w:b/>
          <w:color w:val="000000"/>
          <w:sz w:val="20"/>
        </w:rPr>
        <w:t>Whether or not you plan to attend the extraordinary general meeting, please vote as soon as possible by following 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the accompanying proxy statement/prospectus.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behalf of ARYA’s board of directors, I would like to thank you for your support and look forward to the successful completion of the Business Combination.</w:t>
      </w:r>
    </w:p>
    <w:tbl>
      <w:tblPr>
        <w:tblW w:w="2999" w:type="dxa"/>
        <w:jc w:val="right"/>
        <w:tblInd w:w="0" w:type="dxa"/>
        <w:tblCellMar>
          <w:top w:w="28" w:type="dxa"/>
          <w:left w:w="28" w:type="dxa"/>
          <w:bottom w:w="28" w:type="dxa"/>
          <w:right w:w="28" w:type="dxa"/>
        </w:tblCellMar>
      </w:tblPr>
      <w:tblGrid>
        <w:gridCol w:w="961"/>
        <w:gridCol w:w="844"/>
        <w:gridCol w:w="1194"/>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proxy statement/prospectus is dated             , 2021 and is first being mailed to shareholders on or about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Astor Place, 10th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New York, New York 10003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EXTRAORDINARY GENERAL MEETING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TO BE HELD ON            , 2021</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SHAREHOLDERS OF ARYA SCIENCES ACQUISITION CORP III:</w:t>
      </w:r>
    </w:p>
    <w:p>
      <w:pPr>
        <w:pStyle w:val="TextBody"/>
        <w:spacing w:lineRule="auto" w:line="288" w:before="0" w:after="180"/>
        <w:ind w:left="0" w:right="0" w:firstLine="360"/>
        <w:rPr/>
      </w:pPr>
      <w:r>
        <w:rPr>
          <w:rFonts w:ascii="Times New Roman;sans-serif" w:hAnsi="Times New Roman;sans-serif"/>
          <w:b w:val="false"/>
          <w:color w:val="000000"/>
          <w:sz w:val="20"/>
        </w:rPr>
        <w:t>NOTICE IS HEREBY GIVEN that an extraordinary general meeting of the shareholders (the “</w:t>
      </w:r>
      <w:r>
        <w:rPr>
          <w:rFonts w:ascii="Times New Roman;sans-serif" w:hAnsi="Times New Roman;sans-serif"/>
          <w:b w:val="false"/>
          <w:color w:val="000000"/>
          <w:sz w:val="20"/>
          <w:u w:val="single"/>
        </w:rPr>
        <w:t>extraordinary</w:t>
      </w:r>
      <w:r>
        <w:rPr>
          <w:color w:val="000000"/>
        </w:rPr>
        <w:t xml:space="preserve"> </w:t>
      </w:r>
      <w:r>
        <w:rPr>
          <w:rFonts w:ascii="Times New Roman;sans-serif" w:hAnsi="Times New Roman;sans-serif"/>
          <w:b w:val="false"/>
          <w:color w:val="000000"/>
          <w:sz w:val="20"/>
          <w:u w:val="single"/>
        </w:rPr>
        <w:t>general meeting</w:t>
      </w:r>
      <w:r>
        <w:rPr>
          <w:color w:val="000000"/>
        </w:rPr>
        <w:t>”</w:t>
      </w:r>
      <w:r>
        <w:rPr>
          <w:rFonts w:ascii="Times New Roman;sans-serif" w:hAnsi="Times New Roman;sans-serif"/>
          <w:b w:val="false"/>
          <w:color w:val="000000"/>
          <w:sz w:val="20"/>
        </w:rPr>
        <w:t>) of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will be held at 9:00 a.m., Eastern Time, on                 2021, at the offices of Kirkland &amp; Ellis LLP located at 601 Lexington Avenue, New York, New York 10022. You are cordially invited to attend the extraordinary general meeting, which will be held for the following purposes: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1—The Business Combination Proposal—RESOLVED</w:t>
      </w:r>
      <w:r>
        <w:rPr>
          <w:rFonts w:ascii="Times New Roman;sans-serif" w:hAnsi="Times New Roman;sans-serif"/>
          <w:b w:val="false"/>
          <w:color w:val="000000"/>
          <w:sz w:val="20"/>
        </w:rPr>
        <w:t>, as an ordinary resolution, that ARYA’s entry into the Business Combination Agreement,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2—The Domestication Proposal—RESOLVED</w:t>
      </w:r>
      <w:r>
        <w:rPr>
          <w:rFonts w:ascii="Times New Roman;sans-serif" w:hAnsi="Times New Roman;sans-serif"/>
          <w:b w:val="false"/>
          <w:color w:val="000000"/>
          <w:sz w:val="20"/>
        </w:rPr>
        <w:t>, as a special resolution, that ARYA be transferred by way of continuation to 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3—The Charter Proposal—RESOLVED</w:t>
      </w:r>
      <w:r>
        <w:rPr>
          <w:rFonts w:ascii="Times New Roman;sans-serif" w:hAnsi="Times New Roman;sans-serif"/>
          <w:b w:val="false"/>
          <w:color w:val="000000"/>
          <w:sz w:val="20"/>
        </w:rPr>
        <w:t>, as a special resolution, that, upon the Domestication, the amended and restated memorandum and articles of association of ARYA (“</w:t>
      </w:r>
      <w:r>
        <w:rPr>
          <w:rFonts w:ascii="Times New Roman;sans-serif" w:hAnsi="Times New Roman;sans-serif"/>
          <w:b w:val="false"/>
          <w:color w:val="000000"/>
          <w:sz w:val="20"/>
          <w:u w:val="single"/>
        </w:rPr>
        <w:t>Existing Governing Documents</w:t>
      </w:r>
      <w:r>
        <w:rPr>
          <w:color w:val="000000"/>
        </w:rPr>
        <w:t>”</w:t>
      </w:r>
      <w:r>
        <w:rPr>
          <w:rFonts w:ascii="Times New Roman;sans-serif" w:hAnsi="Times New Roman;sans-serif"/>
          <w:b w:val="false"/>
          <w:color w:val="000000"/>
          <w:sz w:val="20"/>
        </w:rPr>
        <w:t>) be amended and restated by the deletion in their entirety and the substitution in their place of the proposed new certificate of incorporation of “Nautilus Biotechnology, Inc.” upon the Domestication, a copy of which is attached to the proxy statement/prospectus as Annex C (the “</w:t>
      </w:r>
      <w:r>
        <w:rPr>
          <w:rFonts w:ascii="Times New Roman;sans-serif" w:hAnsi="Times New Roman;sans-serif"/>
          <w:b w:val="false"/>
          <w:color w:val="000000"/>
          <w:sz w:val="20"/>
          <w:u w:val="single"/>
        </w:rPr>
        <w:t>Proposed Certificate of Incorporation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Advisory Governing Documents Proposals</w:t>
      </w:r>
      <w:r>
        <w:rPr>
          <w:color w:val="000000"/>
        </w:rPr>
        <w:t>—</w:t>
      </w:r>
      <w:r>
        <w:rPr>
          <w:rFonts w:ascii="Times New Roman;sans-serif" w:hAnsi="Times New Roman;sans-serif"/>
          <w:b w:val="false"/>
          <w:color w:val="000000"/>
          <w:sz w:val="20"/>
        </w:rPr>
        <w:t xml:space="preserve">to consider and vote upon, on a non-binding advisory basis, the following governance proposals regarding the Proposed Certificate of Incorporation (such proposals,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collectively, the “Advisory Governing Doc</w:t>
      </w:r>
      <w:r>
        <w:rPr>
          <w:rFonts w:ascii="Times New Roman;sans-serif" w:hAnsi="Times New Roman;sans-serif"/>
          <w:b w:val="false"/>
          <w:color w:val="000000"/>
          <w:sz w:val="20"/>
          <w:highlight w:val="white"/>
        </w:rPr>
        <w:t>uments Proposals”) and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4—Advisory Governing Documents Proposal A—RESOLVED</w:t>
      </w:r>
      <w:r>
        <w:rPr>
          <w:rFonts w:ascii="Times New Roman;sans-serif" w:hAnsi="Times New Roman;sans-serif"/>
          <w:b w:val="false"/>
          <w:color w:val="000000"/>
          <w:sz w:val="20"/>
        </w:rPr>
        <w:t>, that an amendment to change the authorized share capital of 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5—Advisory Governing Documents Proposal B—RESOLVED</w:t>
      </w:r>
      <w:r>
        <w:rPr>
          <w:rFonts w:ascii="Times New Roman;sans-serif" w:hAnsi="Times New Roman;sans-serif"/>
          <w:b w:val="false"/>
          <w:color w:val="000000"/>
          <w:sz w:val="20"/>
        </w:rPr>
        <w:t>, that an amendment to authorize the New Nautilus Board to 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6—Advisory Governing Documents Proposal C—RESOLVED</w:t>
      </w:r>
      <w:r>
        <w:rPr>
          <w:rFonts w:ascii="Times New Roman;sans-serif" w:hAnsi="Times New Roman;sans-serif"/>
          <w:b w:val="false"/>
          <w:color w:val="000000"/>
          <w:sz w:val="20"/>
        </w:rPr>
        <w:t>, that an amendment to remove the ability of New Nautilus stockholders to take action by written consent in lieu of a meeting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7—Advisory Governing Documents Proposal D—RESOLVED</w:t>
      </w:r>
      <w:r>
        <w:rPr>
          <w:rFonts w:ascii="Times New Roman;sans-serif" w:hAnsi="Times New Roman;sans-serif"/>
          <w:b w:val="false"/>
          <w:color w:val="000000"/>
          <w:sz w:val="20"/>
        </w:rPr>
        <w:t>, that certain other changes in connection with the 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8—The Nasdaq Proposal—RESOLVED</w:t>
      </w:r>
      <w:r>
        <w:rPr>
          <w:rFonts w:ascii="Times New Roman;sans-serif" w:hAnsi="Times New Roman;sans-serif"/>
          <w:b w:val="false"/>
          <w:color w:val="000000"/>
          <w:sz w:val="20"/>
        </w:rPr>
        <w:t>, as an ordinary resolution, that for the purposes of complying with the applicable provisions of Nasdaq Stock Exchange Listing Rule 5635, the issuance of shares of New Nautilus Common Stock be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9—The Incentive Award Plan Proposal—RESOLVED</w:t>
      </w:r>
      <w:r>
        <w:rPr>
          <w:rFonts w:ascii="Times New Roman;sans-serif" w:hAnsi="Times New Roman;sans-serif"/>
          <w:b w:val="false"/>
          <w:color w:val="000000"/>
          <w:sz w:val="20"/>
        </w:rPr>
        <w:t>, as an ordinary resolution, that the Nautilus Biotechnology, Inc. 2021 Equity Incentive Plan, a copy of which is attached to the proxy statement/prospectus as Annex I, be adopted and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 xml:space="preserve">Proposal No. 10—The </w:t>
      </w:r>
      <w:r>
        <w:rPr>
          <w:rFonts w:ascii="Times New Roman;sans-serif" w:hAnsi="Times New Roman;sans-serif"/>
          <w:b/>
          <w:color w:val="000000"/>
          <w:sz w:val="20"/>
          <w:highlight w:val="white"/>
        </w:rPr>
        <w:t>Employee Stock Purchase Plan Proposal</w:t>
      </w: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Employee Stock Purchase Plan, a copy of which is attached to the proxy statement/prospectus as Annex J, be adopted and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11—The Adjournment Proposal—RESOLVED</w:t>
      </w:r>
      <w:r>
        <w:rPr>
          <w:rFonts w:ascii="Times New Roman;sans-serif" w:hAnsi="Times New Roman;sans-serif"/>
          <w:b w:val="false"/>
          <w:color w:val="000000"/>
          <w:sz w:val="20"/>
        </w:rPr>
        <w:t xml:space="preserve">, as an ordinary resolution, that the adjournment of the extraordinary general 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amounts paid to ARYA shareholders that exercise their redemption rights in connection with the Business Combination would not be satisfied, at the extraordinary general meeting be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described in this proxy statement/prospectus, which we encourage you to read carefully and in its entirety before voting.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Only holders of record of ordinary shares at the close of business on April 1, 2021 are entitled to notice of and to vote and have their votes counted at the extraordinary general meeting and any adjournment of the extraordinary general meeting.</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proxy statement/prospectus and accompanying proxy card is being provided to ARYA’s shareholders in connection with the solicitation of proxies to be voted at the extraordinary general meeting and at any adjournment of the extraordinary general meeting. </w:t>
      </w:r>
      <w:r>
        <w:rPr>
          <w:rFonts w:ascii="Times New Roman;sans-serif" w:hAnsi="Times New Roman;sans-serif"/>
          <w:b/>
          <w:color w:val="000000"/>
          <w:sz w:val="20"/>
        </w:rPr>
        <w:t>Whether or not you plan to attend the extraordinary general meeting, all of ARYA’s shareholders are urged to read this proxy statement/prospectus, including the Annexes and the documents referred to herein carefully and in their entirety. You should also carefully consider the risk factors described in “</w:t>
      </w:r>
      <w:r>
        <w:rPr>
          <w:rFonts w:ascii="Times New Roman;sans-serif" w:hAnsi="Times New Roman;sans-serif"/>
          <w:b/>
          <w:i/>
          <w:color w:val="000000"/>
          <w:sz w:val="20"/>
          <w:u w:val="single"/>
        </w:rPr>
        <w:t>Risk Factors</w:t>
      </w:r>
      <w:r>
        <w:rPr>
          <w:color w:val="000000"/>
        </w:rPr>
        <w:t xml:space="preserve">” </w:t>
      </w:r>
      <w:r>
        <w:rPr>
          <w:rFonts w:ascii="Times New Roman;sans-serif" w:hAnsi="Times New Roman;sans-serif"/>
          <w:b/>
          <w:color w:val="000000"/>
          <w:sz w:val="20"/>
        </w:rPr>
        <w:t>beginning on page 28 of this proxy statement/prospectus.</w:t>
      </w:r>
    </w:p>
    <w:p>
      <w:pPr>
        <w:pStyle w:val="TextBody"/>
        <w:spacing w:lineRule="auto" w:line="288" w:before="0" w:after="180"/>
        <w:ind w:left="0" w:right="0" w:firstLine="360"/>
        <w:rPr/>
      </w:pPr>
      <w:r>
        <w:rPr>
          <w:rFonts w:ascii="Times New Roman;sans-serif" w:hAnsi="Times New Roman;sans-serif"/>
          <w:b/>
          <w:color w:val="000000"/>
          <w:sz w:val="20"/>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this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Times New Roman;sans-serif" w:hAnsi="Times New Roman;sans-serif"/>
          <w:b/>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color w:val="000000"/>
          <w:sz w:val="20"/>
        </w:rPr>
        <w:t>in this proxy statement/prospectus for a further discussion of these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Existing Governing Documents, a public shareholder may request of ARYA that New Nautilus redeem all or a portion of its public shares for cash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The Depository Trust Company.</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public shares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ARYA’s initial public offering (the “</w:t>
      </w:r>
      <w:r>
        <w:rPr>
          <w:rFonts w:ascii="Times New Roman;sans-serif" w:hAnsi="Times New Roman;sans-serif"/>
          <w:b w:val="false"/>
          <w:color w:val="000000"/>
          <w:sz w:val="20"/>
          <w:u w:val="single"/>
        </w:rPr>
        <w:t>trust account</w:t>
      </w:r>
      <w:r>
        <w:rPr>
          <w:color w:val="000000"/>
        </w:rPr>
        <w:t>”</w:t>
      </w:r>
      <w:r>
        <w:rPr>
          <w:rFonts w:ascii="Times New Roman;sans-serif" w:hAnsi="Times New Roman;sans-serif"/>
          <w:b w:val="false"/>
          <w:color w:val="000000"/>
          <w:sz w:val="20"/>
        </w:rPr>
        <w:t>), calculated as of two business days prior to the consummation of the Business Combination.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in this proxy statement/prospectus for a detailed description of the procedures to be followed if you wish to redeem your public shares for cash.</w:t>
      </w:r>
    </w:p>
    <w:p>
      <w:pPr>
        <w:pStyle w:val="TextBody"/>
        <w:spacing w:lineRule="auto" w:line="288" w:before="0" w:after="180"/>
        <w:ind w:left="0" w:right="0" w:firstLine="36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 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pPr>
      <w:r>
        <w:rPr>
          <w:rFonts w:ascii="Times New Roman;sans-serif" w:hAnsi="Times New Roman;sans-serif"/>
          <w:b/>
          <w:i/>
          <w:color w:val="000000"/>
          <w:sz w:val="20"/>
        </w:rPr>
        <w:t>Your vote is very important</w:t>
      </w:r>
      <w:r>
        <w:rPr>
          <w:rFonts w:ascii="Times New Roman;sans-serif" w:hAnsi="Times New Roman;sans-serif"/>
          <w:b/>
          <w:color w:val="000000"/>
          <w:sz w:val="20"/>
        </w:rPr>
        <w:t>. Whether or not you plan to attend the extraordinary general meeting, please vote as soon as possible by following the instructions in this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w:t>
      </w:r>
      <w:r>
        <w:rPr>
          <w:color w:val="000000"/>
        </w:rPr>
        <w:t xml:space="preserve"> </w:t>
      </w:r>
      <w:r>
        <w:rPr>
          <w:rFonts w:ascii="Times New Roman;sans-serif" w:hAnsi="Times New Roman;sans-serif"/>
          <w:b/>
          <w:color w:val="000000"/>
          <w:sz w:val="20"/>
        </w:rPr>
        <w:t>Governing Documents Proposals are conditioned on the approval of the Condition Precedent Proposals. The Adjournment Proposal is not conditioned on the approval of any other proposal set forth in this proxy statement/prospectus.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Your attention is directed to the remainder of the proxy statement/prospectus following this notice (including the Annexes and other documents referred to herein) for a more complete description of the proposed Business Combination and related transactions and each of the proposals. You are encouraged to read this proxy statement/prospectus carefully and in its entirety, including the Annexes and other documents referred to herein. If you have any questions or need assistance voting your ordinary shares, please contact Morrow Sodali LLC, our proxy solicitor, by calling (800) 662-5200, or banks and brokers can call collect at (203) 658-9400, or by emailing ARYA.info@investor.morrowsodali.com.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Thank you for your participation. We look forward to your continued support.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 of ARYA Sciences Acquisition Corp III,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Joseph Edelman</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25"/>
        <w:gridCol w:w="3051"/>
        <w:gridCol w:w="3056"/>
        <w:gridCol w:w="167"/>
        <w:gridCol w:w="167"/>
        <w:gridCol w:w="239"/>
      </w:tblGrid>
      <w:tr>
        <w:trPr/>
        <w:tc>
          <w:tcPr>
            <w:tcW w:w="3525" w:type="dxa"/>
            <w:tcBorders/>
            <w:shd w:fill="auto" w:val="clear"/>
            <w:vAlign w:val="center"/>
          </w:tcPr>
          <w:p>
            <w:pPr>
              <w:pStyle w:val="TableContents"/>
              <w:spacing w:before="0" w:after="283"/>
              <w:rPr>
                <w:sz w:val="4"/>
                <w:szCs w:val="4"/>
              </w:rPr>
            </w:pPr>
            <w:r>
              <w:rPr>
                <w:sz w:val="4"/>
                <w:szCs w:val="4"/>
              </w:rPr>
            </w:r>
          </w:p>
        </w:tc>
        <w:tc>
          <w:tcPr>
            <w:tcW w:w="3051" w:type="dxa"/>
            <w:tcBorders/>
            <w:shd w:fill="auto" w:val="clear"/>
            <w:vAlign w:val="center"/>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59">
              <w:r>
                <w:rPr>
                  <w:rStyle w:val="InternetLink"/>
                  <w:rFonts w:ascii="Times New Roman;sans-serif" w:hAnsi="Times New Roman;sans-serif"/>
                  <w:b w:val="false"/>
                  <w:color w:val="0000FF"/>
                  <w:sz w:val="18"/>
                  <w:u w:val="single"/>
                </w:rPr>
                <w:t>ADDITIONAL INFORMATION</w:t>
              </w:r>
            </w:hyperlink>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f2baefd677284383b89cb6f605e45e0e_159">
              <w:r>
                <w:rPr>
                  <w:rStyle w:val="InternetLink"/>
                  <w:rFonts w:ascii="Times New Roman;sans-serif" w:hAnsi="Times New Roman;sans-serif"/>
                  <w:b w:val="false"/>
                  <w:color w:val="0000FF"/>
                  <w:sz w:val="18"/>
                  <w:u w:val="single"/>
                </w:rPr>
                <w:t>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985">
              <w:r>
                <w:rPr>
                  <w:rStyle w:val="InternetLink"/>
                  <w:rFonts w:ascii="Times New Roman;sans-serif" w:hAnsi="Times New Roman;sans-serif"/>
                  <w:b w:val="false"/>
                  <w:color w:val="0000FF"/>
                  <w:sz w:val="18"/>
                  <w:u w:val="single"/>
                </w:rPr>
                <w:t>TRADEMARKS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985">
              <w:r>
                <w:rPr>
                  <w:rStyle w:val="InternetLink"/>
                  <w:rFonts w:ascii="Times New Roman;sans-serif" w:hAnsi="Times New Roman;sans-serif"/>
                  <w:b w:val="false"/>
                  <w:color w:val="0000FF"/>
                  <w:sz w:val="18"/>
                  <w:u w:val="single"/>
                </w:rPr>
                <w:t>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96">
              <w:r>
                <w:rPr>
                  <w:rStyle w:val="InternetLink"/>
                  <w:rFonts w:ascii="Times New Roman;sans-serif" w:hAnsi="Times New Roman;sans-serif"/>
                  <w:b w:val="false"/>
                  <w:color w:val="0000FF"/>
                  <w:sz w:val="18"/>
                  <w:u w:val="single"/>
                </w:rPr>
                <w:t>SELECTED DEFINITIONS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96">
              <w:r>
                <w:rPr>
                  <w:rStyle w:val="InternetLink"/>
                  <w:rFonts w:ascii="Times New Roman;sans-serif" w:hAnsi="Times New Roman;sans-serif"/>
                  <w:b w:val="false"/>
                  <w:color w:val="0000FF"/>
                  <w:sz w:val="18"/>
                  <w:u w:val="single"/>
                </w:rPr>
                <w:t>ii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991">
              <w:r>
                <w:rPr>
                  <w:rStyle w:val="InternetLink"/>
                  <w:rFonts w:ascii="Times New Roman;sans-serif" w:hAnsi="Times New Roman;sans-serif"/>
                  <w:b w:val="false"/>
                  <w:color w:val="0000FF"/>
                  <w:sz w:val="18"/>
                  <w:u w:val="single"/>
                </w:rPr>
                <w:t>QUESTIONS AND ANSWERS FOR SHAREHOLDERS OF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991">
              <w:r>
                <w:rPr>
                  <w:rStyle w:val="InternetLink"/>
                  <w:rFonts w:ascii="Times New Roman;sans-serif" w:hAnsi="Times New Roman;sans-serif"/>
                  <w:b w:val="false"/>
                  <w:color w:val="0000FF"/>
                  <w:sz w:val="18"/>
                  <w:u w:val="single"/>
                </w:rPr>
                <w:t>vi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86">
              <w:r>
                <w:rPr>
                  <w:rStyle w:val="InternetLink"/>
                  <w:rFonts w:ascii="Times New Roman;sans-serif" w:hAnsi="Times New Roman;sans-serif"/>
                  <w:b w:val="false"/>
                  <w:color w:val="0000FF"/>
                  <w:sz w:val="18"/>
                  <w:u w:val="single"/>
                </w:rPr>
                <w:t>SUMMARY OF THE PROXY STATEMENT/PROSPECTUS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86">
              <w:r>
                <w:rPr>
                  <w:rStyle w:val="InternetLink"/>
                  <w:rFonts w:ascii="Times New Roman;sans-serif" w:hAnsi="Times New Roman;sans-serif"/>
                  <w:b w:val="false"/>
                  <w:color w:val="0000FF"/>
                  <w:sz w:val="18"/>
                  <w:u w:val="single"/>
                </w:rPr>
                <w:t>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71">
              <w:r>
                <w:rPr>
                  <w:rStyle w:val="InternetLink"/>
                  <w:rFonts w:ascii="Times New Roman;sans-serif" w:hAnsi="Times New Roman;sans-serif"/>
                  <w:b w:val="false"/>
                  <w:color w:val="0000FF"/>
                  <w:sz w:val="18"/>
                  <w:u w:val="single"/>
                </w:rPr>
                <w:t>COMPARATIVE PER SHARE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71">
              <w:r>
                <w:rPr>
                  <w:rStyle w:val="InternetLink"/>
                  <w:rFonts w:ascii="Times New Roman;sans-serif" w:hAnsi="Times New Roman;sans-serif"/>
                  <w:b w:val="false"/>
                  <w:color w:val="0000FF"/>
                  <w:sz w:val="18"/>
                  <w:u w:val="single"/>
                </w:rPr>
                <w:t>23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91">
              <w:r>
                <w:rPr>
                  <w:rStyle w:val="InternetLink"/>
                  <w:rFonts w:ascii="Times New Roman;sans-serif" w:hAnsi="Times New Roman;sans-serif"/>
                  <w:b w:val="false"/>
                  <w:color w:val="0000FF"/>
                  <w:sz w:val="18"/>
                  <w:u w:val="single"/>
                </w:rPr>
                <w:t>CAUTIONARY NOTE REGARDING FORWARD-LOOKING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91">
              <w:r>
                <w:rPr>
                  <w:rStyle w:val="InternetLink"/>
                  <w:rFonts w:ascii="Times New Roman;sans-serif" w:hAnsi="Times New Roman;sans-serif"/>
                  <w:b w:val="false"/>
                  <w:color w:val="0000FF"/>
                  <w:sz w:val="18"/>
                  <w:u w:val="single"/>
                </w:rPr>
                <w:t>25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37">
              <w:r>
                <w:rPr>
                  <w:rStyle w:val="InternetLink"/>
                  <w:rFonts w:ascii="Times New Roman;sans-serif" w:hAnsi="Times New Roman;sans-serif"/>
                  <w:b w:val="false"/>
                  <w:color w:val="0000FF"/>
                  <w:sz w:val="18"/>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37">
              <w:r>
                <w:rPr>
                  <w:rStyle w:val="InternetLink"/>
                  <w:rFonts w:ascii="Times New Roman;sans-serif" w:hAnsi="Times New Roman;sans-serif"/>
                  <w:b w:val="false"/>
                  <w:color w:val="0000FF"/>
                  <w:sz w:val="18"/>
                  <w:u w:val="single"/>
                </w:rPr>
                <w:t>28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32">
              <w:r>
                <w:rPr>
                  <w:rStyle w:val="InternetLink"/>
                  <w:rFonts w:ascii="Times New Roman;sans-serif" w:hAnsi="Times New Roman;sans-serif"/>
                  <w:b w:val="false"/>
                  <w:color w:val="0000FF"/>
                  <w:sz w:val="18"/>
                  <w:u w:val="single"/>
                </w:rPr>
                <w:t>EXTRAORDINARY GENERAL MEETING OF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32">
              <w:r>
                <w:rPr>
                  <w:rStyle w:val="InternetLink"/>
                  <w:rFonts w:ascii="Times New Roman;sans-serif" w:hAnsi="Times New Roman;sans-serif"/>
                  <w:b w:val="false"/>
                  <w:color w:val="0000FF"/>
                  <w:sz w:val="18"/>
                  <w:u w:val="single"/>
                </w:rPr>
                <w:t>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27">
              <w:r>
                <w:rPr>
                  <w:rStyle w:val="InternetLink"/>
                  <w:rFonts w:ascii="Times New Roman;sans-serif" w:hAnsi="Times New Roman;sans-serif"/>
                  <w:b w:val="false"/>
                  <w:color w:val="0000FF"/>
                  <w:sz w:val="18"/>
                  <w:u w:val="single"/>
                </w:rPr>
                <w:t>BUSINESS COMBINATION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27">
              <w:r>
                <w:rPr>
                  <w:rStyle w:val="InternetLink"/>
                  <w:rFonts w:ascii="Times New Roman;sans-serif" w:hAnsi="Times New Roman;sans-serif"/>
                  <w:b w:val="false"/>
                  <w:color w:val="0000FF"/>
                  <w:sz w:val="18"/>
                  <w:u w:val="single"/>
                </w:rPr>
                <w:t>88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22">
              <w:r>
                <w:rPr>
                  <w:rStyle w:val="InternetLink"/>
                  <w:rFonts w:ascii="Times New Roman;sans-serif" w:hAnsi="Times New Roman;sans-serif"/>
                  <w:b w:val="false"/>
                  <w:color w:val="0000FF"/>
                  <w:sz w:val="18"/>
                  <w:u w:val="single"/>
                </w:rPr>
                <w:t>DOMESTICATION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22">
              <w:r>
                <w:rPr>
                  <w:rStyle w:val="InternetLink"/>
                  <w:rFonts w:ascii="Times New Roman;sans-serif" w:hAnsi="Times New Roman;sans-serif"/>
                  <w:b w:val="false"/>
                  <w:color w:val="0000FF"/>
                  <w:sz w:val="18"/>
                  <w:u w:val="single"/>
                </w:rPr>
                <w:t>120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015">
              <w:r>
                <w:rPr>
                  <w:rStyle w:val="InternetLink"/>
                  <w:rFonts w:ascii="Times New Roman;sans-serif" w:hAnsi="Times New Roman;sans-serif"/>
                  <w:b w:val="false"/>
                  <w:color w:val="0000FF"/>
                  <w:sz w:val="18"/>
                  <w:u w:val="single"/>
                </w:rPr>
                <w:t>CHARTER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15">
              <w:r>
                <w:rPr>
                  <w:rStyle w:val="InternetLink"/>
                  <w:rFonts w:ascii="Times New Roman;sans-serif" w:hAnsi="Times New Roman;sans-serif"/>
                  <w:b w:val="false"/>
                  <w:color w:val="0000FF"/>
                  <w:sz w:val="18"/>
                  <w:u w:val="single"/>
                </w:rPr>
                <w:t>123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17">
              <w:r>
                <w:rPr>
                  <w:rStyle w:val="InternetLink"/>
                  <w:rFonts w:ascii="Times New Roman;sans-serif" w:hAnsi="Times New Roman;sans-serif"/>
                  <w:b w:val="false"/>
                  <w:color w:val="0000FF"/>
                  <w:sz w:val="18"/>
                  <w:u w:val="single"/>
                </w:rPr>
                <w:t>ADVISORY GOVERNING DOCUMENTS PROPOSALS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17">
              <w:r>
                <w:rPr>
                  <w:rStyle w:val="InternetLink"/>
                  <w:rFonts w:ascii="Times New Roman;sans-serif" w:hAnsi="Times New Roman;sans-serif"/>
                  <w:b w:val="false"/>
                  <w:color w:val="0000FF"/>
                  <w:sz w:val="18"/>
                  <w:u w:val="single"/>
                </w:rPr>
                <w:t>124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12">
              <w:r>
                <w:rPr>
                  <w:rStyle w:val="InternetLink"/>
                  <w:rFonts w:ascii="Times New Roman;sans-serif" w:hAnsi="Times New Roman;sans-serif"/>
                  <w:b w:val="false"/>
                  <w:color w:val="0000FF"/>
                  <w:sz w:val="18"/>
                  <w:u w:val="single"/>
                </w:rPr>
                <w:t>NASDAQ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12">
              <w:r>
                <w:rPr>
                  <w:rStyle w:val="InternetLink"/>
                  <w:rFonts w:ascii="Times New Roman;sans-serif" w:hAnsi="Times New Roman;sans-serif"/>
                  <w:b w:val="false"/>
                  <w:color w:val="0000FF"/>
                  <w:sz w:val="18"/>
                  <w:u w:val="single"/>
                </w:rPr>
                <w:t>136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07">
              <w:r>
                <w:rPr>
                  <w:rStyle w:val="InternetLink"/>
                </w:rPr>
                <w:t xml:space="preserve">THE </w:t>
              </w:r>
            </w:hyperlink>
            <w:hyperlink w:anchor="if2baefd677284383b89cb6f605e45e0e_207">
              <w:r>
                <w:rPr>
                  <w:rStyle w:val="InternetLink"/>
                </w:rPr>
                <w:t>INCENTIVE AWARD PLAN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07">
              <w:r>
                <w:rPr>
                  <w:rStyle w:val="InternetLink"/>
                  <w:rFonts w:ascii="Times New Roman;sans-serif" w:hAnsi="Times New Roman;sans-serif"/>
                  <w:b w:val="false"/>
                  <w:color w:val="0000FF"/>
                  <w:sz w:val="18"/>
                  <w:u w:val="single"/>
                </w:rPr>
                <w:t>138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050">
              <w:r>
                <w:rPr>
                  <w:rStyle w:val="InternetLink"/>
                </w:rPr>
                <w:t>THE E</w:t>
              </w:r>
            </w:hyperlink>
            <w:hyperlink w:anchor="if2baefd677284383b89cb6f605e45e0e_1050">
              <w:r>
                <w:rPr>
                  <w:rStyle w:val="InternetLink"/>
                </w:rPr>
                <w:t>MPLOYEE STOCK PURCHASE PLAN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50">
              <w:r>
                <w:rPr>
                  <w:rStyle w:val="InternetLink"/>
                  <w:rFonts w:ascii="Times New Roman;sans-serif" w:hAnsi="Times New Roman;sans-serif"/>
                  <w:b w:val="false"/>
                  <w:color w:val="0000FF"/>
                  <w:sz w:val="18"/>
                  <w:u w:val="single"/>
                </w:rPr>
                <w:t>147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75">
              <w:r>
                <w:rPr>
                  <w:rStyle w:val="InternetLink"/>
                  <w:rFonts w:ascii="Times New Roman;sans-serif" w:hAnsi="Times New Roman;sans-serif"/>
                  <w:b w:val="false"/>
                  <w:color w:val="0000FF"/>
                  <w:sz w:val="18"/>
                  <w:u w:val="single"/>
                </w:rPr>
                <w:t>ADJOURNMENT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75">
              <w:r>
                <w:rPr>
                  <w:rStyle w:val="InternetLink"/>
                  <w:rFonts w:ascii="Times New Roman;sans-serif" w:hAnsi="Times New Roman;sans-serif"/>
                  <w:b w:val="false"/>
                  <w:color w:val="0000FF"/>
                  <w:sz w:val="18"/>
                  <w:u w:val="single"/>
                </w:rPr>
                <w:t>152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70">
              <w:r>
                <w:rPr>
                  <w:rStyle w:val="InternetLink"/>
                </w:rPr>
                <w:t xml:space="preserve">MATERIAL </w:t>
              </w:r>
            </w:hyperlink>
            <w:hyperlink w:anchor="if2baefd677284383b89cb6f605e45e0e_270">
              <w:r>
                <w:rPr>
                  <w:rStyle w:val="InternetLink"/>
                </w:rPr>
                <w:t>U.S. FEDERAL INCOME TAX CONSIDERATIONS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70">
              <w:r>
                <w:rPr>
                  <w:rStyle w:val="InternetLink"/>
                  <w:rFonts w:ascii="Times New Roman;sans-serif" w:hAnsi="Times New Roman;sans-serif"/>
                  <w:b w:val="false"/>
                  <w:color w:val="0000FF"/>
                  <w:sz w:val="18"/>
                  <w:u w:val="single"/>
                </w:rPr>
                <w:t>154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65">
              <w:r>
                <w:rPr>
                  <w:rStyle w:val="InternetLink"/>
                </w:rPr>
                <w:t xml:space="preserve">UNAUDITED PRO FORMA </w:t>
              </w:r>
            </w:hyperlink>
            <w:hyperlink w:anchor="if2baefd677284383b89cb6f605e45e0e_265">
              <w:r>
                <w:rPr>
                  <w:rStyle w:val="InternetLink"/>
                </w:rPr>
                <w:t>COMBINED FINANCIAL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65">
              <w:r>
                <w:rPr>
                  <w:rStyle w:val="InternetLink"/>
                  <w:rFonts w:ascii="Times New Roman;sans-serif" w:hAnsi="Times New Roman;sans-serif"/>
                  <w:b w:val="false"/>
                  <w:color w:val="0000FF"/>
                  <w:sz w:val="18"/>
                  <w:u w:val="single"/>
                </w:rPr>
                <w:t>165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60">
              <w:r>
                <w:rPr>
                  <w:rStyle w:val="InternetLink"/>
                  <w:rFonts w:ascii="Times New Roman;sans-serif" w:hAnsi="Times New Roman;sans-serif"/>
                  <w:b w:val="false"/>
                  <w:color w:val="0000FF"/>
                  <w:sz w:val="18"/>
                  <w:u w:val="single"/>
                </w:rPr>
                <w:t>INFORMATION ABOUT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60">
              <w:r>
                <w:rPr>
                  <w:rStyle w:val="InternetLink"/>
                  <w:rFonts w:ascii="Times New Roman;sans-serif" w:hAnsi="Times New Roman;sans-serif"/>
                  <w:b w:val="false"/>
                  <w:color w:val="0000FF"/>
                  <w:sz w:val="18"/>
                  <w:u w:val="single"/>
                </w:rPr>
                <w:t>172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88">
              <w:r>
                <w:rPr>
                  <w:rStyle w:val="InternetLink"/>
                  <w:rFonts w:ascii="Times New Roman;sans-serif" w:hAnsi="Times New Roman;sans-serif"/>
                  <w:b w:val="false"/>
                  <w:color w:val="0000FF"/>
                  <w:sz w:val="18"/>
                  <w:u w:val="single"/>
                </w:rPr>
                <w:t>ARYA’S 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88">
              <w:r>
                <w:rPr>
                  <w:rStyle w:val="InternetLink"/>
                  <w:rFonts w:ascii="Times New Roman;sans-serif" w:hAnsi="Times New Roman;sans-serif"/>
                  <w:b w:val="false"/>
                  <w:color w:val="0000FF"/>
                  <w:sz w:val="18"/>
                  <w:u w:val="single"/>
                </w:rPr>
                <w:t>187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867">
              <w:r>
                <w:rPr>
                  <w:rStyle w:val="InternetLink"/>
                </w:rPr>
                <w:t>I</w:t>
              </w:r>
            </w:hyperlink>
            <w:hyperlink w:anchor="if2baefd677284383b89cb6f605e45e0e_867">
              <w:r>
                <w:rPr>
                  <w:rStyle w:val="InternetLink"/>
                </w:rPr>
                <w:t>NFORMATION ABOUT NAUTI</w:t>
              </w:r>
            </w:hyperlink>
            <w:hyperlink w:anchor="if2baefd677284383b89cb6f605e45e0e_867">
              <w:r>
                <w:rPr>
                  <w:rStyle w:val="InternetLink"/>
                </w:rPr>
                <w:t>LUS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867">
              <w:r>
                <w:rPr>
                  <w:rStyle w:val="InternetLink"/>
                  <w:rFonts w:ascii="Times New Roman;sans-serif" w:hAnsi="Times New Roman;sans-serif"/>
                  <w:b w:val="false"/>
                  <w:color w:val="0000FF"/>
                  <w:sz w:val="18"/>
                  <w:u w:val="single"/>
                </w:rPr>
                <w:t>194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
              <w:r>
                <w:rPr>
                  <w:rStyle w:val="InternetLink"/>
                </w:rPr>
                <w:t>NAUTILUS’</w:t>
              </w:r>
            </w:hyperlink>
            <w:hyperlink w:anchor="if2baefd677284383b89cb6f605e45e0e_1">
              <w:r>
                <w:rPr>
                  <w:rStyle w:val="InternetLink"/>
                </w:rPr>
                <w:t xml:space="preserve"> 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
              <w:r>
                <w:rPr>
                  <w:rStyle w:val="InternetLink"/>
                  <w:rFonts w:ascii="Times New Roman;sans-serif" w:hAnsi="Times New Roman;sans-serif"/>
                  <w:b w:val="false"/>
                  <w:color w:val="0000FF"/>
                  <w:sz w:val="18"/>
                  <w:u w:val="single"/>
                </w:rPr>
                <w:t>230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331">
              <w:r>
                <w:rPr>
                  <w:rStyle w:val="InternetLink"/>
                </w:rPr>
                <w:t xml:space="preserve">NAUTILUS </w:t>
              </w:r>
            </w:hyperlink>
            <w:hyperlink w:anchor="if2baefd677284383b89cb6f605e45e0e_331">
              <w:r>
                <w:rPr>
                  <w:rStyle w:val="InternetLink"/>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31">
              <w:r>
                <w:rPr>
                  <w:rStyle w:val="InternetLink"/>
                  <w:rFonts w:ascii="Times New Roman;sans-serif" w:hAnsi="Times New Roman;sans-serif"/>
                  <w:b w:val="false"/>
                  <w:color w:val="0000FF"/>
                  <w:sz w:val="18"/>
                  <w:u w:val="single"/>
                </w:rPr>
                <w:t>242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023">
              <w:r>
                <w:rPr>
                  <w:rStyle w:val="InternetLink"/>
                  <w:rFonts w:ascii="Times New Roman;sans-serif" w:hAnsi="Times New Roman;sans-serif"/>
                  <w:b w:val="false"/>
                  <w:color w:val="0000FF"/>
                  <w:sz w:val="18"/>
                  <w:u w:val="single"/>
                </w:rPr>
                <w:t>NAUTILUS DIRECTOR COMPENSATION</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023">
              <w:r>
                <w:rPr>
                  <w:rStyle w:val="InternetLink"/>
                  <w:rFonts w:ascii="Times New Roman;sans-serif" w:hAnsi="Times New Roman;sans-serif"/>
                  <w:b w:val="false"/>
                  <w:color w:val="0000FF"/>
                  <w:sz w:val="18"/>
                  <w:u w:val="single"/>
                </w:rPr>
                <w:t>251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326">
              <w:r>
                <w:rPr>
                  <w:rStyle w:val="InternetLink"/>
                </w:rPr>
                <w:t>MANAGEMENT</w:t>
              </w:r>
            </w:hyperlink>
            <w:hyperlink w:anchor="if2baefd677284383b89cb6f605e45e0e_326">
              <w:r>
                <w:rPr>
                  <w:rStyle w:val="InternetLink"/>
                </w:rPr>
                <w:t xml:space="preserve"> FOLL</w:t>
              </w:r>
            </w:hyperlink>
            <w:hyperlink w:anchor="if2baefd677284383b89cb6f605e45e0e_326">
              <w:r>
                <w:rPr>
                  <w:rStyle w:val="InternetLink"/>
                </w:rPr>
                <w:t>OWING THE BUSINESS COMBINATION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26">
              <w:r>
                <w:rPr>
                  <w:rStyle w:val="InternetLink"/>
                  <w:rFonts w:ascii="Times New Roman;sans-serif" w:hAnsi="Times New Roman;sans-serif"/>
                  <w:b w:val="false"/>
                  <w:color w:val="0000FF"/>
                  <w:sz w:val="18"/>
                  <w:u w:val="single"/>
                </w:rPr>
                <w:t>255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21">
              <w:r>
                <w:rPr>
                  <w:rStyle w:val="InternetLink"/>
                  <w:rFonts w:ascii="Times New Roman;sans-serif" w:hAnsi="Times New Roman;sans-serif"/>
                  <w:b w:val="false"/>
                  <w:color w:val="0000FF"/>
                  <w:sz w:val="18"/>
                  <w:u w:val="single"/>
                </w:rPr>
                <w:t>BENEFICIAL OWNERSHIP OF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21">
              <w:r>
                <w:rPr>
                  <w:rStyle w:val="InternetLink"/>
                  <w:rFonts w:ascii="Times New Roman;sans-serif" w:hAnsi="Times New Roman;sans-serif"/>
                  <w:b w:val="false"/>
                  <w:color w:val="0000FF"/>
                  <w:sz w:val="18"/>
                  <w:u w:val="single"/>
                </w:rPr>
                <w:t>262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16">
              <w:r>
                <w:rPr>
                  <w:rStyle w:val="InternetLink"/>
                  <w:rFonts w:ascii="Times New Roman;sans-serif" w:hAnsi="Times New Roman;sans-serif"/>
                  <w:b w:val="false"/>
                  <w:color w:val="0000FF"/>
                  <w:sz w:val="18"/>
                  <w:u w:val="single"/>
                </w:rPr>
                <w:t>CERTAIN RELATIONSHIPS AND RELATED PERSON TRANSACTIONS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16">
              <w:r>
                <w:rPr>
                  <w:rStyle w:val="InternetLink"/>
                  <w:rFonts w:ascii="Times New Roman;sans-serif" w:hAnsi="Times New Roman;sans-serif"/>
                  <w:b w:val="false"/>
                  <w:color w:val="0000FF"/>
                  <w:sz w:val="18"/>
                  <w:u w:val="single"/>
                </w:rPr>
                <w:t>265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11">
              <w:r>
                <w:rPr>
                  <w:rStyle w:val="InternetLink"/>
                  <w:rFonts w:ascii="Times New Roman;sans-serif" w:hAnsi="Times New Roman;sans-serif"/>
                  <w:b w:val="false"/>
                  <w:color w:val="0000FF"/>
                  <w:sz w:val="18"/>
                  <w:u w:val="single"/>
                </w:rPr>
                <w:t>COMPARISON OF CORPORATE GOVERNANCE AND SHAREHOLDER RIGHTS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11">
              <w:r>
                <w:rPr>
                  <w:rStyle w:val="InternetLink"/>
                  <w:rFonts w:ascii="Times New Roman;sans-serif" w:hAnsi="Times New Roman;sans-serif"/>
                  <w:b w:val="false"/>
                  <w:color w:val="0000FF"/>
                  <w:sz w:val="18"/>
                  <w:u w:val="single"/>
                </w:rPr>
                <w:t>272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06">
              <w:r>
                <w:rPr>
                  <w:rStyle w:val="InternetLink"/>
                  <w:rFonts w:ascii="Times New Roman;sans-serif" w:hAnsi="Times New Roman;sans-serif"/>
                  <w:b w:val="false"/>
                  <w:color w:val="0000FF"/>
                  <w:sz w:val="18"/>
                  <w:u w:val="single"/>
                </w:rPr>
                <w:t>DESCRIPTION OF NEW NAUTILUS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06">
              <w:r>
                <w:rPr>
                  <w:rStyle w:val="InternetLink"/>
                  <w:rFonts w:ascii="Times New Roman;sans-serif" w:hAnsi="Times New Roman;sans-serif"/>
                  <w:b w:val="false"/>
                  <w:color w:val="0000FF"/>
                  <w:sz w:val="18"/>
                  <w:u w:val="single"/>
                </w:rPr>
                <w:t>274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86">
              <w:r>
                <w:rPr>
                  <w:rStyle w:val="InternetLink"/>
                  <w:rFonts w:ascii="Times New Roman;sans-serif" w:hAnsi="Times New Roman;sans-serif"/>
                  <w:b w:val="false"/>
                  <w:color w:val="0000FF"/>
                  <w:sz w:val="18"/>
                  <w:u w:val="single"/>
                </w:rPr>
                <w:t>SECURITIES ACT RESTRICTIONS ON RESALE OF NEW NAUTILUS COMMON STOCK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86">
              <w:r>
                <w:rPr>
                  <w:rStyle w:val="InternetLink"/>
                  <w:rFonts w:ascii="Times New Roman;sans-serif" w:hAnsi="Times New Roman;sans-serif"/>
                  <w:b w:val="false"/>
                  <w:color w:val="0000FF"/>
                  <w:sz w:val="18"/>
                  <w:u w:val="single"/>
                </w:rPr>
                <w:t>279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81">
              <w:r>
                <w:rPr>
                  <w:rStyle w:val="InternetLink"/>
                  <w:rFonts w:ascii="Times New Roman;sans-serif" w:hAnsi="Times New Roman;sans-serif"/>
                  <w:b w:val="false"/>
                  <w:color w:val="0000FF"/>
                  <w:sz w:val="18"/>
                  <w:u w:val="single"/>
                </w:rPr>
                <w:t>STOCKHOLDER PROPOSALS AND NOMINATIONS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81">
              <w:r>
                <w:rPr>
                  <w:rStyle w:val="InternetLink"/>
                  <w:rFonts w:ascii="Times New Roman;sans-serif" w:hAnsi="Times New Roman;sans-serif"/>
                  <w:b w:val="false"/>
                  <w:color w:val="0000FF"/>
                  <w:sz w:val="18"/>
                  <w:u w:val="single"/>
                </w:rPr>
                <w:t>280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76">
              <w:r>
                <w:rPr>
                  <w:rStyle w:val="InternetLink"/>
                  <w:rFonts w:ascii="Times New Roman;sans-serif" w:hAnsi="Times New Roman;sans-serif"/>
                  <w:b w:val="false"/>
                  <w:color w:val="0000FF"/>
                  <w:sz w:val="18"/>
                  <w:u w:val="single"/>
                </w:rPr>
                <w:t>SHAREHOLDER COMMUNICATIONS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76">
              <w:r>
                <w:rPr>
                  <w:rStyle w:val="InternetLink"/>
                  <w:rFonts w:ascii="Times New Roman;sans-serif" w:hAnsi="Times New Roman;sans-serif"/>
                  <w:b w:val="false"/>
                  <w:color w:val="0000FF"/>
                  <w:sz w:val="18"/>
                  <w:u w:val="single"/>
                </w:rPr>
                <w:t>280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71">
              <w:r>
                <w:rPr>
                  <w:rStyle w:val="InternetLink"/>
                  <w:rFonts w:ascii="Times New Roman;sans-serif" w:hAnsi="Times New Roman;sans-serif"/>
                  <w:b w:val="false"/>
                  <w:color w:val="0000FF"/>
                  <w:sz w:val="18"/>
                  <w:u w:val="single"/>
                </w:rPr>
                <w:t>LEGAL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71">
              <w:r>
                <w:rPr>
                  <w:rStyle w:val="InternetLink"/>
                  <w:rFonts w:ascii="Times New Roman;sans-serif" w:hAnsi="Times New Roman;sans-serif"/>
                  <w:b w:val="false"/>
                  <w:color w:val="0000FF"/>
                  <w:sz w:val="18"/>
                  <w:u w:val="single"/>
                </w:rPr>
                <w:t>280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66">
              <w:r>
                <w:rPr>
                  <w:rStyle w:val="InternetLink"/>
                  <w:rFonts w:ascii="Times New Roman;sans-serif" w:hAnsi="Times New Roman;sans-serif"/>
                  <w:b w:val="false"/>
                  <w:color w:val="0000FF"/>
                  <w:sz w:val="18"/>
                  <w:u w:val="single"/>
                </w:rPr>
                <w:t>EXPERTS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66">
              <w:r>
                <w:rPr>
                  <w:rStyle w:val="InternetLink"/>
                  <w:rFonts w:ascii="Times New Roman;sans-serif" w:hAnsi="Times New Roman;sans-serif"/>
                  <w:b w:val="false"/>
                  <w:color w:val="0000FF"/>
                  <w:sz w:val="18"/>
                  <w:u w:val="single"/>
                </w:rPr>
                <w:t>281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61">
              <w:r>
                <w:rPr>
                  <w:rStyle w:val="InternetLink"/>
                  <w:rFonts w:ascii="Times New Roman;sans-serif" w:hAnsi="Times New Roman;sans-serif"/>
                  <w:b w:val="false"/>
                  <w:color w:val="0000FF"/>
                  <w:sz w:val="18"/>
                  <w:u w:val="single"/>
                </w:rPr>
                <w:t>DELIVERY OF DOCUMENTS TO SHAREHOLDERS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61">
              <w:r>
                <w:rPr>
                  <w:rStyle w:val="InternetLink"/>
                  <w:rFonts w:ascii="Times New Roman;sans-serif" w:hAnsi="Times New Roman;sans-serif"/>
                  <w:b w:val="false"/>
                  <w:color w:val="0000FF"/>
                  <w:sz w:val="18"/>
                  <w:u w:val="single"/>
                </w:rPr>
                <w:t>281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56">
              <w:r>
                <w:rPr>
                  <w:rStyle w:val="InternetLink"/>
                  <w:rFonts w:ascii="Times New Roman;sans-serif" w:hAnsi="Times New Roman;sans-serif"/>
                  <w:b w:val="false"/>
                  <w:color w:val="0000FF"/>
                  <w:sz w:val="18"/>
                  <w:u w:val="single"/>
                </w:rPr>
                <w:t>ENFORCEABILITY OF CIVIL LIABILITY</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56">
              <w:r>
                <w:rPr>
                  <w:rStyle w:val="InternetLink"/>
                  <w:rFonts w:ascii="Times New Roman;sans-serif" w:hAnsi="Times New Roman;sans-serif"/>
                  <w:b w:val="false"/>
                  <w:color w:val="0000FF"/>
                  <w:sz w:val="18"/>
                  <w:u w:val="single"/>
                </w:rPr>
                <w:t>281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057">
              <w:r>
                <w:rPr>
                  <w:rStyle w:val="InternetLink"/>
                  <w:rFonts w:ascii="Times New Roman;sans-serif" w:hAnsi="Times New Roman;sans-serif"/>
                  <w:b w:val="false"/>
                  <w:color w:val="0000FF"/>
                  <w:sz w:val="18"/>
                  <w:u w:val="single"/>
                </w:rPr>
                <w:t>TRANSFER AGENT AND REGISTRAR</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57">
              <w:r>
                <w:rPr>
                  <w:rStyle w:val="InternetLink"/>
                  <w:rFonts w:ascii="Times New Roman;sans-serif" w:hAnsi="Times New Roman;sans-serif"/>
                  <w:b w:val="false"/>
                  <w:color w:val="0000FF"/>
                  <w:sz w:val="18"/>
                  <w:u w:val="single"/>
                </w:rPr>
                <w:t>281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51">
              <w:r>
                <w:rPr>
                  <w:rStyle w:val="InternetLink"/>
                  <w:rFonts w:ascii="Times New Roman;sans-serif" w:hAnsi="Times New Roman;sans-serif"/>
                  <w:b w:val="false"/>
                  <w:color w:val="0000FF"/>
                  <w:sz w:val="18"/>
                  <w:u w:val="single"/>
                </w:rPr>
                <w:t>WHERE YOU CAN FIND MORE INFORMATION; INCORPORATION BY REFERENCE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51">
              <w:r>
                <w:rPr>
                  <w:rStyle w:val="InternetLink"/>
                  <w:rFonts w:ascii="Times New Roman;sans-serif" w:hAnsi="Times New Roman;sans-serif"/>
                  <w:b w:val="false"/>
                  <w:color w:val="0000FF"/>
                  <w:sz w:val="18"/>
                  <w:u w:val="single"/>
                </w:rPr>
                <w:t>281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090">
              <w:r>
                <w:rPr>
                  <w:rStyle w:val="InternetLink"/>
                  <w:rFonts w:ascii="Times New Roman;sans-serif" w:hAnsi="Times New Roman;sans-serif"/>
                  <w:b w:val="false"/>
                  <w:color w:val="0000FF"/>
                  <w:sz w:val="18"/>
                  <w:u w:val="single"/>
                </w:rPr>
                <w:t>INDEX TO FINANCIAL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090">
              <w:r>
                <w:rPr>
                  <w:rStyle w:val="InternetLink"/>
                  <w:rFonts w:ascii="Times New Roman;sans-serif" w:hAnsi="Times New Roman;sans-serif"/>
                  <w:b w:val="false"/>
                  <w:color w:val="0000FF"/>
                  <w:sz w:val="18"/>
                  <w:u w:val="single"/>
                </w:rPr>
                <w:t>F-1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You may request copies of this proxy statement/prospectus and any other publicly available information concerning ARYA, without charge, by written request to ARYA Sciences Acquisition Corp III, 51 Astor Place, 10th Floor, New York, New York 10003, or by telephone request at (212) 284-2300; or Morrow Sodali LLC, our proxy solicitor, by calling (800) 662-5200, or banks and brokers can call collect at (203) 658-9400, or by emailing ARYA.info@investor.morrowsodali.com or from the SEC through the SEC website at the address provided above.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In order for ARYA’s shareholders to receive timely delivery of the documents in advance of the extraordinary general meeting of ARYA to be held on             , 2021, you must request the information no later than five business days prior to the date of the extraordinary general meeting, by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proxy statement/prospectus or the context otherwise requires, references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Articles of Association” are to the amended and restated articles of association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“we,” “us” or “our” are to ARYA Sciences Acquisition Corp III, a Cayman Islands exempted company,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Acquisition Proposal” are to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Board” are to ARYA’s board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Business Combination” are to the Domestication, the Merger and other transactions contemplated by the Business Combination Agreement, collectively, including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Business Combination Agreement” are to that certain Business Combination Agreement, dated February 7, 2021, by and among ARYA, Merger Sub and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Cayman Islands Companies Act” are to the Companies Act (2021 Revision) of the Cayman Islands as the same may be amended from time to time;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Class A ordinary shares” are to the Class A ordinary shares, par value $0.0001 per share, of ARYA, which will automatically convert, on a one-for-one basis, into shares of New Nautilus Common Stock in connection with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Class B ordinary shares” or “founder shares” are to the 3,737,500 Class B ordinary shares, par value $0.0001 per share, of ARYA outstanding as of the date of this proxy statement/prospectus that were initially issued to our Sponsor in a private placement prior to our initial public offering and of which 90,000 were transferred to Messrs. Wider, Campbell and Islam (30,000 shares each) in July 2020, and, in connection with the Domestication, will automatically convert, on a one-for-one basis, into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Closing” are to the closing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Closing Date” are to that date that is in no event later than the third (3rd) business day, following the satisfaction (or, to the extent permitted by applicable law, waiver) of the conditions described under the section entitled “</w:t>
      </w:r>
      <w:r>
        <w:rPr>
          <w:rFonts w:ascii="Times New Roman;sans-serif" w:hAnsi="Times New Roman;sans-serif"/>
          <w:b w:val="false"/>
          <w:i/>
          <w:color w:val="000000"/>
          <w:sz w:val="20"/>
        </w:rPr>
        <w:t>Business Combination Proposal—The Business Combination Agreement—Conditions to Closing of the Business Combination</w:t>
      </w:r>
      <w:r>
        <w:rPr>
          <w:rFonts w:ascii="Times New Roman;sans-serif" w:hAnsi="Times New Roman;sans-serif"/>
          <w:b w:val="false"/>
          <w:color w:val="000000"/>
          <w:sz w:val="20"/>
        </w:rPr>
        <w:t>,” (other than those conditions that by their nature are to be satisfied at the Closing, but subject to satisfaction or waiver of such conditions) or at such other date as ARYA and Nautilus may agree in writing;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Condition Precedent Proposals” are to the Business Combination Proposal, the Domestication Proposal, the Charter Proposal, the Nasdaq Proposal, the Employee Stock Purchase Plan Proposal and the Incentive Award Plan Proposal, collectively;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Continental” are to Continental Stock Transfer &amp; Trust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DGCL” are to the Delaware General Corporation Law.</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Domestication” are to the transfer by way of continuation and deregistration of ARYA from the Cayman Islands and the continuation and domestication of ARYA as a corporation incorporated in the State of Delaware;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Effective Time” are to the time at which the Merger becomes effective;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ESPP” are to the New Nautilus 2021 Employee Stock Purchase Plan to be considered for adoption and approval by the shareholders pursuant to the Employee Stock Purchase Plan Proposal;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extraordinary general meeting” are to the extraordinary general meeting of ARYA at 9:00 a.m., Eastern Time, on           , 2021, at the offices of Kirkland &amp; Ellis LLP located at 601 Lexington Avenue, New York, New York 10022, or at such other time, on such other date and at such other place to which the meeting may be adjourned;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Existing Governing Documents” are to the Memorandum of Association and the Articles of Association;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initial public offering” are to ARYA’s initial public offering that was consummated on August 11, 2020;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initial shareholders” are to Sponsor and each of Messrs. Wider, Campbell and Islam;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Memorandum of Association” are to the amended and restated memorandum of association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 are to the merger of Merger Sub with and into Nautilus pursuant to the Business Combination Agreement, with Nautilus as the surviving company in the Merger and, after giving effect to such Merger, Nautilus becoming a wholly-owned subsidiary of ARYA, which itself will become New Nautilus upon and after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 Sub” are to Mako Merger Sub, Inc., a Delaware corporation and wholly-owned subsidiary of ARYA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Nasdaq” are to the Nasdaq Stock Market LLC;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are to Nautilus Biotechnology, Inc., a Delaware corporation,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Acquisition Proposal” are to (a) any direct or indirect acquisition (or other business combination), in one or a series of related transactions, (i) of the equity securities of Nautilus, in each case, that, if consummated, would result in a person acquiring beneficial ownership of 15% or more of any class of outstanding voting equity securities of Nautilus or 15% or more of the outstanding voting equity securities of Nautilus (regardless of class) or (ii) of all or a portion of assets or businesses of Nautilus which constitute 15% or more of the fair market value of Nautilus,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Nautilus or 15% or more of the outstanding voting equity securities of the Company (regardless of class) (in each case of clauses (a) and (b) other than pursuant to the exercise or conversion of any Nautilus options or warrants in accordance with the terms of Nautilus’ 2017 equity plan, the underlying grant, award or similar agreement or the Company Warrant Agreement (as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Shareholders” are to holders of Nautilus capital stock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are to Nautilus Biotechnology, Inc. (f.k.a. ARYA Sciences Acquisition Corp III) upon and after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Board” are to the board of directors of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Common Stock” are to the common stock, par value $0.0001 per share, of New Nautilus;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ordinary shares” are to ARYA’s Class A ordinary shares and ARYA’s Class B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PIPE Investors” are to certain other investors in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Advisors” are to Perceptive Advisors, LLC, an affiliate of our Sponsor;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PIPE Investor” are to Perceptive Life Sciences Master Fund Ltd, a Cayman Islands exempted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Shareholders” are to the Sponsor and the Perceptive PIPE Investor;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PIPE Financing” are to the transactions contemplated by the Subscription Agreements, pursuant to which the PIPE Investors have collectively committed to subscribe for an aggregate of 20,000,000 shares of New Nautilus Common Stock for an aggregate purchase price of $200,000,000 to be consummated in connection with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PIPE Investors” are to the Perceptive PIPE Investor and the Other PIPE Investors, collectively;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private placement shares” are to the 499,000 private placement shares outstanding as of the date of this proxy statement/prospectus that were issued to our Sponsor in a private placement simultaneously with the closing of our initial public offering, which are identical to the Class A ordinary shares sold in our initial public offering, subject to certain limited exceptions;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 forma” are to giving pro forma effect to the Business Combination, including the Merger and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Bylaws” are to the proposed bylaws of New Nautilus to be effective upon the Domestication attached to this proxy statement/prospectus as Annex 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Certificate of Incorporation” are to the proposed certificate of incorporation of New Nautilus to be effective upon the Domestication attached to this proxy statement/prospectus as Annex 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Governing Documents” are to the Proposed Certificate of Incorporation and the Proposed Bylaws;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public shareholders” are to holders of public shares, whether acquired in ARYA’s initial public offering or acquired in the secondary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public shares” are to the currently outstanding 14,950,000 Class A ordinary shares of ARYA, whether acquired in ARYA’s initial public offering or acquired in the secondary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redemption” are to each redemption of public shares for cash pursuant to the Existing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SEC” are to the Securities and Exchange Commission;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Securities Act” are to the Securities Act of 1933, as amended;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Sponsor” are to ARYA Sciences Holdings III, a Cayman Islands exempted limited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Subscription Agreements” are to the subscription agreements, entered into by ARYA and each of the PIPE Investors in connection with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transfer agent” are to Continental, ARYA’s transfer agent;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trust account” are to the trust account established at the consummation of ARYA’s initial public offering that holds the proceeds of the initial public offering and is maintained by Continental, acting as trustee; and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2021 Plan” are to the Nautilus Biotechnology, Inc. 2021 Equity Incentive Plan to be considered for adoption and approval by the shareholders pursuant to the Incentive Award Plan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QUESTIONS AND ANSWERS FOR SHAREHOLDERS OF ARYA</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questions and answers below highlight only selected information from this document and only briefly address some commonly asked questions about the proposals to be presented at the extraordinary general meeting, including with respect to the proposed Business Combination. The following questions and answers do not include all the information that is important to ARYA’s shareholders. We urge shareholders to read this proxy statement/prospectus, including the Annexes and the other documents referred to herein, carefully and in their entirety to fully understand the proposed Business Combination and the voting procedures for the extraordinary general meeting, which will be held at 9:00 a.m. Eastern Time, on           , 2021, at the offices of Kirkland &amp; Ellis LLP located at 601 Lexington Avenue, New York, New York 10022.</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am I receiving this proxy statement/prospectus?</w:t>
      </w:r>
    </w:p>
    <w:p>
      <w:pPr>
        <w:pStyle w:val="TextBody"/>
        <w:spacing w:lineRule="auto" w:line="288" w:before="0" w:after="180"/>
        <w:ind w:left="0" w:right="0" w:hanging="720"/>
        <w:rPr/>
      </w:pPr>
      <w:r>
        <w:rPr>
          <w:rFonts w:ascii="Times New Roman;sans-serif" w:hAnsi="Times New Roman;sans-serif"/>
          <w:b w:val="false"/>
          <w:color w:val="000000"/>
          <w:sz w:val="20"/>
        </w:rPr>
        <w:t>A.ARYA shareholders are being asked to consider and vote upon, among other proposals, a proposal to approve and adopt the Business Combination Agreement and approve the transactions contemplated thereby, including the Business Combination. In accordance with the terms and subject to the conditions of the Business Combination Agreement, among other things, in connection with the Domestication, on the Closing Date prior to the Effective Time, (i) ARYA will be renamed “Nautilus Biotechnology, Inc.”, and (ii)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See “</w:t>
      </w:r>
      <w:r>
        <w:rPr>
          <w:rFonts w:ascii="Times New Roman;sans-serif" w:hAnsi="Times New Roman;sans-serif"/>
          <w:b w:val="false"/>
          <w:i/>
          <w:color w:val="000000"/>
          <w:sz w:val="20"/>
        </w:rPr>
        <w:t>Business Combination Proposal</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copy of the Business Combination Agreement is attached to this proxy statement/prospectus as Annex A and you are encouraged to read the Business Combination Agreement in its entirety.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and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Times New Roman;sans-serif" w:hAnsi="Times New Roman;sans-serif"/>
          <w:b w:val="false"/>
          <w:i/>
          <w:color w:val="000000"/>
          <w:sz w:val="20"/>
        </w:rPr>
        <w:t>Domestication Proposal</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The provisions of the Proposed Governing Documents will differ in certain material respects from the Existing Governing Documents. Please see “</w:t>
      </w:r>
      <w:r>
        <w:rPr>
          <w:rFonts w:ascii="Times New Roman;sans-serif" w:hAnsi="Times New Roman;sans-serif"/>
          <w:b w:val="false"/>
          <w:i/>
          <w:color w:val="000000"/>
          <w:sz w:val="20"/>
        </w:rPr>
        <w:t>What amendments will be made to the current constitutional documents of ARYA</w:t>
      </w:r>
      <w:r>
        <w:rPr>
          <w:rFonts w:ascii="Times New Roman;sans-serif" w:hAnsi="Times New Roman;sans-serif"/>
          <w:b w:val="false"/>
          <w:color w:val="000000"/>
          <w:sz w:val="20"/>
        </w:rPr>
        <w:t>?”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VOTE OF SHAREHOLDERS IS IMPORTANT. SHAREHOLDERS ARE ENCOURAGED TO VOTE AS SOON AS POSSIBLE AFTER CAREFULLY REVIEWING THIS PROXY STATEMENT/PROSPECTUS.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proposals are shareholders of ARYA being asked to vote upon?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A.At the extraordinary general meeting, ARYA is asking holders of its ordinary shares to consider and vote upon eleven (11) separate proposals: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and adopt the Business Combination Agreement, including the Merger, and the transactions contemplated thereby;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resolutions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following governance proposals to approve, on a non-binding advisory basis,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changes in connection with the replacement of Existing Governing Documents with the Proposed Certificate of Incorporation as part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shares of New Nautilus Common Stock in connection with the Business Combination and the PIPE Financing in compliance with the Nasdaq Listing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ESPP;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our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pStyle w:val="TextBody"/>
        <w:spacing w:lineRule="auto" w:line="288" w:before="0" w:after="180"/>
        <w:rPr/>
      </w:pPr>
      <w:r>
        <w:rPr>
          <w:rFonts w:ascii="Times New Roman;sans-serif" w:hAnsi="Times New Roman;sans-serif"/>
          <w:b w:val="false"/>
          <w:color w:val="000000"/>
          <w:sz w:val="20"/>
        </w:rPr>
        <w:t>For more information, please see “</w:t>
      </w:r>
      <w:r>
        <w:rPr>
          <w:rFonts w:ascii="Times New Roman;sans-serif" w:hAnsi="Times New Roman;sans-serif"/>
          <w:b w:val="false"/>
          <w:i/>
          <w:color w:val="000000"/>
          <w:sz w:val="20"/>
        </w:rPr>
        <w:t>Business Combination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Domestication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Charter Proposal</w:t>
      </w:r>
      <w:r>
        <w:rPr>
          <w:rFonts w:ascii="Times New Roman;sans-serif" w:hAnsi="Times New Roman;sans-serif"/>
          <w:b w:val="false"/>
          <w:color w:val="000000"/>
          <w:sz w:val="20"/>
        </w:rPr>
        <w:t>,”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rFonts w:ascii="Times New Roman;sans-serif" w:hAnsi="Times New Roman;sans-serif"/>
          <w:b w:val="false"/>
          <w:color w:val="000000"/>
          <w:sz w:val="20"/>
        </w:rPr>
        <w:t>,” “</w:t>
      </w:r>
      <w:r>
        <w:rPr>
          <w:rFonts w:ascii="Times New Roman;sans-serif" w:hAnsi="Times New Roman;sans-serif"/>
          <w:b w:val="false"/>
          <w:i/>
          <w:color w:val="000000"/>
          <w:sz w:val="20"/>
        </w:rPr>
        <w:t>Nasdaq Proposal</w:t>
      </w:r>
      <w:r>
        <w:rPr>
          <w:rFonts w:ascii="Times New Roman;sans-serif" w:hAnsi="Times New Roman;sans-serif"/>
          <w:b w:val="false"/>
          <w:color w:val="000000"/>
          <w:sz w:val="20"/>
        </w:rPr>
        <w:t>,” “</w:t>
      </w:r>
      <w:r>
        <w:rPr>
          <w:rFonts w:ascii="Times New Roman;sans-serif" w:hAnsi="Times New Roman;sans-serif"/>
          <w:b w:val="false"/>
          <w:i/>
          <w:color w:val="000000"/>
          <w:sz w:val="20"/>
        </w:rPr>
        <w:t>Incentive Award Plan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Employee Stock Purchase Plan Proposal</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Adjournment Proposal</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will hold the extraordinary general meeting to consider and vote upon these proposals. This proxy statement/prospectus contains important information about the Business Combination and the other matters to be acted upon at the extraordinary general meeting. Shareholders of ARYA should read it carefully.</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color w:val="000000"/>
          <w:sz w:val="20"/>
        </w:rPr>
        <w:t>After careful consideration, the ARYA Board has determined that the Business Combination Proposal, the Domestication Proposal, the Charter Proposal, each of the Advisory</w:t>
      </w:r>
      <w:r>
        <w:rPr>
          <w:color w:val="000000"/>
        </w:rPr>
        <w:t xml:space="preserve"> </w:t>
      </w:r>
      <w:r>
        <w:rPr>
          <w:rFonts w:ascii="Times New Roman;sans-serif" w:hAnsi="Times New Roman;sans-serif"/>
          <w:b/>
          <w:color w:val="000000"/>
          <w:sz w:val="20"/>
        </w:rPr>
        <w:t>Governing Documents Proposals, the Nasdaq Proposal, the Incentive Award Plan Proposal, the Employee Stock Purchase Plan Proposal and the Adjournment Proposal are in the best interests of ARYA and its shareholders and unanimously recommends that you vote or give instruction to vote “FOR” each of those proposals.</w:t>
      </w:r>
    </w:p>
    <w:p>
      <w:pPr>
        <w:pStyle w:val="TextBody"/>
        <w:spacing w:lineRule="auto" w:line="288" w:before="0" w:after="18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w:t>
      </w:r>
      <w:r>
        <w:rPr>
          <w:color w:val="000000"/>
        </w:rPr>
        <w:t>—</w:t>
      </w:r>
      <w:r>
        <w:rPr>
          <w:rFonts w:ascii="Times New Roman;sans-serif" w:hAnsi="Times New Roman;sans-serif"/>
          <w:b w:val="false"/>
          <w:i/>
          <w:color w:val="000000"/>
          <w:sz w:val="20"/>
        </w:rPr>
        <w:t>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is ARYA proposing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A.ARYA is a blank check company incorporated on March 27, 2020 as a Cayman Islands exempted company and incorporated for the purpose of effecting a merger, share exchange, asset acquisition, share purchase, reorganization or similar business combination with one or more businesses. Although ARYA may pursue an acquisition opportunity in any business, industry, sector or geographical location for purposes of consummating an initial business combination, ARYA has focused on North American companies in the life sciences and medical technology sectors. ARYA is not permitted under its Existing Governing Documents to effect a business combination with a blank check company or a similar type of company with nominal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pStyle w:val="TextBody"/>
        <w:spacing w:lineRule="auto" w:line="288" w:before="0" w:after="180"/>
        <w:rPr/>
      </w:pPr>
      <w:r>
        <w:rPr>
          <w:rFonts w:ascii="Times New Roman;sans-serif" w:hAnsi="Times New Roman;sans-serif"/>
          <w:b w:val="false"/>
          <w:color w:val="000000"/>
          <w:sz w:val="20"/>
        </w:rPr>
        <w:t>Based on its due diligence investigations of Nautilus and the industry in which it operates, including the financial and other information provided by Nautilus in the course of negotiations, the ARYA Board believes that Nautilus meets the criteria and guidelines listed above. However, there is no assurance of this. See “</w:t>
      </w:r>
      <w:r>
        <w:rPr>
          <w:rFonts w:ascii="Times New Roman;sans-serif" w:hAnsi="Times New Roman;sans-serif"/>
          <w:b w:val="false"/>
          <w:i/>
          <w:color w:val="000000"/>
          <w:sz w:val="20"/>
        </w:rPr>
        <w:t>Business Combination Proposal—The ARYA Board’s Reasons for the Business Combination</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Although the ARYA Board believes that the Business Combination with Nautilus presents a unique business combination opportunity and is in the best interests of ARYA and its shareholders, the board of directors did consider certain potentially material negative factors in arriving at that conclusion. These factors are discussed in greater detail in the sections entitled “</w:t>
      </w:r>
      <w:r>
        <w:rPr>
          <w:rFonts w:ascii="Times New Roman;sans-serif" w:hAnsi="Times New Roman;sans-serif"/>
          <w:b w:val="false"/>
          <w:i/>
          <w:color w:val="000000"/>
          <w:sz w:val="20"/>
        </w:rPr>
        <w:t>Business Combination Proposal—The ARYA Board’s Reasons for the Business Combination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Risk Factors—Risks Related to the Business Combination and ARYA.</w:t>
      </w:r>
      <w:r>
        <w:rPr>
          <w:color w:val="000000"/>
        </w:rPr>
        <w: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Q.Did the ARYA Board obtain a third-party valuation or fairness opinion in determining whether or not to proceed with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A.No. The ARYA Board did not obtain a third-party valuation or fairness opinion in connection with its determination to approve the Business Combination. However, ARYA’s management, the members of the ARYA Board and the other representatives of ARYA have substantial experience in evaluating the operating and financial merits of companies similar to Nautilus, including in connection with the business combinations of ARYA Sciences Acquisition Corp. and ARYA Sciences Acquisition Corp II, and reviewed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certain financial information of Nautilus and compared it to certain publicly traded companies, particularly, similar life sciences research tools providers, selected based on the experience and the professional judgment of ARYA’s management team, which enabled them to value Nautilus, a development stage pre-commercial life sciences company, in the context of a business combination transaction with a special purpose acquisition company. Accordingly, investors will be relying solely on the judgment of the ARYA Board in valuing Nautilus’ business and assuming the risk that the ARYA Board may not have properly valued such business. For a detailed description of the process by which the parties to the transaction agreed to a $900 million valuation for Nautilus, and the projected financial information and comparable company analysis the ARYA Board reviewed in its valuation of Nautilus and its determination that the transaction satisfied the 80% test, see “</w:t>
      </w:r>
      <w:r>
        <w:rPr>
          <w:rFonts w:ascii="Times New Roman;sans-serif" w:hAnsi="Times New Roman;sans-serif"/>
          <w:b w:val="false"/>
          <w:i/>
          <w:color w:val="000000"/>
          <w:sz w:val="20"/>
        </w:rPr>
        <w:t>Business Combination Proposal—Background to the Business Combination</w:t>
      </w:r>
      <w:r>
        <w:rPr>
          <w:color w:val="000000"/>
        </w:rPr>
        <w:t xml:space="preserve">” </w:t>
      </w:r>
      <w:r>
        <w:rPr>
          <w:rFonts w:ascii="Times New Roman;sans-serif" w:hAnsi="Times New Roman;sans-serif"/>
          <w:b w:val="false"/>
          <w:color w:val="000000"/>
          <w:sz w:val="20"/>
        </w:rPr>
        <w:t>and “</w:t>
      </w:r>
      <w:r>
        <w:rPr>
          <w:color w:val="000000"/>
        </w:rPr>
        <w:t>—</w:t>
      </w:r>
      <w:r>
        <w:rPr>
          <w:rFonts w:ascii="Times New Roman;sans-serif" w:hAnsi="Times New Roman;sans-serif"/>
          <w:b w:val="false"/>
          <w:i/>
          <w:color w:val="000000"/>
          <w:sz w:val="20"/>
        </w:rPr>
        <w:t>The ARYA Board’s Reasons for the Business Combination</w:t>
      </w:r>
      <w:r>
        <w:rPr>
          <w:color w:val="000000"/>
        </w:rPr>
        <w:t>”</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will Nautilus’ equityholders receive in return for the Business Combination with ARYA?</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outstanding shares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combined company be managed following the business combination?</w:t>
      </w:r>
    </w:p>
    <w:p>
      <w:pPr>
        <w:pStyle w:val="TextBody"/>
        <w:spacing w:lineRule="auto" w:line="288" w:before="0" w:after="180"/>
        <w:ind w:left="0" w:right="0" w:hanging="720"/>
        <w:rPr/>
      </w:pPr>
      <w:r>
        <w:rPr>
          <w:rFonts w:ascii="Times New Roman;sans-serif" w:hAnsi="Times New Roman;sans-serif"/>
          <w:b w:val="false"/>
          <w:color w:val="000000"/>
          <w:sz w:val="20"/>
        </w:rPr>
        <w:t>A.Following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designated by Nautilus prior to the mailing of this proxy statement to ARYA shareholders, all of whom are currently expected to be existing members of Nautilus’ board of directors, one individual determined by Sponsor prior to the effectiveness of the Registration Statement and one director that may be designated by Nautilus and that is reasonably acceptable to Sponsor prior to the effectiveness of the Registration Statement. Please see the section entitled “</w:t>
      </w:r>
      <w:r>
        <w:rPr>
          <w:rFonts w:ascii="Times New Roman;sans-serif" w:hAnsi="Times New Roman;sans-serif"/>
          <w:b w:val="false"/>
          <w:i/>
          <w:color w:val="000000"/>
          <w:sz w:val="20"/>
        </w:rPr>
        <w:t>Management Following the Business Combination</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equity stake will current ARYA shareholders and current equityholders of Nautilus hold in New Nautilus immediately after the consummation of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A.As of the date of this proxy statement/prospectus, there are (i) 14,950,000 Class A ordinary shares outstanding and issued in ARYA’s initial public offering, (ii) 499,000 Class A ordinary shares outstanding and issued in a private placement simultaneously with the closing of ARYA’s initial public offering, and (iii) 3,737,500 Class B ordinary shares outstanding and issued to ARYA’s initial shareholders.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and preferred stock of Nautilus (including the Perceptive Shareholders) at Closing, which would be the number of shares of New Nautilus Common Stock issued to these holders if Closing were to occur on                    , 2021; (ii) 20,000,000 shares of New Nautilus Common Stock are issued in the PIPE Financing; and (iii) no options to purchase New Nautilus Common Stock outstanding as of                    , 2021 have been exercised. Based on these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ix</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8,752,100 of ARYA’s outstanding public shares are redeemed in connection with the Business Combination, which is the estimated maximum number of shares that may be redeemed while still enabling the Aggregate Transaction Proceeds Condition to be met.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TextBody"/>
        <w:spacing w:lineRule="auto" w:line="288" w:before="0" w:after="180"/>
        <w:rPr/>
      </w:pPr>
      <w:r>
        <w:rPr>
          <w:rFonts w:ascii="Times New Roman;sans-serif" w:hAnsi="Times New Roman;sans-serif"/>
          <w:b w:val="false"/>
          <w:color w:val="000000"/>
          <w:sz w:val="20"/>
        </w:rPr>
        <w:t>For further details, see “</w:t>
      </w:r>
      <w:r>
        <w:rPr>
          <w:rFonts w:ascii="Times New Roman;sans-serif" w:hAnsi="Times New Roman;sans-serif"/>
          <w:b w:val="false"/>
          <w:i/>
          <w:color w:val="000000"/>
          <w:sz w:val="20"/>
        </w:rPr>
        <w:t>Business Combination Proposal—Consideration to Nautilus Equityholders in the Business Combination</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is ARYA proposing the Domestication?</w:t>
      </w:r>
    </w:p>
    <w:p>
      <w:pPr>
        <w:pStyle w:val="TextBody"/>
        <w:spacing w:lineRule="auto" w:line="288" w:before="0" w:after="180"/>
        <w:ind w:left="0" w:right="0" w:hanging="720"/>
        <w:rPr/>
      </w:pPr>
      <w:r>
        <w:rPr>
          <w:rFonts w:ascii="Times New Roman;sans-serif" w:hAnsi="Times New Roman;sans-serif"/>
          <w:b w:val="false"/>
          <w:color w:val="000000"/>
          <w:sz w:val="20"/>
        </w:rPr>
        <w:t>A.Our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transfer by way of continuation to Delaware is in the best interests of ARYA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the section entitled “</w:t>
      </w:r>
      <w:r>
        <w:rPr>
          <w:rFonts w:ascii="Times New Roman;sans-serif" w:hAnsi="Times New Roman;sans-serif"/>
          <w:b w:val="false"/>
          <w:i/>
          <w:color w:val="000000"/>
          <w:sz w:val="20"/>
        </w:rPr>
        <w:t>Domestication Proposal—Reasons for the Domestication.</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effect the Domestication, we will file an application for deregistration with the Cayman Islands Registrar of Companies, together with the necessary accompanying documents, and file a certificate of corporate domestication and a certificate of incorporation with the Secretary of State of the State of Delaware, under which we will be domesticated and continue as a Delaware corporation.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the Domestication Proposal is a condition to closing the Business Combination under the Business Combination Agreement.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considered present for the purposes of establishing a quorum, will not count as votes cast at the extraordinary general meeting, and otherwise will have no effect on a particular proposal.</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amendments will be made to the current constitutional documents of ARYA?</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consummation of the Business Combination is conditional, among other things, on the Domestication. Accordingly, in addition to voting on the Business Combination, ARYA’s shareholders also are being asked to consider and vote upon a proposal to approve the Domestication, and replace ARYA’s Existing Governing Documents, in each case, under Cayman Islands law with the Proposed Certificate of Incorporation, in each case, under the DGCL, which differ from the Existing Governing Documents in the following material respects:</w:t>
      </w:r>
    </w:p>
    <w:tbl>
      <w:tblPr>
        <w:tblW w:w="10205" w:type="dxa"/>
        <w:jc w:val="left"/>
        <w:tblInd w:w="0" w:type="dxa"/>
        <w:tblCellMar>
          <w:top w:w="28" w:type="dxa"/>
          <w:left w:w="28" w:type="dxa"/>
          <w:bottom w:w="28" w:type="dxa"/>
          <w:right w:w="28" w:type="dxa"/>
        </w:tblCellMar>
      </w:tblPr>
      <w:tblGrid>
        <w:gridCol w:w="734"/>
        <w:gridCol w:w="509"/>
        <w:gridCol w:w="512"/>
        <w:gridCol w:w="1493"/>
        <w:gridCol w:w="1185"/>
        <w:gridCol w:w="1189"/>
        <w:gridCol w:w="109"/>
        <w:gridCol w:w="109"/>
        <w:gridCol w:w="109"/>
        <w:gridCol w:w="1364"/>
        <w:gridCol w:w="1196"/>
        <w:gridCol w:w="1696"/>
      </w:tblGrid>
      <w:tr>
        <w:trPr/>
        <w:tc>
          <w:tcPr>
            <w:tcW w:w="73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A)</w:t>
            </w:r>
          </w:p>
        </w:tc>
        <w:tc>
          <w:tcPr>
            <w:tcW w:w="3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capital under the Existing Governing Documents is US$50,000 divided into 479,000,000 Class A ordinary shares of par value US$0.0001 per share, 20,000,000 Class B ordinary shares of par value US$0.0001 per share and 1,000,000 preference shares of par value US$0.0001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1,000,000,000 shares of New Nautilus Common Stock, par value $0.0001 per share, and 200,000,000 shares of New Nautilus Preferred Stock, par value $0.0001 per share.</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of the Proposed Certificate of Incorporation.</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 the Board of Directors to Issue Preferred Stock Without Stockholder Consent</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B)</w:t>
            </w:r>
          </w:p>
        </w:tc>
        <w:tc>
          <w:tcPr>
            <w:tcW w:w="3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authorize the issuance of 1,000,000 preference shares with such designation, rights and preferences as may be determined from time to time by our board of directors. Accordingly, our board of directors is empowered under the Existing Governing Documents, without shareholder approval, to issue preference shares with dividend, liquidation, redemption, voting or other rights which could adversely affect the voting power or other rights of the holders of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 and Article 3 of the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Section 3 of the Proposed Certificate of Incorporation.</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Shareholder/Stockholder Written Consent In Lieu of a Meeting </w:t>
            </w: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C</w:t>
            </w:r>
            <w:r>
              <w:rPr>
                <w:rFonts w:ascii="Times New Roman;sans-serif" w:hAnsi="Times New Roman;sans-serif"/>
                <w:b w:val="false"/>
                <w:color w:val="000000"/>
                <w:sz w:val="20"/>
              </w:rPr>
              <w:t>)</w:t>
            </w:r>
          </w:p>
        </w:tc>
        <w:tc>
          <w:tcPr>
            <w:tcW w:w="3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resolutions may be passed by a vote in person, by proxy at a general meeting, or by unanimous written resolution.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allows stockholders to vote in person or by proxy at a meeting of stockholders, but prohibits the ability of stockholders to act by written consent in lieu of a meeting.</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Articles 14 and 15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VIII, Section 1 of the Proposed Certificate of Incorporation and Section 2.10 of the Proposed Bylaws.</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686"/>
        <w:gridCol w:w="450"/>
        <w:gridCol w:w="451"/>
        <w:gridCol w:w="1818"/>
        <w:gridCol w:w="1456"/>
        <w:gridCol w:w="1462"/>
        <w:gridCol w:w="109"/>
        <w:gridCol w:w="109"/>
        <w:gridCol w:w="109"/>
        <w:gridCol w:w="1201"/>
        <w:gridCol w:w="973"/>
        <w:gridCol w:w="1381"/>
      </w:tblGrid>
      <w:tr>
        <w:trPr/>
        <w:tc>
          <w:tcPr>
            <w:tcW w:w="68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Name</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the name of the company is “ARYA Sciences Acquisition Corp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name of the corporation will be “Nautilus Biotechnology, Inc.”</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1 of our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 of the Proposed Certificate of Incorporation.</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Perpetual Existence</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if we do not consummate a business combination (as defined in the Existing Governing Documents) by August 11, 2022 (twenty-four months after the closing of ARYA’s initial public offering), ARYA will cease all operations except for the purposes of winding up and will redeem the shares issued in ARYA’s initial public offering and liquidate its trust account.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provides that the corporation will have perpetual existence, which is the default under the DGCL and will make Nautilus’ existence perpetual.</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Article VII, Section 1 of the Proposed Certificate of Incorporation.</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Takeovers by Interested Stockholders</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restrictions on takeovers of ARYA by a related shareholder following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opt out of Section 203 of the DGCL, and therefore, New Nautilus will be subject to Section 203 of the DGCL relating to business combinations with interested stockholders.</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is the default rule under the DGCL.</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Provisions Related to Status as Blank Check Company</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set forth various provisions related to our status as a blank check company prior to the consummation of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include such provisions related to our status as a blank check company, which no longer will apply upon consummation of the Business Combination, as we will cease to be a blank check company at such time.</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Domestication affect my ordinary shares?</w:t>
      </w:r>
    </w:p>
    <w:p>
      <w:pPr>
        <w:pStyle w:val="TextBody"/>
        <w:spacing w:lineRule="auto" w:line="288" w:before="0" w:after="180"/>
        <w:ind w:left="0" w:right="0" w:hanging="720"/>
        <w:rPr/>
      </w:pPr>
      <w:r>
        <w:rPr>
          <w:rFonts w:ascii="Times New Roman;sans-serif" w:hAnsi="Times New Roman;sans-serif"/>
          <w:b w:val="false"/>
          <w:color w:val="000000"/>
          <w:sz w:val="20"/>
        </w:rPr>
        <w:t>A.In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Times New Roman;sans-serif" w:hAnsi="Times New Roman;sans-serif"/>
          <w:b w:val="false"/>
          <w:i/>
          <w:color w:val="000000"/>
          <w:sz w:val="20"/>
        </w:rPr>
        <w:t>Domestication Proposal.</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(whether vested or unvested) will be exchanged for comparable options to purchase New Nautilus Common Stock, in each case, based on an implied Nautilus equity value of $900 million.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U.S. federal income tax consequences of the Domestication?</w:t>
      </w:r>
    </w:p>
    <w:p>
      <w:pPr>
        <w:pStyle w:val="TextBody"/>
        <w:spacing w:lineRule="auto" w:line="288" w:before="0" w:after="180"/>
        <w:ind w:left="0" w:right="0" w:hanging="720"/>
        <w:rPr/>
      </w:pPr>
      <w:r>
        <w:rPr>
          <w:rFonts w:ascii="Times New Roman;sans-serif" w:hAnsi="Times New Roman;sans-serif"/>
          <w:b w:val="false"/>
          <w:color w:val="000000"/>
          <w:sz w:val="20"/>
        </w:rPr>
        <w:t xml:space="preserve">A.As discussed more fully under “Material </w:t>
      </w:r>
      <w:r>
        <w:rPr>
          <w:rFonts w:ascii="Times New Roman;sans-serif" w:hAnsi="Times New Roman;sans-serif"/>
          <w:b w:val="false"/>
          <w:i/>
          <w:color w:val="000000"/>
          <w:sz w:val="20"/>
        </w:rPr>
        <w:t>U.S. Federal Income Tax Considerations,</w:t>
      </w:r>
      <w:r>
        <w:rPr>
          <w:color w:val="000000"/>
        </w:rPr>
        <w:t xml:space="preserve">” </w:t>
      </w:r>
      <w:r>
        <w:rPr>
          <w:rFonts w:ascii="Times New Roman;sans-serif" w:hAnsi="Times New Roman;sans-serif"/>
          <w:b w:val="false"/>
          <w:color w:val="000000"/>
          <w:sz w:val="20"/>
        </w:rPr>
        <w:t>the Domestication generally should constitute a tax-deferred reorganization within the meaning of Section 368(a)(l)(F) of the U.S. Internal Revenue Code of 1986, as amended (the “</w:t>
      </w:r>
      <w:r>
        <w:rPr>
          <w:rFonts w:ascii="Times New Roman;sans-serif" w:hAnsi="Times New Roman;sans-serif"/>
          <w:b w:val="false"/>
          <w:color w:val="000000"/>
          <w:sz w:val="20"/>
          <w:u w:val="single"/>
        </w:rPr>
        <w:t>Code</w:t>
      </w:r>
      <w:r>
        <w:rPr>
          <w:color w:val="000000"/>
        </w:rPr>
        <w:t>”</w:t>
      </w:r>
      <w:r>
        <w:rPr>
          <w:rFonts w:ascii="Times New Roman;sans-serif" w:hAnsi="Times New Roman;sans-serif"/>
          <w:b w:val="false"/>
          <w:color w:val="000000"/>
          <w:sz w:val="20"/>
        </w:rPr>
        <w:t>). However, due to the absence of direct guidance on the application of Section 368(a)(1)(F) to a statutory conversion of a corporation holding only investment-type assets such as ARYA, this result is not entirely free from doubt. In the case of a transaction, such as the Domestication, that should qualify as a tax-deferred reorganization within the meaning of Section 368(a)(1)(F), and subject to the discussion of the “passive foreign investment company” (“</w:t>
      </w:r>
      <w:r>
        <w:rPr>
          <w:rFonts w:ascii="Times New Roman;sans-serif" w:hAnsi="Times New Roman;sans-serif"/>
          <w:b w:val="false"/>
          <w:color w:val="000000"/>
          <w:sz w:val="20"/>
          <w:u w:val="single"/>
        </w:rPr>
        <w:t>PFIC</w:t>
      </w:r>
      <w:r>
        <w:rPr>
          <w:color w:val="000000"/>
        </w:rPr>
        <w:t>”</w:t>
      </w:r>
      <w:r>
        <w:rPr>
          <w:rFonts w:ascii="Times New Roman;sans-serif" w:hAnsi="Times New Roman;sans-serif"/>
          <w:b w:val="false"/>
          <w:color w:val="000000"/>
          <w:sz w:val="20"/>
        </w:rPr>
        <w:t xml:space="preserve">) rules below, U.S. Holders (as defined in “Material </w:t>
      </w:r>
      <w:r>
        <w:rPr>
          <w:rFonts w:ascii="Times New Roman;sans-serif" w:hAnsi="Times New Roman;sans-serif"/>
          <w:b w:val="false"/>
          <w:i/>
          <w:color w:val="000000"/>
          <w:sz w:val="20"/>
        </w:rPr>
        <w:t>U.S. Federal Income Tax Considerations—U.S. Holders</w:t>
      </w:r>
      <w:r>
        <w:rPr>
          <w:color w:val="000000"/>
        </w:rPr>
        <w:t xml:space="preserve">” </w:t>
      </w:r>
      <w:r>
        <w:rPr>
          <w:rFonts w:ascii="Times New Roman;sans-serif" w:hAnsi="Times New Roman;sans-serif"/>
          <w:b w:val="false"/>
          <w:color w:val="000000"/>
          <w:sz w:val="20"/>
        </w:rPr>
        <w:t>below) generally will be subject to Section 367(b) of the Code and, as a result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less than $50,000 on the date of the Domestication generally should not recognize any gain or loss and will not be required to include any part of ARYA’s earnings in income;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$50,000 or more and who, on the date of the Domestication, owns (actually and constructively) less than 10% of the total combined voting power of all classes of our stock entitled to vote and less than 10% of the total value of all classes of our stock generally should recognize gain (but not loss) on the exchange of public shares for shares of New Nautilus Common Stock pursuant to the Domestication. As an alternative to recognizing gain, such U.S. Holder may file an election to include in income as a deemed dividend the “all earnings and profits amount” (as defined in the Treasury Regulations under Section 367(b) of the Code) attributable to its public shares provided certain other requirements are satisfied;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$50,000 or more and who, on the date of the Domestication, owns (actually or constructively) 10% or more of the total combined voting power of all classes of our stock entitled to vote or 10% or more of the total value of all classes of our stock generally should be required to include in income as a deemed dividend the “all earnings and profits amount” attributable to its public shares provided certain other requirements are satisfied. Any such U.S. Holder that is a corporation may, under certain circumstances, effectively be exempt from taxation on a portion or all of the deemed dividend pursuant to Section 245A of the Code (participation exemption).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does not expect to have significant cumulative earnings and profits through the date of the Domestication.</w:t>
      </w:r>
    </w:p>
    <w:p>
      <w:pPr>
        <w:pStyle w:val="TextBody"/>
        <w:spacing w:lineRule="auto" w:line="288" w:before="0" w:after="180"/>
        <w:rPr/>
      </w:pPr>
      <w:r>
        <w:rPr>
          <w:rFonts w:ascii="Times New Roman;sans-serif" w:hAnsi="Times New Roman;sans-serif"/>
          <w:b w:val="false"/>
          <w:color w:val="000000"/>
          <w:sz w:val="20"/>
        </w:rPr>
        <w:t xml:space="preserve">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the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see the discussion in the section entitled “Material </w:t>
      </w:r>
      <w:r>
        <w:rPr>
          <w:rFonts w:ascii="Times New Roman;sans-serif" w:hAnsi="Times New Roman;sans-serif"/>
          <w:b w:val="false"/>
          <w:i/>
          <w:color w:val="000000"/>
          <w:sz w:val="20"/>
        </w:rPr>
        <w:t>U.S. Federal Income Tax Considerations</w:t>
      </w:r>
      <w:r>
        <w:rPr>
          <w:color w:val="000000"/>
        </w:rPr>
        <w:t>”</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 xml:space="preserve">Additionally, the Domestication may cause non-U.S. Holders (as defined in “Material </w:t>
      </w:r>
      <w:r>
        <w:rPr>
          <w:rFonts w:ascii="Times New Roman;sans-serif" w:hAnsi="Times New Roman;sans-serif"/>
          <w:b w:val="false"/>
          <w:i/>
          <w:color w:val="000000"/>
          <w:sz w:val="20"/>
        </w:rPr>
        <w:t>U.S. Federal Income Tax Considerations—Non-U.S. Holders</w:t>
      </w:r>
      <w:r>
        <w:rPr>
          <w:color w:val="000000"/>
        </w:rPr>
        <w:t>”</w:t>
      </w:r>
      <w:r>
        <w:rPr>
          <w:rFonts w:ascii="Times New Roman;sans-serif" w:hAnsi="Times New Roman;sans-serif"/>
          <w:b w:val="false"/>
          <w:color w:val="000000"/>
          <w:sz w:val="20"/>
        </w:rPr>
        <w:t>) to become subject to U.S. federal income withholding taxes on any dividends paid in respect of such non-U.S. Holder’s shares of New Nautilus Common Stock after the Domestication.</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The tax consequences of the Domestication are complex and will depend on a holder’s particular circumstances. All holders are urged to consult their tax advisor on the tax consequences to them of the Domestication, including the applicability and effect of U.S. federal, state, local and foreign income and other tax laws. For a more complete discussion of the U.S. federal income tax considerations of the Domestication, see “Material </w:t>
      </w:r>
      <w:r>
        <w:rPr>
          <w:rFonts w:ascii="Times New Roman;sans-serif" w:hAnsi="Times New Roman;sans-serif"/>
          <w:b w:val="false"/>
          <w:i/>
          <w:color w:val="000000"/>
          <w:sz w:val="20"/>
        </w:rPr>
        <w:t>U.S. Federal Income Tax Considerations.</w:t>
      </w:r>
      <w:r>
        <w:rPr>
          <w:color w:val="00000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Do I have redemption rights?</w:t>
      </w:r>
    </w:p>
    <w:p>
      <w:pPr>
        <w:pStyle w:val="TextBody"/>
        <w:spacing w:lineRule="auto" w:line="288" w:before="0" w:after="180"/>
        <w:ind w:left="0" w:right="0" w:hanging="720"/>
        <w:rPr/>
      </w:pPr>
      <w:r>
        <w:rPr>
          <w:rFonts w:ascii="Times New Roman;sans-serif" w:hAnsi="Times New Roman;sans-serif"/>
          <w:b w:val="false"/>
          <w:color w:val="000000"/>
          <w:sz w:val="20"/>
        </w:rPr>
        <w:t xml:space="preserve">A.If you are a holder of public shares, you have the right to request that we redeem all or a portion of your public shares for cash provided that you follow the procedures and deadlines described elsewhere in this proxy statement/prospectus. </w:t>
      </w:r>
      <w:r>
        <w:rPr>
          <w:rFonts w:ascii="Times New Roman;sans-serif" w:hAnsi="Times New Roman;sans-serif"/>
          <w:b/>
          <w:color w:val="000000"/>
          <w:sz w:val="20"/>
        </w:rPr>
        <w:t>Public shareholders may elect to redeem all or a portion of the public shares held by them regardless of if or how they vote in respect of the Business Combination Proposal.</w:t>
      </w:r>
      <w:r>
        <w:rPr>
          <w:color w:val="000000"/>
        </w:rPr>
        <w:t xml:space="preserve"> </w:t>
      </w:r>
      <w:r>
        <w:rPr>
          <w:rFonts w:ascii="Times New Roman;sans-serif" w:hAnsi="Times New Roman;sans-serif"/>
          <w:b w:val="false"/>
          <w:color w:val="000000"/>
          <w:sz w:val="20"/>
        </w:rPr>
        <w:t>If you wish to exercise your redemption rights, please see the answer to the next question: “</w:t>
      </w:r>
      <w:r>
        <w:rPr>
          <w:rFonts w:ascii="Times New Roman;sans-serif" w:hAnsi="Times New Roman;sans-serif"/>
          <w:b w:val="false"/>
          <w:i/>
          <w:color w:val="000000"/>
          <w:sz w:val="20"/>
        </w:rPr>
        <w:t>How do I exercise my redemption rights?</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have agreed to waive their redemption rights with respect to all of their ordinary shares in connection with the consummation of the Business Combination. Such shares will be excluded from the pro rata calculation used to determine the per-share redemption price.</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I exercise my redemption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are a public shareholder and wish to exercise your right to redeem the public shares, you must:</w:t>
      </w:r>
    </w:p>
    <w:p>
      <w:pPr>
        <w:pStyle w:val="TextBody"/>
        <w:spacing w:lineRule="auto" w:line="288" w:before="0" w:after="18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we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540"/>
        <w:rPr/>
      </w:pPr>
      <w:r>
        <w:rPr>
          <w:rFonts w:ascii="Times New Roman;sans-serif" w:hAnsi="Times New Roman;sans-serif"/>
          <w:b w:val="false"/>
          <w:color w:val="000000"/>
          <w:sz w:val="20"/>
        </w:rPr>
        <w:t>(iii)deliver your public shares to Continental, our transfer agent, physically or electronically through The Depository Trust Company (“</w:t>
      </w:r>
      <w:r>
        <w:rPr>
          <w:rFonts w:ascii="Times New Roman;sans-serif" w:hAnsi="Times New Roman;sans-serif"/>
          <w:b w:val="false"/>
          <w:color w:val="000000"/>
          <w:sz w:val="20"/>
          <w:u w:val="single"/>
        </w:rPr>
        <w:t>DTC</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rPr/>
      </w:pPr>
      <w:r>
        <w:rPr>
          <w:rFonts w:ascii="Times New Roman;sans-serif" w:hAnsi="Times New Roman;sans-serif"/>
          <w:b w:val="false"/>
          <w:color w:val="000000"/>
          <w:sz w:val="20"/>
        </w:rPr>
        <w:t>The address of Continental, ARYA’s transfer agent, is listed under the question “</w:t>
      </w:r>
      <w:r>
        <w:rPr>
          <w:rFonts w:ascii="Times New Roman;sans-serif" w:hAnsi="Times New Roman;sans-serif"/>
          <w:b w:val="false"/>
          <w:i/>
          <w:color w:val="000000"/>
          <w:sz w:val="20"/>
        </w:rPr>
        <w:t>Who can help answer my questions?</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Public shareholders will be entitled to request that their public shares be redeemed for a pro rata portion of the amount then on deposit in the trust account as of two business days prior to the consummation of the Business Combination including interest earned on the funds held in the trust account and not previously released to us (net of taxes payable). For illustrative purposes, as of           , 2021, this would have amounted to approximately $           per issued and outstanding public share. However, the proceeds deposited in the trust account could become subject to the claims of our creditors, if any, which could have priority over the claims of our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xiv</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your redemption rights. It is expected that the funds to be distributed to public shareholders electing to redeem their public shares will be distributed promptly after the consummation of the Business Combination.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pStyle w:val="TextBody"/>
        <w:spacing w:lineRule="auto" w:line="288" w:before="0" w:after="180"/>
        <w:rPr/>
      </w:pPr>
      <w:r>
        <w:rPr>
          <w:rFonts w:ascii="Times New Roman;sans-serif" w:hAnsi="Times New Roman;sans-serif"/>
          <w:b w:val="false"/>
          <w:color w:val="000000"/>
          <w:sz w:val="20"/>
        </w:rPr>
        <w:t xml:space="preserve">Any corrected or changed written exercise of redemption rights must be received by Continental, our transfer agent, prior to the vote taken on the Business Combination Proposal at the extraordinary general meeting. </w:t>
      </w:r>
      <w:r>
        <w:rPr>
          <w:rFonts w:ascii="Times New Roman;sans-serif" w:hAnsi="Times New Roman;sans-serif"/>
          <w:b/>
          <w:color w:val="000000"/>
          <w:sz w:val="20"/>
        </w:rPr>
        <w:t>No request for redemption will be honored unless the holder’s public shares have been delivered (either physically or electronically) to Continental, our transfer agent, at least two business days prior to the vote at the extraordinary general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a holder of public shares properly makes a request for redemption and the public shares are delivered as described above, then, if the Business Combination is consummated, we will redeem the public shares for a pro rata portion of funds deposited in the trust account, calculated as of two business days prior to the consummation of the Business Combination. The redemption takes place following the Domestication and, accordingly, it is shares of New Nautilus Common Stock that will be redeemed immediately after consummation of the Business Combination.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U.S. federal income tax consequences of exercising my redemption rights?</w:t>
      </w:r>
    </w:p>
    <w:p>
      <w:pPr>
        <w:pStyle w:val="TextBody"/>
        <w:spacing w:lineRule="auto" w:line="288" w:before="0" w:after="180"/>
        <w:ind w:left="0" w:right="0" w:hanging="720"/>
        <w:rPr/>
      </w:pPr>
      <w:r>
        <w:rPr>
          <w:rFonts w:ascii="Times New Roman;sans-serif" w:hAnsi="Times New Roman;sans-serif"/>
          <w:b w:val="false"/>
          <w:color w:val="000000"/>
          <w:sz w:val="20"/>
        </w:rPr>
        <w:t xml:space="preserve">A.We expect that a U.S. Holder (as defined in “Material </w:t>
      </w:r>
      <w:r>
        <w:rPr>
          <w:rFonts w:ascii="Times New Roman;sans-serif" w:hAnsi="Times New Roman;sans-serif"/>
          <w:b w:val="false"/>
          <w:i/>
          <w:color w:val="000000"/>
          <w:sz w:val="20"/>
        </w:rPr>
        <w:t>U.S. Federal Income Tax Considerations—U.S. Holders</w:t>
      </w:r>
      <w:r>
        <w:rPr>
          <w:color w:val="000000"/>
        </w:rPr>
        <w:t>”</w:t>
      </w:r>
      <w:r>
        <w:rPr>
          <w:rFonts w:ascii="Times New Roman;sans-serif" w:hAnsi="Times New Roman;sans-serif"/>
          <w:b w:val="false"/>
          <w:color w:val="000000"/>
          <w:sz w:val="20"/>
        </w:rPr>
        <w:t xml:space="preserve">) that exercises its redemption rights to receive cash from the trust account in exchange for its shares of New Nautilus Common Stock generally should be treated as selling such shares of New Nautilus Common Stock resulting in the recognition of capital gain or capital loss. There may be certain circumstances in which the redemption may be treated as a distribution for U.S. federal income tax purposes depending on the amount of shares of New Nautilus Common Stock that such U.S. Holder owns or is deemed to own prior to and following the redemption. For a more complete discussion of the U.S. federal income tax considerations of an exercise of redemption rights, see “Material </w:t>
      </w:r>
      <w:r>
        <w:rPr>
          <w:rFonts w:ascii="Times New Roman;sans-serif" w:hAnsi="Times New Roman;sans-serif"/>
          <w:b w:val="false"/>
          <w:i/>
          <w:color w:val="000000"/>
          <w:sz w:val="20"/>
        </w:rPr>
        <w:t>U.S. Federal Income Tax Considerations.</w:t>
      </w:r>
      <w:r>
        <w:rPr>
          <w:color w:val="000000"/>
        </w:rPr>
        <w:t>”</w:t>
      </w:r>
    </w:p>
    <w:p>
      <w:pPr>
        <w:pStyle w:val="TextBody"/>
        <w:spacing w:lineRule="auto" w:line="288" w:before="0" w:after="180"/>
        <w:rPr/>
      </w:pPr>
      <w:r>
        <w:rPr>
          <w:rFonts w:ascii="Times New Roman;sans-serif" w:hAnsi="Times New Roman;sans-serif"/>
          <w:b w:val="false"/>
          <w:color w:val="000000"/>
          <w:sz w:val="20"/>
        </w:rPr>
        <w:t xml:space="preserve">Additionally, because the Domestication will occur immediately prior to the redemption by any public shareholder, U.S. Holders exercising redemption rights will take into account the potential tax consequences of Section 367(b) of the Code as well as potential tax consequences of the U.S. federal income tax rules relating to PFICs. The tax consequences of the exercise of redemption rights, including pursuant to Section 367(b) of the Code and the PFIC rules, are discussed more fully below under “Material </w:t>
      </w:r>
      <w:r>
        <w:rPr>
          <w:rFonts w:ascii="Times New Roman;sans-serif" w:hAnsi="Times New Roman;sans-serif"/>
          <w:b w:val="false"/>
          <w:i/>
          <w:color w:val="000000"/>
          <w:sz w:val="20"/>
        </w:rPr>
        <w:t>U.S. Federal Income Tax Considerations—U.S. Holders.</w:t>
      </w:r>
      <w:r>
        <w:rPr>
          <w:color w:val="000000"/>
        </w:rPr>
        <w:t xml:space="preserve">” </w:t>
      </w:r>
      <w:r>
        <w:rPr>
          <w:rFonts w:ascii="Times New Roman;sans-serif" w:hAnsi="Times New Roman;sans-serif"/>
          <w:b w:val="false"/>
          <w:color w:val="000000"/>
          <w:sz w:val="20"/>
        </w:rPr>
        <w:t>All holders of our public shares considering exercising their redemption rights are urged to consult their tax advisor on the tax consequences to them of an exercise of redemption rights, including the applicability and effect of U.S. federal, state, local and foreign income and other tax laws.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happens to the funds deposited in the trust account after consummation of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A.Following the closing of our initial public offering, an amount equal to $149,500,000 ($10.00 per Class A ordinary share) of the net proceeds from our initial public offering and the sale of the private placement shares was placed in the trust account. As of           , 2021, funds in the trust account totaled approximately $           and were held in money market funds. These funds will remain in the trust account, except for the withdrawal of interest to pay taxes, if any, until the earliest of (i) the completion of a business combination (including the closing of the Business Combination) or (ii) the redemption of all of the public shares if we are unable to complete a business combination by August 11, 2022 , subject to applicable law.</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If our initial business combination is paid for using equity or debt securities or not all of the funds released from the trust account are used for payment of the consideration in connection with our initial business combination or used for redemptions or purchases of the public shares, we may apply the balance of the cash released to us from the trust account for general corporate purposes, including for maintenance or expansion of operations of New Nautilus, the payment of principal or interest due on indebtedness incurred in completing our Business Combination, to fund the purchase of other companies or for working capital. See “</w:t>
      </w:r>
      <w:r>
        <w:rPr>
          <w:rFonts w:ascii="Times New Roman;sans-serif" w:hAnsi="Times New Roman;sans-serif"/>
          <w:b w:val="false"/>
          <w:i/>
          <w:color w:val="000000"/>
          <w:sz w:val="20"/>
        </w:rPr>
        <w:t>Summary of the Proxy Statement/Prospectus—Sources and Uses of Funds for the Business Combination</w:t>
      </w:r>
      <w:r>
        <w:rPr>
          <w:rFonts w:ascii="Times New Roman;sans-serif" w:hAnsi="Times New Roman;sans-serif"/>
          <w:b w:val="false"/>
          <w:color w:val="000000"/>
          <w:sz w:val="20"/>
        </w:rPr>
        <w: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happens if a substantial number of the public shareholders vote in favor of the Business Combination Proposal and exercise their redemption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A.Our public shareholders are not required to vote “FOR”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no event will New Nautilus redeem public shares in an amount that would cause our net tangible assets (as determined in accordance with Rule 3a51-1(g)(1) of the Exchange Act) to be less than $5,000,001 after giving effect to the transactions contemplated by the Business Combination Agreement and the PIPE Financing or if we would not have funds legally available therefor.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Additionally, as a result of redemptions, the trading market for the New Nautilus Common Stock may be less liquid than the market for the public shares was prior to consummation of the Business Combination and we may not be able to meet the listing standards for Nasdaq or another national securities exchange.</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conditions must be satisfied to complete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Factors—Nasdaq may not list New Nautilus’ securities on its exchange, which could limit 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 (vii) and by Nautilus in the case of (v) and (vii), the Business Combination Agreement could terminate and the Business Combination may not be consummated.</w:t>
      </w:r>
    </w:p>
    <w:p>
      <w:pPr>
        <w:pStyle w:val="TextBody"/>
        <w:spacing w:lineRule="auto" w:line="288" w:before="0" w:after="180"/>
        <w:rPr/>
      </w:pPr>
      <w:r>
        <w:rPr>
          <w:rFonts w:ascii="Times New Roman;sans-serif" w:hAnsi="Times New Roman;sans-serif"/>
          <w:b w:val="false"/>
          <w:color w:val="000000"/>
          <w:sz w:val="20"/>
        </w:rPr>
        <w:t>For more information about conditions to the consummation of the Business Combination, see “</w:t>
      </w:r>
      <w:r>
        <w:rPr>
          <w:rFonts w:ascii="Times New Roman;sans-serif" w:hAnsi="Times New Roman;sans-serif"/>
          <w:b w:val="false"/>
          <w:i/>
          <w:color w:val="000000"/>
          <w:sz w:val="20"/>
        </w:rPr>
        <w:t>Business Combination Proposal—Conditions to Closing of the Business Combination.</w:t>
      </w:r>
      <w:r>
        <w:rPr>
          <w:color w:val="00000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When do you expect the Business Combination to be completed?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A.It is currently expected that the Business Combination will be consummated in the second quarter of 2021. This date depends, among other things, on the approval of the proposals to be put to ARYA shareholders at the extraordinary general meeting. However, such extraordinary general meeting could be adjourned if the Adjournment Proposal is adopted by our shareholders at the extraordinary general meeting and we elect to adjourn the extraordinary general meeting to a later date or dates to consider and vote upon a proposal to approve by ordinary resolution the adjournment of the extraordinary general meeting to a later date or dates (A) to the extent necessary to ensure that any required supplement or amendment to the accompanying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Aggregate Transaction Proceeds Condition would not be satisfied. For a description of the conditions for the completion of the Business Combination, see “</w:t>
      </w:r>
      <w:r>
        <w:rPr>
          <w:rFonts w:ascii="Times New Roman;sans-serif" w:hAnsi="Times New Roman;sans-serif"/>
          <w:b w:val="false"/>
          <w:i/>
          <w:color w:val="000000"/>
          <w:sz w:val="20"/>
        </w:rPr>
        <w:t>Business Combination Proposal—Conditions to Closing of the Business Combination.</w:t>
      </w:r>
      <w:r>
        <w:rPr>
          <w:color w:val="00000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the Business Combination is not consummated?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A.ARYA will not complete the Domestication to Delaware unless all other conditions to the consummation of the Business Combination have been satisfied or waived by the parties in accordance with the terms of the Business Combination Agreement. If ARYA is not able to consummate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Q.Do I have appraisal rights in connection with the proposed Business Combination and the proposed Domestication?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A.Our shareholders have no appraisal rights in connection with the Business Combination or the Domestication under the Cayman Islands Companies Act or under the DGCL.</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do I need to do now?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urge you to read this proxy statement/prospectus, including the Annexes and the documents referred to herein, carefully and in their entirety and to consider how the Business Combination will affect you as a shareholder. Our shareholders should then vote as soon as possible in accordance with the instructions provided in this proxy statement/prospectus and on the enclosed proxy card.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I vote?</w:t>
      </w:r>
    </w:p>
    <w:p>
      <w:pPr>
        <w:pStyle w:val="TextBody"/>
        <w:spacing w:lineRule="auto" w:line="288" w:before="0" w:after="180"/>
        <w:ind w:left="0" w:right="0" w:hanging="720"/>
        <w:rPr/>
      </w:pPr>
      <w:r>
        <w:rPr>
          <w:rFonts w:ascii="Times New Roman;sans-serif" w:hAnsi="Times New Roman;sans-serif"/>
          <w:b w:val="false"/>
          <w:color w:val="000000"/>
          <w:sz w:val="20"/>
        </w:rPr>
        <w:t xml:space="preserve">A.If you are a holder of record of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 paid envelope. </w:t>
      </w:r>
      <w:r>
        <w:rPr>
          <w:rFonts w:ascii="Times New Roman;sans-serif" w:hAnsi="Times New Roman;sans-serif"/>
          <w:b/>
          <w:color w:val="000000"/>
          <w:sz w:val="20"/>
        </w:rPr>
        <w:t>If you hold your shares in “street 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extraordinary general meeting and vote in person, obtain a proxy from your broker, bank or nominee.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Q.If my shares are held in “street name,” will my broker, bank or nominee automatically vote my shares for me?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A.No. If your shares are held in a stock brokerage account or by a bank or other nominee, you are considered the “beneficial holder” of the shares held for you in what is known as “street name.” If this is the case, this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If you decide to vote, you should provide instructions to your broker, bank or other nominee on how to vote in accordance with the information and procedures provided to you by your broker, bank or other nominee.</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When and where will the extraordinary general meeting be held?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extraordinary general meeting will be held at 9.00 a.m., Eastern Time, on           , 2021, at the offices of Kirkland &amp; Ellis LLP, located at 601 Lexington Avenue, New York, New York 10022, unless the extraordinary general meeting is adjourned.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COVID-19 pandemic impact in-person voting at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intend to hold the extraordinary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We plan to announce any such updates in a press release filed with the SEC and on our proxy website           , and we encourage you to check this website prior to the meeting if you plan to attend.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Will shareholders of ARYA be able to ask questions during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A.Shareholders of ARYA will be able to ask questions about the Business Combination during the general meeting, as time and restrictions to the meeting format due to the evolving coronavirus (COVID-19) situation permit.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impact will the COVID-19 Pandemic have on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A.Given the ongoing and dynamic nature of the circumstances, it is difficult to predict the impact of the coronavirus outbreak on the business of ARYA and Nautilus, and there is no guarantee that efforts by ARYA and Nautilus to address the adverse impacts of the coronavirus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Nautilus is unable to recover from a business disruption on a timely basis, the Business Combination and New Nautilus’ business, financial condition and results of operations following the completion of the Business Combination would be adversely affected. The Business Combination may also be delayed and adversely affected by the coronavirus outbreak and become more costly. Each of ARYA and Nautilus may also incur additional costs to remedy damages caused by any such disruptions, which could adversely affect its financial condition and results of operations.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is entitled to vote at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have fixed April 1, 2021 as the record date for the extraordinary general meeting. If you were a shareholder of ARYA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many votes do I have?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A.ARYA shareholders are entitled to one vote at the extraordinary general meeting for each ordinary share held of record as of the record date. As of the close of business on the record date for the extraordinary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general meeting, there were 19,186,500 ordinary shares issued and outstanding, of which 14,950,000 were issued and outstanding public shares.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constitutes a 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vote is required to approve each proposal at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following votes are required for each proposal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(i)</w:t>
      </w:r>
      <w:r>
        <w:rPr>
          <w:rFonts w:ascii="Times New Roman;sans-serif" w:hAnsi="Times New Roman;sans-serif"/>
          <w:b/>
          <w:i/>
          <w:color w:val="000000"/>
          <w:sz w:val="20"/>
        </w:rPr>
        <w:t>Business Combination Proposal</w:t>
      </w:r>
      <w:r>
        <w:rPr>
          <w:rFonts w:ascii="Times New Roman;sans-serif" w:hAnsi="Times New Roman;sans-serif"/>
          <w:b w:val="false"/>
          <w:color w:val="000000"/>
          <w:sz w:val="20"/>
        </w:rPr>
        <w:t>: 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(ii)</w:t>
      </w:r>
      <w:r>
        <w:rPr>
          <w:rFonts w:ascii="Times New Roman;sans-serif" w:hAnsi="Times New Roman;sans-serif"/>
          <w:b/>
          <w:i/>
          <w:color w:val="000000"/>
          <w:sz w:val="20"/>
        </w:rPr>
        <w:t>Domestication Proposal</w:t>
      </w:r>
      <w:r>
        <w:rPr>
          <w:rFonts w:ascii="Times New Roman;sans-serif" w:hAnsi="Times New Roman;sans-serif"/>
          <w:b w:val="false"/>
          <w:color w:val="000000"/>
          <w:sz w:val="20"/>
        </w:rPr>
        <w: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(iii)</w:t>
      </w:r>
      <w:r>
        <w:rPr>
          <w:rFonts w:ascii="Times New Roman;sans-serif" w:hAnsi="Times New Roman;sans-serif"/>
          <w:b/>
          <w:i/>
          <w:color w:val="000000"/>
          <w:sz w:val="20"/>
        </w:rPr>
        <w:t>Charter Proposal</w:t>
      </w:r>
      <w:r>
        <w:rPr>
          <w:rFonts w:ascii="Times New Roman;sans-serif" w:hAnsi="Times New Roman;sans-serif"/>
          <w:b w:val="false"/>
          <w:color w:val="000000"/>
          <w:sz w:val="20"/>
        </w:rPr>
        <w:t>: 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(iv)</w:t>
      </w:r>
      <w:r>
        <w:rPr>
          <w:rFonts w:ascii="Times New Roman;sans-serif" w:hAnsi="Times New Roman;sans-serif"/>
          <w:b/>
          <w:i/>
          <w:color w:val="000000"/>
          <w:sz w:val="20"/>
        </w:rPr>
        <w:t>Advisory Governing Documents Proposals</w:t>
      </w:r>
      <w:r>
        <w:rPr>
          <w:rFonts w:ascii="Times New Roman;sans-serif" w:hAnsi="Times New Roman;sans-serif"/>
          <w:b w:val="false"/>
          <w:color w:val="000000"/>
          <w:sz w:val="20"/>
        </w:rPr>
        <w:t>: The approval, on a non-binding advisory basis, of each of the Advisory Governing Documents 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w:t>
      </w:r>
      <w:r>
        <w:rPr>
          <w:rFonts w:ascii="Times New Roman;sans-serif" w:hAnsi="Times New Roman;sans-serif"/>
          <w:b/>
          <w:i/>
          <w:color w:val="000000"/>
          <w:sz w:val="20"/>
        </w:rPr>
        <w:t>Nasdaq Proposal</w:t>
      </w:r>
      <w:r>
        <w:rPr>
          <w:rFonts w:ascii="Times New Roman;sans-serif" w:hAnsi="Times New Roman;sans-serif"/>
          <w:b w:val="false"/>
          <w:color w:val="000000"/>
          <w:sz w:val="20"/>
        </w:rPr>
        <w:t>: 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(vi)</w:t>
      </w:r>
      <w:r>
        <w:rPr>
          <w:rFonts w:ascii="Times New Roman;sans-serif" w:hAnsi="Times New Roman;sans-serif"/>
          <w:b/>
          <w:i/>
          <w:color w:val="000000"/>
          <w:sz w:val="20"/>
        </w:rPr>
        <w:t>Incentive Award Plan Proposal</w:t>
      </w:r>
      <w:r>
        <w:rPr>
          <w:rFonts w:ascii="Times New Roman;sans-serif" w:hAnsi="Times New Roman;sans-serif"/>
          <w:b w:val="false"/>
          <w:color w:val="000000"/>
          <w:sz w:val="20"/>
        </w:rPr>
        <w:t>: 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(vii)</w:t>
      </w:r>
      <w:r>
        <w:rPr>
          <w:rFonts w:ascii="Times New Roman;sans-serif" w:hAnsi="Times New Roman;sans-serif"/>
          <w:b/>
          <w:i/>
          <w:color w:val="000000"/>
          <w:sz w:val="20"/>
        </w:rPr>
        <w:t>Employee Stock Purchase Plan Proposal</w:t>
      </w:r>
      <w:r>
        <w:rPr>
          <w:rFonts w:ascii="Times New Roman;sans-serif" w:hAnsi="Times New Roman;sans-serif"/>
          <w:b w:val="false"/>
          <w:color w:val="000000"/>
          <w:sz w:val="20"/>
        </w:rPr>
        <w:t>: 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(viii)</w:t>
      </w:r>
      <w:r>
        <w:rPr>
          <w:rFonts w:ascii="Times New Roman;sans-serif" w:hAnsi="Times New Roman;sans-serif"/>
          <w:b/>
          <w:i/>
          <w:color w:val="000000"/>
          <w:sz w:val="20"/>
        </w:rPr>
        <w:t>Adjournment Proposal</w:t>
      </w:r>
      <w:r>
        <w:rPr>
          <w:rFonts w:ascii="Times New Roman;sans-serif" w:hAnsi="Times New Roman;sans-serif"/>
          <w:b w:val="false"/>
          <w:color w:val="000000"/>
          <w:sz w:val="20"/>
        </w:rPr>
        <w:t>: 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xix</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recommendations of the ARYA Board?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Sponsor and the other initial shareholders intend to vote their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A.Unlike some other blank check companies in which the initial shareholders agree to vote their shares in accordance with the majority of the votes cast by the public shareholders in connection with an initial business combination, our initial shareholders have agreed to vote all their shares in favor of all the proposals being presented at the extraordinary general meeting. As of the date of this proxy statement/prospectus, our initial shareholders own approximately 22.1% of the issued and outstanding ordinary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Entering into any such arrangements may have a depressive effect on the ordinary shares. For example, as a result of these arrangements, an investor or holder may have the ability to effectively purchase shares at a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price lower than market and may therefore be more likely to sell the shares he or she owns, either at or prior to the Business Combination.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such report will include descriptions of any arrangements entered into or significant purchases by any of the aforementioned persons.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I sell my ARYA ordinary shares before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such general meeting.</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May I change my vote after I have mailed my signed proxy card?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A.Yes. Shareholders may send a later-dated, signed proxy card to our general counsel at our address set forth below so that it is received by our general counsel prior to the vote at the extraordinary general meeting (which is scheduled to take place on                , 2021) or attend the extraordinary general meeting in person and vote. Shareholders also may revoke their proxy by sending a notice of revocation to our general counsel, which must be received by our general counsel prior to the vote at the extraordinary general meeting. However, if your shares are held in “street name” by your broker, bank or another nominee, you must contact your broker, bank or other nominee to change your vote. </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I fail to take any action with respect to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fail to vote with respect to the extraordinary general meeting and the Business Combination is approved by shareholders and the Business Combination is consummated, you will become a stockholder of New Nautilus. If you fail to vote with respect to the extraordinary general meeting and the Business Combination is not approved, you will remain a shareholder of ARYA. However, if you fail to vote with respect to the extraordinary general meeting, you will nonetheless be able to elect to redeem your public shares in connection with the Business Combination.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should I do if I receive more than one set of voting materials?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ordinary shares.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will solicit and pay the cost of soliciting proxies for the extraordinary general meeting?</w:t>
      </w:r>
    </w:p>
    <w:p>
      <w:pPr>
        <w:pStyle w:val="TextBody"/>
        <w:spacing w:lineRule="auto" w:line="288" w:before="0" w:after="180"/>
        <w:ind w:left="0" w:right="0" w:hanging="720"/>
        <w:rPr/>
      </w:pPr>
      <w:r>
        <w:rPr>
          <w:rFonts w:ascii="Times New Roman;sans-serif" w:hAnsi="Times New Roman;sans-serif"/>
          <w:b w:val="false"/>
          <w:color w:val="000000"/>
          <w:sz w:val="20"/>
        </w:rPr>
        <w:t>A.ARYA will pay the cost of soliciting proxies for the extraordinary general meeting. ARYA has engaged Morrow Sodali LLC (“</w:t>
      </w:r>
      <w:r>
        <w:rPr>
          <w:rFonts w:ascii="Times New Roman;sans-serif" w:hAnsi="Times New Roman;sans-serif"/>
          <w:b w:val="false"/>
          <w:color w:val="000000"/>
          <w:sz w:val="20"/>
          <w:u w:val="single"/>
        </w:rPr>
        <w:t>Morrow</w:t>
      </w:r>
      <w:r>
        <w:rPr>
          <w:color w:val="000000"/>
        </w:rPr>
        <w:t>”</w:t>
      </w:r>
      <w:r>
        <w:rPr>
          <w:rFonts w:ascii="Times New Roman;sans-serif" w:hAnsi="Times New Roman;sans-serif"/>
          <w:b w:val="false"/>
          <w:color w:val="000000"/>
          <w:sz w:val="20"/>
        </w:rPr>
        <w:t xml:space="preserve">) to assist in the solicitation of proxies for the extraordinary general meeting. ARYA has agreed to pay Morrow a fee of $22,500, plus disbursements, and will reimburse Morrow for its reasonable out-of-pocket expenses and indemnify Morrow and its affiliates against certain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claims, liabilities, losses, damages and expenses. ARYA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ARYA’s directors and officers may also solicit proxies by telephone, by facsimile, by mail, on the Internet or in person. They will not be paid any additional amounts for soliciting proxies.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Where can I find the voting results of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preliminary voting results will be announced at the extraordinary general meeting. ARYA will publish final voting results of the extraordinary general meeting in a Current Report on Form 8-K within four business days after the extraordinary general meeting.</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can help answer my questions?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have questions about the Business Combination or if you need additional copies of the proxy statement/prospectus or the enclosed proxy card you should contact: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Morrow Sodali LLC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470 West Avenue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Individuals call toll-free: (800) 662-5200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collect: (203) 658-9400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ARYA.info@investor.morrowsodali.com</w:t>
      </w:r>
    </w:p>
    <w:p>
      <w:pPr>
        <w:pStyle w:val="TextBody"/>
        <w:spacing w:lineRule="auto" w:line="288" w:before="0" w:after="180"/>
        <w:ind w:left="0" w:right="0" w:firstLine="360"/>
        <w:rPr/>
      </w:pPr>
      <w:r>
        <w:rPr>
          <w:rFonts w:ascii="Times New Roman;sans-serif" w:hAnsi="Times New Roman;sans-serif"/>
          <w:b w:val="false"/>
          <w:color w:val="000000"/>
          <w:sz w:val="20"/>
        </w:rPr>
        <w:t>You also may obtain additional information about ARYA from documents filed with the SEC by following the instructions in the section entitled “</w:t>
      </w:r>
      <w:r>
        <w:rPr>
          <w:rFonts w:ascii="Times New Roman;sans-serif" w:hAnsi="Times New Roman;sans-serif"/>
          <w:b w:val="false"/>
          <w:i/>
          <w:color w:val="000000"/>
          <w:sz w:val="20"/>
        </w:rPr>
        <w:t>Where You Can Find More Information; Incorporation by Reference.</w:t>
      </w:r>
      <w:r>
        <w:rPr>
          <w:color w:val="000000"/>
        </w:rPr>
        <w:t xml:space="preserve">” </w:t>
      </w:r>
      <w:r>
        <w:rPr>
          <w:rFonts w:ascii="Times New Roman;sans-serif" w:hAnsi="Times New Roman;sans-serif"/>
          <w:b w:val="false"/>
          <w:color w:val="000000"/>
          <w:sz w:val="20"/>
        </w:rPr>
        <w:t xml:space="preserve">If you are a holder of public shares and you intend to seek redemption of your public shares, you will need to deliver your public shares (either physically or electronically) to Continental, ARYA’s transfer agent, at the address below prior to the extraordinary general meeting. </w:t>
      </w: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r>
        <w:rPr>
          <w:color w:val="000000"/>
        </w:rPr>
        <w:t xml:space="preserve"> </w:t>
      </w:r>
      <w:r>
        <w:rPr>
          <w:rFonts w:ascii="Times New Roman;sans-serif" w:hAnsi="Times New Roman;sans-serif"/>
          <w:b w:val="false"/>
          <w:color w:val="000000"/>
          <w:sz w:val="20"/>
        </w:rPr>
        <w:t>If you have questions regarding the certification of your position or delivery of your stock, please contact:</w:t>
      </w:r>
    </w:p>
    <w:p>
      <w:pPr>
        <w:pStyle w:val="TextBody"/>
        <w:spacing w:lineRule="auto" w:line="288" w:before="0" w:after="0"/>
        <w:ind w:left="0" w:right="0" w:hanging="720"/>
        <w:jc w:val="center"/>
        <w:rPr>
          <w:rFonts w:ascii="Times New Roman;sans-serif" w:hAnsi="Times New Roman;sans-serif"/>
          <w:b w:val="false"/>
          <w:color w:val="000000"/>
          <w:sz w:val="20"/>
        </w:rPr>
      </w:pPr>
      <w:r>
        <w:rPr>
          <w:rFonts w:ascii="Times New Roman;sans-serif" w:hAnsi="Times New Roman;sans-serif"/>
          <w:b w:val="false"/>
          <w:color w:val="000000"/>
          <w:sz w:val="20"/>
        </w:rPr>
        <w:t>Continental Stock Transfer &amp; Trust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State Street 30th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New York 10004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Mark Zimkind</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mzimkind@continentalstock.com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xxii</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 OF THE PROXY STATEMENT/PROSPECTUS</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proxy statement/prospectus, including the Annexes and other documents referred to herein, carefully and in their entirety. The Business Combination Agreement is the legal document that governs the Business Combination and the other transactions that will be undertaken in connection with the Business Combination. The Business Combination Agreement is also described in detail in this proxy statement/prospectus in the section entitled “Business Combination Proposal—The Business Combination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Business Summary</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Unless otherwise indicated or the context otherwise requires, references in this Business Summary to “we,” “us,” “our” and other similar terms refer to Nautilus and its subsidiaries prior to the Business Combination and to New Nautilus and its consolidated subsidiaries after giving effect to the Business Combination.</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Company Overview</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Down to the very low frequencies of expressed proteins, how are healthy tissue cells different from diseased cells?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will a comprehensive map of nearly all proteins by organ tissue type tell us about our biology?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Which versions and patterns of modified proteins are present in disease, and why?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happens to our proteome when we get sick, and how does it change with treatment?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organization is driven by the pursuit of deep, hard science, and our Scientific Advisory Board is comprised of world-renowned scientific leaders that support our vision.</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Parties to the Business Combination</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ARYA has neither engaged in any operations nor generated any revenue to date. Based on ARYA’s business activities, it is a “shell company” as defined under the Exchange Act because it has no operations and nominal assets consisting almost entirely of cash.</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On August 11, 2020, ARYA consummated an initial public offering of 14,950,000 Class A ordinary shares at an offering price of $10.00 per share, and a private placement with Sponsor of 499,000 private placement shares at an offering price of $10.00 per share.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Following the closing of ARYA’s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 2021, funds in the trust account totaled approximately $           and were held in money market funds. These funds will remain in the trust account, except for the withdrawal of interest to pay taxes, if any, until the earliest of (i) the completion of ARYA’s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 subject to applicable law.</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ARYA’s public shares are currently listed on Nasdaq under the symbol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ARYA’s principal executive office is located at 51 Astor Place, 10th Floor, New York, NY 10003, and its telephone number is (212) 284-2300. ARYA’s corporate website address is https://www.perceptivelife.com/arya3. ARYA’s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Nautilus is a Delaware corporation.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Nautilus’ principal executive office is located at 425 Pontius Ave N, Ste 202, Seattle, WA 98109, and its telephone number is (206) 333-2001. Nautilus’ corporate website address is http://www.nautilus.bio. Nautilus’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Merger Sub</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Merger Sub is a Delaware corporation and wholly-owned subsidiary of ARYA formed for the purpose of effecting the Business Combination. Merger Sub owns no material assets and does not operate any business.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Merger Sub’s principal executive office is located at 51 Astor Place, 10th Floor, New York, NY 10003, and its telephone number is (646) 205-5300.</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Proposals to be Put to the Shareholders of ARYA at the Extraordinary General Meeting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is a summary of the proposals to be put to the extraordinary general meeting of ARYA and certain transactions contemplated by the Business Combination Agreement. Each of the proposals below, except the Adjournment Proposal, is cross-conditioned on the approval of each other. The Adjournment Proposal is not conditioned upon the approval of any other proposal set forth in this proxy statement/prospectus. The transactions contemplated by the Business Combination Agreement will be consummated only if the Condition Precedent Proposals are approved at the extraordinary general meeting.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discussed in this proxy statement/prospectus, ARYA is asking its shareholders to approve by ordinary resolution the Business Combination Agreement, pursuant to which, among other things, 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After consideration of the factors identified and discussed in the section entitled “</w:t>
      </w:r>
      <w:r>
        <w:rPr>
          <w:rFonts w:ascii="Times New Roman;sans-serif" w:hAnsi="Times New Roman;sans-serif"/>
          <w:b w:val="false"/>
          <w:i/>
          <w:color w:val="000000"/>
          <w:sz w:val="20"/>
          <w:bdr w:val="single" w:sz="8" w:space="36" w:color="000000"/>
        </w:rPr>
        <w:t>Business Combination Proposal—The ARYA Board’s Reasons for the Business Combination</w:t>
      </w:r>
      <w:r>
        <w:rPr>
          <w:rFonts w:ascii="Times New Roman;sans-serif" w:hAnsi="Times New Roman;sans-serif"/>
          <w:b w:val="false"/>
          <w:color w:val="000000"/>
          <w:sz w:val="20"/>
          <w:bdr w:val="single" w:sz="8" w:space="36" w:color="000000"/>
        </w:rPr>
        <w:t>,” the ARYA Board concluded that the Business Combination met all of the requirements disclosed in the prospectus for ARYA’s initial public offering, including that the businesses of Nautilus had a fair market value of at least 80% of the balance of the funds in the trust account at the time of execution of the Business Combination Agreement. For more information about the transactions contemplated by the Business Combination Agreement, see “</w:t>
      </w:r>
      <w:r>
        <w:rPr>
          <w:rFonts w:ascii="Times New Roman;sans-serif" w:hAnsi="Times New Roman;sans-serif"/>
          <w:b w:val="false"/>
          <w:i/>
          <w:color w:val="000000"/>
          <w:sz w:val="20"/>
          <w:bdr w:val="single" w:sz="8" w:space="36" w:color="000000"/>
        </w:rPr>
        <w:t>Business Combination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Consideration to Nautilus Equityholders in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Business Combination Proposal—Business Combination Consideration</w:t>
      </w:r>
      <w:r>
        <w:rPr>
          <w:rFonts w:ascii="Times New Roman;sans-serif" w:hAnsi="Times New Roman;sans-serif"/>
          <w:b w:val="false"/>
          <w:color w:val="000000"/>
          <w:sz w:val="20"/>
          <w:bdr w:val="single" w:sz="8" w:space="36" w:color="000000"/>
        </w:rPr>
        <w:t xml:space="preserve">.” </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Conditions to Closing of the Business Combination</w:t>
      </w:r>
    </w:p>
    <w:p>
      <w:pPr>
        <w:pStyle w:val="TextBody"/>
        <w:spacing w:lineRule="auto" w:line="288" w:before="0" w:after="180"/>
        <w:rPr>
          <w:bdr w:val="single" w:sz="8" w:space="36" w:color="000000"/>
        </w:rPr>
      </w:pPr>
      <w:r>
        <w:rPr>
          <w:rFonts w:ascii="Times New Roman;sans-serif" w:hAnsi="Times New Roman;sans-serif"/>
          <w:b w:val="false"/>
          <w:color w:val="000000"/>
          <w:sz w:val="20"/>
          <w:bdr w:val="single" w:sz="8" w:space="36" w:color="000000"/>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Times New Roman;sans-serif" w:hAnsi="Times New Roman;sans-serif"/>
          <w:b w:val="false"/>
          <w:i/>
          <w:color w:val="000000"/>
          <w:sz w:val="20"/>
          <w:bdr w:val="single" w:sz="8" w:space="36" w:color="000000"/>
        </w:rPr>
        <w:t>Risk Factors—Nasdaq may not list New Nautilus’ securities on its exchange, which could limit investors’ ability to make transactions in New Nautilus’ securities and subject New Nautilus to additional trading restrictions.</w:t>
      </w:r>
      <w:r>
        <w:rPr>
          <w:color w:val="000000"/>
          <w:bdr w:val="single" w:sz="8" w:space="36" w:color="000000"/>
        </w:rPr>
        <w:t>”</w:t>
      </w:r>
      <w:r>
        <w:rPr>
          <w:rFonts w:ascii="Times New Roman;sans-serif" w:hAnsi="Times New Roman;sans-serif"/>
          <w:b w:val="false"/>
          <w:color w:val="000000"/>
          <w:sz w:val="20"/>
          <w:bdr w:val="single" w:sz="8" w:space="36" w:color="000000"/>
        </w:rPr>
        <w:t>); (vii) the effectiveness of the registration statement of which this registration statement/proxy statement forms a part; and (viii) the consummation of the Domestication. Therefore, unless these conditions are waived by both ARYA and Nautilus in the case of (i), (ii), (iii), (iv), (vi), (vii) and by Nautilus in the case of (v) and (vii), the Business Combination Agreement could terminate and the Business Combination may not be consummated. For further details, see “</w:t>
      </w:r>
      <w:r>
        <w:rPr>
          <w:rFonts w:ascii="Times New Roman;sans-serif" w:hAnsi="Times New Roman;sans-serif"/>
          <w:b w:val="false"/>
          <w:i/>
          <w:color w:val="000000"/>
          <w:sz w:val="20"/>
          <w:bdr w:val="single" w:sz="8" w:space="36" w:color="000000"/>
        </w:rPr>
        <w:t>Business Combination Proposal—Conditions to Closing of the Business Combination</w:t>
      </w:r>
      <w:r>
        <w:rPr>
          <w:rFonts w:ascii="Times New Roman;sans-serif" w:hAnsi="Times New Roman;sans-serif"/>
          <w:b w:val="false"/>
          <w:color w:val="000000"/>
          <w:sz w:val="20"/>
          <w:bdr w:val="single" w:sz="8" w:space="36" w:color="000000"/>
        </w:rPr>
        <w:t>.”</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Domestication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As discussed in this proxy statement/prospectus, ARYA will ask its shareholders to approve by special resolution the Domestication Proposal. As a condition to closing the Business Combination pursuant to the terms of the Business Combination Agreement, the board of directors of ARYA has unanimously approved the Domestication Proposal. The Domestication Proposal, if approved, will authorize a change of ARYA’s jurisdiction of incorporation from the Cayman Islands to the State of Delaware. Accordingly, while ARYA is currently incorporated as an exempted company under the Cayman Islands Companies Act, upon Domestication, New Nautilus will be governed by the DGCL. There are differences between Cayman Islands corporate law and Delaware corporate law as well as the Existing Governing Documents and the Proposed Certificate of Incorporation. The approval of each of the Domestication Proposal and the Charter Proposal requires a special resolution under Cayman Islands law, being the affirmative vote of holders at least a two-thirds (2/3) majority of the votes cast by the holders of the issued ordinary shares present in person or represented by proxy at the extraordinary general meeting and entitled to vote on such matter. Accordingly, we encourage shareholders to carefully consult the information set out below under “</w:t>
      </w:r>
      <w:r>
        <w:rPr>
          <w:rFonts w:ascii="Times New Roman;sans-serif" w:hAnsi="Times New Roman;sans-serif"/>
          <w:b w:val="false"/>
          <w:i/>
          <w:color w:val="000000"/>
          <w:sz w:val="20"/>
          <w:bdr w:val="single" w:sz="8" w:space="36" w:color="000000"/>
        </w:rPr>
        <w:t>Comparison of Corporate Governance and Shareholder Rights</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Domestication Proposal,” “Charter Proposal” and “Advisory Governing Documents Proposals</w:t>
      </w:r>
      <w:r>
        <w:rPr>
          <w:rFonts w:ascii="Times New Roman;sans-serif" w:hAnsi="Times New Roman;sans-serif"/>
          <w:b w:val="false"/>
          <w:color w:val="000000"/>
          <w:sz w:val="20"/>
          <w:bdr w:val="single" w:sz="8" w:space="36" w:color="000000"/>
        </w:rPr>
        <w:t xml:space="preserve">.” </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Charter Proposal</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will ask its shareholders to approve the amendment and restatement of the Existing Governing Documents, under Cayman Islands law, with the Proposed Certificate of Incorporation, under the DGCL, including the authorization of the change in authorized share capital as indicated therein and the change of name of ARYA to “Nautilus Biotechnology, Inc.” We encourage shareholders to carefully consult the information set out below under “The Charter Proposal” of this proxy statement/prospectus and a complete copy of the Proposed Certificate of Incorporation that is attached hereto as Annex C.</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Advisory Governing Documents Proposals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will ask its shareholders to approve, on a non-binding advisory basis, the following governance proposals in connection with the replacement of the Existing Governing Documents, under Cayman Islands law, with the Proposed Certificate of Incorporation, under the DGCL. The ARYA Board has unanimously approved each of the Advisory Governing Documents Proposals and believes such proposals are necessary to adequately address the needs of New Nautilus after the Business Combination. A brief summary of each of the Advisory Governing Documents Proposals is set forth below. These summaries are qualified in their entirety by reference to the complete text of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A</w:t>
      </w:r>
      <w:r>
        <w:rPr>
          <w:color w:val="000000"/>
        </w:rPr>
        <w:t>—</w:t>
      </w:r>
      <w:r>
        <w:rPr>
          <w:rFonts w:ascii="Times New Roman;sans-serif" w:hAnsi="Times New Roman;sans-serif"/>
          <w:b w:val="false"/>
          <w:color w:val="000000"/>
          <w:sz w:val="20"/>
        </w:rPr>
        <w:t>an amendment to change in the authorized share capital of ARYA from US$50,000 divided into (i) 479,000,000 Class A ordinary shares, par value $0.0001 per share, 20,000,000 Class B ordinary shares, par value $0.0001 per share and 1,000,000 preference shares, par value $0.0001 to (ii) 1,000,000,000 shares of New Nautilus Common Stock, par value $0.0001 per share and 200,000,000 shares of New Nautilus Preferred Stock, par value $0.0001 per share.</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B</w:t>
      </w: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C</w:t>
      </w: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D</w:t>
      </w:r>
      <w:r>
        <w:rPr>
          <w:color w:val="000000"/>
        </w:rPr>
        <w:t>—</w:t>
      </w:r>
      <w:r>
        <w:rPr>
          <w:rFonts w:ascii="Times New Roman;sans-serif" w:hAnsi="Times New Roman;sans-serif"/>
          <w:b w:val="false"/>
          <w:color w:val="000000"/>
          <w:sz w:val="20"/>
        </w:rPr>
        <w:t xml:space="preserve">certain other changes in connection with the replacement of the Existing Governing Documents with the Proposed Certificate of Incorporation as part of the Domestication, including (i) changing the post-Business Combination corporate name from “ARYA Sciences Acquisition Corp III” to “Nautilus Biotechnology, Inc.” (which is expected to occur after the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Proposed Certificate of Incorporation differs in certain material respects from the Existing Governing Documents, and we encourage shareholders to carefully consult the information set out in the section entitled “</w:t>
      </w:r>
      <w:r>
        <w:rPr>
          <w:rFonts w:ascii="Times New Roman;sans-serif" w:hAnsi="Times New Roman;sans-serif"/>
          <w:b w:val="false"/>
          <w:i/>
          <w:color w:val="000000"/>
          <w:sz w:val="20"/>
          <w:bdr w:val="single" w:sz="8" w:space="36" w:color="000000"/>
        </w:rPr>
        <w:t>Advisory</w:t>
      </w:r>
      <w:r>
        <w:rPr>
          <w:color w:val="000000"/>
          <w:bdr w:val="single" w:sz="8" w:space="36" w:color="000000"/>
        </w:rPr>
        <w:t xml:space="preserve"> </w:t>
      </w:r>
      <w:r>
        <w:rPr>
          <w:rFonts w:ascii="Times New Roman;sans-serif" w:hAnsi="Times New Roman;sans-serif"/>
          <w:b w:val="false"/>
          <w:i/>
          <w:color w:val="000000"/>
          <w:sz w:val="20"/>
          <w:bdr w:val="single" w:sz="8" w:space="36" w:color="000000"/>
        </w:rPr>
        <w:t>Governing Documents Proposals</w:t>
      </w:r>
      <w:r>
        <w:rPr>
          <w:color w:val="000000"/>
          <w:bdr w:val="single" w:sz="8" w:space="36" w:color="000000"/>
        </w:rPr>
        <w:t xml:space="preserve">” </w:t>
      </w:r>
      <w:r>
        <w:rPr>
          <w:rFonts w:ascii="Times New Roman;sans-serif" w:hAnsi="Times New Roman;sans-serif"/>
          <w:b w:val="false"/>
          <w:color w:val="000000"/>
          <w:sz w:val="20"/>
          <w:bdr w:val="single" w:sz="8" w:space="36" w:color="000000"/>
        </w:rPr>
        <w:t>and the full text of the Proposed Certificate of Incorporation of New Nautilus, attached hereto as Annex C.</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Nasdaq Proposal</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Nasdaq Proposal. Our public shares are listed on Nasdaq and, as such, we are seeking shareholder approval for issuance of New Nautilus Common Stock in connection with the Business Combination and the PIPE Financing pursuant to Nasdaq Listing Rule 5635.</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additional information, see “</w:t>
      </w:r>
      <w:r>
        <w:rPr>
          <w:rFonts w:ascii="Times New Roman;sans-serif" w:hAnsi="Times New Roman;sans-serif"/>
          <w:b w:val="false"/>
          <w:i/>
          <w:color w:val="000000"/>
          <w:sz w:val="20"/>
          <w:bdr w:val="single" w:sz="8" w:space="36" w:color="000000"/>
        </w:rPr>
        <w:t>Nasdaq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Incentive Award Plan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Incentive Award Plan Proposal. Pursuant to the 2021 Plan, a number of shares of New Nautilus Common Stock equal to 16,182,600 shares of New Nautilus Common Stock that are outstanding on an as-converted and as-redeemed basis as of the date immediately following the consummation of the Business Combination will be reserved for issuance under the 2021 Plan. The 2021 Plan provides that the number of shares reserved and available for issuance under the plan will automatically increase each January 1, beginning on January 1, 2022, by 5% of the outstanding number of shares of New Nautilus Common Stock on the immediately preceding December 31, or such lesser amount as determined by the Board of New Nautilus. For additional information, see “</w:t>
      </w:r>
      <w:r>
        <w:rPr>
          <w:rFonts w:ascii="Times New Roman;sans-serif" w:hAnsi="Times New Roman;sans-serif"/>
          <w:b w:val="false"/>
          <w:i/>
          <w:color w:val="000000"/>
          <w:sz w:val="20"/>
          <w:bdr w:val="single" w:sz="8" w:space="36" w:color="000000"/>
        </w:rPr>
        <w:t>Incentive Award Plan Proposal</w:t>
      </w:r>
      <w:r>
        <w:rPr>
          <w:rFonts w:ascii="Times New Roman;sans-serif" w:hAnsi="Times New Roman;sans-serif"/>
          <w:b w:val="false"/>
          <w:color w:val="000000"/>
          <w:sz w:val="20"/>
          <w:bdr w:val="single" w:sz="8" w:space="36" w:color="000000"/>
        </w:rPr>
        <w:t>.” The full text of the 2021 Plan is attached hereto as Annex I.</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Employee Stock Purchase Plan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Employee Stock Purchase Plan Proposal. A total of 1,244,900 shares of New Nautilus Common Stock will be reserved for issuance under the ESPP. Based upon a price per share of $10.00, the maximum aggregate market value of the New Nautilus Common Stock that could potentially be issued under the ESPP at Closing is $12,449,000. The ESPP provides that the number of shares reserved and available for issuance under the ESPP will automatically increase each January 1, beginning on January 1, 2022, by 1% of the outstanding number of shares of New Nautilus Common Stock on the immediately preceding December 31, or such lesser amount as determined by the New Nautilus Board. For additional information, see “</w:t>
      </w:r>
      <w:r>
        <w:rPr>
          <w:rFonts w:ascii="Times New Roman;sans-serif" w:hAnsi="Times New Roman;sans-serif"/>
          <w:b w:val="false"/>
          <w:i/>
          <w:color w:val="000000"/>
          <w:sz w:val="20"/>
          <w:bdr w:val="single" w:sz="8" w:space="36" w:color="000000"/>
        </w:rPr>
        <w:t>Employee Stock Purchase Plan Proposal</w:t>
      </w:r>
      <w:r>
        <w:rPr>
          <w:rFonts w:ascii="Times New Roman;sans-serif" w:hAnsi="Times New Roman;sans-serif"/>
          <w:b w:val="false"/>
          <w:color w:val="000000"/>
          <w:sz w:val="20"/>
          <w:bdr w:val="single" w:sz="8" w:space="36" w:color="000000"/>
        </w:rPr>
        <w:t>.” The full text of the ESPP is attached hereto as Annex J.</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Adjournment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If, based on the tabulated vote, there are not sufficient votes at the time of the extraordinary general meeting to authorize ARYA to consummate the Business Combination, the ARYA Board may submit a proposal to adjourn the extraordinary general meeting to a later date or dates to consider and vote upon a proposal to approve by ordinary resolution the adjournment of the extraordinary general meeting to a later date or dates. For additional information, see “</w:t>
      </w:r>
      <w:r>
        <w:rPr>
          <w:rFonts w:ascii="Times New Roman;sans-serif" w:hAnsi="Times New Roman;sans-serif"/>
          <w:b w:val="false"/>
          <w:i/>
          <w:color w:val="000000"/>
          <w:sz w:val="20"/>
          <w:bdr w:val="single" w:sz="8" w:space="36" w:color="000000"/>
        </w:rPr>
        <w:t>Adjournment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Proposals are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ARYA Board’s Reasons for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the Sponsor and the ARYA Board and management to identify, acquire and operate one or more businesses. The members of the ARYA Board and management have extensive transactional experience, particularly in the healthcare and life sciences industries.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particular, the ARYA Board considered the following positive factors, although not weighted or in any order of significance, in deciding to approve the Business Combination Proposal:</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single molecule proteomics platform with integrated machine learning software;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leadership in commercial proteomics detection technology and targeted product development plan;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potential clinical applications of the Nautilus Platform;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continuously self-improving data driven technology;</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    experienced and multidisciplinary management team;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F.    advancement of the Nautilus Platform through a strong commitment to R&amp;D and new partnerships and collaborations;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G.    efficient and scalable sourcing and manufacturing processes; and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H.    results of due diligence and attractive valuation.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also considered a variety of uncertainties and risks and other potentially negative factors concerning the Business Combination, including, but not limited to, the following: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risk that the potential benefits of the Business Combination may not be fully achieved;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risks and costs to ARYA if the Business Combination is not completed;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C.the fact that the Business Combination Agreement includes an exclusivity provision that prohibits ARYA from soliciting other business combination proposals;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D.the risk that ARYA’s shareholders may fail to provide the respective votes necessary to effect the Business Combination;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E.the post-business combination corporate governance and the terms of the Amended and Restated Registration Rights and Lock-Up Agreement;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F.the limited review undertaken by the ARYA Board;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G.the fact that the completion of the Business Combination is conditioned on the satisfaction of certain closing conditions that are not within ARYA’s control;</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H.potential litigation challenging the Business Combination;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I.the fees and expenses associated with completing the Business Combination; and</w:t>
      </w:r>
    </w:p>
    <w:p>
      <w:pPr>
        <w:pStyle w:val="TextBody"/>
        <w:spacing w:lineRule="auto" w:line="288" w:before="0" w:after="180"/>
        <w:ind w:left="0" w:right="0" w:hanging="360"/>
        <w:rPr/>
      </w:pPr>
      <w:r>
        <w:rPr>
          <w:rFonts w:ascii="Times New Roman;sans-serif" w:hAnsi="Times New Roman;sans-serif"/>
          <w:b w:val="false"/>
          <w:color w:val="000000"/>
          <w:sz w:val="20"/>
        </w:rPr>
        <w:t>J.various other risks associated with the Business Combination, the business of ARYA and the business of Nautilus described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more information about the ARYA Board’s decision-making process concerning the Business Combination, please see the section entitled “</w:t>
      </w:r>
      <w:r>
        <w:rPr>
          <w:rFonts w:ascii="Times New Roman;sans-serif" w:hAnsi="Times New Roman;sans-serif"/>
          <w:b w:val="false"/>
          <w:i/>
          <w:color w:val="000000"/>
          <w:sz w:val="20"/>
          <w:bdr w:val="single" w:sz="8" w:space="36" w:color="000000"/>
        </w:rPr>
        <w:t>The Business Combination Proposal—the ARYA Board’s Reasons for the Business Combination</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Related Agreements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This section describes certain additional agreements entered into or to be entered into in connection with the Business Combination Agreement. For additional information, see “</w:t>
      </w:r>
      <w:r>
        <w:rPr>
          <w:rFonts w:ascii="Times New Roman;sans-serif" w:hAnsi="Times New Roman;sans-serif"/>
          <w:b w:val="false"/>
          <w:i/>
          <w:color w:val="000000"/>
          <w:sz w:val="20"/>
          <w:bdr w:val="single" w:sz="8" w:space="36" w:color="000000"/>
        </w:rPr>
        <w:t>Business Combination Proposal—Related Agreements</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PIPE Financing</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ARYA entered into Subscription Agreements with the PIPE Investors to consummate the PIPE Financing, pursuant to which the PIPE Investors have agreed to subscribe for and purchase, and ARYA has agreed to issue and sell to the PIPE Investors,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For additional information, see “</w:t>
      </w:r>
      <w:r>
        <w:rPr>
          <w:rFonts w:ascii="Times New Roman;sans-serif" w:hAnsi="Times New Roman;sans-serif"/>
          <w:b w:val="false"/>
          <w:i/>
          <w:color w:val="000000"/>
          <w:sz w:val="20"/>
          <w:bdr w:val="single" w:sz="8" w:space="36" w:color="000000"/>
        </w:rPr>
        <w:t>Business Combination Proposal—Related Agreements—PIPE Financing</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Amended and Restated Registration Rights and Lock-Up Agreement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 xml:space="preserve">In connection with the signing of the Business Combination Agreement, ARYA, ARYA’s initial shareholders, the Perceptive PIPE Investor, the current Nautilus directors and certain additional Nautilus Shareholders entered into an Amended and Restated Registration Rights and Lock-Up Agreement (the “Amended and Restated </w:t>
      </w:r>
      <w:r>
        <w:rPr>
          <w:rFonts w:ascii="Times New Roman;sans-serif" w:hAnsi="Times New Roman;sans-serif"/>
          <w:b w:val="false"/>
          <w:color w:val="000000"/>
          <w:sz w:val="20"/>
          <w:u w:val="single"/>
          <w:bdr w:val="single" w:sz="8" w:space="36" w:color="000000"/>
        </w:rPr>
        <w:t>Registration Rights and Lock-Up Agreement</w:t>
      </w:r>
      <w:r>
        <w:rPr>
          <w:color w:val="000000"/>
          <w:bdr w:val="single" w:sz="8" w:space="36" w:color="000000"/>
        </w:rPr>
        <w:t>”</w:t>
      </w:r>
      <w:r>
        <w:rPr>
          <w:rFonts w:ascii="Times New Roman;sans-serif" w:hAnsi="Times New Roman;sans-serif"/>
          <w:b w:val="false"/>
          <w:color w:val="000000"/>
          <w:sz w:val="20"/>
          <w:bdr w:val="single" w:sz="8" w:space="36" w:color="000000"/>
        </w:rPr>
        <w:t>), pursuant to which, among other things, the holders party thereto will be granted certain customary registration rights with respect to their respective shares of New Nautilus Common Stock and such holders agreed to a 180-day lock up, in each case effective upon the Closing. For additional information, see “</w:t>
      </w:r>
      <w:r>
        <w:rPr>
          <w:rFonts w:ascii="Times New Roman;sans-serif" w:hAnsi="Times New Roman;sans-serif"/>
          <w:b w:val="false"/>
          <w:i/>
          <w:color w:val="000000"/>
          <w:sz w:val="20"/>
          <w:bdr w:val="single" w:sz="8" w:space="36" w:color="000000"/>
        </w:rPr>
        <w:t>Business Combination Proposal—Related Agreements—Amended and Restated Registration Rights and Lock-Up Agreement</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Nautilus Shareholder Transaction Support Agreements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Pursuant to the Business Combination Agreement, certain major Nautilus Shareholders entered into Transaction Support Agreements with ARYA (collectively, the “</w:t>
      </w:r>
      <w:r>
        <w:rPr>
          <w:rFonts w:ascii="Times New Roman;sans-serif" w:hAnsi="Times New Roman;sans-serif"/>
          <w:b w:val="false"/>
          <w:color w:val="000000"/>
          <w:sz w:val="20"/>
          <w:u w:val="single"/>
          <w:bdr w:val="single" w:sz="8" w:space="36" w:color="000000"/>
        </w:rPr>
        <w:t>Nautilus Shareholder Transaction Support Agreements</w:t>
      </w:r>
      <w:r>
        <w:rPr>
          <w:color w:val="000000"/>
          <w:bdr w:val="single" w:sz="8" w:space="36" w:color="000000"/>
        </w:rPr>
        <w:t>”</w:t>
      </w:r>
      <w:r>
        <w:rPr>
          <w:rFonts w:ascii="Times New Roman;sans-serif" w:hAnsi="Times New Roman;sans-serif"/>
          <w:b w:val="false"/>
          <w:color w:val="000000"/>
          <w:sz w:val="20"/>
          <w:bdr w:val="single" w:sz="8" w:space="36" w:color="000000"/>
        </w:rPr>
        <w:t>), pursuant to which such Nautilus Shareholders have agreed to, among other things, (i) vote in favor of the Business Combination Agreement and the transactions contemplated thereby and (ii) be bound by certain other covenants and agreements related to the Business Combination. For additional information, see “</w:t>
      </w:r>
      <w:r>
        <w:rPr>
          <w:rFonts w:ascii="Times New Roman;sans-serif" w:hAnsi="Times New Roman;sans-serif"/>
          <w:b w:val="false"/>
          <w:i/>
          <w:color w:val="000000"/>
          <w:sz w:val="20"/>
          <w:bdr w:val="single" w:sz="8" w:space="36" w:color="000000"/>
        </w:rPr>
        <w:t>Business Combination Proposal—Related Agreements—Transaction Support Agreements</w:t>
      </w:r>
      <w:r>
        <w:rPr>
          <w:rFonts w:ascii="Times New Roman;sans-serif" w:hAnsi="Times New Roman;sans-serif"/>
          <w:b w:val="false"/>
          <w:color w:val="000000"/>
          <w:sz w:val="20"/>
          <w:bdr w:val="single" w:sz="8" w:space="36" w:color="000000"/>
        </w:rPr>
        <w:t>.”</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Sponsor Letter Agreement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Pursuant to the Business Combination Agreement, ARYA, Sponsor, Todd Wider, Bradley L. Campbell and Saqib Islam and Nautilus entered into the Sponsor Letter Agreement (the “</w:t>
      </w:r>
      <w:r>
        <w:rPr>
          <w:rFonts w:ascii="Times New Roman;sans-serif" w:hAnsi="Times New Roman;sans-serif"/>
          <w:b w:val="false"/>
          <w:color w:val="000000"/>
          <w:sz w:val="20"/>
          <w:u w:val="single"/>
          <w:bdr w:val="single" w:sz="8" w:space="36" w:color="000000"/>
        </w:rPr>
        <w:t>Sponsor Letter Agreement</w:t>
      </w:r>
      <w:r>
        <w:rPr>
          <w:color w:val="000000"/>
          <w:bdr w:val="single" w:sz="8" w:space="36" w:color="000000"/>
        </w:rPr>
        <w:t>”</w:t>
      </w:r>
      <w:r>
        <w:rPr>
          <w:rFonts w:ascii="Times New Roman;sans-serif" w:hAnsi="Times New Roman;sans-serif"/>
          <w:b w:val="false"/>
          <w:color w:val="000000"/>
          <w:sz w:val="20"/>
          <w:bdr w:val="single" w:sz="8" w:space="36" w:color="000000"/>
        </w:rPr>
        <w:t>), pursuant to which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and be bound by certain transfer restrictions with respect to his, her or its shares in ARYA prior to the closing of the Business Combination, in each case, on the terms and subject to the conditions set forth in the Sponsor Letter Agreement.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Ownership of New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 2021; (ii) 20,000,000 shares of New Nautilus Common Stock are issued in the PIPE Financing; and (iii) no options to purchase New Nautilus Common Stock outstanding as of               ,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8,752,100 of ARYA’s outstanding public shares are redeemed in connection with the Business Combination, which is the estimated maximum number of shares that may be redeemed while still enabling the Aggregate Transaction Proceeds Condition to be met.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Business Combination Proposal—Consideration to Nautilus Equityholders in the Business Combination</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Date, Time and Place of Extraordinary General Meeting of ARYA’s Shareholders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extraordinary general meeting of ARYA, will be held at 9:00 a.m., Eastern Time, on                , 2021, at the offices of Kirkland &amp; Ellis LLP, located at 601 Lexington Avenue, New York, New York 10022, to consider and vote upon the proposals to be put to the extraordinary general meeting, including if necessary, the Adjournment Proposal, to permit further solicitation and vote of proxies if, based upon the tabulated vote at the time of the extraordinary general meeting, each of the Condition Precedent Proposals have not been approved.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Voting Power; Record Date</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Quorum and Vote of ARYA Shareholders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proposals presented at the extraordinary general meeting require the following votes:</w:t>
      </w:r>
    </w:p>
    <w:p>
      <w:pPr>
        <w:pStyle w:val="TextBody"/>
        <w:spacing w:lineRule="auto" w:line="288" w:before="0" w:after="180"/>
        <w:ind w:left="0" w:right="0" w:hanging="360"/>
        <w:rPr/>
      </w:pPr>
      <w:r>
        <w:rPr>
          <w:rFonts w:ascii="Times New Roman;sans-serif" w:hAnsi="Times New Roman;sans-serif"/>
          <w:b w:val="false"/>
          <w:color w:val="000000"/>
          <w:sz w:val="20"/>
        </w:rPr>
        <w:t>(i)</w:t>
      </w:r>
      <w:r>
        <w:rPr>
          <w:rFonts w:ascii="Times New Roman;sans-serif" w:hAnsi="Times New Roman;sans-serif"/>
          <w:b/>
          <w:i/>
          <w:color w:val="000000"/>
          <w:sz w:val="20"/>
        </w:rPr>
        <w:t>Business Combination Proposal:</w:t>
      </w:r>
      <w:r>
        <w:rPr>
          <w:color w:val="000000"/>
        </w:rPr>
        <w:t xml:space="preserve"> </w:t>
      </w:r>
      <w:r>
        <w:rPr>
          <w:rFonts w:ascii="Times New Roman;sans-serif" w:hAnsi="Times New Roman;sans-serif"/>
          <w:b w:val="false"/>
          <w:color w:val="000000"/>
          <w:sz w:val="20"/>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(ii)</w:t>
      </w:r>
      <w:r>
        <w:rPr>
          <w:rFonts w:ascii="Times New Roman;sans-serif" w:hAnsi="Times New Roman;sans-serif"/>
          <w:b/>
          <w:i/>
          <w:color w:val="000000"/>
          <w:sz w:val="20"/>
        </w:rPr>
        <w:t>Domestication Proposal:</w:t>
      </w:r>
      <w:r>
        <w:rPr>
          <w:color w:val="000000"/>
        </w:rPr>
        <w:t xml:space="preserve"> </w:t>
      </w: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(iii)</w:t>
      </w:r>
      <w:r>
        <w:rPr>
          <w:rFonts w:ascii="Times New Roman;sans-serif" w:hAnsi="Times New Roman;sans-serif"/>
          <w:b/>
          <w:i/>
          <w:color w:val="000000"/>
          <w:sz w:val="20"/>
        </w:rPr>
        <w:t>Charter Proposal:</w:t>
      </w:r>
      <w:r>
        <w:rPr>
          <w:color w:val="000000"/>
        </w:rPr>
        <w:t xml:space="preserve"> </w:t>
      </w:r>
      <w:r>
        <w:rPr>
          <w:rFonts w:ascii="Times New Roman;sans-serif" w:hAnsi="Times New Roman;sans-serif"/>
          <w:b w:val="false"/>
          <w:color w:val="000000"/>
          <w:sz w:val="20"/>
        </w:rPr>
        <w:t>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pStyle w:val="TextBody"/>
        <w:spacing w:lineRule="auto" w:line="288" w:before="0" w:after="180"/>
        <w:ind w:left="0" w:right="0" w:hanging="360"/>
        <w:rPr/>
      </w:pPr>
      <w:r>
        <w:rPr>
          <w:rFonts w:ascii="Times New Roman;sans-serif" w:hAnsi="Times New Roman;sans-serif"/>
          <w:b w:val="false"/>
          <w:color w:val="000000"/>
          <w:sz w:val="20"/>
        </w:rPr>
        <w:t>(iv)</w:t>
      </w:r>
      <w:r>
        <w:rPr>
          <w:rFonts w:ascii="Times New Roman;sans-serif" w:hAnsi="Times New Roman;sans-serif"/>
          <w:b/>
          <w:i/>
          <w:color w:val="000000"/>
          <w:sz w:val="20"/>
        </w:rPr>
        <w:t>Advisory Governing Documents Proposals:</w:t>
      </w:r>
      <w:r>
        <w:rPr>
          <w:color w:val="000000"/>
        </w:rPr>
        <w:t xml:space="preserve"> </w:t>
      </w:r>
      <w:r>
        <w:rPr>
          <w:rFonts w:ascii="Times New Roman;sans-serif" w:hAnsi="Times New Roman;sans-serif"/>
          <w:b w:val="false"/>
          <w:color w:val="000000"/>
          <w:sz w:val="20"/>
        </w:rPr>
        <w:t>The approval, on a non-binding advisory basis, of each of the Advisory Governing Documents 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rFonts w:ascii="Times New Roman;sans-serif" w:hAnsi="Times New Roman;sans-serif"/>
          <w:b w:val="false"/>
          <w:color w:val="000000"/>
          <w:sz w:val="20"/>
        </w:rPr>
        <w:t>(v)</w:t>
      </w:r>
      <w:r>
        <w:rPr>
          <w:rFonts w:ascii="Times New Roman;sans-serif" w:hAnsi="Times New Roman;sans-serif"/>
          <w:b/>
          <w:i/>
          <w:color w:val="000000"/>
          <w:sz w:val="20"/>
        </w:rPr>
        <w:t>Nasdaq Proposal:</w:t>
      </w:r>
      <w:r>
        <w:rPr>
          <w:color w:val="000000"/>
        </w:rPr>
        <w:t xml:space="preserve"> </w:t>
      </w:r>
      <w:r>
        <w:rPr>
          <w:rFonts w:ascii="Times New Roman;sans-serif" w:hAnsi="Times New Roman;sans-serif"/>
          <w:b w:val="false"/>
          <w:color w:val="000000"/>
          <w:sz w:val="20"/>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(vi)</w:t>
      </w:r>
      <w:r>
        <w:rPr>
          <w:rFonts w:ascii="Times New Roman;sans-serif" w:hAnsi="Times New Roman;sans-serif"/>
          <w:b/>
          <w:i/>
          <w:color w:val="000000"/>
          <w:sz w:val="20"/>
        </w:rPr>
        <w:t>Incentive Award Plan Proposal:</w:t>
      </w:r>
      <w:r>
        <w:rPr>
          <w:color w:val="000000"/>
        </w:rPr>
        <w:t xml:space="preserve"> </w:t>
      </w: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(vii)</w:t>
      </w:r>
      <w:r>
        <w:rPr>
          <w:color w:val="000000"/>
        </w:rPr>
        <w:t> </w:t>
      </w:r>
      <w:r>
        <w:rPr>
          <w:rFonts w:ascii="Times New Roman;sans-serif" w:hAnsi="Times New Roman;sans-serif"/>
          <w:b/>
          <w:i/>
          <w:color w:val="000000"/>
          <w:sz w:val="20"/>
        </w:rPr>
        <w:t>Employee Stock Purchase Plan Proposal:</w:t>
      </w:r>
      <w:r>
        <w:rPr>
          <w:color w:val="000000"/>
        </w:rPr>
        <w:t xml:space="preserve"> </w:t>
      </w:r>
      <w:r>
        <w:rPr>
          <w:rFonts w:ascii="Times New Roman;sans-serif" w:hAnsi="Times New Roman;sans-serif"/>
          <w:b w:val="false"/>
          <w:color w:val="000000"/>
          <w:sz w:val="20"/>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(viii) </w:t>
      </w:r>
      <w:r>
        <w:rPr>
          <w:rFonts w:ascii="Times New Roman;sans-serif" w:hAnsi="Times New Roman;sans-serif"/>
          <w:b/>
          <w:i/>
          <w:color w:val="000000"/>
          <w:sz w:val="20"/>
        </w:rPr>
        <w:t>Adjournment Proposal:</w:t>
      </w:r>
      <w:r>
        <w:rPr>
          <w:color w:val="000000"/>
        </w:rPr>
        <w:t xml:space="preserve"> </w:t>
      </w: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Redemption Rights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DTC.</w:t>
      </w:r>
    </w:p>
    <w:p>
      <w:pPr>
        <w:pStyle w:val="TextBody"/>
        <w:spacing w:lineRule="auto" w:line="288" w:before="0" w:after="180"/>
        <w:ind w:left="0" w:right="0" w:firstLine="36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ind w:left="0" w:right="0" w:firstLine="360"/>
        <w:rPr>
          <w:bdr w:val="single" w:sz="8" w:space="36" w:color="000000"/>
        </w:rPr>
      </w:pPr>
      <w:r>
        <w:rPr>
          <w:rFonts w:ascii="Times New Roman;sans-serif" w:hAnsi="Times New Roman;sans-serif"/>
          <w:b/>
          <w:color w:val="000000"/>
          <w:sz w:val="20"/>
          <w:bdr w:val="single" w:sz="8" w:space="36" w:color="00000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Times New Roman;sans-serif" w:hAnsi="Times New Roman;sans-serif"/>
          <w:b w:val="false"/>
          <w:color w:val="000000"/>
          <w:sz w:val="20"/>
          <w:bdr w:val="single" w:sz="8" w:space="36" w:color="000000"/>
        </w:rPr>
        <w:t>If the Business Combination is not 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w:t>
      </w:r>
      <w:r>
        <w:rPr>
          <w:color w:val="000000"/>
          <w:bdr w:val="single" w:sz="8" w:space="36" w:color="000000"/>
        </w:rPr>
        <w:t xml:space="preserve">           </w:t>
      </w:r>
      <w:r>
        <w:rPr>
          <w:rFonts w:ascii="Times New Roman;sans-serif" w:hAnsi="Times New Roman;sans-serif"/>
          <w:b w:val="false"/>
          <w:color w:val="000000"/>
          <w:sz w:val="20"/>
          <w:bdr w:val="single" w:sz="8" w:space="36" w:color="000000"/>
        </w:rPr>
        <w:t>, 2021, this would have amounted to approximately $</w:t>
      </w:r>
      <w:r>
        <w:rPr>
          <w:color w:val="000000"/>
          <w:bdr w:val="single" w:sz="8" w:space="36" w:color="000000"/>
        </w:rPr>
        <w:t xml:space="preserve">           </w:t>
      </w:r>
      <w:r>
        <w:rPr>
          <w:rFonts w:ascii="Times New Roman;sans-serif" w:hAnsi="Times New Roman;sans-serif"/>
          <w:b w:val="false"/>
          <w:color w:val="000000"/>
          <w:sz w:val="20"/>
          <w:bdr w:val="single" w:sz="8" w:space="36" w:color="000000"/>
        </w:rPr>
        <w:t>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bdr w:val="single" w:sz="8" w:space="36" w:color="000000"/>
        </w:rPr>
        <w:t>Extraordinary General Meeting of ARYA— Redemption Rights</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this proxy statement/prospectus for a detailed description of the procedures to be followed if you wish to redeem your public shares for cash.</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 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Appraisal Rights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shareholders have no appraisal rights in connection with the Business Combination or the Domestication under the Cayman Islands Companies Act or under the DGCL.</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Proxy Solicitation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Proxies may be solicited by mail, telephone or in person. ARYA has engaged Morrow to assist in the solicitation of proxies.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Times New Roman;sans-serif" w:hAnsi="Times New Roman;sans-serif"/>
          <w:b w:val="false"/>
          <w:i/>
          <w:color w:val="000000"/>
          <w:sz w:val="20"/>
          <w:bdr w:val="single" w:sz="8" w:space="36" w:color="000000"/>
        </w:rPr>
        <w:t>Extraordinary General Meeting of ARYA—Revoking Your Proxy</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Interests of ARYA Directors and Executive Officers in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those private placement shares would be worthless if a business combination is not consummated by August 11, 2022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will be entered into by Messrs. Wider, Campbell and Islam;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Perceptive PIPE Investor has entered into a subscription agreement to purchase 5,500,000 shares in the PIPE Financing;</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(i.e.,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ARYA may be entitled to distribute or pay over funds held by ARYA outside the Trust Account to the Sponsor or any of its Affiliates prior to the Closing;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 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Recommendation to Shareholders of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bdr w:val="single" w:sz="8" w:space="36" w:color="000000"/>
        </w:rPr>
        <w:t>Business Combination Proposal— Interests of ARYA’s Directors and Executive Officers in the Business Combination</w:t>
      </w:r>
      <w:r>
        <w:rPr>
          <w:color w:val="000000"/>
          <w:bdr w:val="single" w:sz="8" w:space="36" w:color="000000"/>
        </w:rPr>
        <w:t xml:space="preserve">” </w:t>
      </w:r>
      <w:r>
        <w:rPr>
          <w:rFonts w:ascii="Times New Roman;sans-serif" w:hAnsi="Times New Roman;sans-serif"/>
          <w:b w:val="false"/>
          <w:color w:val="000000"/>
          <w:sz w:val="20"/>
          <w:bdr w:val="single" w:sz="8" w:space="36" w:color="000000"/>
        </w:rPr>
        <w:t>for a further discussion of these considerations.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Sources and Uses of Funds for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tables summarize the sources and uses for funding the Business Combination assuming a Closing Date of               , 2021, and (i) assuming that none of ARYA’s outstanding public shares are redeemed in connection with the Business Combination and (ii) assuming that all of ARYA’s outstanding public shares are redeemed in connection with the Business Combination.</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No Redemption</w:t>
      </w:r>
    </w:p>
    <w:tbl>
      <w:tblPr>
        <w:tblW w:w="10205" w:type="dxa"/>
        <w:jc w:val="left"/>
        <w:tblInd w:w="0" w:type="dxa"/>
        <w:tblCellMar>
          <w:top w:w="28" w:type="dxa"/>
          <w:left w:w="28" w:type="dxa"/>
          <w:bottom w:w="28" w:type="dxa"/>
          <w:right w:w="28" w:type="dxa"/>
        </w:tblCellMar>
      </w:tblPr>
      <w:tblGrid>
        <w:gridCol w:w="1421"/>
        <w:gridCol w:w="1101"/>
        <w:gridCol w:w="1105"/>
        <w:gridCol w:w="211"/>
        <w:gridCol w:w="976"/>
        <w:gridCol w:w="109"/>
        <w:gridCol w:w="109"/>
        <w:gridCol w:w="109"/>
        <w:gridCol w:w="109"/>
        <w:gridCol w:w="1203"/>
        <w:gridCol w:w="1203"/>
        <w:gridCol w:w="1206"/>
        <w:gridCol w:w="211"/>
        <w:gridCol w:w="976"/>
        <w:gridCol w:w="156"/>
      </w:tblGrid>
      <w:tr>
        <w:trPr/>
        <w:tc>
          <w:tcPr>
            <w:tcW w:w="142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2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Source of Funds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Uses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Existing Cash held in trust account</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Fees and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Nautilus Cash at Closing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Cash on Balance Sheet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Sources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(1)Totals might be affected by rounding.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 of December 31, 2020.</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(3)Shares issued to Nautilus are at a deemed value of $10.00 per share. Assumes 90,000,000 shares are issued to the Nautilus Shareholders.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Maximum Redemption</w:t>
      </w:r>
    </w:p>
    <w:tbl>
      <w:tblPr>
        <w:tblW w:w="10205" w:type="dxa"/>
        <w:jc w:val="left"/>
        <w:tblInd w:w="0" w:type="dxa"/>
        <w:tblCellMar>
          <w:top w:w="28" w:type="dxa"/>
          <w:left w:w="28" w:type="dxa"/>
          <w:bottom w:w="28" w:type="dxa"/>
          <w:right w:w="28" w:type="dxa"/>
        </w:tblCellMar>
      </w:tblPr>
      <w:tblGrid>
        <w:gridCol w:w="1421"/>
        <w:gridCol w:w="1101"/>
        <w:gridCol w:w="1105"/>
        <w:gridCol w:w="211"/>
        <w:gridCol w:w="976"/>
        <w:gridCol w:w="109"/>
        <w:gridCol w:w="109"/>
        <w:gridCol w:w="109"/>
        <w:gridCol w:w="109"/>
        <w:gridCol w:w="1203"/>
        <w:gridCol w:w="1203"/>
        <w:gridCol w:w="1206"/>
        <w:gridCol w:w="211"/>
        <w:gridCol w:w="976"/>
        <w:gridCol w:w="156"/>
      </w:tblGrid>
      <w:tr>
        <w:trPr/>
        <w:tc>
          <w:tcPr>
            <w:tcW w:w="142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2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Source of Funds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Uses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Cash held in trust account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Fees and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Nautilus Cash at Closing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Cash on Balance Sheet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Sources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(1)Totals might be affected by rounding.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(2)Shares issued to Nautilus are at a deemed value of $10.00 per share. Assumes 90,000,000 shares are issued to the Nautilus Shareholders.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Material U.S. Federal Income Tax Considerations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a discussion summarizing the U.S. federal income tax considerations of the Domestication and exercise of redemption rights, please see “</w:t>
      </w:r>
      <w:r>
        <w:rPr>
          <w:rFonts w:ascii="Times New Roman;sans-serif" w:hAnsi="Times New Roman;sans-serif"/>
          <w:b w:val="false"/>
          <w:i/>
          <w:color w:val="000000"/>
          <w:sz w:val="20"/>
          <w:bdr w:val="single" w:sz="8" w:space="36" w:color="000000"/>
        </w:rPr>
        <w:t>Material U.S. Federal Income Tax Considerations</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Expected Accounting Treatment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Domestication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Business Combination will be accounted for as a reverse recapitalization in conformity with accounting principles generally accepted in the United States of America, or GAAP. Under this method of accounting, ARYA has been treated as the “acquired” company for financial reporting purposes. The determination is primarily based on the evaluation of the following facts and circumstances taking into consideration both the no redemption and maximum redemption scenario: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equityholders of Nautilus will hold the majority of voting rights in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equityholders of Nautilus will have the right to appoint the majority of the directors on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Senior management of Nautilus will comprise the senior management of New Nautilus; and</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Operations of Nautilus will comprise the ongoing operations of New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will be stated at historical costs, with no goodwill or other intangible assets recorded.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Regulatory Matters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Under the HSR Act and the rules that have been promulgated thereunder by the U.S. Federal Trade Commission (“</w:t>
      </w:r>
      <w:r>
        <w:rPr>
          <w:rFonts w:ascii="Times New Roman;sans-serif" w:hAnsi="Times New Roman;sans-serif"/>
          <w:b w:val="false"/>
          <w:color w:val="000000"/>
          <w:sz w:val="20"/>
          <w:u w:val="single"/>
          <w:bdr w:val="single" w:sz="8" w:space="36" w:color="000000"/>
        </w:rPr>
        <w:t>FTC</w:t>
      </w:r>
      <w:r>
        <w:rPr>
          <w:color w:val="000000"/>
          <w:bdr w:val="single" w:sz="8" w:space="36" w:color="000000"/>
        </w:rPr>
        <w:t>”</w:t>
      </w:r>
      <w:r>
        <w:rPr>
          <w:rFonts w:ascii="Times New Roman;sans-serif" w:hAnsi="Times New Roman;sans-serif"/>
          <w:b w:val="false"/>
          <w:color w:val="000000"/>
          <w:sz w:val="20"/>
          <w:bdr w:val="single" w:sz="8" w:space="36" w:color="000000"/>
        </w:rPr>
        <w:t>), certain transactions may not be consummated unless information has been furnished to the Antitrust Division of the Department of Justice (“</w:t>
      </w:r>
      <w:r>
        <w:rPr>
          <w:rFonts w:ascii="Times New Roman;sans-serif" w:hAnsi="Times New Roman;sans-serif"/>
          <w:b w:val="false"/>
          <w:color w:val="000000"/>
          <w:sz w:val="20"/>
          <w:u w:val="single"/>
          <w:bdr w:val="single" w:sz="8" w:space="36" w:color="000000"/>
        </w:rPr>
        <w:t>Antitrust Division</w:t>
      </w:r>
      <w:r>
        <w:rPr>
          <w:color w:val="000000"/>
          <w:bdr w:val="single" w:sz="8" w:space="36" w:color="000000"/>
        </w:rPr>
        <w:t>”</w:t>
      </w:r>
      <w:r>
        <w:rPr>
          <w:rFonts w:ascii="Times New Roman;sans-serif" w:hAnsi="Times New Roman;sans-serif"/>
          <w:b w:val="false"/>
          <w:color w:val="000000"/>
          <w:sz w:val="20"/>
          <w:bdr w:val="single" w:sz="8" w:space="36" w:color="000000"/>
        </w:rPr>
        <w:t>) and the FTC and certain waiting period requirements have been satisfied. The ARYA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At any time before or after consummation of the Business Combination, notwithstanding termination of the waiting period under the HSR Act, the applicable competition authorities in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None of ARYA and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Emerging Growth Company</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ARYA has elected not to opt out of such extended transition period, which means that when a standard is issued or revised and it has different application dates for public or private companies, ARYA, as an emerging growth company, can adopt the new or revised standard at the time private companies adopt the new or revised standard. This may make comparison of ARYA’s financial statements with certain other public companies difficult or impossible because of the potential differences in accounting standards used.</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will remain an emerging growth company until the earlier of: (i) the last day of the fiscal year (a) following the fifth anniversary of the closing of ARYA’s initial public offering,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Smaller Reporting Company</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Risk Factors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In evaluating the proposals to be presented at the ARYA extraordinary general meeting, a shareholder should carefully read this proxy statement/prospectus and especially consider the factors discussed in the section entitled “</w:t>
      </w:r>
      <w:r>
        <w:rPr>
          <w:rFonts w:ascii="Times New Roman;sans-serif" w:hAnsi="Times New Roman;sans-serif"/>
          <w:b w:val="false"/>
          <w:i/>
          <w:color w:val="000000"/>
          <w:sz w:val="20"/>
          <w:bdr w:val="single" w:sz="8" w:space="36" w:color="000000"/>
        </w:rPr>
        <w:t>Risk Factors</w:t>
      </w:r>
      <w:r>
        <w:rPr>
          <w:rFonts w:ascii="Times New Roman;sans-serif" w:hAnsi="Times New Roman;sans-serif"/>
          <w:b w:val="false"/>
          <w:color w:val="000000"/>
          <w:sz w:val="20"/>
          <w:bdr w:val="single" w:sz="8" w:space="36" w:color="000000"/>
        </w:rPr>
        <w:t>.” The references to Nautilus below will apply to New Nautilus upon Closing.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particular, such risks include, but are not limited to,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has incurred net losses in every period to date, has not yet commercialized any products, and expects to continue to incur significant losses as it develops its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is entirely dependent on the success of its Nautilus Platform, which remains in the development stage and subject to scientific and technical validation.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has not yet commercially launched its Nautilus Platform. Nautilus may not be able to launch its platform successfully and even if it is successful may experience material delays in its commercialization program relative to current expectations.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Even if Nautilus is able to complete development of its Nautilus Platform, it may not achieve or maintain significant commercial market acceptance.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Nautilus’ operating results may fluctuate significantly in the future, which makes its future operating results difficult to predict and could cause its operating results to fall below expectations or any guidance Nautilus may provide.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life sciences technology market is highly competitive. If Nautilus fails to compete effectively, its business and results of operation will suffer.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Nautilus has a limited operating history, which may make it difficult to evaluate its current business and the prospects for its future viability, and to predict its future performance.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size of the markets for the Nautilus Platform may be smaller than estimated, and new market opportunities may not develop as quickly as Nautilus expects, or at all, limiting Nautilus’ ability to successfully sell its products.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COVID-19 pandemic and efforts to reduce its spread have adversely impacted and are expected to continue to materially and adversely impact, Nautilus’ business and operations.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Nautilus fails to maintain an effective system of internal control over financial reporting, it may not be able to accurately report its financial results in a timely manner or prevent fraud, which would harm its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will incur significant increased costs as a result of operating as a public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HISTORICAL FINANCIAL INFORMATION OF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ARYA is providing the following selected historical financial data to assist you in your analysis of the financial aspects of the Business Combination. Such data as of August 11, 2020 (the closing date of our initial public offering), and for the period from March 27, 2020 (inception) through December 31, 2020, are derived from ARYA’s audited financial statements included elsewhere in this proxy statement/prospectus. The selected historical financial data as of December 31, 2020, and for the period from March 27, 2020 (inception) through December 31, 2020, are derived from ARYA’s audited financial statements included elsewhere in this proxy statement/prospectus. </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information is only a summary and should be read in conjunction with ARYA’s consolidated financial statements and related notes and “</w:t>
      </w:r>
      <w:r>
        <w:rPr>
          <w:rFonts w:ascii="Times New Roman;sans-serif" w:hAnsi="Times New Roman;sans-serif"/>
          <w:b w:val="false"/>
          <w:i/>
          <w:color w:val="000000"/>
          <w:sz w:val="20"/>
          <w:bdr w:val="single" w:sz="8" w:space="36" w:color="000000"/>
        </w:rPr>
        <w:t>ARYA’s Management’s Discussion and Analysis of Financial Condition and Results of Operations</w:t>
      </w:r>
      <w:r>
        <w:rPr>
          <w:color w:val="000000"/>
          <w:bdr w:val="single" w:sz="8" w:space="36" w:color="000000"/>
        </w:rPr>
        <w:t xml:space="preserve">” </w:t>
      </w:r>
      <w:r>
        <w:rPr>
          <w:rFonts w:ascii="Times New Roman;sans-serif" w:hAnsi="Times New Roman;sans-serif"/>
          <w:b w:val="false"/>
          <w:color w:val="000000"/>
          <w:sz w:val="20"/>
          <w:bdr w:val="single" w:sz="8" w:space="36" w:color="000000"/>
        </w:rPr>
        <w:t>contained elsewhere in this proxy statement/prospectus. ARYA’s historical results are not necessarily indicative of future results, and the results for any interim period are not necessarily indicative of the results that may be expected for a full fiscal year.</w:t>
      </w:r>
    </w:p>
    <w:tbl>
      <w:tblPr>
        <w:tblW w:w="10205" w:type="dxa"/>
        <w:jc w:val="left"/>
        <w:tblInd w:w="0" w:type="dxa"/>
        <w:tblCellMar>
          <w:top w:w="28" w:type="dxa"/>
          <w:left w:w="28" w:type="dxa"/>
          <w:bottom w:w="28" w:type="dxa"/>
          <w:right w:w="28" w:type="dxa"/>
        </w:tblCellMar>
      </w:tblPr>
      <w:tblGrid>
        <w:gridCol w:w="2178"/>
        <w:gridCol w:w="1883"/>
        <w:gridCol w:w="1895"/>
        <w:gridCol w:w="712"/>
        <w:gridCol w:w="3018"/>
        <w:gridCol w:w="519"/>
      </w:tblGrid>
      <w:tr>
        <w:trPr/>
        <w:tc>
          <w:tcPr>
            <w:tcW w:w="2178"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r>
      <w:tr>
        <w:trPr/>
        <w:tc>
          <w:tcPr>
            <w:tcW w:w="5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 from March 27, 2020 (inception) to December 31, 2020 </w:t>
            </w:r>
          </w:p>
        </w:tc>
      </w:tr>
      <w:tr>
        <w:trPr/>
        <w:tc>
          <w:tcPr>
            <w:tcW w:w="5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4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7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576,035 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dividends and interest on investments held in Trust Account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(523,083)</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shares outstanding of Class A ordinary shares</w:t>
            </w:r>
          </w:p>
        </w:tc>
        <w:tc>
          <w:tcPr>
            <w:tcW w:w="373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14,950,000 </w:t>
            </w:r>
          </w:p>
        </w:tc>
        <w:tc>
          <w:tcPr>
            <w:tcW w:w="5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Class A ordinary shares</w:t>
            </w:r>
          </w:p>
        </w:tc>
        <w:tc>
          <w:tcPr>
            <w:tcW w:w="71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5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shares outstanding of Class B ordinary shares</w:t>
            </w:r>
          </w:p>
        </w:tc>
        <w:tc>
          <w:tcPr>
            <w:tcW w:w="373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3,764,852 </w:t>
            </w:r>
          </w:p>
        </w:tc>
        <w:tc>
          <w:tcPr>
            <w:tcW w:w="5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B ordinary shares</w:t>
            </w:r>
          </w:p>
        </w:tc>
        <w:tc>
          <w:tcPr>
            <w:tcW w:w="7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5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055" w:type="dxa"/>
        <w:jc w:val="left"/>
        <w:tblInd w:w="0" w:type="dxa"/>
        <w:tblCellMar>
          <w:top w:w="28" w:type="dxa"/>
          <w:left w:w="28" w:type="dxa"/>
          <w:bottom w:w="28" w:type="dxa"/>
          <w:right w:w="28" w:type="dxa"/>
        </w:tblCellMar>
      </w:tblPr>
      <w:tblGrid>
        <w:gridCol w:w="3077"/>
        <w:gridCol w:w="2710"/>
        <w:gridCol w:w="2717"/>
        <w:gridCol w:w="211"/>
        <w:gridCol w:w="1186"/>
        <w:gridCol w:w="154"/>
      </w:tblGrid>
      <w:tr>
        <w:trPr/>
        <w:tc>
          <w:tcPr>
            <w:tcW w:w="3077" w:type="dxa"/>
            <w:tcBorders/>
            <w:shd w:fill="auto" w:val="clear"/>
            <w:vAlign w:val="center"/>
          </w:tcPr>
          <w:p>
            <w:pPr>
              <w:pStyle w:val="TableContents"/>
              <w:spacing w:before="0" w:after="283"/>
              <w:rPr>
                <w:sz w:val="4"/>
                <w:szCs w:val="4"/>
              </w:rPr>
            </w:pPr>
            <w:r>
              <w:rPr>
                <w:sz w:val="4"/>
                <w:szCs w:val="4"/>
              </w:rPr>
            </w:r>
          </w:p>
        </w:tc>
        <w:tc>
          <w:tcPr>
            <w:tcW w:w="2710" w:type="dxa"/>
            <w:tcBorders/>
            <w:shd w:fill="auto" w:val="clear"/>
            <w:vAlign w:val="center"/>
          </w:tcPr>
          <w:p>
            <w:pPr>
              <w:pStyle w:val="TableContents"/>
              <w:spacing w:before="0" w:after="283"/>
              <w:rPr>
                <w:sz w:val="4"/>
                <w:szCs w:val="4"/>
              </w:rPr>
            </w:pPr>
            <w:r>
              <w:rPr>
                <w:sz w:val="4"/>
                <w:szCs w:val="4"/>
              </w:rPr>
            </w:r>
          </w:p>
        </w:tc>
        <w:tc>
          <w:tcPr>
            <w:tcW w:w="27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8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Balance Sheet Data (At Period End):</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150,857,743 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5,621,007 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(14,023,673 shares subject to possible redemption at $10.00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140,236,730 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ordinary shares (1,425,327 shares excluding 14,023,673 shares subject to possible redemption)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ordinary shares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59" w:type="dxa"/>
        <w:jc w:val="left"/>
        <w:tblInd w:w="0" w:type="dxa"/>
        <w:tblCellMar>
          <w:top w:w="28" w:type="dxa"/>
          <w:left w:w="28" w:type="dxa"/>
          <w:bottom w:w="28" w:type="dxa"/>
          <w:right w:w="28" w:type="dxa"/>
        </w:tblCellMar>
      </w:tblPr>
      <w:tblGrid>
        <w:gridCol w:w="1256"/>
        <w:gridCol w:w="1101"/>
        <w:gridCol w:w="1108"/>
        <w:gridCol w:w="609"/>
        <w:gridCol w:w="3641"/>
        <w:gridCol w:w="444"/>
      </w:tblGrid>
      <w:tr>
        <w:trPr/>
        <w:tc>
          <w:tcPr>
            <w:tcW w:w="125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from March 27, 2020 (inception) to December 31, 2020</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Data:</w:t>
            </w:r>
          </w:p>
        </w:tc>
        <w:tc>
          <w:tcPr>
            <w:tcW w:w="4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(549,570)</w:t>
            </w:r>
          </w:p>
        </w:tc>
        <w:tc>
          <w:tcPr>
            <w:tcW w:w="4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(149,500,000)</w:t>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6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151,050,602 </w:t>
            </w:r>
          </w:p>
        </w:tc>
        <w:tc>
          <w:tcPr>
            <w:tcW w:w="4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HISTORICAL FINANCIAL INFORMATION OF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The selected historical statements of operations data of Nautilus for the years ended December 31, 2020 and 2019 and historical balance sheet data as of December 31, 2020 and 2019 are derived from Nautilus’ audited financial statements included elsewhere in this proxy statement/prospectus/consent solicitation statement. </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Nautilus’ historical results are not necessarily indicative of the results that may be expected in the future. The information below is only a summary and should be read in conjunction with the sections entitled “</w:t>
      </w:r>
      <w:r>
        <w:rPr>
          <w:rFonts w:ascii="Times New Roman;sans-serif" w:hAnsi="Times New Roman;sans-serif"/>
          <w:b w:val="false"/>
          <w:i/>
          <w:color w:val="000000"/>
          <w:sz w:val="20"/>
          <w:bdr w:val="single" w:sz="8" w:space="36" w:color="000000"/>
        </w:rPr>
        <w:t>Nautilus’ Management’s Discussion and Analysis of Financial Condition and Results of Operations</w:t>
      </w:r>
      <w:r>
        <w:rPr>
          <w:color w:val="000000"/>
          <w:bdr w:val="single" w:sz="8" w:space="36" w:color="000000"/>
        </w:rPr>
        <w:t xml:space="preserve">” </w:t>
      </w:r>
      <w:r>
        <w:rPr>
          <w:rFonts w:ascii="Times New Roman;sans-serif" w:hAnsi="Times New Roman;sans-serif"/>
          <w:b w:val="false"/>
          <w:color w:val="000000"/>
          <w:sz w:val="20"/>
          <w:bdr w:val="single" w:sz="8" w:space="36" w:color="000000"/>
        </w:rPr>
        <w:t>and “</w:t>
      </w:r>
      <w:r>
        <w:rPr>
          <w:rFonts w:ascii="Times New Roman;sans-serif" w:hAnsi="Times New Roman;sans-serif"/>
          <w:b w:val="false"/>
          <w:i/>
          <w:color w:val="000000"/>
          <w:sz w:val="20"/>
          <w:bdr w:val="single" w:sz="8" w:space="36" w:color="000000"/>
        </w:rPr>
        <w:t>Information about the Company</w:t>
      </w:r>
      <w:r>
        <w:rPr>
          <w:color w:val="000000"/>
          <w:bdr w:val="single" w:sz="8" w:space="36" w:color="000000"/>
        </w:rPr>
        <w:t xml:space="preserve">” </w:t>
      </w:r>
      <w:r>
        <w:rPr>
          <w:rFonts w:ascii="Times New Roman;sans-serif" w:hAnsi="Times New Roman;sans-serif"/>
          <w:b w:val="false"/>
          <w:color w:val="000000"/>
          <w:sz w:val="20"/>
          <w:bdr w:val="single" w:sz="8" w:space="36" w:color="000000"/>
        </w:rPr>
        <w:t xml:space="preserve">and the financial statements, and the notes related thereto, which are included elsewhere in this proxy statement/prospectus/consent solicitation statement. </w:t>
      </w:r>
    </w:p>
    <w:tbl>
      <w:tblPr>
        <w:tblW w:w="10205" w:type="dxa"/>
        <w:jc w:val="left"/>
        <w:tblInd w:w="0" w:type="dxa"/>
        <w:tblCellMar>
          <w:top w:w="28" w:type="dxa"/>
          <w:left w:w="28" w:type="dxa"/>
          <w:bottom w:w="28" w:type="dxa"/>
          <w:right w:w="28" w:type="dxa"/>
        </w:tblCellMar>
      </w:tblPr>
      <w:tblGrid>
        <w:gridCol w:w="2880"/>
        <w:gridCol w:w="2371"/>
        <w:gridCol w:w="2388"/>
        <w:gridCol w:w="211"/>
        <w:gridCol w:w="788"/>
        <w:gridCol w:w="109"/>
        <w:gridCol w:w="109"/>
        <w:gridCol w:w="109"/>
        <w:gridCol w:w="109"/>
        <w:gridCol w:w="244"/>
        <w:gridCol w:w="732"/>
        <w:gridCol w:w="155"/>
      </w:tblGrid>
      <w:tr>
        <w:trPr/>
        <w:tc>
          <w:tcPr>
            <w:tcW w:w="2880"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7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7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8,017,976 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9233" w:type="dxa"/>
        <w:jc w:val="left"/>
        <w:tblInd w:w="0" w:type="dxa"/>
        <w:tblCellMar>
          <w:top w:w="28" w:type="dxa"/>
          <w:left w:w="28" w:type="dxa"/>
          <w:bottom w:w="28" w:type="dxa"/>
          <w:right w:w="28" w:type="dxa"/>
        </w:tblCellMar>
      </w:tblPr>
      <w:tblGrid>
        <w:gridCol w:w="2416"/>
        <w:gridCol w:w="2125"/>
        <w:gridCol w:w="2133"/>
        <w:gridCol w:w="211"/>
        <w:gridCol w:w="826"/>
        <w:gridCol w:w="109"/>
        <w:gridCol w:w="109"/>
        <w:gridCol w:w="109"/>
        <w:gridCol w:w="109"/>
        <w:gridCol w:w="211"/>
        <w:gridCol w:w="721"/>
        <w:gridCol w:w="154"/>
      </w:tblGrid>
      <w:tr>
        <w:trPr/>
        <w:tc>
          <w:tcPr>
            <w:tcW w:w="2416"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deficit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UNAUDITED PRO FORMA COMBINED FINANCIAL INFORMATION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following selected unaudited pro forma combined financial information has been derived from the unaudited pro forma combined balance sheet as of December 31, 2020 and the unaudited pro forma combined statement of operations for the year ended December 31, 2020 included in “</w:t>
      </w:r>
      <w:r>
        <w:rPr>
          <w:rFonts w:ascii="Times New Roman;sans-serif" w:hAnsi="Times New Roman;sans-serif"/>
          <w:b w:val="false"/>
          <w:i/>
          <w:color w:val="000000"/>
          <w:sz w:val="20"/>
          <w:bdr w:val="single" w:sz="8" w:space="36" w:color="000000"/>
        </w:rPr>
        <w:t>Unaudited Pro Forma Combined Financial Information</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selected unaudited pro forma combined financial information should be read in conjunction with the unaudited pro forma combined balance sheet and the unaudited pro forma combined statement of operations, and the accompanying notes. In addition, the unaudited combined pro forma financial information was based on and should be read in conjunction with the historical financial statements of ARYA and Nautilus, including the accompanying notes, which are included elsewhere in this proxy statement/prospectus.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Business Combination will be accounted for as a reverse recapitalization, with no goodwill or other intangible assets recorded, in accordance with GAAP. Under this method of accounting, ARYA is treated as the “acquired” company for financial reporting purposes. 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are stated at historical cost, with no goodwill or other intangible assets recorded. Operations prior to the Business Combination are those of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unaudited pro forma combined financial information has been prepared assuming two alternative levels of redemption into cash of ARYA’s ordinary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No Redemption</w:t>
      </w:r>
      <w:r>
        <w:rPr>
          <w:rFonts w:ascii="Times New Roman;sans-serif" w:hAnsi="Times New Roman;sans-serif"/>
          <w:b w:val="false"/>
          <w:color w:val="000000"/>
          <w:sz w:val="20"/>
        </w:rPr>
        <w:t>: 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Maximum Redemption</w:t>
      </w:r>
      <w:r>
        <w:rPr>
          <w:rFonts w:ascii="Times New Roman;sans-serif" w:hAnsi="Times New Roman;sans-serif"/>
          <w:b w:val="false"/>
          <w:color w:val="000000"/>
          <w:sz w:val="20"/>
        </w:rPr>
        <w:t>: This presentation assumes that 8,752,100 ARYA’s public shareholders exercise redemption rights with 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tbl>
      <w:tblPr>
        <w:tblW w:w="9532" w:type="dxa"/>
        <w:jc w:val="left"/>
        <w:tblInd w:w="0" w:type="dxa"/>
        <w:tblCellMar>
          <w:top w:w="28" w:type="dxa"/>
          <w:left w:w="28" w:type="dxa"/>
          <w:bottom w:w="28" w:type="dxa"/>
          <w:right w:w="28" w:type="dxa"/>
        </w:tblCellMar>
      </w:tblPr>
      <w:tblGrid>
        <w:gridCol w:w="2219"/>
        <w:gridCol w:w="1950"/>
        <w:gridCol w:w="1965"/>
        <w:gridCol w:w="109"/>
        <w:gridCol w:w="109"/>
        <w:gridCol w:w="109"/>
        <w:gridCol w:w="109"/>
        <w:gridCol w:w="264"/>
        <w:gridCol w:w="922"/>
        <w:gridCol w:w="109"/>
        <w:gridCol w:w="109"/>
        <w:gridCol w:w="109"/>
        <w:gridCol w:w="109"/>
        <w:gridCol w:w="264"/>
        <w:gridCol w:w="922"/>
        <w:gridCol w:w="154"/>
      </w:tblGrid>
      <w:tr>
        <w:trPr/>
        <w:tc>
          <w:tcPr>
            <w:tcW w:w="2219"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c>
          <w:tcPr>
            <w:tcW w:w="1667" w:type="dxa"/>
            <w:gridSpan w:val="6"/>
            <w:tcBorders/>
            <w:shd w:fill="auto" w:val="clea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w:t>
              <w:br/>
              <w:t>redemption</w:t>
              <w:br/>
              <w:t>scenario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Maximum</w:t>
              <w:br/>
              <w:t>redemption</w:t>
              <w:br/>
              <w:t>scenario</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Data—For the Year Ended December 31,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Stock outstanding - basic and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124,482,062 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115,729,962 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180"/>
        <w:ind w:left="0" w:right="0" w:firstLine="360"/>
        <w:rPr/>
      </w:pPr>
      <w:r>
        <w:rPr/>
      </w:r>
    </w:p>
    <w:tbl>
      <w:tblPr>
        <w:tblW w:w="10200" w:type="dxa"/>
        <w:jc w:val="left"/>
        <w:tblInd w:w="0" w:type="dxa"/>
        <w:tblCellMar>
          <w:top w:w="28" w:type="dxa"/>
          <w:left w:w="28" w:type="dxa"/>
          <w:bottom w:w="28" w:type="dxa"/>
          <w:right w:w="28" w:type="dxa"/>
        </w:tblCellMar>
      </w:tblPr>
      <w:tblGrid>
        <w:gridCol w:w="1660"/>
        <w:gridCol w:w="1460"/>
        <w:gridCol w:w="14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ARYA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Nautilus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w:t>
              <w:br/>
              <w:t>redemption</w:t>
              <w:br/>
              <w:t>scenario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redemption</w:t>
              <w:br/>
              <w:t>scenario</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Data—As of December 31, 2020</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subject to possible redemption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COMPARATIVE PER SHARE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historical per share information of ARYA for the period from March 27, 2020 (inception) through December 31, 2020;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historical per share information of Nautilus for the year ended December 31, 2020;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unaudited pro forma per share information of the combined company for the year ended December 31, 2020 after giving effect to the Business Combination and PIPE Financing, assuming two redemption scenarios as follows: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No Redemption:</w:t>
      </w:r>
      <w:r>
        <w:rPr>
          <w:color w:val="000000"/>
        </w:rPr>
        <w:t xml:space="preserve"> </w:t>
      </w:r>
      <w:r>
        <w:rPr>
          <w:rFonts w:ascii="Times New Roman;sans-serif" w:hAnsi="Times New Roman;sans-serif"/>
          <w:b w:val="false"/>
          <w:color w:val="000000"/>
          <w:sz w:val="20"/>
        </w:rPr>
        <w:t>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Maximum Redemption:</w:t>
      </w:r>
      <w:r>
        <w:rPr>
          <w:color w:val="000000"/>
        </w:rPr>
        <w:t xml:space="preserve"> </w:t>
      </w:r>
      <w:r>
        <w:rPr>
          <w:rFonts w:ascii="Times New Roman;sans-serif" w:hAnsi="Times New Roman;sans-serif"/>
          <w:b w:val="false"/>
          <w:color w:val="000000"/>
          <w:sz w:val="20"/>
        </w:rPr>
        <w:t>This presentation assumes that 8,752,100 ARYA’s public shareholders exercise redemption rights with 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is also based on the assumption that 20,000,000 shares of New Nautilus Common Stock are issued to the PIPE Investors upon the consummation of the PIPE Financing pursuant to its Subscription Agreement. If the actual facts are different than this assumption, the below numbers will be different.</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historical information should be read in conjunction with </w:t>
      </w:r>
      <w:r>
        <w:rPr>
          <w:color w:val="000000"/>
        </w:rPr>
        <w:t>“</w:t>
      </w:r>
      <w:r>
        <w:rPr>
          <w:rFonts w:ascii="Times New Roman;sans-serif" w:hAnsi="Times New Roman;sans-serif"/>
          <w:b w:val="false"/>
          <w:i/>
          <w:color w:val="000000"/>
          <w:sz w:val="20"/>
        </w:rPr>
        <w:t xml:space="preserve">Selected Historical Financial Information of Nautilus,” “Selected Historical Financial Information of ARYA,” “Nautilus’ Management’s Discussion and Analysis of Financial Condition and Results of Operations”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ARYA’s Management’s Discussion and Analysis of Financial Condition and Results of Operations”</w:t>
      </w:r>
      <w:r>
        <w:rPr>
          <w:color w:val="000000"/>
        </w:rPr>
        <w:t xml:space="preserve"> </w:t>
      </w:r>
      <w:r>
        <w:rPr>
          <w:rFonts w:ascii="Times New Roman;sans-serif" w:hAnsi="Times New Roman;sans-serif"/>
          <w:b w:val="false"/>
          <w:color w:val="000000"/>
          <w:sz w:val="20"/>
        </w:rPr>
        <w:t>contained elsewhere in this proxy</w:t>
      </w:r>
      <w:r>
        <w:rPr>
          <w:color w:val="000000"/>
        </w:rPr>
        <w:t xml:space="preserve"> </w:t>
      </w:r>
      <w:r>
        <w:rPr>
          <w:rFonts w:ascii="Times New Roman;sans-serif" w:hAnsi="Times New Roman;sans-serif"/>
          <w:b w:val="false"/>
          <w:color w:val="000000"/>
          <w:sz w:val="20"/>
        </w:rPr>
        <w:t>statement/prospectus and the audited financial statements and the related notes of Nautilus</w:t>
      </w:r>
      <w:r>
        <w:rPr>
          <w:color w:val="000000"/>
        </w:rPr>
        <w:t xml:space="preserve"> </w:t>
      </w:r>
      <w:r>
        <w:rPr>
          <w:rFonts w:ascii="Times New Roman;sans-serif" w:hAnsi="Times New Roman;sans-serif"/>
          <w:b w:val="false"/>
          <w:color w:val="000000"/>
          <w:sz w:val="20"/>
        </w:rPr>
        <w:t>and ARYA contained elsewhere in this proxy statement/prospectus.</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per share information is derived from, and should be read in conjunction with, the unaudited pro forma combined financial information and related notes included elsewhere in this proxy statement/prospectus. The unaudited pro forma combined net loss per share information below does not purport to represent what the actual results of operations of New Nautilus would have been had the Business Combination been completed or to project New Nautilus results of operations that may be achieved after the Business Combination. The unaudited pro forma book value per share information below does not purport to represent what the book value of New Nautilus would have been had the Business Combination been completed nor the book value per share for any future date or period.</w:t>
      </w:r>
    </w:p>
    <w:tbl>
      <w:tblPr>
        <w:tblW w:w="10205" w:type="dxa"/>
        <w:jc w:val="left"/>
        <w:tblInd w:w="0" w:type="dxa"/>
        <w:tblCellMar>
          <w:top w:w="28" w:type="dxa"/>
          <w:left w:w="28" w:type="dxa"/>
          <w:bottom w:w="28" w:type="dxa"/>
          <w:right w:w="28" w:type="dxa"/>
        </w:tblCellMar>
      </w:tblPr>
      <w:tblGrid>
        <w:gridCol w:w="999"/>
        <w:gridCol w:w="703"/>
        <w:gridCol w:w="707"/>
        <w:gridCol w:w="245"/>
        <w:gridCol w:w="551"/>
        <w:gridCol w:w="123"/>
        <w:gridCol w:w="109"/>
        <w:gridCol w:w="109"/>
        <w:gridCol w:w="109"/>
        <w:gridCol w:w="222"/>
        <w:gridCol w:w="499"/>
        <w:gridCol w:w="123"/>
        <w:gridCol w:w="109"/>
        <w:gridCol w:w="109"/>
        <w:gridCol w:w="109"/>
        <w:gridCol w:w="267"/>
        <w:gridCol w:w="604"/>
        <w:gridCol w:w="139"/>
        <w:gridCol w:w="109"/>
        <w:gridCol w:w="109"/>
        <w:gridCol w:w="109"/>
        <w:gridCol w:w="373"/>
        <w:gridCol w:w="629"/>
        <w:gridCol w:w="166"/>
        <w:gridCol w:w="109"/>
        <w:gridCol w:w="109"/>
        <w:gridCol w:w="109"/>
        <w:gridCol w:w="282"/>
        <w:gridCol w:w="574"/>
        <w:gridCol w:w="132"/>
        <w:gridCol w:w="132"/>
        <w:gridCol w:w="132"/>
        <w:gridCol w:w="132"/>
        <w:gridCol w:w="307"/>
        <w:gridCol w:w="640"/>
        <w:gridCol w:w="216"/>
      </w:tblGrid>
      <w:tr>
        <w:trPr/>
        <w:tc>
          <w:tcPr>
            <w:tcW w:w="99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2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7"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Nautilus equivalent pro forma per share data</w:t>
            </w:r>
            <w:r>
              <w:rPr>
                <w:rFonts w:ascii="Times New Roman;sans-serif" w:hAnsi="Times New Roman;sans-serif"/>
                <w:b/>
                <w:color w:val="000000"/>
                <w:sz w:val="9"/>
              </w:rPr>
              <w:t>(4)</w:t>
            </w:r>
          </w:p>
        </w:tc>
      </w:tr>
      <w:tr>
        <w:trPr/>
        <w:tc>
          <w:tcPr>
            <w:tcW w:w="2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Redemptions</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Redemptions</w:t>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As of and for the Year Ended December 31, 2020</w:t>
            </w:r>
            <w:r>
              <w:rPr>
                <w:rFonts w:ascii="Times New Roman;sans-serif" w:hAnsi="Times New Roman;sans-serif"/>
                <w:b w:val="false"/>
                <w:color w:val="000000"/>
                <w:sz w:val="9"/>
              </w:rPr>
              <w:t>(1)</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Book Value per share</w:t>
            </w:r>
            <w:r>
              <w:rPr>
                <w:rFonts w:ascii="Times New Roman;sans-serif" w:hAnsi="Times New Roman;sans-serif"/>
                <w:b w:val="false"/>
                <w:color w:val="000000"/>
                <w:sz w:val="9"/>
              </w:rPr>
              <w:t>(2)</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0.97 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income (loss) per share of Common Stock - basic and diluted</w:t>
            </w:r>
            <w:r>
              <w:rPr>
                <w:rFonts w:ascii="Times New Roman;sans-serif" w:hAnsi="Times New Roman;sans-serif"/>
                <w:b w:val="false"/>
                <w:color w:val="000000"/>
                <w:sz w:val="9"/>
              </w:rPr>
              <w:t>(3)</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(0.47)</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(0.51)</w:t>
            </w:r>
          </w:p>
        </w:tc>
        <w:tc>
          <w:tcPr>
            <w:tcW w:w="2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Common Stock - basic and diluted</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124,482,062 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115,729,962 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income (loss) per share of Class A Common Stock - basic and diluted</w:t>
            </w:r>
            <w:r>
              <w:rPr>
                <w:rFonts w:ascii="Times New Roman;sans-serif" w:hAnsi="Times New Roman;sans-serif"/>
                <w:b w:val="false"/>
                <w:color w:val="000000"/>
                <w:sz w:val="9"/>
              </w:rPr>
              <w:t>(3)</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Class A Common Stock - basic and diluted</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14,950,000 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loss per share of Class B Common Stock - basic and diluted</w:t>
            </w:r>
            <w:r>
              <w:rPr>
                <w:rFonts w:ascii="Times New Roman;sans-serif" w:hAnsi="Times New Roman;sans-serif"/>
                <w:b w:val="false"/>
                <w:color w:val="000000"/>
                <w:sz w:val="9"/>
              </w:rPr>
              <w:t>(3)</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Class B Common Stock - basic and diluted</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3,764,852 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loss per Nautilus Common Stock - basic and diluted</w:t>
            </w:r>
            <w:r>
              <w:rPr>
                <w:rFonts w:ascii="Times New Roman;sans-serif" w:hAnsi="Times New Roman;sans-serif"/>
                <w:b w:val="false"/>
                <w:color w:val="000000"/>
                <w:sz w:val="9"/>
              </w:rPr>
              <w:t>(3)</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Nautilus Common Stock - basic and diluted</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8,017,976 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(1)There were no cash dividends declared in the period presented.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(2)Book value per share is calculated as total equity divided by:</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Class A and B ordinary shares outstanding at December 31, 2020 for ARYA (excluding Class A shares subject to redemption);</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Common shares outstanding at December 31, 2020 for Nautilus;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Common shares outstanding at December 31, 2020 for the pro forma information.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(3)Net income (loss) per common share are based on:</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Class A ordinary shares outstanding for the year ended December 31, 2020 for ARYA;</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Class B ordinary shares outstanding for the year ended December 31, 2020 for ARYA;</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common shares outstanding for the year ended December 31, 2020 for Nautilus;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common shares outstanding for the year ended December 31, 2020 for the pro forma information.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(4)The equivalent pro forma per share data for Nautilus (columns five and six in the table above) are calculated by multiplying the pro forma combined per share data (columns three and four in the table above) by the Exchange Ratio (as defined elsewhere in this proxy statement/prospectus). For purposes of calculating the equivalent pro forma per share data for Nautilus in columns five and six in the table above, we have assumed an Exchange Ratio of 3.6275.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proxy statement/prospectus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The information included in this proxy statement/prospectus in relation to Nautilus has been provided by Nautilus and its respective management, and forward-looking statements include statements relating to our and its respective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complete the Business Combination with Nautilus or, if we do not consummate such Business Combination, any other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satisfaction or waiver of the conditions to the Business Combination including, among others: (i) the approval by our shareholders of the Condition Precedent Proposals being obtained; (ii) approval of the Business Combination Agreement and the Merger by the Nautilus stockholders; (iii) the applicable waiting period under the Hart-Scott-Rodino Act of 1976 (the “</w:t>
      </w:r>
      <w:r>
        <w:rPr>
          <w:rFonts w:ascii="Times New Roman;sans-serif" w:hAnsi="Times New Roman;sans-serif"/>
          <w:b w:val="false"/>
          <w:color w:val="000000"/>
          <w:sz w:val="20"/>
          <w:u w:val="single"/>
        </w:rPr>
        <w:t>HSR Act</w:t>
      </w:r>
      <w:r>
        <w:rPr>
          <w:color w:val="000000"/>
        </w:rPr>
        <w:t>”</w:t>
      </w:r>
      <w:r>
        <w:rPr>
          <w:rFonts w:ascii="Times New Roman;sans-serif" w:hAnsi="Times New Roman;sans-serif"/>
          <w:b w:val="false"/>
          <w:color w:val="000000"/>
          <w:sz w:val="20"/>
        </w:rPr>
        <w: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Times New Roman;sans-serif" w:hAnsi="Times New Roman;sans-serif"/>
          <w:b w:val="false"/>
          <w:i/>
          <w:color w:val="000000"/>
          <w:sz w:val="20"/>
        </w:rPr>
        <w:t>Risk Factors—Nasdaq may not list New Nautilus’ securities on its exchange, which could limit investors’ ability to make transactions in New Nautilus’ securities and subject New Nautilus to additional trading restrictions.</w:t>
      </w:r>
      <w:r>
        <w:rPr>
          <w:color w:val="000000"/>
        </w:rPr>
        <w:t>”</w:t>
      </w:r>
      <w:r>
        <w:rPr>
          <w:rFonts w:ascii="Times New Roman;sans-serif" w:hAnsi="Times New Roman;sans-serif"/>
          <w:b w:val="false"/>
          <w:color w:val="000000"/>
          <w:sz w:val="20"/>
        </w:rPr>
        <w:t>); (vii) the effectiveness of the registration statement of which this registration statement/proxy statement forms a part; and (viii) the consummation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occurrence of any event, change or other circumstances, including the outcome of any legal proceedings that may be instituted against ARYA and Nautilus following the announcement of the Business Combination Agreement and the transactions contemplated therein, that could give rise to the termination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projected financial information, growth rate and market opportunity of Nautilus and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to obtain and/or maintain the listing of the New Nautilus Common Stock on the Nasdaq Stock Market, and the potential liquidity and trading of such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risk that the proposed Business Combination disrupts current plans and operations of Nautilus as a result of the announcement and consummation of the proposed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to recognize the anticipated benefits of the proposed Business Combination, which may be affected by, among other things, competition, the ability of New Nautilus to grow and manage growth profitably and retain its key employees;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costs related to the proposed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applicable laws or regulations;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raise financing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success in retaining or recruiting, or changes required in, our officers, key employees or directors following the completion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officers and directors allocating their time to other businesses and potentially having conflicts of interest with our business or in approving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estimates of Nautilus’ addressable market, market growth, future revenue, key performance indicators, expenses, capital requirements and needs for additional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hire and retain key personnel and to manage future growth effectively;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Nautilus’ expectations regarding the timing and progress of the development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regarding the rate and degree of market acceptance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manage and grow its business and commercialize its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implement its three phase commercial launch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implementation of Nautilus’ business model and strategic plans for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volatility of the trading price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and commercialize new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establish and maintain intellectual property protection for its products or avoid or defend claims of infringement;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and commercialize new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potential effects of government regulation;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performance of third-party manufacturers and suppliers;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regarding use of proceeds following the closing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about market trends;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local, regional, and national and international economic conditions and events;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effect of COVID-19 on the foregoing, including our ability to consummate the Business Combination due to the uncertainty resulting from the recent COVID-19 pandemic;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factors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proxy statement/prospectus are based on current expectations and beliefs concerning future developments and their potential effects on us and/or Nautilus. There can be no assurance that future developments affecting us and/or Nautilus will be those that we and/or Nautilus have anticipated. These forward-looking statements involve a number of risks, uncertainties (some of which are beyond our control or the control of Nautilus) or other assumptions that may cause actual results or performance to be materially different from those expressed or implied by these forward-looking statements. These risks and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Neither we nor Nautilus undertake any obligation to update or revise any forward-looking statements, whether as a result of new information, future events or otherwise, except as may be required under applicable securities laws.</w:t>
      </w:r>
    </w:p>
    <w:p>
      <w:pPr>
        <w:pStyle w:val="TextBody"/>
        <w:spacing w:lineRule="auto" w:line="288" w:before="0" w:after="180"/>
        <w:ind w:left="0" w:right="0" w:firstLine="360"/>
        <w:rPr/>
      </w:pPr>
      <w:r>
        <w:rPr>
          <w:rFonts w:ascii="Times New Roman;sans-serif" w:hAnsi="Times New Roman;sans-serif"/>
          <w:b w:val="false"/>
          <w:color w:val="000000"/>
          <w:sz w:val="20"/>
        </w:rPr>
        <w:t>Before any shareholder grants its proxy or instructs how its vote should be cast or vote on the proposals to be put to the extraordinary general meeting, such stockholder should be aware that the occurrence of the events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and elsewhere in this proxy statement/prospectus may adversely affect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ARYA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the below sections of this proxy statement/prospectus to the “we,” “us” or “our” refers to ARYA and its consolidated subsidiaries prior to the consummation of the Business Combination and to New Nautilus and its consolidated subsidiaries following the Business Combination. The references to Nautilus in this “Risk Factors” section will apply to New Nautilus upon Closing. The following discussion and analysis of our financial condition and results of operations should be read in conjunction with the financial statements and accompanying notes, and other financial information included elsewhere within this proxy statement/prospectus. This discussion includes forward-looking information regarding our business, results of operations and cash flows and contractual obligations and arrangements that involves risks, uncertainties and assumptions. Our actual results may differ materially from any future results expressed or implied by such forward-looking statements as a result of various factors, including, but not limited to, those discussed in the sections of this proxy statement/prospectus entitled “Cautionary Note Regarding Forward-Looking Statements,” “Nautilus Management’s Discussion and Analysis of Financial Condition and Results of Operations,” and “ARYA’s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Nautilus’ Business Following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is a development stage company that has incurred net losses in every period to date, has not yet commercialized any products, and expects to continue to incur significant losses as it develops its business. Nautilus may never achieve profitability.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a development stage company that has incurred net losses in each quarterly and annual period since inception and that has not yet generated any revenue. It expects to incur increasing costs as it continues to devote substantially all of its resources towards the development and anticipated future commercialization of its Nautilus Platform, which includes its end-to-end solution comprised of instruments, consumables, and software analysis. Nautilus cannot be certain if it will ever generate revenue or if or when it will produce sufficient revenue from operations to support its costs. Even if profitability is achieved, Nautilus may not be able to sustain profitability. Nautilus incurred net losses of $15.6 million and $9.6 million in 2020 and 2019, respectively. As of December 31, 2020, it had an accumulated deficit of $30.3 million. These losses and accumulated deficit were primarily due to the substantial investments Nautilus has made in the scientific and technological development of its Nautilus Platform. Nautilus expects to incur substantial losses and negative cash flows for the foreseeable future. In addition, as a public company, Nautilus will incur significant legal, accounting, and other expenses that it did not incur as a private company. These increased expenses will make it harder for Nautilus to achieve and sustain future profitability. Nautilus may incur significant losses in the future for a number of reasons, many of which are beyond its control, including the other risks described in this proxy statement/prospectus.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entirely dependent on the success of its Nautilus Platform, which remains in the development stage and subject to scientific and technical validation. If Nautilus is unable to develop and commercialize its platform successfully and in a manner that provides currently anticipated functionality and levels of performance, Nautilus may never be able to recognize any revenue, and its business, operating results, and financial condition will suffer.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future success is entirely dependent on its ability to successfully develop and commercialize its Nautilus Platform, which is based on innovative yet complex and unproven technologies and which is anticipated to be used in demanding scientific research that requires substantial levels of accuracy and precision. Nautilus is investing substantially all of its management efforts and financial resources in the development and commercialization of this platform. While Nautilus’ goal is to leverage its Nautilus Platform to comprehensively measure the human proteome by the end of 2023, the human proteome is dynamic and far more complex and diverse in structure, composition and number of variants than either the genome or transcriptome. If Nautilus cannot successfully complete platform development, if Nautilus is unable to achieve its goals for mapping the proteome, if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products fail to deliver currently anticipated functionality and levels of performance, if Nautilus’ products are found by a court of law to infringe the intellectual property of another party, or if Nautilus is unable to obtain broad scientific and market acceptance of its products and technologies, it may never recognize material revenue and may be unable to continue its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has not yet commercially launched its Nautilus Platform. Nautilus may not be able to launch its platform successfully and even if it is successful may experience material delays in its commercialization program relative to current expectations.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anticipates commercializing its Nautilus Platform in three phases involving first collaboration with biopharmaceutical companies and key opinion leaders to validate the performance and utility of Nautilus’ product, during which Nautilus does not expect to recognize significant revenue, if any; secondly an early access limited release phase in which Nautilus expects to recognize limited revenue; and finally a broader commercial launch phase. Nautilus is currently in the collaboration phase during which it is seeking to enter collaborations with a small number of research customers, including with biopharmaceutical companies and key opinion leaders in proteomics whose assessment and validation of Nautilus’ products can significantly influence other researchers in their respective markets and/or fields. During this phase, Nautilus plans to provide early access program partners with broad-scale analysis and profiling of samples analyzed in its facility and shared via a cloud platform. Nautilus does not anticipate that the second phase will begin any earlier than the second half of 2022 and does not anticipate that it will result in any material revenue. During this phase, Nautilus expects to work closely with early access customers to demonstrate a unique value proposition for its Nautilus Platform. Nautilus expects this second phase to continue through the end of 2023 and lead into the third phase of broad commercialization at the end of 2023 and the beginning of 2024. Nautilus does not expect to realize any material revenue prior to the second half of 2023.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Nautilus’ technologies and in the underlying science. Scientific and technological development of the nature being undertaken by Nautilus is extraordinarily complex, and there can be no assurances that any of these phases of commercial development will be successful or that they will be completed within the timelines currently anticipated. Given the scientific and technical complexity of Nautilus’ products, Nautilus could experience material delays in product development and commercial launch. If Nautilus’ research and product development efforts do not result in commercially viable products within the anticipated timelines, its business, operating results, and financial condition will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 Nautilus may be unable to establish sufficient collaborations of this nature, and collaborations could result in agreements that limit or otherwise impair Nautilus’ flexibility to pursue other strategic opportunities.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Nautilus’ commercialization strategy. While early collaborations are expected to focus on the assessment and validation of the Nautilus Platform with a focus in part on publication of results in peer-reviewed scientific journals, Nautilus also intends to pursue additional, potentially revenue-generating collaborations in areas of biological interest. Among other examples, Nautilus may pursue collaborations relating to the development and commercialization of therapeutic product candidates targeting proteins identified by the Nautilus Platform.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Nautilus will be successful in developing or maintaining collaborations or that, if established, that these collaborations will achieve the desired objectives. Establishing collaborations is difficult and time-consuming. Discussions may not lead to collaborations on favorable terms, if at all, and particularly where Nautilus is negotiating against major pharmaceutical companies, Nautilus may have relatively less leverage in negotiating favorable terms. To the extent Nautilus agrees to work exclusively with a party in a given field, its opportunities to collaborate with others in that field would be limited. Certain parties may seek to partner with other companies in addition to Nautilus in connection with a project. This, in turn, may limit the commercial potential of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any products that are the subject of such collaborations. Potential collaborators may elect not to work with Nautilus based upon their assessment of Nautilus’ financial, regulatory, commercial or intellectual property position.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Even if Nautilus is successful in entering into collaborations, their success will depend heavily on the efforts and activities of Nautilus’ collaborators. Scientific collaborations of the nature Nautilus proposes to pursue are subject to numerous risks, including that: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 to a specific project;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own intellectual property covering products that result from Nautilus’ collaboration with them, and in such cases, Nautilus would not have the right to develop or commercialize such intellectual property;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co-own intellectual property covering products that result from Nautilus’ collaboration with them, and in such cases, Nautilus would not have the right to exclude others from developing or commercializing such intellectual property;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product candidates that are being developed under the collaboration with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collaborator with marketing, manufacturing, and distribution rights to one or more products may not commit sufficient resources to or otherwise not perform satisfactorily in carrying out these activities;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could grant exclusive rights to its collaborators that would prevent Nautilus from collaborating with others;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not properly maintain or defend Nautilus’ intellectual property rights or may use Nautilus’ intellectual property or proprietary information in a way that gives rise to actual or threatened litigation that could jeopardize or invalidate Nautilus’ intellectual property or proprietary information or expose Nautilus to potential liability;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disputes may arise between Nautilus and a collaborator that cause the delay or termination of the research, development, or commercialization of products or that result in costly litigation or arbitration that diverts management attention and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collaborations may be terminated, and, if terminated, in addition to reducing Nautilus’ revenue, may reduce exposure to research and clinical trials that facilitate the collection and incorporation of new information into Nautilus’ platform;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collaborator’s sales and marketing activities or other operations may not be in compliance with applicable laws resulting in civil or criminal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Nautilus’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Even if Nautilus is able to complete development of its Nautilus Platform, it may not achieve or maintain significant commercial market acceptance.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Even if Nautilus is able to complete development of its Nautilus Platform, the platform will be subject to market forces and adoption curves common to new technologies. The market for novel proteomics technologies and products like those being developed by Nautilus is in the early stages of development. While these technologies present the potential to displace legacy products, changing long-standing scientific workflows with new instruments requiring substantial capital expenditures will require Nautilus to invest substantial financial and management resources to educate potential customers on the benefits of its platform relative to existing technologies and to validate the platform’s ability to meet customer requirements. In that regard, Nautilus anticipates that its initial market focus will be pharmaceutical development and associated research, which are characterized by demanding and exacting requirements for product performance and accuracy. If widespread adoption of the Nautilus Platform takes longer than anticipated or does not occur, Nautilus’ business will be materially and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Nautilus expects that references to the use of its platform in peer-reviewed journal publications will be critical to its ability to obtain widespread acceptance within the scientific community. In addition, continuing collaborative relationships with key opinion leaders will be vital to maintaining any market acceptance Nautilus achieves. If too few researchers describe the use of Nautilus’ products, too many researchers shift to a competing product and publish research outlining their use of that product, or too many researchers negatively describe the use of Nautilus’ products in publications, customers may be less willing to engage with Nautilus concerning its products, which could materially delay its commercialization plan and/or substantially extend its sales cycles. Moreover, these customers may ultimately be less willing to purchase Nautilus’ products, which would adversely affect its business and future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Nautilus’ ability to achieve market acceptance include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Nautilus’ marketing and engagement initiatives to increase awareness of the capabilities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Nautilus Platform to demonstrate reliable performance in intended use applications, in particular when the platform is used by customers in their own research;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demonstrate that the functionality and performance of its platform relative to alternative products and technologies justifies the substantial anticipated cost of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willingness of prospective customers to adopt new products and workflows;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ease of use of the Nautilus Platform and whether it reliably provides significant advantages over alternative products and technologies;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rate of adoption of the Nautilus Platform by biopharmaceutical companies, laboratories, academic institutions and others;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new products, workflows, and solutions that meet customer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introduction or development and commercialization by competitors of new products or enhancements to existing products with functionality and/or performance similar to Nautilus’ Platform;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Nautilus’ investments in product innovation and commercial growth.</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you that it will be successful in addressing any of these criteria or any additional criteria that might affect the market acceptance of its products. If Nautilus is unsuccessful in achieving and maintaining market acceptance of its Nautilus Platform, its business, financial condition and results of operations would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has no experience in manufacturing its products at commercial scale. If Nautilus is unable to establish manufacturing capacity by itself or with partners in a timely manner after completing development, commercialization of its Nautilus Platform would be delayed, which would result in lost revenue and harm its business.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for Nautilus to commercialize its Nautilus Platform in volume, Nautilus will need to establish internal manufacturing capacity or to contract with one or more manufacturing partners, or both. Nautilus’ technology is complex, and the manufacturing process for its products will be similarly complex, involving a large number of unique precision parts in addition to the production of various reagents and antibodies. Nautilus may encounter unexpected difficulties in manufacturing its Nautilus Platform, including its Proteomic Analysis System and related consumables. Among other factors, it will need to develop reliable supply chains for the various components in its platform and consumables to support large-scale commercial production. In connection with its Nautilus Platform, Nautilus intends to utilize over 300 complex reagents and various antibodies in order to generate deep proteomic information at the speed and scale which Nautilus expects its platform to perform. Such reagents and antibodies are expected to be more difficult to manufacture and more expensive to procure. There is no assurance that Nautilus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Nautilus may incur costs that are higher than currently expected and that may adversely affect Nautilus gross margins and operating results following commercialization. Assuming Nautilus completes development of its platform, it may experience manufacturing and product quality issues as it increases the scale of its production. Any delay or inability in establishing or expanding Nautilus’ manufacturing capacity could diminish its ability to develop or sell its products, result in increased or unanticipated costs, result in lost revenue, and seriously harm its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establish an effective commercial organization, including effective distribution channels and sales and marketing functions, it may not be successful in commercializing its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only beginning to establish an internal organization focused specifically on the commercialization of its Nautilus Platform. Nautilus’ initial hiring has focused on senior commercial leadership, and although this leadership has considerable industry experience, in order to achieve substantial revenue growth and profitability, Nautilus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Nautilus will be required to expend substantial financial resources to hire personnel and develop its commercial operations prior to commercial launch of its Nautilus Platform. Accordingly, these initiatives will adversely affect Nautilus’ operating expenses prior to Nautilus’ having material off-setting revenue, if any.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Nautilus will face a number of additional risks,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its ability to attract, retain, and manage the sales, marketing, customer service, and customer support force necessary to commercialize and gain market acceptance for its technology, with the additional challenge that many of these new hires will require specific scientific and technological expertise that may be more difficult to find;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time and cost of establishing a specialized sales, marketing and customer service and support force.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internal organization, Nautilus may seek to enlist one or more third parties to assist with sales, distribution, and customer service and support globally or in certain regions of the world. In certain markets, Nautilus could seek to establish partnerships with larger market participants to provide access to their distribution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channels and which could also involve scientific or technological collaboration. There is no guarantee, if Nautilus does seek to enter into any of these arrangements, that it will be successful in attracting desirable partners or that it will be able to enter into such arrangements on commercially favorable terms. If Nautilus’ commercialization efforts, or those of any third-party partners, are not successful, its Nautilus Platform may not gain market acceptance, which could materially impact its business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operating results may fluctuate significantly in the future, which makes its future operating results difficult to predict and could cause its operating results to fall below expectations or any guidance Nautilus may provide.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quarterly and annual operating results may fluctuate significantly, which makes it difficult for Nautilus to predict its future operating results. In the near term, as Nautilus devotes substantially all of its resources towards the development and anticipated future commercialization of its Nautilus Platform, specific factors that may result in fluctuations include, without limitation: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timing and cost of, and level of investment in, research and development and commercialization activities relating to, the Nautilus Platform;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establish and successfully maintain appropriate collaborations and derive revenue from those collaborations;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develop and commercialize its Nautilus Platform on its anticipated timeline.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Nautilus transitions from a company with a focus on research and development to a company capable of supporting manufacturing, these fluctuations may also occur due to a variety of other factors, many of which are outside of Nautilus’ control, including, but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level of demand for any products Nautilus is able to commercialize, particularly its Nautilus Platform, which may vary significantly from period to period;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drive adoption of its Nautilus Platform in its target markets and its ability to expand into any future target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prices at which Nautilus will be able to sell its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volume and mix of Nautilus’ sales between the consumables, instruments and software, or changes in the manufacturing or sales costs related to its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and amount of expenditures that Nautilus may incur to develop, commercialize or acquire additional products and technologies or for other purposes, such as the expansion of its facilities;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governmental funding of life sciences research and development or changes that impact budgets and budget cycles;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seasonal spending patterns of Nautilus’ customers;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of when Nautilus recognizes any revenue;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future accounting pronouncements or changes in Nautilus’ accounting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outcome of any future litigation or governmental investigations involving Nautilus, its industry or both;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higher than anticipated service, replacement and warranty costs;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COVID-19 pandemic on the economy, investment in life sciences and research industries, Nautilus’ business operations, and resources and operations of Nautilus’ customers, suppliers, and distributors; and</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general industry, economic and market conditions and other factors, including factors unrelated to Nautilus’ operating performance or the operating performance of its competitors.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Nautilus’ quarterly and annual operating results. As a result, comparing Nautilus’ operating results on a period-to-period basis may not be meaningful. Investors should not rely on Nautilus’ past results as an indication of its future performance.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Nautilus failing to meet the expectations of industry or financial analysts or investors for any period. If Nautilus is unable to commercialize products or generate revenue, or if Nautilus’ operating results fall below the expectations of analysts or investors or below any guidance Nautilus may provide, or if the guidance Nautilus provides is below the expectations of analysts or investors, it could cause the market price of Nautilus’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Nautilus fails to compete effectively, its business and results of operation will suffer.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faces significant competition in the life sciences technology market.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Some of Nautilus’ current competitors are large publicly-traded companies, or are divisions of large publicly-traded companies, and enjoy a number of competitive advantages over Nautilus,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greater name and brand recognition;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greater financial and human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broader product lines;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larger sales forces and more established distributor networks;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substantial intellectual property portfolios;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better established, larger scale and lower cost manufacturing capabilities.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investors that its products will compete favorably or that it will be successful in the face of increasing competition from products and technologies introduced by its existing or future competitors or by companies entering its markets or that are developed by its customers internally. In addition, Nautilus cannot assure investors that its competitors do not have or will not develop products or technologies that currently or in the future will enable them to produce competitive products with superior functionality or performance or at lower costs than Nautilus’ or that are able to run comparable experiments at a lower total experiment cost. Any failure to compete effectively could materially and adversely affect Nautilus’ business, financial condition and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business will depend significantly on research and development spending by pharmaceutical companies as well as by academic institutions and other research institutions. Any reduction in spending could limit demand for Nautilus’ products and adversely affect its business, results of operations, financial condition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expects that its revenue in the foreseeable future will be derived primarily from sales of its Nautilus Platform to biotechnology companies and life science laboratories worldwide, and to a lesser extent, academic institutions and non-profit organizations. Nautilus’ success will depend upon demand for and use of its products. Accordingly, the spending policies of these customers could have a significant effect on the demand for Nautilus’ technology. These policies may be based on a wide variety of factors, including the resources available to make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Nautilus’ products. Nautilus’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its Nautilus Platform. These reductions and delays may result from factors that are not within Nautilus’ control, such as: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economic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in government programs that provide funding to research institutions and companies;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in the regulatory environment affecting life science and Ag-Bio companies engaged in research and commercial activities;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differences in budget cycles across various geographies and industries;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market-driven pressures on companies to consolidate operations and reduce costs;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mergers and acquisitions in the life science and Ag-Bio industries;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factors affecting research and development spending.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decrease in Nautilus’ customers’ budgets or expenditures or in the size, scope or frequency of capital or operating expenditures as a result of the foregoing or other factors could materially and adversely affect its business, results of operations, financial condition,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Even if the Nautilus Platform is commercialized and achieves broad scientific and market acceptance, if Nautilus fails to improve it or introduce compelling new products, its revenue and its prospects could be harmed.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life sciences industry is characterized by rapid and significant technological changes, frequent new product introductions and enhancements and evolving industry standards. Even if Nautilus is able to commercialize its Nautilus Platform and achieve broad scientific and market acceptance, its ability to attract new customers and increase revenue from existing customers will depend in large part on its ability to enhance and improve its Nautilus Platform and to introduce compelling new products. The success of any enhancement to the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the Nautilus Platform that Nautilus develops may not be introduced in a timely or cost-effective manner, may contain defects, errors, vulnerabilities or bugs, or may not achieve the market acceptance necessary to generate significant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Nautilus does not achieve the required technical specifications or successfully manage new product development processes, or if development work is not performed according to schedule, then such new technologies or products may be adversely impacted. If Nautilus is unable to successfully develop new products, enhance its proteomics product platform to meet customer requirements, compete with alternative products, or otherwise gain and maintain market acceptance, its business, results of operations and financial condition could be harmed.</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has a limited operating history, which may make it difficult to evaluate its current business and the prospects for its future viability, and to predict its future performance.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a life sciences technology company with a limited operating history. Nautilus has not completed development of its Nautilus Platform or any other products and has not generated any revenue to date. Nautilus’ operations to date have been limited to developing its Nautilus Platform. Nautilus’ prospects must be considered in light of the uncertainties, risks, expenses, and difficulties frequently encountered by companies in their early stages of operations. Consequently, predictions about Nautilus’ future success or viability are highly uncertain and may not be as accurate as they could be if Nautilus had a longer operating history or a company history of successfully developing and commercializing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as a business with a limited operating history, Nautilus may encounter unforeseen expenses, difficulties, complications, delays and other known and unknown obstacles. Nautilus will eventually need to transition from a company with a focus on research and development to a company capable of supporting manufacturing and commercial activities as well, and it may not be successful in such a transition. Nautilus has encountered in the past, and will encounter in the future, risks and uncertainties frequently experienced by growing companies with limited operating histories in emerging and rapidly changing industries. If its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need to raise additional capital to fund its development and commercialization plans.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Nautilus’ current plans, it believes that the net proceeds from the Business Combination and PIPE Financing, together with its available resources and existing cash and cash equivalents, will be sufficient to meet its anticipated cash requirements for at least 12 months from the date of this proxy statement/prospectus. If Nautilus’ available cash resources, the net proceeds from the Business Combination and PIPE Financing are insufficient to satisfy Nautilus’ liquidity requirements including because the realization of other risks described in this proxy statement/prospectus, Nautilus may be required to raise additional capital prior to such time through issuances of equity or convertible debt securities, enter into a credit facility or another form of third-party funding or seek other debt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consider raising additional capital in the future to expand its business, to pursue strategic investments, to take advantage of financing or acquisition opportunities or for other reasons,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funding development and marketing efforts of its proteomics product platform or any other future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increasing its sales and marketing and other commercialization efforts to drive market adoption of its proteomics product platform, once commercialized;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expanding its technologies into additional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preparing, filing, prosecuting, defending and enforcing any patent claims and other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acquiring, licensing or defending against third party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acquiring or investing in complementary technologies, businesses or assets;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financing capital expenditures and 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present and future funding requirements will depend on many factors,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delays in execution of Nautilus’ development plans;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scope and timing of Nautilus’ investment in its sales, marketing, and distribution capabilities;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Nautilus may make to the business that affect ongoing operating expenses;</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costs of filing, prosecuting, defending and enforcing any patent claims and other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Nautilus may make in its business or commercialization strategy;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Nautilus may make in its research and development spending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need to implement additional infrastructure and internal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COVID-19 pandemic;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items affecting our forecasted level of expenditures and use of cash resources including potential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various ways Nautilus could raise additional capital carry potential risks. If Nautilus raises funds by issuing equity securities, dilution to its stockholders could result. If Nautilus raises funds by issuing debt securities, those debt securities could have rights, preferences and privileges senior to those of holders of Nautilus’ common stock. The terms of debt securities issued or borrowings pursuant to a credit agreement could impose significant restrictions on Nautilus’ operations. If Nautilus raises funds through collaborations or licensing arrangements, it might be required to relinquish significant rights to its technologies or products or grant licenses on terms that are not favorable to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is unable to obtain adequate financing or financing on terms satisfactory to Nautilus, if Nautilus requires it, its ability to continue to pursue its business objectives and to respond to business opportunities, challenges, or unforeseen circumstances could be significantly limited, and could have a material adverse effect on its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size of the markets for the Nautilus Platform may be smaller than estimated, and new market opportunities may not develop as quickly as Nautilus expects, or at all, limiting Nautilus’ ability to successfully sell its products.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for proteomics technologies and products is evolving, making it difficult to predict with any accuracy the size of the markets for Nautilus’ current and future products, including its Nautilus Platform. Nautilus’ estimates of the total addressable market for its current and future products, including with respect to the proteomics market, the diagnostic market, and the mass spectrometry market, are based on a number of internal and third-party estimates and assumptions. In particular, its estimates are based on its expectations that researchers in the market for certain life sciences research tools and technologies will view its products as competitive alternatives to, or better options than, existing tools and technologies. Nautilus also expects researchers will recognize the ability of its products to complement, enhance and enable new applications of their current tools and technologies. Nautilus expects them to recognize the value proposition offered by its products, enough to purchase its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Nautilus’ products and that researchers have sufficient samples and an unmet need for performing proteomics studies at scale across thousands of samples. In addition, sales of new products into new market opportunities may take years to develop and mature and Nautilus cannot be certain that these market opportunities will develop as it expects. New life sciences technology may not be adopted until the consistency and accuracy of such technology, method or device has been proven. As a result, the sizes of the annual total addressable market for new markets and new products are even more difficult to predict. Nautilus’ product is an innovative new product, and while Nautilus draws comparisons between the evolution and growth of the genomics market, the proteomics market may develop more slowly or differently. In addition, the Nautilus Platform may not impact the field of proteomics in the same manner or degree, or within the same time frame, that NGS technologies have impacted the field of genomics, or at all. While Nautilus believes its assumptions and the data underlying its estimates of the total addressable market for its products are reasonable, these assumptions and estimates may not be correct and the conditions supporting its assumptions or estimates, or those underlying the third-party data it has used, may change at any time, thereby reducing the accuracy of Nautilus’ estimates. As a result, Nautilus’ estimates of the total addressable market for Nautilus’ products may be incorrect.</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Nautilus’ current and future products depends on many factors beyond its control, including recognition and acceptance of its products by the scientific community and the growth, prevalence and costs of competing products and solutions. Such recognition and acceptance may not occur in the near term, or at all. If the markets for Nautilus’ current and future products are smaller than estimated or do not develop as Nautilus expects, Nautilus’ growth may be limited and its business, financial condition and operational results of operations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dependent on single source suppliers for some of the components and materials used in the Nautilus Platform, and the loss of any of these suppliers could harm its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Nautilus relies on single source suppliers for certain components and materials used in the Nautilus Platform, including its </w:t>
      </w:r>
      <w:r>
        <w:rPr>
          <w:rFonts w:ascii="Times New Roman;sans-serif" w:hAnsi="Times New Roman;sans-serif"/>
          <w:b w:val="false"/>
          <w:color w:val="000000"/>
          <w:sz w:val="20"/>
          <w:highlight w:val="white"/>
        </w:rPr>
        <w:t>click-reagent modified oligos, glass that is nano-fabricated into our biochips and high-speed stage used in the instrument.</w:t>
      </w:r>
      <w:r>
        <w:rPr>
          <w:color w:val="000000"/>
        </w:rPr>
        <w:t xml:space="preserve"> </w:t>
      </w:r>
      <w:r>
        <w:rPr>
          <w:rFonts w:ascii="Times New Roman;sans-serif" w:hAnsi="Times New Roman;sans-serif"/>
          <w:b w:val="false"/>
          <w:color w:val="000000"/>
          <w:sz w:val="20"/>
        </w:rPr>
        <w:t>Of these single source suppliers, the loss of any of the following would require significant time and effort to locate and qualify an alternative source of supply. Though Nautilus does not currently have contracts for third parties to provide manufacturing capabilities for its Nautilus Platform, if it is successful in reaching the point of manufacturing its products for commercialization, it may rely on a single company for such manufacturing. Any contractual disputes between Nautilus and such manufacturer or loss of manufacturing ability by such manufacturer could similarly require significant time, effort and expense to locate and qualify an alternative source of manufacturing, which could materially harm Nautilus’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also relies, and expects to continue to rely, on third-party manufacturers and in many cases, single third party manufacturers for the production of certain reagents and antibodies needed to generate the deep proteomic information at the speed and scale which Nautilus expects its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Nautilus may not be able to obtain favorable terms in agreements with suppliers. Given their complexity, Nautilus suppliers may not be able to provide these reagents and antibodies in a cost-effective manner or in a time frame that is consistent with Nautilus’ expected future needs. If Nautilus’ suppliers cease or interrupt production or if suppliers fail to supply materials, products or services to Nautilus for any reason, such interruption could delay development, or interrupt the commercial supply, with the potential for additional costs and lost revenue. If this were to occur, Nautilus might also need to seek alternative means to fulfill its manufacturing needs. Any such transition would require significant efforts in testing and validation and could result in delays or other issues, which could materially harm Nautilus’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experiences a significant disruption in its information technology systems or breaches of data security, its business could be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relies, or will rely, on information technology systems to keep financial records, facilitate its research and development initiatives, manage its manufacturing operations, maintain quality control, fulfill customer orders, maintain corporate records, communicate with staff and external parties and operate other critical functions. Nautilus’ information technology systems and those of its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Nautilus’ efforts to create security barriers to such threats, it is virtually impossible for Nautilus to entirely mitigate these risks. In addition, Nautilus has not finalized its information technology and data security procedures and therefore, its information technology systems may be more susceptible to cybersecurity attacks than if such security procedures were finalized. Despite any of its current or future efforts to protect against cybersecurity attacks and data security breaches, there is no guarantee that Nautilus’ efforts are adequate to safeguard against all such attacks and breaches. Moreover, it is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possible that Nautilus may not be able to anticipate, detect, appropriately react and respond to, or implement effective preventative measures against, all cybersecurity incidents.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security measures, or those of its vendors and partners, are compromised due to any cybersecurity attacks or data security breaches, including as a result of third-party action, employee or customer error, malfeasance, stolen or fraudulently obtained log-in credentials or otherwise, Nautilus’ reputation could be damaged, its business and reputation may be harmed, it could become subject to litigation and it could incur significant liability. If Nautilus was to experience a prolonged system disruption in its information technology systems or those of certain of its vendors and partners, it could negatively impact its ability to serve its customers, which could adversely impact its business, financial condition, results of operations and prospects. If operations at Nautilus’ facilities were disrupted, it may cause a material disruption in Nautilus’ business if it is not capable of restoring functionality on an acceptable timeframe. In addition, Nautilus’ information technology systems, and those of its vendors and partners, are potentially vulnerable to data security breaches, whether by internal bad actors, such as employees or other third parties with legitimate access to its or its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Nautilus’ employees, customers and others, any of which could have a material adverse effect on Nautilus’ business, reputation, financial condition and 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Nautilus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Nautilus’ reputation. In addition, although Nautilus seeks to detect and investigate data security incidents, security breaches and other incidents of unauthorized access to its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Nautilus takes to respond to or remediate such incidents, and if securities analysts or investors perceive these announcements to be negative, it could, among other things, have a material adverse effect on the price of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protecting against, investigating, mitigating and responding to potential breaches of Nautilus’ information technology systems and data security breaches and complying with applicable breach notification obligations to individuals, regulators, partners and others can be significant. As cybersecurity incidents continue to evolve, Nautilus may be required to expend significant additional resources to continue to modify or enhance its protective measures or to investigate and remediate any information security vulnerabilities. The inability to implement, maintain and upgrade adequate safeguards could have a material adverse effect on Nautilus’ business, financial condition, results of operations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may be unable to manage its anticipated growth effectively.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anticipated growth will place significant strains on its management, operational and manufacturing systems and processes, sales and marketing team, financial systems and internal controls and other aspects of its business. Nautilus must upgrade its internal business processes and capabilities to create the scalability that a growing business demands. As of December 31, 2020, Nautilus had 57 employees. To execute its anticipated growth successfully, it must continue to attract and retain qualified personnel and manage and train them effectively. Developing and commercializing the Nautilus Platform will require Nautilus to hire and retain scientific, sales and marketing, software, manufacturing, customer service, distribution and quality assurance personnel. In addition,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expects that it will need to hire additional accounting, finance and other personnel as a public company. As a public company, Nautilus’ management and other personnel will need to devote a substantial amount of time towards maintaining compliance with these requirements and effectively manage these growth activities. Nautilus may face challenges integrating, developing and motivating its rapidly growing employee base.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Nautilus’ anticipated growth will place additional strain on its suppliers and manufacturing facilities, resulting in an increased need for it to carefully monitor quality assurance. Any failure by Nautilus to manage its growth effectively could have an adverse effect on its ability to achieve its development and commercialization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ability to successfully manage its expected growth is uncertain given the fact that it has been in operation only since 2016. As Nautilus continues to grow, it will be required to implement more complex organizational management structures, and may find it increasingly difficult to maintain the benefits of its corporate culture, including its ability to quickly develop and launch new and innovative products. If Nautilus does not successfully manage its anticipated growth, its business, results of operations, financial condition and prospects will be harmed.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acquire other companies or technologies, which could divert its management’s attention, result in additional dilution to its stockholders and otherwise disrupt its operations and harm its operating results.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in the future seek to acquire or invest in businesses, applications or technologies that it believes could complement or expand its Nautilus Platform or future products, enhance its technical capabilities or otherwise offer growth opportunities. The pursuit of potential acquisitions may divert the attention of Nautilus’ management and cause it to incur various costs and expenses in identifying, investigating and pursuing suitable acquisitions, whether or not they are consummated. Nautilus may not be able to identify desirable acquisition targets or be successful in entering into an agreement with any particular target or obtain the expected benefits of any acquisition or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the growth of Nautilus’ operations has been organic, and it has limited experience in acquiring other businesses or technologies. Nautilus may not be able to successfully integrate acquired personnel, operations and technologies, or effectively manage the combined business following an acquisition. Acquisitions could also result in dilutive issuances of equity securities, the use of Nautilus’ available cash, or the incurrence of debt, which could harm Nautilus’ operating results. In addition, if an acquired business fails to meet Nautilus’ expectations, its operating results, business and financial condition may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Nautilus is unable to recruit and retain key executives and scientists, it may be unable to achieve its goals.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performance is substantially dependent on the performance of its senior management and key scientific and technical personnel, particularly Sujal Patel, one of its founders and its Chief Executive Officer, and Parag Mallick, one of its founders and its Chief Scientist.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loss of the services of any member of its senior management or its scientific or technical staff might significantly delay or prevent the development of its products or achievement of other business objectives by diverting management’s attention to transition matters and identification of suitable replacements, if any, and could have a material adverse effect on Nautilus’ business. Nautilus does not maintain fixed term employment contracts with any of its employees and does not maintain key man life insurance on any of its 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research and product development efforts could be delayed or curtailed if it is unable to attract, train and retain highly skilled employees, particularly, senior scientists and engineers. To expand Nautilus’ research and product development efforts, it needs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Nautilus’ system and the dynamic market in which it competes, any failure to attract and retain a sufficient number of qualified employees could materially harm Nautilus’ ability to develop and commercialize its technology.</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products could have unknown defects or errors, which may give rise to claims against it and adversely affect market adoption of the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Nautilus cannot assure you that material performance problems, defects or errors will not arise, and as Nautilus increases the density and integration of its Nautilus Platform, these risks may increase. Nautilus expects to provide warranties that its Nautilus Platform will meet performance expectations or be free from defects. The costs incurred in correcting any defects or errors may be substantial and could adversely affect Nautilus’ operating margins.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manufacturing the Nautilus Platform, Nautilus depends upon third parties for the supply of various components. Many of these components require a significant degree of technical expertise to produce. If Nautilus’ suppliers fail to produce components to specification, or if the suppliers, or Nautilus, use defective materials or workmanship in the manufacturing process, the reliability and performance of Nautilus’ products will be compromised.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products contain defects, it may experience: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failure to achieve market acceptance or expansion of its product sales;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loss of customer orders and delay in order fulfillment;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damage to its brand reputation;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increased cost of its warranty program due to product repair or replacement;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product recalls or replacements;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inability to attract new customers;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diversion of resources from its manufacturing and research and development departments into its service department;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legal claims against it, including product liability claims, which could be costly and time consuming to defend and result in substantial damages.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commercializes its Nautilus Platform outside of the United States, its international business could expose it to business, regulatory, political, operational, financial, and economic risks associated with doing business outside of the United States.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commercializes its Nautilus Platform outside of the United States, its international business may be adversely affected by changing economic, political and regulatory conditions in foreign countries. Engaging in international business inherently involves a number of difficulties and risks,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required compliance with existing and changing foreign regulatory requirements and 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established by the office of Foreign Asset Control;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export or import restrictions;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laws and business practices favoring local companies;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foreign currency exchange, longer payment cycles and difficulties in enforcing agreements and collecting receivables through certain foreign legal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political and economic instability;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social, economic, and political conditions or in laws, regulations and policies governing foreign trade, intellectual property, manufacturing, research and development, and investment both domestically as well as in the other countries and jurisdictions in which Nautilus operates and into which Nautilus may sell Nautilus’ products including as a result of the separation of the United Kingdom from the European Union (Brexit);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potentially adverse tax consequences, tariffs, customs charges, bureaucratic requirements and other trade barriers;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and costs of staffing and managing foreign operations;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protecting, maintaining, enforcing or procuring intellectual property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one or more of these risks occurs, it could require Nautilus to dedicate significant resources to remedy such occurrence, and if it is unsuccessful in finding a solution, its financial results will suffer.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Nautilus commercializes its Nautilus Platform outside of the United States, it intends to rely on distributors for sales of its Nautilus Platform and related products. To do so Nautilus must attract distributors and maintain distributors to maximize the commercial opportunity for its platform. There is no guarantee that Nautilus will be successful in attracting or retaining desirable sales and distribution partners or that Nautilus will be able to enter into such arrangements on favorable terms. Distributors may not commit the necessary resources to market and sell Nautilus’ platform and related products to the level of Nautilus expectations or may choose to favor marketing the products of Nautilus’ competitors. If current or future distributors do not perform adequately, or Nautilus is unable to enter into effective arrangements with distributors in particular geographic areas, Nautilus may not realize long-term international revenue growth and its financial results will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COVID-19 pandemic and efforts to reduce its spread have adversely impacted and are expected to continue to materially and adversely impact, Nautilus’ business and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had, and is expected to continue to have, an adverse impact on Nautilus’ operations, particularly as a result of preventive and precautionary measures that Nautilus, other businesses, and governments are taking. Governmental mandates related to COVID-19 or other infectious diseases, or public health crises, have impacted, and Nautilus expects them to continue to impact, its personnel and personnel at its suppliers in the United States and other countries, and the availability or cost of materials, which would disrupt or delay Nautilus’ receipt of instruments, components and supplies from the third parties it relies on. For instance, “stay-at-home” orders have been imposed in California, where Nautilus’ primary research and development facility is located, and in Washington state, where Nautilus’ primary corporate facility is located, that require reductions in capacity or shutdowns of businesses as well as the implementation of social distancing protocols and other plans and measures. During March and April of 2020, the volume of ongoing lab work was reduced, and only critical program work in the lab has continued with staggered lab employee work shifts to minimize risk of exposure to COVID-19, which has and may continue to disrupt or delay Nautilus’ ability to conduct development activities. Additionally, Nautilus’ suppliers have also been impacted by the COVID-19 pandemic. For example, Nautilus has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the extent that any governmental authority imposes additional regulatory requirements or changes existing laws, regulations, and policies that apply to Nautilus’ business and operations, such as additional workplace safety measures, Nautilus’ product development may be delayed, and it may incur further costs in bringing its business and operations into compliance with changing or new laws, regulations, and policies.</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Nautilus is currently in the development stage, it expects that substantially all of its revenue will be derived from sales of its Nautilus Platform, including its instruments and consumables, to biopharmaceutical companies and academic and research institutions. As Nautilus leaves the development stage and enters the next stage of its commercialization plan, the research and development budgets of these customers, the ability of such customers to receive funding for research, and the ability of such customers to receive instrument installations and visitors to their facilities and to travel to Nautilus’ facilities, other laboratories and industry events, will become increasingly important to the adoption of the Nautilus Platform. All of these considerations are impacted by factors beyond Nautilus’ control, such as: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disruptions in the supply chains of entities providing important services and products to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Nautilus’ instruments or consumables;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decreases in government funding of research and development;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Nautilus’ customers and potential customers and their funding 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is highly uncertain and subject to sudden change. This impact could have a material, adverse impact on Nautilus’ liquidity, capital resources, operations and business and those of the third parties on which Nautilus relies and could worsen over time. The extent to which the COVID-19 pandemic impacts Nautilus’ results will depend on future developments, which are highly uncertain and cannot be predicted, including new information which may emerge concerning the severity of COVID-19 and the actions to contain COVID-19 or treat its impact, among others. While Nautilus does not yet know the full extent of potential impacts on its business, any of these occurrences could significantly harm its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the COVID-19 pandemic, or otherwise, could adversely affect Nautilus’ ability to raise capital and its business, results of operations and financial condition.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and the duration of, the COVID-19 pandemic is difficult to assess or predict, the COVID-19 pandemic has resulted in, and may continue to result in, extreme volatility and disruptions in the capital and credit markets, reducing Nautilus’ ability to raise additional capital through equity, equity-linked or debt financings, which could negatively impact Nautilus’ short-term and long-term liquidity and its ability to operate in accordance with its operating plan, or at all. Additionally, Nautilus’ results of operations could be adversely affected by general conditions in the global economy and financial markets. A severe or prolonged economic downturn could result in a variety of risks to Nautilus’ business, including weakened demand for its proteomics product platform and its ability to raise additional capital when needed on favorable terms, if at all. A weak or declining economy could strain Nautilus’ customers’ budgets or cause delays in their payments to us. Any of the foregoing could harm Nautilus’ business, and Nautilus cannot anticipate all of the ways in which the current economic climate and financial market conditions could adversely impact its ability to raise capital,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New Nautilus fails to maintain an effective system of internal control over financial reporting, it may not be able to accurately report its financial results in a timely manner or prevent fraud, which would harm its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over financial reporting are necessary for New Nautilus to provide reliable financial reports and, together with adequate disclosure controls and procedures, are designed to prevent fraud. Any failure to implement required new or improved controls, or difficulties encountered in their implementation, could cause New Nautilus to fail to meet its reporting obligations in a timely manner, or at all. In addition, any testing by New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conducted in connection with Section 404(a) of SOX or any subsequent testing by New Nautilus’ independent registered public accounting firm in connection with Section 404(b) of SOX, may reveal deficiencies in New Nautilus’ internal controls over financial reporting that are deemed to be significant deficiencies or material weaknesses or that may require prospective or retroactive changes to New Nautilus’ financial statements or identify other areas for further attention or improvement. Ineffective internal controls could also cause investors to lose confidence in New Nautilus’ reported financial information, which could have a negative effect on the trading price of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will be required to disclose material changes made in its internal controls over financing reporting and procedures on a quarterly basis and its management will be required to assess the effectiveness of these controls annually. New Nautilus will be required to make a formal assessment of the effectiveness of its internal control over financial reporting, and once it ceases to be an “emerging growth company” under the JOBS Act, it will be required to include an attestation report on internal control over financial reporting issued by its independent registered public accounting firm. However, for as long as New Nautilus is an “emerging growth company”, its independent registered public accounting firm will not be required to attest to the effectiveness of New Nautilus’ internal controls over financial reporting pursuant to Section 404(b).</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within the prescribed period, New Nautilus will be engaging in a process to document and evaluate its internal control over financial reporting, which is both costly and challenging. In this regard, New Nautilus will need to continue to dedicate internal resources, potentially engage outside consultants and adopt a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could be an “emerging growth company” for up to five years from the date of ARYA’s initial public offering. An independent assessment of the effectiveness of New Nautilus’ internal controls could detect problems that New Nautilus’ management’s assessment might not identify. Undetected material weaknesses in New Nautilus’ internal controls could lead to financial statement restatements and require it to incur the expense of remediation.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estimates or judgments relating to its critical accounting policies are based on assumptions that change or prove to be incorrect, its results of operation could fall below its publicly announced guidance or the expectations of securities analysts and investors, resulting in a decline in the market price of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Nautilus’ financial statements and accompanying notes. Nautilus bases its estimates on historical experience and estimates and on various other assumptions that it believes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Nautilus has product sales, management makes judgments and assumptions based on its interpretation of the new standard. The new revenue standard is principle-based and interpretation of those principles may vary from company to company based on their unique circumstances. It is possible that interpretation, industry practice and guidance may evolve as Nautilus applies the new standard. If Nautilus’ assumptions underlying Nautilus’ estimates and judgements relating to its critical accounting policies change or if actual circumstances differ from Nautilus’ assumptions, estimates or judgements, its operating results may be adversely affected and could fall below Nautilus’ publicly announced guidance or the expectations of securities analysts and investors, resulting in a decline in the market price of its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Demand for Nautilus’ technology could be reduced by legal, social and ethical concerns surrounding the use of genetic information and biological materials.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products may be used to provide genetic information or analyze biological materials from humans and other living organisms. The information obtained from Nautilus’ products could be used in a variety of applications,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Nautilus’ products, which could have a material adverse effect on its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facilities become unavailable or inoperable, Nautilus’ research and development program and commercialization launch plan could be adversely impacted and manufacturing of its instruments and consumables could be interrupted.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Seattle, Washington, facility houses its corporate executive team and its software development operations, while its San Carlos, California, facility houses its research and development team.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facilities in Seattle and San Carlos are vulnerable to natural disasters, public health crises, including the impact of the COVID-19 pandemic, and catastrophic events. For example, Nautilus’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Nautilus’ ability to operate its business would be seriously, or potentially completely, impaired. If Nautilus’ facilities become unavailable for any reason, Nautilus cannot provide assurances that it will be able to secure alternative facilities with the necessary capabilities and equipment on acceptable terms, if at all. Nautilus may encounter particular difficulties in replacing its San Carlos facilities given the specialized equipment housed within it. The inability to manufacture Nautilus’ instruments or consumables, combined with its limited inventory of manufactured instruments and consumables, may result in the loss of future customers or harm Nautilus’ reputation, and it may be unable to re-establish relationships with those customers in the future.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research and development program or planned commercialization program were disrupted by a disaster or catastrophe, the launch of new products, including the Nautilus Platform, and the timing of improvements to its products could be significantly delayed and could adversely impact Nautilus’ ability to compete with other available products and solutions. If Nautilus’ capabilities are impaired, Nautilus may not be able to manufacture and ship its products in a timely manner, which would adversely impact its business. Although Nautilus possesses insurance for damage to its property and the disruption of its business, this insurance may not be sufficient to cover all of its potential losses and may not continue to be available to Nautilus on acceptable terms, or at all.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uses hazardous chemicals and biological materials in its business. Any claims relating to improper handling, storage or disposal of these materials could be time consuming and costly.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research and development processes involve the controlled use of hazardous materials, including select chemicals that may be flammables, toxic or corrosives. We do not currently have research processes involving biohazard materials. Nautilus cannot eliminate the risk of accidental contamination or discharge and any resultant injury from these materials. In addition, the Nautilus Platform involves the use of a high-powered laser system, which could result in injury. Nautilus may be sued for any injury or contamination that results from its use or the use by third parties of these materials. Nautilus does not currently maintain separate environmental liability coverage and any such contamination or discharge could result in significant cost to Nautilus in penalties, damages and suspension of Nautilus’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sued for product liability, it could face substantial liabilities that exceed its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Nautilus products could lead to the filing of product liability claims were someone to allege that Nautilus’ products identified inaccurate or incomplete information regarding the proteins analyzed or otherwise failed to perform as designed. Nautilus may also be subject to liability for errors in, a misunderstanding of or inappropriate reliance upon, the information it provides in the ordinary course of Nautilus’ business activities. A product liability claim could result in substantial damages and be costly and time-consuming for Nautilus to defend. Nautilus maintains/expects to maintain product liability insurance, but this insurance may not fully protect Nautilus from the financial impact of defending against product liability claims. Any product liability </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claim brought against Nautilus, with or without merit, could increase Nautilus’ insurance rates or prevent Nautilus from securing insurance coverage in the future. Additionally, any product liability lawsuit could damage Nautilus’ reputation, or cause current customers to terminate existing agreements and potential partners to seek other partners, any of which could adversely impact Nautilus’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Nautilus’ Intellectual Property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commercial success depends in part on its ability to protect its intellectual property and proprietary technologies. Nautilus relies on patent protection, where appropriate and available, as well as a combination of copyright, trade secret and trademark laws, and nondisclosure, confidentiality and other contractual restrictions to protect its proprietary technology. However, these legal means afford only limited protection and may not adequately protect Nautilus’ rights or permit it to gain or keep any competitive advantage. If Nautilus fails to obtain, maintain and protect its intellectual property, third parties may be able to compete more effectively against Nautilus. In addition, Nautilus may incur substantial costs related to litigation or other patent proceedings in its attempts to recover or restrict use of its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the extent Nautilus’ intellectual property offers inadequate protection, or is found to be invalid or unenforceable, Nautilus would be exposed to a greater risk of direct competition. If Nautilus’ intellectual property does not provide adequate coverage of its competitors’ products, its competitive position could be adversely affected, as could Nautilus’ business, financial condition, results of operations and prospects. Both the patent application process and the process of managing patent and other intellectual property disputes are generally unpredictable, time-consuming and expensive.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success depends in large part on its and any future licensor’s ability to obtain and maintain protection of the intellectual property Nautilus may own or license, whether solely or jointly, particularly patents, in the United States and other countries with respect to Nautilus’ products and technologies. Nautilus applies for patents to protect its products, technologies and commercial activities, as it deems appropriate. However, obtaining and enforcing patents is costly, time-consuming and complex, and Nautilus may fail to apply for patents on important products and technologies in a timely fashion or at all, or it may fail to apply for patents in potentially relevant jurisdictions. Nautilus may not be able to file and prosecute all necessary or desirable patent applications, or maintain, enforce and license any patents that may issue from such patent applications, at a reasonable cost or in a timely manner or in all jurisdictions. It is also possible that Nautilus will fail to identify patentable aspects of its research and development output before it is too late to obtain patent protection. Moreover, Nautilus may not develop additional proprietary products, methods and technologies that are patentable. Nautilus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Nautilus’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Nautilus’ intellectual property. As a result, the issuance, scope, validity, enforceability, and commercial value of Nautilus’ patent rights are highly uncertain. It is possible that none of Nautilus’ pending patent applications will result in issued patents in a timely fashion or at all, and even if issued, the patents may not provide a basis for intellectual property protection of commercially viable products or services, may not provide Nautilus with any competitive advantages, or may be challenged, narrowed or invalidated by third parties. Nautilus cannot predict the breadth of claims that may be allowed or enforced in its patents or in third-party patents. It is possible that third parties will design around Nautilus’ current or future patents such that Nautilus cannot prevent such third parties from using similar technologies and commercializing similar products to compete with Nautilus. Some of Nautilus’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owned or any future licensed patents or patent applications may be challenged at a future point in time and Nautilus may not be successful in defending any such challenges made against its patents or patent applications. Any successful third-party challenge to Nautilus’ patents could result in diminished or lost rights, for example, due to narrowing, unenforceability or invalidity of such patents and increased competition to Nautilus’ business. The outcome of patent litigation or other proceedings is generally uncertain, and any attempt by Nautilus to enforce its patent rights against others or to challenge the patent rights of others may not be successful, or, regardless of success, may take substantial time and result in substantial cost, and may divert Nautilus’ efforts and attention from other aspects of its business. Any of the foregoing events could have a material adverse effect on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U.S. law relating to the patentability of certain inventions in the life sciences technology industry is uncertain and rapidly changing, which may adversely impact Nautilus’ existing patents or its ability to obtain patents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Nautilus’ patent applications and the enforcement or defense of its issued patents, all of which could have a material adverse effect on Nautilus’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U.S. Supreme Court, have recently rendered decisions that impact the scope of patentability of certain inventions or discoveries relating to Nautilus’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Nautilus technology and commercial goals are impacted by these changes.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Nautilus’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Nautilus’ ability to obtain new patents and to defend and enforce its existing patents and patents that it might obtain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you that its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Nautilus’ business, financial condition, prospects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not be able to protect its intellectual property rights throughout the world.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the Nautilus Platform in all countries throughout the world would be prohibitively expensive, and Nautilus’ intellectual property rights in some countries outside the United States can be less extensive than those in the United States.</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and Nautilus and any future licensor may encounter difficulties in protecting and defending such rights in foreign jurisdictions. Consequently, Nautilus and any future licensor may not be able to prevent third parties from practicing its inventions in some or all countries outside the United States, or from selling or importing products made using Nautilus’ or any future licensor’s inventions in and into the United States or other jurisdictions. Competitors and other third parties may be able to use Nautilus’ technologies in jurisdictions where Nautilus has not obtained patent protection to develop their own products and technologies and may also export infringing products to territories where Nautilus has patent protection, but enforcement is not as strong as that in the United States. These products may compete with Nautilus’ products. Nautilus’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Nautilus to stop the misappropriation or other violations of its intellectual property rights including infringement of its patents in such countries. The legal systems in certain countries may also favor state-sponsored companies or companies headquartered in particular jurisdictions over Nautilus’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Nautilus will not be able to enforce its rights against third parties that misappropriate its proprietary technology in those countries.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Proceedings to enforce Nautilus’ or any future licensor’s patent rights in foreign jurisdictions could result in substantial cost and divert Nautilus’ efforts and attention from other aspects of its business, could put its and any future licensor’s patents at risk of being invalidated or interpreted narrowly and its and any future licensor’s patent applications at risk of not issuing, and could provoke third parties to assert claims against Nautilus. Nautilus and any future licensor may not prevail in any lawsuits that it and any future licensor initiates, or that are initiated against it or any future licensor, and the damages or other remedies awarded, if any, may not be commercially meaningful. In addition, changes in the law and legal decisions by courts in the United States and foreign countries may affect Nautilus’ ability to obtain adequate protection for its products, services and other technologies and the enforcement of intellectual property. Accordingly, Nautilus’ efforts to enforce its intellectual property rights around the world may be inadequate to obtain a significant commercial advantage from the intellectual property that Nautilus develops or licenses. Any of the foregoing events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become involved in lawsuits to defend against third-party claims of infringement, misappropriation or other violations of intellectual property or to protect or enforce Nautilus’ intellectual property, any of which could be expensive, time consuming and unsuccessful, and may prevent or delay its development and commercialization efforts.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for Nautilus to enforce its patent and proprietary rights and/or to determine the scope, coverage and validity of others’ proprietary rights. Litigation on these matters has been prevalent in Nautilus’ industry and it expects that this will continue. To determine the priority of inventions, Nautilus may have to initiate and participate in interference proceedings declared by the U.S. Patent and Trademark Office that could result in substantial legal fees and could substantially affect the scope of Nautilus’ patent protection. Also, Nautilus’ intellectual property may be subject to significant administrative and litigation proceedings such as invalidity, unenforceability, re-examination and opposition proceedings against Nautilus’ patents. The outcome of any litigation or other proceeding is inherently uncertain and might not be favorable to Nautilus, and it might not be able to obtain licenses to technology that it requires or a competitor may have already obtained an exclusive license to such technology in all fields. Even if such licenses are obtainable, they may not be available at a reasonable cost. Nautilus could therefore incur substantial costs related to royalty payments for licenses obtained from third parties, which could negatively affect its gross margins. In some cases, the outcome of litigation may be to enjoin Nautilus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from commercializing a patent protected technology. Nautilus could encounter delays in product introductions, or interruptions in product sales, as it develops alternative methods or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Nautilus resorts to legal proceedings to enforce its intellectual property rights or to determine the validity, scope and coverage of the intellectual property or other proprietary rights of others, the proceedings could be burdensome and expensive, even if Nautilus were to prevail.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commercial success may depend in part on its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Nautilus’ products infringe their intellectual property rights as part of a business strategy to impede Nautilus’ successful entry into those markets. Third parties may assert that Nautilus is employing their proprietary technology without authorization. Nautilus is aware that there are issued third party patents that are in the general proteomics field. Specifically, Nautilus is aware of various U.S. patents and U.S. non-provisional applications assigned to Washington University and the National Institute of Health, with claims directed to characterizing and identifying a polypeptide strand.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competitors and others may have patents or may in the future obtain patents and may claim that use of Nautilus’ products infringes these patents. As Nautilus moves into new markets and applications for its products, incumbent participants in such markets may assert their patents and other proprietary rights against Nautilus as a means of slowing or preventing its entry into such markets, or as a means to extract substantial license and royalty payments from Nautilus.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Issued patents covering Nautilus’ products could be found invalid or unenforceable if challenged.</w:t>
      </w:r>
    </w:p>
    <w:p>
      <w:pPr>
        <w:pStyle w:val="TextBody"/>
        <w:spacing w:lineRule="auto" w:line="288" w:before="0" w:after="180"/>
        <w:ind w:left="0" w:right="0" w:firstLine="360"/>
        <w:rPr/>
      </w:pPr>
      <w:r>
        <w:rPr>
          <w:rFonts w:ascii="Times New Roman;sans-serif" w:hAnsi="Times New Roman;sans-serif"/>
          <w:b w:val="false"/>
          <w:color w:val="000000"/>
          <w:sz w:val="20"/>
        </w:rPr>
        <w:t xml:space="preserve">Nautilus’ owned and any future licensed patents and patent applications may be subject to validity, enforceability and priority disputes. The issuance of a patent is not conclusive as to its inventorship, scope, validity or enforceability. Some of Nautilus’ patents or patent applications may be challenged at a future point in time in opposition, derivation,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post-grant review or interference or other similar proceedings. Any successful third-party challenge to Nautilus’ patents in this or any other proceeding could result in the unenforceability or invalidity of such patents, which may lead to increased competition to Nautilus’ business, which could have a material adverse effect on its business, financial condition, results of operations and prospects. In addition, if Nautilus or any future licensor initiates legal proceedings against a third party to enforce a patent covering Nautilus’ products, the defendant could counterclaim that such patent covering Nautilus’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post-grant review, derivation and equivalent proceedings in non-U.S. jurisdictions, such as opposition proceedings. Such proceedings could result in revocation of or amendment to Nautilus’ patents in such a way that they no longer cover and protect its products. With respect to the validity of Nautilus’ patents, for example, Nautilus cannot be certain that there is no invalidating prior art of which Nautilus, any future licensor, Nautilus’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Nautilus would lose at least part, and perhaps all, of the patent protection for its products and technologies, which could have a material adverse effect on its business, financial condition, results of operations and prospects. In addition, if the breadth or strength of protection provided by Nautilus’ patents and patent applications is threatened, regardless of the outcome, it could dissuade companies from collaborating with Nautilus to license intellectual property or develop or commercialize current or future products.</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not be aware of all third-party intellectual property rights potentially relating to its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Nautilus might not have been the first to make the inventions covered by each of its pending patent applications and it might not have been the first to file patent applications for these inventions. To determine the priority of these inventions, Nautilus may have to participate in interference proceedings, derivation proceedings or other post-grant proceedings declared by the USPTO, or other similar proceedings in non-U.S. jurisdictions, that could result in substantial cost to Nautilus and the loss of valuable patent protection. The outcome of such proceedings is uncertain. No assurance can be given that other patent applications will not have priority over Nautilus’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Nautilus’ patents, regardless of the merit of such proceedings and regardless of whether Nautilus is successful, it could experience significant costs and its management may be distracted. Any of the foregoing events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protect the confidentiality of its trade secrets, the value of its technology could be materially adversely affected and its business could be harmed.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relies heavily on trade secrets and confidentiality agreements to protect its unpatented know-how, technology and other proprietary information, including parts of the Nautilus Platform, and to maintain its competitive position. However, trade secrets and know-how can be difficult to protect. In particular, Nautilus anticipates that with respect to its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Nautilus’ technology, Nautilus takes steps to protect its intellectual property and proprietary technology by entering into agreements, including confidentiality agreements, non-disclosure agreements and intellectual property assignment agreements, with its employees, consultants, academic institutions, corporate partners and, when needed, its advisers. However, Nautilus cannot be certain that such agreements have been entered into with all relevant parties, and it cannot be certain that its trade secrets and other confidential proprietary information will not be disclosed or that competitors or other third parties will not otherwise gain access to Nautilus’ trade secrets or independently develop substantially equivalent information and techniques. For example, any of these parties may breach the agreements and disclose Nautilus’ proprietary information, including Nautilus’ trade secrets, and it may not be able to obtain adequate remedies for such breaches. Such agreements may not be enforceable or may not provide meaningful protection for Nautilus’ trade secrets or other proprietary information in the event of unauthorized use or disclosure or other breaches of the agreements, and Nautilus may not be able to prevent such unauthorized disclosure, which could adversely impact its ability to establish or maintain a competitive advantage in the market,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Nautilus does not know whether the steps it has taken to prevent such disclosure are, or will be, adequate. If Nautilus was to enforce a claim that a third party had wrongfully obtained and was using Nautilus’ trade secrets, it would be expensive and time-consuming, it could distract Nautilus’ personnel, and the outcome would be unpredictable. In addition, courts outside the United States may be less willing to protect trade secrets.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also seeks to preserve the integrity and confidentiality of its confidential proprietary information by maintaining physical security of its premises and physical and electronic security of its information technology systems, but it is possible that these security measures could be breached. If any of Nautilus’ confidential proprietary information were to be lawfully obtained or independently developed by a competitor or other third party, absent patent protection, Nautilus would have no right to prevent such competitor from using that technology or information to compete with Nautilus, which could harm Nautilus’ competitive position. Competitors or third parties could purchase Nautilus’ products and attempt to replicate some or all of the competitive advantages Nautilus derives from its development efforts, design around its protected technology, develop their own competitive technologies that fall outside the scope of Nautilus’ intellectual property rights or independently develop its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technologies without reference to its trade secrets. If any of Nautilus’ trade secrets were to be disclosed to or independently discovered by a competitor or other third party, it could materially and adversely affect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 subject to claims challenging the inventorship of its patents and other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or any future licensor may be subject to claims that former employees, collaborators or other third parties have an interest in Nautilus’ patents, trade secrets or other intellectual property. For example, Nautilus or any future licensor may have inventorship disputes arise from conflicting obligations of employees, consultants or others who are involved in developing Nautilus’ products. In addition, counterparties to Nautilus’ consulting, software development, and other agreements may assert that they have an ownership interest in intellectual property developed under such arrangements. Litigation may be necessary to defend against claims challenging ownership or inventorship of Nautilus’ or any future licensor’s ownership of Nautilus’ patents, trade secrets or other intellectual property. If Nautilus or any future licensor fails in defending any such claims, in addition to paying monetary damages, Nautilus may lose valuable intellectual property rights, such as exclusive ownership of, or right to use, intellectual property that is important to the Nautilus Platform, including Nautilus’ software, workflows, consumables and reagent kits. In such an event, Nautilus may be required to obtain licenses from third parties and such licenses may not be available on commercially reasonable terms or at all, or may be non-exclusive. If Nautilus is unable to obtain and maintain such licenses, it may need to cease the development, manufacture or commercialization of its products and technologies. Even if Nautilus is successful in defending against such claims, litigation could result in substantial costs and be a distraction to management and other employees, and certain customers or partners may defer engaging with Nautilus until the particular dispute is resolved. Any of the foregoing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not be able to protect and enforce its trademarks and trade names, or build name recognition in its markets of interest thereby harming its competitive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Nautilus owns may be challenged, infringed, circumvented, declared generic, lapsed or determined to be infringing on or dilutive of other marks. Nautilus may not be able to protect its rights in these trademarks and trade names, which it needs in order to build name recognition. In addition, third parties have filed, and may in the future file, for registration of trademarks similar or identical to Nautilus’ trademarks, thereby impeding Nautilus’ ability to build brand identity and possibly leading to market confusion. In addition, there could be potential trade name or trademark infringement claims brought by owners of other registered trademarks or trademarks that incorporate variations of Nautilus’ registered or unregistered trademarks or trade names. Further, Nautilus has and may in the future enter into agreements with owners of such third party trade names or trademarks to avoid potential trademark litigation which may limit Nautilus’ ability to use its trade names or trademarks in certain fields of business. Over the long term, if Nautilus is unable to establish name recognition based on its trademarks and trade names, then it may not be able to compete effectively, and its business, financial condition, results of operations and prospects may be adversely affected. Nautilus’ efforts to enforce or protect its proprietary rights related to trademarks, domain names, copyrights or other intellectual property may be ineffective and could result in substantial costs and diversion of resources. Any of the foregoing events could have a material adverse effect on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Nautilus’ competitive position on the Nautilus Platform for an adequate amount of time.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Nautilus’ products are obtained, once the patent life has expired, Nautilus may be open to competition from competitive products. If one of Nautilus’ products requires extended development, testing and/or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regulatory review, patents protecting such products might expire before or shortly after such products are commercialized. As a result, Nautilus’ owned and licensed patent portfolio may not provide it with sufficient rights to exclude others from commercializing products similar or identical to Nautilus’, which could have a material adverse effect on its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Obtaining and maintaining Nautilus’ patent protection depends on compliance with various required procedures, document submissions, fee payments and other requirements imposed by governmental patent agencies, and Nautilus’ patent protection could be reduced or eliminated for non-compliance with these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Nautilus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Nautilus’ competitors may be able to enter the market without infringing its patents and this circumstance would have a material adverse effect on its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 subject to claims that its employees, consultants or independent contractors have wrongfully used or disclosed confidential information of third parties or that its employees have wrongfully used or disclosed trade secrets of their former employers.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has employed and expects to employ individuals who were previously employed at universities or other companies, including, for example, Nautilus’ competitors or potential competitors. Although Nautilus tries to ensure that its employees, consultants, advisors and independent contractors do not use the proprietary information or know-how of others in their work for Nautilus, it may be subject to claims that its employees, advisors, consultants or independent contractors have inadvertently or otherwise used or disclosed intellectual property, including trade secrets or other proprietary information of their former employers or other third parties, or to claims that Nautilus have improperly used or obtained such trade secrets. Litigation may be necessary to defend against these claims. If Nautilus fails in defending such claims, in addition to paying monetary damages, it may lose valuable intellectual property rights and face increased competition to its business. Any such litigation or the threat thereof may adversely affect Nautilus’ ability to hire employees or contract with advisors, contractors and consultants. A loss of key research personnel work product could hamper or prevent Nautilus’ ability to commercialize potential products, which could harm its business. Even if Nautilus is successful in defending against these claims, litigation could result in substantial costs and be a distraction to management. This type of litigation or proceeding could substantially increase Nautilus’ operating losses and reduce its resources available for development activities. Some of Nautilus’ competitors may be able to sustain the costs of this type of litigation or proceedings more effectively than Nautilus can because of their substantially greater financial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while it is Nautilus’ policy to require its employees and contractors who may be involved in the conception or development of intellectual property to execute agreements assigning such intellectual property to Nautilus, Nautilus may be unsuccessful in executing such an agreement with each party who, in fact, conceives or develops intellectual property that Nautilus regards as its own. The assignment of intellectual property rights may not be self-executing, or the assignment agreements may be breached, and Nautilus may be forced to bring claims against third parties, or defend claims that they may bring against Nautilus, to determine the ownership of what Nautilus regards as its intellectual property. Furthermore, individuals executing agreements with Nautilus may have pre-existing or competing obligations to a third party, such as an academic institution, and thus an agreement with Nautilus may be ineffective in perfecting ownership of inventions developed by that individual, which could have a material adverse effect on Nautilus’ business, financial condition, results of operations, and prospects.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Nautilus or any future licensor may in the future be subject to claims by former or current employees, consultants or other third parties asserting an ownership right or inventorship in Nautilus’ owned, or any future licensed, patents or patent applications. For example, Nautilus’ Founder and Chief Scientist is employed by Stanford University and a member of the Stanford Cancer Institute. Stanford University and the Stanford Cancer Institute may assert an ownership right in any of Nautilus’ owned patents or patent applications. Nautilus may have other consultants that are or have been employed by third parties, which may assert an ownership right in any of Nautilus’ owned patents or patent applications. In addition, Nautilus is aware that it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Nautilus’ ability to stop others from using or commercializing similar technology, without payment to Nautilus, or could limit the duration of the patent protection covering Nautilus’ technology and products. Such challenges may also result in Nautilus’ inability to develop, manufacture or commercialize its products without infringing third-party patent rights. Any of the foregoing could harm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cannot license rights to use technologies on reasonable terms, it may not be able to commercialize new products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identify third-party technology that it may need to license or acquire in order to develop or commercialize its products or technologies, including the Nautilus Platform. However, Nautilus may be unable to secure such licenses or acquisitions. The licensing or acquisition of third-party intellectual property rights is a competitive area, and several more established companies may pursue strategies to license or acquire third-party intellectual property rights that Nautilus may consider attractive or necessary. These established companies may have a competitive advantage over Nautilus due to their size, capital resources, or greater development and commercialization capabilities. In addition, companies that perceive Nautilus to be a competitor may be unwilling to assign or license rights to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also may be unable to license or acquire third-party intellectual property rights on terms that would allow it to make an appropriate return on its investment or at all. In return for the use of a third party’s technology, Nautilus may agree to pay the licensor royalties based on sales of Nautilus’ products or services. Royalties are a component of cost of products or technologies and affect the margins on Nautilus’ products. Nautilus may also need to negotiate licenses to patents or patent applications before or after introducing a commercial product. Nautilus may not be able to obtain necessary licenses to patents or patent applications, and its business may suffer if it is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use of open source software and failure to comply with the terms of the underlying open source software licenses could impose limitations on its ability to commercialize its products and provide third parties to its proprietary software.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Nautilus combines its proprietary software with open source software in a certain manner, Nautilus could, under certain open source software licenses, be required to release the source code of its proprietary software to the public for free. This would allow Nautilus’ competitors and other third parties to create similar products with less development effort and time and ultimately could result in a loss of Nautilus’ product sales and revenue, which could have a material adverse effect on Nautilus’ business, financial condition, results of operations and prospects. In addition, some companies that use third-party open source software have faced claims challenging their use of such open source software and their compliance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the terms of the applicable open source license. Nautilus may be subject to suits by third parties claiming ownership of what Nautilus believes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Nautilus reviews and monitors its use of open source software to avoid subjecting its proprietary software to conditions Nautilus does not intend, the terms of many open source software licenses have not been interpreted by United States courts, and there is a risk that these licenses could be construed in a way that could impose unanticipated conditions or restrictions on our ability to commercialize Nautilus’ products and proprietary software. Moreover, Nautilus cannot assure investors that Nautilus’ processes for monitoring and controlling its use of open source software in its products will be effective. If Nautilus is held to have breached the terms of an open source software license, Nautilus could be subject to damages, required to seek licenses from third parties to continue offering its products on terms that are not economically feasible, to re-engineer our products, to discontinue the sale of its products if re-engineering could not be accomplished on a timely basis, or to make generally available, in source code form, its proprietary code, any of which could adversely affect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Nautilus’ intellectual property rights is uncertain because intellectual property rights have limitations, and may not adequately protect Nautilus’ business or permit it to maintain its competitive advantage. For example: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others may be able to make products that are similar to products and technologies Nautilus may develop or may be able to utilize similar technologies that are not covered by the claims of the patents that Nautilus owns or licenses now or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or any future licensor(s), might not have been the first to make the inventions covered by the issued patent or pending patent application that Nautilus licenses or may own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or any future licensor(s), might not have been the first to file patent applications covering certain of Nautilus’ or their inventions;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others may independently develop similar or alternative technologies or duplicate any of Nautilus’ technologies without infringing, misappropriating or otherwise violating Nautilus’ owned or future licensed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it is possible that Nautilus’ pending patent applications or those that it may license or own in the future will not lead to issued patents;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issued patents that Nautilus holds rights to may be held invalid or unenforceable, including as a result of legal challenges by Nautilus’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competitors might conduct research and development activities in countries where Nautilus does not have patent rights and then use the information learned from such activities to develop competitive products for sale in Nautilus’ major commercial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may not develop additional proprietary technologies that are patentable;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patents of others may harm Nautilus’ business;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may choose not to file a patent for certain trade secrets or know-how, and a third party may independently derive, use, commercialize, publish or patent such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Should any of these events occur, they could materially adversely affect Nautilus’ business, financial condition, results of operations and prospects.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Although Nautilus’ products currently are not labeled or intended for any use which would subject it to regulation by the FDA or other regulatory authorities, if Nautilus elects to label and promote any of its products as clinical or medical device products, it would be subject to regulation in the future and would be required to obtain prior approval or clearance by the FDA or other regulatory authorities, which could take significant time and expense and could fail to result in FDA clearance or approval for the intended uses Nautilus believes are commercially attractive.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Nautilus elects to label and market Nautilus’ products for use as, or in the performance of, clinical diagnostics in the United States, thereby subjecting them to U.S. Food and Drug Administration (FDA) regulation as medical devices, Nautilus would be required to obtain premarket 510(k) clearance or premarket approval from the FDA, unless an exception applies.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in the future register with the FDA as a medical device manufacturer and list some of its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(QSRs), Nautilus would be subject to ongoing FDA “general controls,” which include compliance with FDA regulations for labeling, inspections by the FDA, complaint evaluation, corrections and removals reporting, promotional restrictions, reporting adverse events or malfunctions for Nautilus’ products, and general prohibitions against misbranding and adulteration.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may in the future submit 510(k) premarket notification applications to the FDA to obtain FDA clearance of certain of its products on a selective basis. It is possible, in the event Nautilus elects to submit 510(k) applications for certain of its products, that the FDA would take the position that a more burdensome premarket application, such as a premarket approval application (PMA) or a de novo application is required for some of Nautilus’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Nautilus’ products, and several months to years for the FDA to review a submission. Notwithstanding the effort and expense, FDA clearance or approval could be denied for some or all of Nautilus’ products for which it chooses to market as a medical device or a clinical diagnostic device. Even if Nautilus was to seek and obtain regulatory approval or clearance, it may not be for the intended uses it requests or that it believes are important or commercially attractive. There can be no assurance that future products for which Nautilus may seek premarket clearance or approval will be cleared or approved by the FDA or a comparable foreign regulatory authority on a timely basis, if at all, nor can there be assurance that labeling claims will be consistent with Nautilus’ anticipated claims or adequate to support continued adoption of such products. Compliance with FDA or comparable foreign regulatory authority regulations will require substantial costs, and subject Nautilus to heightened scrutiny by regulators and substantial penalties for failure to comply with such requirements or the inability to market Nautilus’ products. The lengthy and unpredictable premarket clearance or approval process, as well as the unpredictability of the results of any required clinical studies, may result in Nautilus’ failing to obtain regulatory clearance or approval to market such products, which would significantly harm Nautilus’ business, results of operations, reputation,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Nautilus sought and received regulatory clearance or approval for certain of its products, Nautilus would be subject to ongoing FDA obligations and continued regulatory oversight and review, including the general controls listed above and the FDA’s QSRs for Nautilus’ development and manufacturing operations. In addition, Nautilus may be required to obtain a new 510(k) clearance before it could introduce subsequent modifications or improvements to such products. Nautilus could also be subject to additional FDA post-marketing obligations for such products, any or all of which would increase Nautilus’ costs and divert resources away from other projects. If Nautilus sought and received regulatory clearance or approval and are not able to maintain regulatory compliance with applicable laws, Nautilus could be prohibited from marketing its products for use as, or in the performance of,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clinical diagnostics and/or could be subject to enforcement actions, including warning letters and adverse publicity, fines, injunctions, and civil penalties; recall or seizure of products; operating restrictions; and criminal prosecution.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could decide to seek regulatory clearance or approval for certain of Nautilus’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Nautilus may not be able to obtain foreign regulatory approvals on a timely basis or at all. Once the Brexit transition period ends, for medical device products the Nautilus intends to market in the U.K., Nautilus will be subject to regulatory requirements of the Medicines and Healthcare products Regulatory Agency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Nautilus’ ability to commercialize its products for diagnostic use outside of the United States.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products could become subject to government regulation as medical devices by the FDA and other regulatory agencies even if it does not elect to seek regulatory clearance or approval to market Nautilus’ products for diagnostic purposes, which would adversely impact Nautilus’ ability to market and sell its products and harm its business. If Nautilus’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does not currently expect the Nautilus Platform to be subject to the clearance or approval of the FDA, as it is not intended to be used for the diagnosis, treatment or prevention of disease. However, as Nautilus expands its product line and the applications and uses of Nautilus’ current or products into new fields, certain of Nautilus’ future products could become subject to regulation by the FDA, or comparable international agencies, including requirements for regulatory clearance or approval of such products before they can be marketed. Also, even if Nautilus’ products are labeled, promoted, and intended as research use only (RUO), the FDA or comparable agencies of other countries could disagree with Nautilus’ conclusion that Nautilus’ products are intended for research use only or deem Nautilus’ sales, marketing and promotional efforts as being inconsistent with RUO products. For example, Nautilus’ customers may independently elect to use Nautilus’ RUO labeled products in their own laboratory developed tests (LDTs) for clinical diagnostic use. While the FDA has traditionally exercised enforcement discretion with LDTs, the FDA could take the view that Nautilus’ sale of its RUO labeled products were made with the knowledge that the products will be used as medical devices, and could therefore subject Nautilus’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Nautilus’ RUO products by Nautilus’ customers were done without Nautilus’ consent. If the FDA or other regulatory authorities assert that any of Nautilus’ RUO products are subject to regulatory clearance or approval, Nautilus’ business, financial condition, or results of operations could be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Nautilus’ business and that of its customers. Such HHS measure may compel the FDA to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Nautilus’ products. The adoption of new restrictions on RUO products, whether by the FDA or Congress, could adversely affect demand for Nautilus’ specialized reagents and instruments. Further, Nautilus could be required to obtain premarket clearance or approval before Nautilus can sell its products to certain customers.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sales of devices for diagnostic purposes may subject Nautilus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currently subject to, and may in the future become subject to additional, U.S. federal and state laws and regulations imposing obligations on how Nautilus collects, stores and processes personal information. Nautilus’ actual or perceived failure to comply with such obligations could harm its business. Ensuring compliance with such laws could also impair Nautilus’ efforts to maintain and expand its future customer base, and thereby decrease its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Nautilus’ business, it currently, and, in the future, will, collect, store, transfer, use or process sensitive data, including personally identifiable information of employees, and intellectual property and proprietary business information owned or controlled by Nautilus and other parties. The secure processing, storage, maintenance, and transmission of this critical information are vital to Nautilus’ operations and business strategy. Nautilus is, and may increasingly become, subject to various laws and regulations, as well as contractual obligations, relating to data privacy and security in the jurisdictions in which it operates. The regulatory environment related to data privacy and security is increasingly rigorous, with new and constantly changing requirements applicable to Nautilus’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Nautilus’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Act (CPRA), which amends and expands the CCPA. While most of the substantive provisions in CPRA will not take effect until 2023 and although the CCPA includes exemptions for certain clinical trial data, the law may increase Nautilus’ compliance costs and potential liability with respect to other personal information Nautilus collects about California customers. It is possible that these consumer, health-related and data protection laws may be interpreted and applied in a manner that is inconsistent with Nautilus’ practices. If so, this could result in government-imposed fines or orders requiring that Nautilus changes its practices, which could adversely affect its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Nautilus would become subject if it is enacted.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Nautilus’ contractual obligations can require complex factual and statistical analyses and may be subject to changing interpretation. Although Nautilus takes measures to protect sensitive data from unauthorized access, use or disclosure, Nautilus’ information technology and infrastructure may be vulnerable to attacks by hackers or viruses or breached due to employee error, malfeasance or other malicious or inadvertent disruptions. Any such breach or interruption could compromise Nautilus’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Nautilus’ reputation and its ability to compete.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in the process of evaluating compliance needs but does not currently have in place formal policies and procedures related to the storage, collection and processing of information, and has not conducted any internal or external data privacy audits, to ensure Nautilus’ compliance with all applicable data protection laws and regulations. Additionally, Nautilus does not currently have policies and procedures in place for assessing its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Nautilus to modify its data processing practices and policies, distract management or divert resources from other initiatives and projects, all of which could have a material adverse effect on Nautilus’ business, financial condition, results of operations and prospects. Any failure or perceived failure by Nautilus or its third-party vendors, collaborators, contractors and consultants to comply with any applicable federal, state or similar foreign laws and regulations relating to data privacy and security, or could result in damage to Nautilus’ reputation, as well as proceedings or litigation by governmental agencies or other third parties, including class action privacy litigation in certain jurisdictions, which would subject Nautilus to significant fines, sanctions, awards, penalties or judgments, all of which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expands its development and commercialization activities outside of the United States, it will be subject to an increased risk of inadvertently conducting activities in a manner that violates the U.S. Foreign Corrupt Practices Act and similar laws. If that occurs, Nautilus may be subject to civil or criminal penalties which could have a material adverse effect on its business, financial condition, results of operations and growth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otherwise influence a person working in an official capacity. Nautilus is also subject to the UK Anti-Bribery Act, which prohibits both domestic and international bribery, as well as bribery across both public and private sectors.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chooses to establish and expand its commercial operations outside of the United States it will need to comply with non-U.S. regulatory requirements, will need to establish and expand business relationships with various third parties, and it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Nautilus’ business. Furthermore, any finding of a violation under one country’s laws may increase the likelihood that Nautilus will be prosecuted and be found to have violated another country’s laws. If Nautilus’ business practices outside the United States are found to be in violation of the FCPA, UK Anti-Bribery Act or other similar laws, Nautilus may be subject to significant civil and criminal penalties which could have a material adverse effect on Nautilus’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Nautilus’ operations. Failure to comply with environmental laws and regulations could subject Nautilus to significant liability.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Federal, state, local and foreign laws regarding environmental protection, hazardous substances and human health and safety may adversely affect Nautilus’ business. Nautilus’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its operations exposes Nautilus to the risk of accidental injury, contamination or other liability from the use, storage, importation, handling or disposal of hazardous materials. If Nautilus’ or its suppliers’ operations result in the contamination of the environment or expose individuals to hazardous substances, Nautilus could be liable for damages and fines, and any liability could significantly exceed Nautilus’ insurance coverage and have a material adverse effect on Nautilus’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Nautilus cannot assure you that violations of these laws and regulations will not occur in the future or have not occurred in the past as a result of human error, accidents, equipment failure or other causes. The expense associated with environmental regulation and remediation could harm Nautilus’ financial condition and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employees, independent contractors, consultants, commercial partners, distributors and vendors may engage in misconduct or other improper activities, including noncompliance with regulatory standards and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exposed to the risk that its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Nautilus’ reputation. It is not always possible to identify and deter misconduct by these parties, and the precautions Nautilus takes to detect and prevent such misconduct may not be effective in controlling unknown or unmanaged risks or losses or in protecting Nautilus from governmental investigations or other actions or lawsuits stemming from a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laws or regulations. If any such actions are instituted against Nautilus, and it is not successful in defending itself or asserting its rights, those actions could have a significant impact on Nautilus’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Nautilus’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Ownership of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An active trading market for New Nautilus’ common stock may never develop or be sustained.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 active trading market for New Nautilus’ common stock will develop on the Nasdaq Stock Market or elsewhere. If an active trading market does not develop, or develops but is not maintained, you may have difficulty selling any of New Nautilus’ common stock due to the limited public float. Accordingly, we cannot assure you of your ability to sell your shares of New Nautilus’ common stock when desired or the prices that you may obtain for your shares.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Upon consummation of the Business Combination, the market price of New Nautilus’ common stock may be volatile, which could result in substantial losses for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price of New Nautilus’ common stock may fluctuate due to a variety of factors,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of the launch and commercialization of New Nautilus’ products and degree to which such launch and commercialization meets the expectations of securities analysts and investors;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actual or anticipated fluctuations in New Nautilus’ operating results, including fluctuations in its quarterly and annual results;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operating expenses being more than anticipated;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failure or discontinuation of any of New Nautilus’ product development and research programs;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the structure or funding of research at academic and research laboratories and institutions, including changes that would affect their ability to purchase New Nautilus’ instruments or consumables;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success of existing or new competitive businesses or technologies;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announcements about new research programs or products of New Nautilus’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recruitment or departure of key personnel;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litigation and governmental investigations involving New Nautilus, its industry or both;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volatility and variations in market conditions in the life sciences technology sector generally, or the proteomics or genomics sectors specifically;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investor perceptions of New Nautilus or its industry;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level of expenses related to any of New Nautilus’ research and development programs or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actual or anticipated changes in New Nautilus’ estimates as to its financial results or development timelines, variations in its financial results or those of companies that are perceived to be similar to New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or changes in estimates or recommendations by securities analysts, if any, that cover New Nautilus’ common stock or companies that are perceived to be similar to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New Nautilus’ financial results meet the expectations of securities analysts or investors;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announcement or expectation of additional financing efforts;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sales of New Nautilus’ common stock by New Nautilus or by its insiders or other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expiration of market standoff or lock-up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general economic, industry and market conditions;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COVID-19 pandemic, natural disasters or major catastrophic events.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New Nautilus’ common stock, regardless of New Nautilus’ actual operating performance. These fluctuations may be even more pronounced in the trading market for New Nautilus’ common stock. Following periods of such volatility in the market price of a company’s securities, securities class action litigation has often been brought against that company. Because of the potential volatility of New Nautilus’ common stock price, it may become the target of securities litigation in the future. Securities litigation could result in substantial costs and divert management’s attention and resources from its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New Nautilus’ actual results, could adversely affect the price and trading volume of its common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Securities research analysts may establish and publish their own periodic projections for New Nautilus following consummation of the Business Combination. These projections may vary widely and may not accurately predict the results we actually achieve. The share price of New Nautilus’ common stock may decline if New Nautilus’ actual results do not match the projections of these securities research analysts. Similarly, if one or more of the analysts who write reports on New Nautilus downgrades its stock or publishes inaccurate or unfavorable research about its business, the share price of New Nautilus’ common stock could decline. If one or more of these analysts ceases coverage of New Nautilus or fails to publish reports on it regularly, the share price or trading volume of New Nautilus’ common stock could decline. While New Nautilus expects research analyst coverage following consummation of the Business Combination, if no analysts commence coverage of New Nautilus, the market price and volume for New Nautilus’ common shares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 significant portion of New Nautilus’ total outstanding shares will be restricted from immediate resale upon the closing of the Business Combination but may be sold into the market in the near future. This could cause the market price of New Nautilus’ common stock to drop significantly, even if New Nautilus’ business is doing well.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New Nautilus’ common stock in the public market could occur at any time. These sales, or the perception in the market that the holders of a large number of shares intend to sell shares, could reduce the market price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It is anticipated that, upon completion of the Business Combination, (i) the Nautilus stockholders (excluding the Perceptive Shareholders) will own, in respect of their existing Nautilus shares, collectively, approximately 66.2% of the outstanding New Nautilus common stock, (ii) ARYA’s initial shareholders and the Perceptive Shareholders will own approximately 10.2% of the outstanding New Nautilus common stock and (iii) the PIPE Investors other than the Perceptive PIPE Investor will own approximately 11.6% of the outstanding New Nautilus common stock, in each case, assuming that none of ARYA’s outstanding public shares are redeemed in connection with the Business Combination, or approximately 71.2%, 10.9% and 12.5%, respectively, assuming that 8,752,100 of ARYA’s outstanding public shares are redeemed in connection with the Business Combination, which is the estimated maximum number of shares that may be redeemed while still enabling the Aggregate Transaction Proceeds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condition to be met. These percentages assume that 85,295,562 shares of New Nautilus’ common stock are issued to the holders of shares of common stock and preferred stock of Nautilus (including the Perceptive Shareholders) in respect of their existing Nautilus shares at Closing, which would be the number of shares of New Nautilus’ common stock issued to these holders if Closing were to occur on               , 2021. 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outstanding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 In addition, these percentages take into account the 20,000,000 shares of New Nautilus’ common stock to be issued in the PIPE Financing and do not take into account any shares of New Nautilus’ common stock underlying vested and unvested options that will be held by equityholders of New Nautilus immediately following Closing.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and the Proposed Bylaws, after the consummation of the Business Combination and subject to certain exceptions, ARYA’s initial shareholders, the Perceptive Shareholders and the Nautilus Shareholders will be restricted from selling or transferring any shares of New Nautilus Common Stock. However, these shares may be sold after the expiration of the respective applicable lock-up under the Amended and Restated Registration Rights and Lock-Up Agreement and the Proposed Bylaws, as applicable. Pursuant to the Amended and Restated Registration Rights and Lock-Up Agreement and the Subscription Agreements, New Nautilus will be required to file one or more registration statements shortly after the closing of the Business Combination to provide for the resale of the shares issued in the PIPE Financing and the shares of New Nautilus Common Stock held by the parties to the Amended and Restated Registration Right and Lock-Up Agreement. As restrictions on resale end and the registration statements are available for use, the market price of New Nautilus Common Stock could decline if the holders of currently restricted shares sell them or are perceived by the market as intending to sell them.</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has broad discretion in the use of the net proceeds from the Business Combination and the PIPE Financing and may not use them effectively.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cannot specify with certainty the particular uses of the net proceeds it will receive from the Business Combination and the PIPE Financing. New Nautilus’ management will have broad discretion in the application of the net proceeds. New Nautilus’ management may spend a portion or all of the net proceeds in ways that its stockholders may not desire or that may not yield a favorable return. The failure by New Nautilus’ management to apply these funds effectively could harm its business, financial condition, results of operations and prospects. Pending their use, New Nautilus may invest the net proceeds from the Business Combination and the PIPE Financing in a manner that does not produce income or that loses value.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does not expect to pay any dividends for the foreseeable future. Investors may never obtain a return on their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New Nautilus Common Stock to provide dividend income. New Nautilus does not anticipate that it will pay any dividends to holders of its common stock in the foreseeable future. Instead, New Nautilus plans to retain any earnings to maintain and expand its existing operations, fund its research and development programs and continue to invest in its commercial infrastructure. In addition, any future credit facility or financing New Nautilus obtains may contain terms prohibiting or limiting the amount of dividends that may be declared or paid on New Nautilus Common Stock. Accordingly, investors must rely on sales of their common stock after price appreciation, which may never occur, as the only way to realize any return on their investment. As a result, investors seeking cash dividends should not purchase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New Nautilus’ bylaws designate a state or federal court located within the State of Delaware as the exclusive forum for substantially all disputes between New Nautilus and its stockholders, and also provide that the federal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district courts will be the exclusive forum for resolving any complaint asserting a cause of action arising under the Securities Act of 1933, as amended, each of which could limit New Nautilus’ stockholders’ ability to choose the judicial forum for disputes with New Nautilus or its directors, officers, stockholders, or employees.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New Nautilus’ bylaws also provide that, unless New Nautilus consents in writing to the selection of an alternative forum, the federal district courts of the United States of America will be the exclusive forum for resolving any complaint asserting a cause of action arising under the Securities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New Nautilus’ securities shall be deemed to have notice of and consented to the foregoing bylaw provisions. Although New Nautilus believes these exclusive forum provisions benefit it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New Nautilus or any of its directors, officers, stockholders, or other employees, which may discourage lawsuits with respect to such claims against New Nautilus and its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New Nautilus’ stockholders will not be deemed to have waived New Nautilus’ compliance with the federal securities laws and the rules and regulations thereunder as a result of New Nautilus’ exclusive forum provisions. Further, in the event a court finds either exclusive forum provision contained in New Nautilus’ bylaws to be unenforceable or inapplicable in an action, New Nautilus may incur additional costs associated with resolving such action in other jurisdictions, which could harm its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Delaware law and provisions in New Nautilus’ certificate of incorporation and bylaws that will be in effect as of the closing of the Business Combination might discourage, delay or prevent a change in control of New Nautilus’ company or changes in its management and, therefore, depress the trading price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status as a Delaware corporation and the anti-takeover provisions of the Delaware General Corporation Law may discourage, delay or prevent a change in control by prohibiting New Nautilus from engaging in a business combination with an interested stockholder for a period of three years after the person becomes an interested stockholder without the approval of holders of 66 2/3% of the voting power of New Nautilus’ stockholders other than the interested stockholder, even if a change of control would be beneficial to New Nautilus’ existing stockholders. In addition, New Nautilus’ certificate of incorporation and bylaws contain provisions that may make the acquisition of New Nautilus’ company more difficult, including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board of directors will be classified into three classes of directors with staggered three-year terms and directors will only be able to be removed from office for cause by the affirmative vote of holders of at least two-thirds of the voting power of New Nautilus’ then outstanding capital stock;</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amendments to New Nautilus’ certificate of incorporation will require the approval of stockholders holding two-thirds of the voting power of its then outstanding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stockholder-proposed amendment to certain provisions of New Nautilus’ bylaws will require the approval of stockholders holding two-thirds of the voting power of its then outstanding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stockholders will only be able to take action at a meeting of stockholders and will not be able to take action by written consent for any matter;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vacancies on New Nautilus’ board of directors will be able to be filled only by New Nautilus’ board of directors and not by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only the chair of New Nautilus’ board of directors, its chief executive officer, its president or a majority of the New Nautilus’ board of directors are authorized to call a special meeting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litigation against New Nautilus can only be brought in Delaware;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certificate of incorporation authorizes undesignated preferred stock, the terms of which may be established by the New Nautilus Board and shares of which may be issued, without the approval of the holders of New Nautilus’ capital stock;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New Nautilus’ company. These provisions could also discourage proxy contests and make it more difficult for stockholders to elect directors of their choosing and to cause us to take other corporate actions they desire, any of which, under certain circumstances, could limit the opportunity for New Nautilus’ stockholders to receive a premium for their shares of New Nautilus’ capital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ability to use net operating losses to offset future taxable income may be subject to certain limitations.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Nautilus had U.S. federal and state net operating loss carryforwards, or NOLs, of $21.3 million, which if not utilized will expire in 2037 for state purposes. New Nautilus may use these NOLs to offset against taxable income for U.S. federal and state income tax purposes. However, Section 382 of the Internal Revenue Code of 1986, as amended, may limit the NOLs New Nautilus may use in any year for U.S. federal income tax purposes in the event of certain changes in ownership of New Nautilus’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New Nautilus has not conducted a 382 study to determine whether the use of New Nautilus’ NOLs is impaired. New Nautilus may have previously undergone an “ownership change.” In addition, the Business Combination and PIPE Financing, or future issuances or sales of New Nautilus’ stock, including certain transactions involving New Nautilus’ stock that are outside of its control, could result in future “ownership changes.” “Ownership changes” that have occurred in the past or that may occur in the future, including in connection with the Business Combination and PIPE Financing, could result in the imposition of an annual limit on the amount of pre-ownership change NOLs and other tax attributes New Nautilus can use to reduce its taxable income, potentially increasing and accelerating its liability for income taxes, and also potentially causing those tax attributes to expire unused. States may impose other limitations on the use of New Nautilus’ NOLs. Any limitation on using NOLs could, depending on the extent of such limitation and the NOLs previously used, result in New Nautilus’ retaining less cash after payment of U.S. federal and state income taxes during any year in which we have taxable income, rather than losses, than New Nautilus would be entitled to retain if such NOLs were available as an offset against such income for U.S. federal and state income tax reporting purposes, which could adversely impact New Nautilus’ operating results.</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will continue to be an “emerging growth company” and a “smaller reporting company” as of the closing of the Business Combination and the reduced disclosure requirements applicable to emerging growth companies and smaller reporting companies may make New Nautilus’ common stock less attractive to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an “emerging growth company,” as defined in the JOBS Act. For so long as New Nautilus remains an emerging growth company following the closing of the Business Combination, it is permitted by SEC rules and plans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New Nautilus provides stockholders will be different than the information that is available with respect to other public companies that are not emerging growth companies. In this proxy statement/prospectus, not all of the executive compensation related information that would be required if ARYA was not an emerging growth company has been included. To the extent that New Nautilus continues to qualify as a “smaller reporting company,” as such term is defined in Rule 12b-2 under the Securities Exchange Act of 1934, after New Nautilus ceases to qualify as an emerging growth company, New Nautilus will continue to be permitted to make certain reduced disclosures in New Nautilus’ periodic reports and other documents that it files with the SEC. New Nautilus cannot predict whether investors will find its common stock less attractive if it relies on these exemptions. If some investors find New Nautilus’ common stock less attractive as a result, there may be a less active trading market for New Nautilus’ common stock and its stock price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New Nautilus has elected to avail itself of this exemption from new or revised accounting standards and, therefore, it will not be subject to the same new or revised accounting standards as other public companies that are not emerging growth companies. As a result, New Nautilus’ financial statements may not be comparable to companies that comply with new or revised accounting pronouncements as of public company effective dates.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will incur significant increased costs and management resources as a result of operating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public company, New Nautilus will incur significant legal, accounting, compliance and other expenses that it did not incur as a private company and these expenses may increase even more after it is no longer an “emerging growth company.” New Nautilus’ management and other personnel will need to devote a substantial amount of time and incur significant expense in connection with compliance initiatives. For example, in anticipation of becoming a public company, New Nautilus will need to adopt additional internal controls and disclosure controls and procedures, retain a transfer agent and adopt an insider trading policy. As a public company, New Nautilus will bear all of the internal and external costs of preparing and distributing periodic public reports in compliance with New Nautilus’ obligations under the securities 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New Nautilus intends to invest resources to comply with evolving laws, regulations and standards, and this investment will result in increased general and administrative expenses and may divert management’s time and attention from New Nautilus’ other business activities. If New Nautilus’ efforts to comply with new laws, regulations and standards differ from the activities intended by regulatory or governing bodies due to ambiguities related to practice, regulatory authorities may initiate legal proceedings against New Nautilus, and its business may be harmed. In the future, it may be more expensive or more difficult for New Nautilus to obtain director and officer liability insurance, and New Nautilus may be required to accept reduced coverage or incur substantially higher costs to obtain coverage. These factors could also make it more difficult for New Nautilus to attract and retain qualified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members of its board of directors, particularly to serve on its audit committee and compensation committee, and qualified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the Business Combination and ARYA</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Sponsor and our initial shareholders have entered into letter agreements with us to vote in favor of the Business Combination, regardless of how our public shareholders vote.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Unlike some other blank check companies in which the initial shareholders agree to vote their shares in accordance with the majority of the votes cast by the public shareholders in connection with an initial business combination, our Sponsor and each other initial shareholder, pursuant to the Sponsor Letter Agreement, has agreed, among other things, to vote all of their public shares and Class B ordinary shares in favor of all the proposals being presented at the extraordinary general meeting, including the Business Combination Proposal and the transactions contemplated thereby (including the Merger). As of the date of this proxy statement/prospectus, our initial shareholders own approximately 22.1% of the issued and outstanding ordinary shares.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Neither the ARYA Board nor any committee thereof obtained a third-party valuation in determining whether or not to pursue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Neither the ARYA Board nor any committee thereof is required to obtain an opinion from an independent investment banking or accounting firm that the price that ARYA is paying for Nautilus is fair to ARYA from a financial point of view. Neither the ARYA Board nor any committee thereof obtained a third party valuation in connection with the Business Combination. In analyzing the Business Combination, the ARYA Board and management conducted due diligence on Nautilus and researched the industry in which Nautilus operates. The ARYA Board reviewed, among other things, financial due diligence materials prepared by professional advisors, including quality of earnings reports and tax due diligence reports, financial and market data information on selected comparable companies, the implied purchase price multiple of Nautilus and the financial terms set forth in the Business Combination Agreement, and concluded that the Business Combination was in the best interest of its shareholders. Accordingly, investors will be relying solely on the judgment of the ARYA Board and management in valuing Nautilus, and the ARYA Board and management may not have properly valued Nautilus’ business. The lack of a third-party valuation may also lead an increased number of shareholders to vote against the Business Combination or demand redemption of their shares, which could potentially impact our ability to consummate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COVID-19 pandemic triggered an economic crisis which may delay or prevent the consummation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2019, a coronavirus (COVID-19) outbreak was reported in China, and, in March 2020, the World Health Organization declared it a pandemic. Since being initially reported in China, the coronavirus has spread throughout the world and has resulted in unprecedented restrictions and limitations on operations of many businesses, educational institutions and governmental entities, including in the United States and Canada. Given the ongoing and dynamic nature of the COVID-19 crisis, it is difficult to predict the impact on the business of ARYA, Nautilus and New Nautilus, and there is no guarantee that efforts by ARYA, Nautilus and New Nautilus to address the adverse impact of COVID-19 will be effective. If ARYA or Nautilus are unable to recover from a business disruption on a timely basis, the Business Combination and New Nautilus’ business and financial conditions and results of operations following the completion of the Business Combination would be adversely affected. The Business Combination may also be delayed and adversely affected by the coronavirus pandemic, and become more costly. Each of ARYA and Nautilus may also incur additional costs to remedy damages caused by such disruptions, which could adversely affect its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Since the initial shareholders, including ARYA’s directors and executive officers, have interests that are different, or in addition to (and which may conflict with), the interests of our shareholders, a conflict of interest may have existed in determining whether the Business Combination with Nautilus is appropriate as our initial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business combination. Such interests include that Sponsor, as well as our executive officers and directors, will lose their entire investment in us if our business combination is not completed.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(which may conflict with), those of ARYA shareholders generally.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those private placement shares would be worthless if a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will be entered into by Messrs. Wider, Campbell and Islam;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Perceptive PIPE Investor has entered into a subscription agreement to purchase 5,500,000 shares in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(i.e.,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ARYA may be entitled to distribute or pay over funds held by ARYA outside the Trust Account to the Sponsor or any of its Affiliates prior to the Closing;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pPr>
      <w:r>
        <w:rPr>
          <w:rFonts w:ascii="Times New Roman;sans-serif" w:hAnsi="Times New Roman;sans-serif"/>
          <w:b w:val="false"/>
          <w:color w:val="000000"/>
          <w:sz w:val="20"/>
        </w:rPr>
        <w:t>See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additional information on interests of ARYA’s directors and executive officers.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personal and financial interests of the initial shareholders as well as ARYA’s directors and executive officers may have influenced their motivation in identifying and selecting Nautilus as business combination targets, completing an initial business combination with Nautilus and influencing the operation of the business following the initial business combination. In considering the recommendations of the ARYA Board to vote for the proposals, its shareholders should consider these interests.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exercise of ARYA’s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ARYA’s shareholders’ best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period leading up to the closing of the Business Combination, events may occur that, pursuant to the Business Combination Agreement, would require ARYA to agree to amend the Business Combination Agreement, to consent to certain actions taken by Nautilus or to waive rights that ARYA is entitled to under the Business Combination Agreement. Such events could arise because of changes in the course of Nautilus’ business, a request by Nautilus to undertake actions that would otherwise be prohibited by the terms of the Business Combination Agreement or the occurrence of other events that would have a material adverse effect on Nautilus’ business and would entitle ARYA to terminate the Business Combination Agreement. In any of such circumstances, it would be at ARYA’s discretion, acting through its board of directors, to grant its consent or waive those rights. The existence of financial and personal interests of one or more of the directors described in the preceding risk factors may result in a conflict of interest on the part of such director(s) between what he or they may believe is best for ARYA and its shareholders and what he or they may believe is best for himself or themselves in determining whether or not to take the requested action. As of the date of this proxy statement/prospectus, ARYA does not believe there will be any changes or waivers that ARYA’s directors and executive officers would be likely to make after shareholder approval of the Business Combination Proposal has been obtained. While certain changes could be made without further shareholder approval, ARYA will circulate a new or amended proxy statement/prospectus and resolicit ARYA’s shareholders if changes to the terms of the transaction that would have a material impact on its shareholders are required prior to the vote on the Business Combination Proposal.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Nautilus Shareholders, excluding any shares currently held by affiliates of Perceptive Advisors in Nautilus, will have significant influence over us after completion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Based on the assumptions discussed in “</w:t>
      </w:r>
      <w:r>
        <w:rPr>
          <w:rFonts w:ascii="Times New Roman;sans-serif" w:hAnsi="Times New Roman;sans-serif"/>
          <w:b w:val="false"/>
          <w:i/>
          <w:color w:val="000000"/>
          <w:sz w:val="20"/>
        </w:rPr>
        <w:t>Business Combination Proposal—Ownership of New Nautilus</w:t>
      </w:r>
      <w:r>
        <w:rPr>
          <w:rFonts w:ascii="Times New Roman;sans-serif" w:hAnsi="Times New Roman;sans-serif"/>
          <w:b w:val="false"/>
          <w:color w:val="000000"/>
          <w:sz w:val="20"/>
        </w:rPr>
        <w:t>,” upon the completion of the Business Combination, the Nautilus Shareholders, will own, collectively, approximately 66.2% of the outstanding New Nautilus Common Stock, assuming that none of ARYA’s outstanding public shares are redeemed in connection with the Business Combination or approximately 75.2% of the outstanding New Nautilus Common Stock, assuming that all of ARYA’s outstanding public shares are redeemed in connection with the Business Combination. Some of these persons or entities may have interests different than yours. For example, because many of these stockholders purchased their shares at prices substantially below the price at which shares are being sold in this transaction and have held their shares for a longer period, they may be more interested in selling the Company to an acquirer than other investors or they may want New Nautilus to pursue strategies that deviate from the interests of other stockholders.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Subsequent to consummation of the Business Combination, we may be required to subsequently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the due diligence conducted in relation to Nautilus has identified all material issues or risks associated with Nautilus, its business or the industry in which it competes. As a result of these factors, we may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perceptions about our securities or New Nautilus. Accordingly, any shareholders of ARYA who choose to remain New Nautilus stockholders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ability to successfully effect the Business Combination and to be successful thereafter will be dependent upon the efforts of key personnel of New Nautilus, some of whom may be from ARYA and Nautilus, and some of whom may join New Nautilus following the Business Combination. The loss of key personnel or the hiring of ineffective personnel after the Business Combination could negatively impact the operations and profitability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effect the Business Combination and be successful thereafter will be dependent upon the efforts of our key personnel. Although some of ARYA’s key personnel may remain with the target business in senior management or advisory positions following our business combination, we expect New Nautilus’ current management to remain in place. We cannot assure you that we will be successful in integrating and retaining such key personnel, or in identifying and recruiting additional key individuals we determine may be necessary following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unaudited pro forma combined financial information included elsewhere in this proxy statement/prospectus may not be indicative of what New Nautilus’ actual financial position or results of operations would have been.</w:t>
      </w:r>
    </w:p>
    <w:p>
      <w:pPr>
        <w:pStyle w:val="TextBody"/>
        <w:spacing w:lineRule="auto" w:line="288" w:before="0" w:after="180"/>
        <w:ind w:left="0" w:right="0" w:firstLine="360"/>
        <w:rPr/>
      </w:pPr>
      <w:r>
        <w:rPr>
          <w:rFonts w:ascii="Times New Roman;sans-serif" w:hAnsi="Times New Roman;sans-serif"/>
          <w:b w:val="false"/>
          <w:color w:val="000000"/>
          <w:sz w:val="20"/>
        </w:rPr>
        <w:t>The unaudited pro forma combined financial information in this proxy statement/prospectus is presented for illustrative purposes only and has been prepared based on a number of assumptions including, but not limited to, Nautilus being considered the accounting acquirer in the Business Combination, and the cash and cash equivalents of Nautilus at the Closing and the number of public shares that are redeemed in connection with the Business Combination. Accordingly, such pro forma combined financial information may not be indicative of our future operating or financial performance and our actual financial condition and results of operations may vary materially from our pro forma results of operations and balance sheet contained elsewhere in this proxy statement/prospectus, including as a result of such assumptions not being accurate. See the section entitled “</w:t>
      </w:r>
      <w:r>
        <w:rPr>
          <w:rFonts w:ascii="Times New Roman;sans-serif" w:hAnsi="Times New Roman;sans-serif"/>
          <w:b w:val="false"/>
          <w:i/>
          <w:color w:val="000000"/>
          <w:sz w:val="20"/>
        </w:rPr>
        <w:t>Unaudited Pro Forma Combined Financial Information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ability of our public shareholders to exercise redemption rights with respect to a large number of our public shares may not allow us to complete the most desirable business combination or optimize the capital structure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time of entering into the Business Combination Agreement, we did not know how many shareholders may exercise their redemption rights, and therefore, we needed to structure the transaction based on our expectations as to the number of shares that will be submitted for redemption. The consummation of the Business Combination is conditioned upon, among other things, (i) the approval of the Condition Precedent Proposals being obtained; (ii) the applicable waiting period under the HSR Act relating to the Business Combination Agreement having expired or been terminated; and (iii) the Aggregate Transaction Proceeds Condition. Therefore, unless these conditions are waived by the applicable parties to the Business Combination Agreement, the Business Combination Agreement could terminate and the Business Combination may not be consummated.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Sponsor, as well as Nautilus, our directors, executive officers, advisors and their affiliates may elect to purchase public shares prior to the consummation of the Business Combination, which may influence the vote on the Business Combination and reduce the public “float” of our Class A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Incentive Award Plan Proposal, the Employee Stock Purchase Plan Proposal, the Nasdaq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such purchases are made, the public “float” of our public shares and the number of beneficial holders of our securities may be reduced, possibly making it difficult to maintain or obtain the quotation, listing or trading of our securities on a national securities exchange.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third parties bring claims against us, the proceeds held in the trust account could be reduced and the per share redemption amount received by shareholders may be less than $10.00 per share (which was the offering price in our initial public offering).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 frame, or upon the exercise of a redemption right in connection with our business combination, we will be required to provide for payment of claims of creditors that were not waived that may be brought against us within the ten years following redemption. Accordingly, the per share redemption amount received by public shareholders could be less than the $10.00 per share initially held in the trust account, due to claims of such creditors. In order to protect the amounts held in the trust account, Sponsor has agreed to be liable to us if and to the extent any claims by a vendor for services rendered or products sold to us, or a prospective target business with which we have discussed entering into a transaction agreement, reduces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our initial public offering against certain liabilities, including liabilities under the Securities Act. Moreover, even in the event that an executed waiver is deemed to be unenforceable against a third party, Sponsor will not be responsible to the extent of any liability for such third party claims. We have not independently verified whether Sponsor has sufficient funds to satisfy its indemnity obligations and we have not asked Sponsor to reserve for such indemnification obligations. Therefore, we cannot assure you that Sponsor would be able to satisfy those obligations. None of our officers will indemnify us for claims by third parties including, without limitation, claims by vendors and prospective target businesses.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may not be able to return to our public shareholders $10.00 per share (which was the offering price in our initial public offering).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 and us to claims of punitive damages, by paying public shareholders from the trust account prior to addressing the claims of creditors. We cannot assure you that claims will not be brought against us for these reasons.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shareholders may be held liable for claims by third parties against us to the extent of distributions received by them upon redemption of their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Claims may be brought against us for these reasons.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Compliance obligations under the Sarbanes-Oxley Act may make it more difficult for us to effectuate the Business Combination, require substantial financial and management resources and increase the time and costs of completing a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fact that we are a blank check company makes compliance with the requirements of the Sarbanes-Oxley Act particularly burdensome on us as compared to other public companies. Nautilus is not a publicly reporting company required to comply with Section 404 of the Sarbanes-Oxley Act and New Nautilus management may not be able to effectively and timely implement controls and procedures that adequately respond to the increased regulatory compliance and reporting requirements that will be applicable to New Nautilus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 over financial reporting are effective, which may subject us to adverse regulatory consequences and could harm investor confidence and the market price of New Nautilus Common Stock. Additionally, once we are no longer an emerging growth company, we will be required to comply with the independent registered public accounting firm attestation requirement on our internal control over financial reporting.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public stockholders will experience immediate dilution as a consequence of the issuance of New Nautilus Common Stock as consideration in the Business Combination and in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issuance of additional common stock will significantly dilute the equity interests of existing holders of ARYA securities, and may adversely affect prevailing market prices for the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Nasdaq may not list New Nautilus’ securities on its exchange, which could limit investors’ ability to make transactions in New Nautilus’ securities and subject New Nautilus to additional trading restrictions.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active trading market for New Nautilus’ securities following the Business Combination may never develop or, if developed, it may not be sustained. In connection with the Business Combination, in order to continue to maintain the listing of our securities on Nasdaq, we will be required to demonstrate compliance with Nasdaq’s listing requirements. We will apply to have New Nautilus’ securities listed on Nasdaq upon consummation of the Business Combination. We cannot assure you that we will be able to meet all listing requirements. Even if New Nautilus’ securities are listed on Nasdaq, New Nautilus may be unable to maintain the listing of its securities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New Nautilus fails to meet the listing requirements and Nasdaq does not list its securities on its exchange, Nautilus would not be required to consummate the Business Combination. In the event that Nautilus elected to waive this condition, and the Business Combination was consummated without New Nautilus’ securities being listed on the Nasdaq or on another national securities exchange, New Nautilus could face significant material adverse consequences,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limited availability of market quotations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reduced liquidity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determination that New Nautilus Common Stock is a “penny stock” which will require brokers trading in New Nautilus Common Stock to adhere to more stringent rules and possibly result in a reduced level of trading activity in the secondary trading market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limited amount of news and analyst coverage; and</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National Securities Markets Improvement Act of 1996, which is a federal statute, prevents or preempts the states from regulating the sale of certain securities, which are referred to as “covered securities.” If New Nautilus’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subject to and New Nautilus will be subject to changing law and regulations regarding regulatory matters, corporate governance and public disclosure that have increased both ARYA’s costs and the risk of noncompliance and will increase both New Nautilus’ costs and the risk of non-compliance.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and New Nautilus will be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New Nautilus’ efforts to comply likely will result in, increased general and administrative expenses and a diversion of management time and attention from seeking a business combination target.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Nautilus’ disclosure and governance practices. If we fail to address and comply with these regulations and any subsequent changes, we may be subject to penalty and our business may be harmed.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the Consummation of the Domestication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Domestication may result in adverse tax consequences for holders of public shares.</w:t>
      </w:r>
    </w:p>
    <w:p>
      <w:pPr>
        <w:pStyle w:val="TextBody"/>
        <w:spacing w:lineRule="auto" w:line="288" w:before="0" w:after="180"/>
        <w:ind w:left="0" w:right="0" w:firstLine="360"/>
        <w:rPr/>
      </w:pPr>
      <w:r>
        <w:rPr>
          <w:rFonts w:ascii="Times New Roman;sans-serif" w:hAnsi="Times New Roman;sans-serif"/>
          <w:b w:val="false"/>
          <w:color w:val="000000"/>
          <w:sz w:val="20"/>
        </w:rPr>
        <w:t>U.S. Holders (as defined in “</w:t>
      </w:r>
      <w:r>
        <w:rPr>
          <w:rFonts w:ascii="Times New Roman;sans-serif" w:hAnsi="Times New Roman;sans-serif"/>
          <w:b w:val="false"/>
          <w:i/>
          <w:color w:val="000000"/>
          <w:sz w:val="20"/>
        </w:rPr>
        <w:t>Material U.S. Federal Income Tax Considerations—U.S. Holders</w:t>
      </w:r>
      <w:r>
        <w:rPr>
          <w:color w:val="000000"/>
        </w:rPr>
        <w:t>”</w:t>
      </w:r>
      <w:r>
        <w:rPr>
          <w:rFonts w:ascii="Times New Roman;sans-serif" w:hAnsi="Times New Roman;sans-serif"/>
          <w:b w:val="false"/>
          <w:color w:val="000000"/>
          <w:sz w:val="20"/>
        </w:rPr>
        <w:t>) may be subject to U.S. federal income tax as a result of the Domestication. Because the Domestication will occur immediately prior to the redemption of New Nautilus Common Stock, U.S. Holders exercising redemption rights will be subject to the potential tax consequences of the Domestication. Additionally, non-U.S. Holders (as defined in “</w:t>
      </w:r>
      <w:r>
        <w:rPr>
          <w:rFonts w:ascii="Times New Roman;sans-serif" w:hAnsi="Times New Roman;sans-serif"/>
          <w:b w:val="false"/>
          <w:i/>
          <w:color w:val="000000"/>
          <w:sz w:val="20"/>
        </w:rPr>
        <w:t>Material U.S. Federal Income Tax Considerations—Non-U.S. Holders</w:t>
      </w:r>
      <w:r>
        <w:rPr>
          <w:color w:val="000000"/>
        </w:rPr>
        <w:t xml:space="preserve">” </w:t>
      </w:r>
      <w:r>
        <w:rPr>
          <w:rFonts w:ascii="Times New Roman;sans-serif" w:hAnsi="Times New Roman;sans-serif"/>
          <w:b w:val="false"/>
          <w:color w:val="000000"/>
          <w:sz w:val="20"/>
        </w:rPr>
        <w:t>below) may become subject to withholding tax on any dividends paid or deemed paid on shares of New Nautilus Common Stock after the Domestication.</w:t>
      </w:r>
    </w:p>
    <w:p>
      <w:pPr>
        <w:pStyle w:val="TextBody"/>
        <w:spacing w:lineRule="auto" w:line="288" w:before="0" w:after="180"/>
        <w:ind w:left="0" w:right="0" w:firstLine="360"/>
        <w:rPr/>
      </w:pPr>
      <w:r>
        <w:rPr>
          <w:rFonts w:ascii="Times New Roman;sans-serif" w:hAnsi="Times New Roman;sans-serif"/>
          <w:b w:val="false"/>
          <w:color w:val="000000"/>
          <w:sz w:val="20"/>
        </w:rPr>
        <w:t>As discussed more fully under "</w:t>
      </w:r>
      <w:r>
        <w:rPr>
          <w:rFonts w:ascii="Times New Roman;sans-serif" w:hAnsi="Times New Roman;sans-serif"/>
          <w:b w:val="false"/>
          <w:i/>
          <w:color w:val="000000"/>
          <w:sz w:val="20"/>
        </w:rPr>
        <w:t>Material U.S. Federal Income Tax Considerations,</w:t>
      </w:r>
      <w:r>
        <w:rPr>
          <w:rFonts w:ascii="Times New Roman;sans-serif" w:hAnsi="Times New Roman;sans-serif"/>
          <w:b w:val="false"/>
          <w:color w:val="000000"/>
          <w:sz w:val="20"/>
        </w:rPr>
        <w:t>" the Domestication generally should constitute a tax-deferred reorganization within the meaning of Section 368(a)(1)(F) of the Code. However, due to the absence of direct guidance on the application of Section 368(a)(1)(F) to a statutory conversion of a corporation holding only investment-type assets such as ARYA, this result is not entirely clear. Accordingly, due to the absence of direct guidance, it is not possible to predict whether the IRS or a court considering the issue would take a contrary position. If the Domestication fails to qualify as a reorganization under Section 368(a)(1)(F) of the Code, subject to the PFIC rules described in further detail below, a U.S. Holder generally would recognize gain or loss with respect to its public shares in an amount equal to the difference, if any, between the fair market value of the corresponding shares of New Nautilus Common Stock received in the Domestication and the U.S. Holder's adjusted tax basis in its public shares surrendered in exchange therefor.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a transaction, such as the Domestication, that should qualify as a tax-deferred reorganization within the meaning of Section 368(a)(1)(F) of the Code, U.S. Holders will be subject to Section 367(b) of the Code and, as a result: a U.S. Holder who on the day of the Domestication beneficially owns (actually and constructively) public shares with a fair market value of less than $50,000 on the date of the Domestication generally will not recognize any gain or loss and will not be required to include any part of ARYA’s earnings in income in respect of the Domestication; a U.S. Holder who on the day of the Domestication beneficially owns (actually and constructively) public shares with a fair market value of $50,000 or more, but less than 10% of the total combined voting power of all classes of our stock entitled to vote and less than 10% or more of the total value of all classes of our stock, generally will recognize gain (but not loss) in respect of the Domestication as if such U.S. Holder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exchanged its public shares for shares of New Nautilus Common Stock in a taxable transaction, unless such U.S. Holder elects in accordance with applicable Treasury Regulations to include in income as a deemed dividend the “all earnings and profits amount” (as defined in the Treasury Regulations under Section 367(b) of the Code) attributable to the public shares held directly by such U.S. Holder; and a U.S. Holder who on the day of the Domestication beneficially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the public shares held directly by such U.S. Holder; however, any such U.S. Holder that is a corporation may, under certain circumstances, effectively be exempt from taxation on a portion or all of the deemed dividend pursuant to Section 245A of the Code (participation exemption).</w:t>
      </w:r>
    </w:p>
    <w:p>
      <w:pPr>
        <w:pStyle w:val="TextBody"/>
        <w:spacing w:lineRule="auto" w:line="288" w:before="0" w:after="180"/>
        <w:ind w:left="0" w:right="0" w:firstLine="360"/>
        <w:rPr/>
      </w:pPr>
      <w:r>
        <w:rPr>
          <w:rFonts w:ascii="Times New Roman;sans-serif" w:hAnsi="Times New Roman;sans-serif"/>
          <w:b w:val="false"/>
          <w:color w:val="000000"/>
          <w:sz w:val="20"/>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under “</w:t>
      </w:r>
      <w:r>
        <w:rPr>
          <w:rFonts w:ascii="Times New Roman;sans-serif" w:hAnsi="Times New Roman;sans-serif"/>
          <w:b w:val="false"/>
          <w:i/>
          <w:color w:val="000000"/>
          <w:sz w:val="20"/>
        </w:rPr>
        <w:t>Material U.S. Federal Income Tax Considerations—U.S. Holders—PFIC Considerations.</w:t>
      </w:r>
      <w:r>
        <w:rPr>
          <w:color w:val="00000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All holders are urged to consult their tax advisor for the tax consequences of the Domestication to their particular situation. For a more detailed description of the Material U.S. federal income tax consequences associated with the Domestication, see “Material U.S. Federal Income Tax Considerations.”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Upon consummation of the Business Combination, the rights of holders of New Nautilus Common Stock arising under the DGCL as well as Proposed Governing Documents will differ from and may be less favorable to the rights of holders of Class A ordinary shares arising under Cayman Islands law as well as our current memorandum and articles of association.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rights of holders of New Nautilus Common Stock will arise under the Proposed Governing Documents as well as the DGCL. Those new organizational documents and the DGCL contain provisions that differ in some respects from those in the Existing Governing Documents and Cayman Islands law and, therefore, some rights of holders of New Nautilus Common Stock could differ from the rights that holders of Class A ordinary shares currently possess. For instance, while class actions are generally not available to shareholders under Cayman Islands law, such actions are generally available under the DGCL. This change could increase the likelihood that New Nautilus becomes involved in costly litigation, which could have a material adverse effect on New Nautilus.</w:t>
      </w:r>
    </w:p>
    <w:p>
      <w:pPr>
        <w:pStyle w:val="TextBody"/>
        <w:spacing w:lineRule="auto" w:line="288" w:before="0" w:after="180"/>
        <w:ind w:left="0" w:right="0" w:firstLine="360"/>
        <w:rPr/>
      </w:pPr>
      <w:r>
        <w:rPr>
          <w:rFonts w:ascii="Times New Roman;sans-serif" w:hAnsi="Times New Roman;sans-serif"/>
          <w:b w:val="false"/>
          <w:color w:val="000000"/>
          <w:sz w:val="20"/>
        </w:rPr>
        <w:t>In addition, there are differences between the Proposed Governing Documents of New Nautilus and the current constitutional documents of ARYA. For a more detailed description of the rights of holders of New Nautilus Common Stock and how they may differ from the rights of holders of Class A ordinary shares, please see “</w:t>
      </w:r>
      <w:r>
        <w:rPr>
          <w:rFonts w:ascii="Times New Roman;sans-serif" w:hAnsi="Times New Roman;sans-serif"/>
          <w:b w:val="false"/>
          <w:i/>
          <w:color w:val="000000"/>
          <w:sz w:val="20"/>
        </w:rPr>
        <w:t>Comparison of Corporate Governance and Shareholder Rights</w:t>
      </w:r>
      <w:r>
        <w:rPr>
          <w:rFonts w:ascii="Times New Roman;sans-serif" w:hAnsi="Times New Roman;sans-serif"/>
          <w:b w:val="false"/>
          <w:color w:val="000000"/>
          <w:sz w:val="20"/>
        </w:rPr>
        <w:t>.” The forms of the Proposed Certificate of Incorporation and the Proposed Bylaws of New Nautilus are attached as Annex C and Annex D, respectively, to this proxy statement/prospectus, and we urge you to read them.</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Delaware law and New Nautilus’ Proposed Governing Documents contain certain provisions, including antitakeover provisions, that limit the ability of stockholders to take certain actions and could delay or discourage takeover attempts that stockholders may consider favorable.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Proposed Governing Documents that will be in effect upon consummation of the Business Combination, and the DGCL, contain provisions that could have the effect of rendering more difficult, delaying, or preventing an acquisition deemed undesirable by the New Nautilus Board and therefore depress the trading price of New Nautilus Common Stock. These provisions could also make it difficult for stockholders to take certain actions, including electing directors who are not nominated by the current members of the New Nautilus board of directors or taking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corporate actions, including effecting changes in our management. Among other things, the Proposed Governing Documents include provisions regarding: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New Nautilus Board to issue shares of preferred stock and to determine the price and other terms of those shares, including preferences, powers and voting rights, without stockholder approval, which could be used to significantly dilute the ownership of a hostile acquirer;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limitation of the liability of New Nautilus’ directors, and the indemnification of New Nautilus’ directors and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stockholders after such date and could delay the ability of stockholders to force consideration of a stockholder proposal or to take action, including the removal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requirement that a special meeting of stockholders may be called only by the Chairperson of the New Nautilus Board, the New Nautilus Chief Executive Officer, the New Nautilus President or the New Nautilus Board acting pursuant to a resolution adopted by a majority of the entire New Nautilus Board, which could delay the ability of stockholders to force consideration of a proposal or to take action, including the removal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procedures for the conduct and scheduling of board of directors and stockholder meetings;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New Nautilus Board to amend the bylaws, which may allow the New Nautilus Board to take additional actions to prevent an unsolicited takeover and inhibit the ability of an acquirer to amend the bylaws to facilitate an unsolicited takeover attempt;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advance notice procedures with which stockholders must comply to nominate candidates to the New Nautilus Board or to propose matters to be acted upon at a stockholders’ meeting, which could preclude stockholders from bringing matters before annual or special meetings of stockholders and delay changes in the New Nautilus Board, and also may discourage or deter a potential acquirer from conducting a solicitation of proxies to elect the acquirer’s own slate of directors or otherwise attempting to obtain control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the New Nautilus Board or management.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New Nautilus will be subject to Section 203 of the DGCL, which may prohibit certain stockholders holding 15% or more of New Nautilus’ outstanding capital stock from engaging in certain business combinations with us for a specified period of time without obtaining a supermajority stockholder vote.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Proposed Bylaws will designate a state or federal court located within the State of Delaware as the sole and exclusive forum for substantially all disputes between New Nautilus and its stockholders, which could limit New Nautilus’ stockholders’ ability to obtain a favorable judicial forum for disputes with New Nautilus or its directors, officers, stockholders, employees or agents.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xml:space="preserve">),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gives an Alternative Forum Consent, the federal district courts of the United States shall be the sole and exclusive forum for resolving any action asserting a claim arising under the Securities Act of 1933.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in the Proposed Bylaws may limit a stockholder’s ability to bring a claim in a judicial forum that it finds favorable for disputes with New Nautilus or any of New Nautilus’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Proposed Bylaws to be inapplicable or unenforceable in an action, New Nautilus may incur additional costs associated with resolving such action in other jurisdictions, which could harm New Nautilus’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Redemptions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Public Shareholders who wish to redeem their public shares for a pro rata portion of the trust account must comply with specific requirements for redemption that may make it more difficult for them to exercise their redemption rights prior to the deadline. If shareholders fail to comply with the redemption requirements specified in this proxy statement/prospectus, they will not be entitled to redeem their public shares for a pro rata portion of the funds held in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public shareholder will be entitled to receive cash for any public shares to be redeemed only if such public shareholder: (i) holds public shares; (ii) submits a written request to Continental, ARYA’s transfer agent, in which it (a) requests that New Nautilus redeem all or a portion of its public shares for cash, and (b) identifies itself as a beneficial holder of the public shares and provides its legal name, phone number and address; and (iii) delivers its public shares to Continental, ARYA’s transfer agent, physically or electronically through DTC. Holders must complete the procedures for electing to redeem their public shares in the manner described above prior to 5:00 p.m., Eastern Time, on           , 2021 (two business days before the extraordinary general meeting) in order for their shares to be redeemed. In order to obtain a physical share certificate, a shareholder’s broker and/or clearing broker, DTC and Continental, ARYA’s transfer agent, will need to act to facilitate this request. It is ARYA’s understanding that shareholders should generally allot at least two weeks to obtain physical certificates from the transfer agent. However, because ARYA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pStyle w:val="TextBody"/>
        <w:spacing w:lineRule="auto" w:line="288" w:before="0" w:after="180"/>
        <w:ind w:left="0" w:right="0" w:firstLine="360"/>
        <w:rPr/>
      </w:pPr>
      <w:r>
        <w:rPr>
          <w:rFonts w:ascii="Times New Roman;sans-serif" w:hAnsi="Times New Roman;sans-serif"/>
          <w:b w:val="false"/>
          <w:color w:val="000000"/>
          <w:sz w:val="20"/>
        </w:rPr>
        <w:t>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our initial public offering, calculated as of two business days prior to the consummation of the Business Combination. Please see the section entitled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for additional information on how to exercise your redemption rights.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a public shareholder fails to receive notice of ARYA’s offer to redeem public shares in connection with the Business Combination, or fails to comply with the procedures for tendering its shares, such shares may not be redeemed.</w:t>
      </w:r>
    </w:p>
    <w:p>
      <w:pPr>
        <w:pStyle w:val="TextBody"/>
        <w:spacing w:lineRule="auto" w:line="288" w:before="0" w:after="180"/>
        <w:ind w:left="0" w:right="0" w:firstLine="360"/>
        <w:rPr/>
      </w:pPr>
      <w:r>
        <w:rPr>
          <w:rFonts w:ascii="Times New Roman;sans-serif" w:hAnsi="Times New Roman;sans-serif"/>
          <w:b w:val="false"/>
          <w:color w:val="000000"/>
          <w:sz w:val="20"/>
        </w:rPr>
        <w:t>If, despite ARYA’s compliance with the proxy rules, a public shareholder fails to receive ARYA’s proxy materials, such public shareholder may not become aware of the opportunity to redeem his, her or its public shares. In addition, the proxy materials that ARYA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for additional information on how to exercise your redemption rights.</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ARYA does not have a specified maximum redemption threshold. The absence of such a redemption threshold may make it possible for us to complete the Business Combination even if a substantial majority of ARYA’s shareholders do not support 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a specified maximum redemption threshold, except that ARYA will not redeem public shares in an amount that would cause ARYA’s net tangible assets to be less than $5,000,001 after giving effect to the transactions contemplated by the Business Combination Agreement and the PIPE Financing (as determined in accordance with Rule 3a51-1(g)(1) of the Exchange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ARYA may be able to complete the Business Combination even though a substantial portion of public shareholders do not agree with the transaction and have redeemed their shares or have entered into privately negotiated agreements to sell their shares to Sponsor, directors or officers or their affiliates. As of the date of this proxy statement/prospectus, no agreements with respect to the private purchase of public shares by ARYA or the persons described above have been entered into with any such investor or holder. ARYA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stock ownership available to ARYA at that time, such as Section 13D, Section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ARYA cannot assure you that the value of such excess shares will appreciate over time following the Business Combination or that the market price of the public shares will exceed the per-share redemption price. Notwithstanding the foregoing, shareholders may challenge ARYA’s determination as to whether a shareholder is acting in concert or as a group with another shareholder in a court of competent jurisdiction.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ARYA’s shareholders’ ability to vote all of their shares (including such excess shares) for or against the Business Combination is not restricted by this limitation on redemption.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There is no guarantee that a shareholder’s decision whether to redeem its shares for a pro rata portion of the trust account will put the shareholder in a better future economic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 can give no assurance as to the price at which 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ARYA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amount than the redemption price set forth in this proxy statement/prospectus. A shareholder should consult the shareholder’s own financial advisor for assistance on how this may affect his, her or its individual situation.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if the Adjournment Proposal is Not Approved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the Adjournment Proposal is not approved, and an insufficient number of votes have been obtained to authorize the consummation of the Business Combination and the Domestication, the ARYA Board will not have the ability to adjourn the extraordinary general meeting to a later date in order to solicit further votes, and, therefore, the Business Combination will not be approved, and, therefore, the Business Combination may not be consummated.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is seeking approval to adjourn the extraordinary general meeting to a later date or dates if, at the extraordinary general meeting, based upon the tabulated votes, there are insufficient votes to approve each of the Condition Precedent Proposals. If the Adjournment Proposal is not approved, the ARYA Board will not have the ability to adjourn the extraordinary general meeting to a later date and, therefore, will not have more time to solicit votes to approve the Condition Precedent Proposals. In such events, the Business Combination would not be completed.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if the Domestication and the Business Combination are not Consummated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are not able to complete the Business Combination with Nautilus nor able to complete another business combination by August 11, 2022, in each case, as such date may be extended pursuant to our Existing Governing Documents, we would cease all operations except for the purpose of winding up and we would redeem our Class A ordinary shares and liquidate the trust account, in which case our public shareholders may only receive approximately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complete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You will not have any rights or interests in funds from the trust account, except under certain limited circumstances. To liquidate your investment, therefore, you may be forced to sell your public shares, potentially at a loss.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public shareholders will be entitled to receive funds from the trust account only upon the earlier to occur of: (i) the completion of a business combination (including the closing of the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the Existing Governing Documents (A) to modify the substance or timing of our obligation to provide holders of our Class A ordinary shares the right to have their shares redeemed in connection with a business combination or to redeem 100% of our public shares if we do not complete our initial business combination by August 11, 2022 or (B) with respect to any other provision relating to the rights of holders of our Class A ordinary shares, and (iii) the redemption of our public shares if we have not consummated an initial business by August 11, 2022, subject to applicable law and as further described herein. Public shareholders who redeem their public shares in connection with a shareholder vote described in clause (ii) in the preceding sentence will not be entitled to funds from the trust account upon the subsequent completion of an initial business combination or liquidation if we have not consummated an initial business combination by August 11, 2022, with respect to such </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public shares so redeemed. In no other circumstances will a shareholder have any right or interest of any kind to or in the trust account. Accordingly, to liquidate your investment, you may be forced to sell your public shares, potentially at a loss.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do not consummate an initial business combination by August 11, 2022, our public shareholders may be forced to wait until after August 11, 2022 before redemption from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unable to consummate our initial business combination by August 11, 2022 (as such date may be extended pursuant to our Existing Governing Documents),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as further described in this proxy statement/prospectus. Any redemption of public shareholders from the trust account shall be affected automatically by function of the Existing Governing Documents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August 11, 2022 (as such date may be extended pursuant to our Existing Governing Documents),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Existing Governing Documents, and only then in cases where investors have sought to redeem their public shares. Only upon our redemption or any liquidation will public shareholders be entitled to distributions if we do not complete our initial business combination and do not amend our Existing Governing Documents. Our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the net proceeds of our initial public offering not being held in the trust account are insufficient to allow us to operate through August 11, 2022, and we are unable to obtain additional capital, we may be unable to complete our initial business combination, in which case our public shareholders may only receive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$1,001,032 in cash held outside the trust account to fund our working capital requirements. The funds available to us outside of the trust account may not be sufficient to allow us to operate until August 11, 2022,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required to seek additional capital, we would need to borrow funds from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EXTRAORDINARY GENERAL MEETING OF ARYA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furnishing this proxy statement/prospectus to ARYA’s shareholders as part of the solicitation of proxies by the ARYA Board for use at the extraordinary general meeting of ARYA to be held on           , 2021, and at any adjournment thereof. This proxy statement/prospectus is first being furnished to ARYA’s shareholders on or about           , 2021 in connection with the vote on the proposals described in this proxy statement/prospectus. This proxy statement/prospectus provides ARYA’s shareholders with information they need to know to be able to vote or instruct their vote to be cast at the extraordinary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Time and Place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extraordinary general meeting will be held at 9:00 a.m., Eastern Time, on           , 2021 at the offices of Kirkland &amp; Ellis LLP located at 601 Lexington Avenue, New York, New York 10022, unless the extraordinary general meeting is adjourned.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Purpose of the ARYA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extraordinary general meeting, ARYA is asking holders of ordinary shares to consider and vote upon: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and adopt the Business Combination Agreement, including the Merger, and the transactions contemplated thereby;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 proposal to approve by special resolutions the amendment and restatement in their entirety and substitution in their place of the Existing Governing Documents with the Proposed Certificate of Incorporation;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following governance provisions to approve on a non-binding advisory basis,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changes in connection with the replacement of Existing Governing Documents with the Proposed Certificate of Incorporation as part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shares of New Nautilus Common Stock issued in connection with the Business Combination and the PIPE Financing pursuant to Nasdaq Listing Rule 5635;</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ESPP;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 proposal to approve by ordinary resolution the adjournment of the extraordinary general meeting to a later date or dates, if necessary, to, among other things, permit further solicitation and vote of proxies in the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event that there are insufficient votes for the approval of one or more proposals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ARYA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Charter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Record Date; Who is Entitled to Vote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Abstentions and Broker Non-Votes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Proxies that are marked “abstain” and proxies relating to “street name” shares that are returned to ARYA but marked by brokers as “not voted” will be treated as shares present for purposes of determining the presence of a quorum on all matters. Abstentions and broker non-votes, while considered present for the purposes of establishing a quorum, will not count as votes cast at the extraordinary general meeting, and otherwise will have no effect on a particular proposal. If a shareholder does not give the broker voting instructions, under applicable self-regulatory organization rules, its broker may not vote its shares on “non-routine” proposals, such as the Business Combination Proposal or any of the other Condition Precedent Proposals.</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Advisory Governing Documents Proposals on a non-binding advisory basis requires an ordinary resolution,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is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Your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ordinary share that you own in your name entitles you to one vote. Your proxy card shows the number of ordinary shares that you own. If your shares are held in “street name” or are in a margin or similar account, you should contact your broker to ensure that votes related to the shares you beneficially own are properly counted.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two ways to vote your ordinary shares at the extraordinary general meeting: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You can vote by signing and returning the enclosed proxy card. If you vote by proxy card, your “proxy,” whose name is listed on the proxy card, will vote your shares as you instruct on the proxy card. If you sign and return the proxy card but do not give instructions on how to vote your shares, your shares will be voted as recommended by the ARYA Board “FOR” the Business Combination Proposal, “FOR” the Domestication Proposal, “FOR” the Charter Proposal, “FOR” each of the separate Advisory Governing Documents Proposals, “FOR” the Nasdaq Proposal, “FOR” the Incentive Award Plan Proposal, “FOR” the </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Proposal and “FOR” the Adjournment Proposal, in each case, if presented to the extraordinary general meeting. Votes received after a matter has been voted upon at the extraordinary general meeting will not be counted.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can attend the extraordinary general meeting and vote in person. You will receive a ballot when you arrive. However, if your shares are held in the name of your broker, bank or another nominee, you must get a valid legal proxy from the broker, bank or other nominee. That is the only way ARYA can be sure that the broker, bank or nominee has not already voted your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Revoking Your Proxy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are an ARYA shareholder and you give a proxy, you may revoke it at any time before it is exercised by doing any one of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send another proxy card with a later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notify ARYA’s general counsel in writing before the extraordinary general meeting that you have revoked your proxy;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attend the extraordinary general meeting, revoke your proxy, and vote in person, as indicated above.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Who Can Answer Your Questions About Voting Your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are a shareholder and have any questions about how to vote or direct a vote in respect of your ordinary shares, you may call Morrow, our proxy solicitor, by calling (800) 662-5200, or banks and brokers can call collect at (203) 658-9400, or by emailing ARYA.info@investor.morrowsodali.com.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Redemption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DTC.</w:t>
      </w:r>
    </w:p>
    <w:p>
      <w:pPr>
        <w:pStyle w:val="TextBody"/>
        <w:spacing w:lineRule="auto" w:line="288" w:before="0" w:after="180"/>
        <w:ind w:left="0" w:right="0" w:firstLine="360"/>
        <w:rPr/>
      </w:pPr>
      <w:r>
        <w:rPr>
          <w:rFonts w:ascii="Times New Roman;sans-serif" w:hAnsi="Times New Roman;sans-serif"/>
          <w:b/>
          <w:color w:val="000000"/>
          <w:sz w:val="20"/>
        </w:rPr>
        <w:t>Holders must complete the procedures for electing to redeem their public shares in the manner described above prior to 5:00 p.m., Eastern Time, on</w:t>
      </w:r>
      <w:r>
        <w:rPr>
          <w:color w:val="000000"/>
        </w:rPr>
        <w:t>           </w:t>
      </w:r>
      <w:r>
        <w:rPr>
          <w:rFonts w:ascii="Times New Roman;sans-serif" w:hAnsi="Times New Roman;sans-serif"/>
          <w:b/>
          <w:color w:val="000000"/>
          <w:sz w:val="20"/>
        </w:rPr>
        <w:t>, 2021 (two business days before the extraordinary general meeting) in order for their shares to be redeemed.</w:t>
      </w:r>
    </w:p>
    <w:p>
      <w:pPr>
        <w:pStyle w:val="TextBody"/>
        <w:spacing w:lineRule="auto" w:line="288" w:before="0" w:after="180"/>
        <w:ind w:left="0" w:right="0" w:firstLine="360"/>
        <w:rPr/>
      </w:pPr>
      <w:r>
        <w:rPr>
          <w:rFonts w:ascii="Times New Roman;sans-serif" w:hAnsi="Times New Roman;sans-serif"/>
          <w:b/>
          <w:color w:val="000000"/>
          <w:sz w:val="2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Times New Roman;sans-serif" w:hAnsi="Times New Roman;sans-serif"/>
          <w:b w:val="false"/>
          <w:color w:val="000000"/>
          <w:sz w:val="20"/>
        </w:rPr>
        <w:t xml:space="preserve">If the Business Combination is not 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hold the shares in “street name,” you will have to coordinate with your broker to have your shares certificated or delivered electronically. Shares of New Nautilus Common Stock that have not been tendered (either physically or electronically)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 In the event the proposed business combination is not consummated this may result in an additional cost to shareholders for the return of their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corrected or changed written exercise of redemption rights must be received by Continental, our transfer agent, prior to the vote taken on the Business Combination Proposal at the extraordinary general meeting. No request for redemption will be honored unless the holder’s public shares have been delivered (either physically or electronically) to Continental, our agent, at least two business days prior to the vote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closing price of public shares on           , 2021, the most recent closing price, was $           . For illustrative purposes, as of           , 2021, funds in the trust account plus accrued interest thereon totaled approximately $           million or $           per issued and outstanding public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ARYA cannot assure its shareholders that they will be able to sell their public shares in the open market, even if the market price per share is higher than the redemption price stated above, as there may not be sufficient liquidity in its securities when its shareholders wish to sell their shares.</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have no appraisal rights in connection with the Business Combination or the Domestication under the Cayman Islands Companies Act or under the DGCL.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Proxy Solicitation Costs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soliciting proxies on behalf of its board of directors. This solicitation is being made by mail but also may be made by telephone or in person. ARYA and its directors, officers and employees may also solicit proxies in person, by telephone or by other electronic means. ARYA will bear the cost of the solicitation.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hired Morrow to assist in the proxy solicitation process. ARYA will pay that firm a fee of $22,500 plus disbursements. Such fee will be paid with non-trust account funds.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will ask banks, brokers and other institutions, nominees and fiduciaries to forward the proxy materials to their principals and to obtain their authority to execute proxies and voting instructions. ARYA will reimburse them for their reasonable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ARYA Initial Shareholders’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proxy statement/prospectus, there are 19,186,500 ordinary shares issued and outstanding, which includes an aggregate of 499,000 private placement shares held by the Sponsor and 3,737,500 Class B ordinary shares held by the initial shareholders, including Sponsor.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pPr>
      <w:r>
        <w:rPr>
          <w:rFonts w:ascii="Times New Roman;sans-serif" w:hAnsi="Times New Roman;sans-serif"/>
          <w:b w:val="false"/>
          <w:color w:val="000000"/>
          <w:sz w:val="20"/>
        </w:rPr>
        <w:t>We are asking our shareholders to adopt and approve the Business Combination Agreement, certain related agreements and the transactions contemplated thereby (including the Business Combination). ARYA shareholders should read carefully this proxy statement/prospectus in its entirety for more detailed information concerning the Business Combination Agreement, which is attached as Annex A to this proxy statement/prospectus, and the transactions contemplated thereby. Please see “</w:t>
      </w:r>
      <w:r>
        <w:rPr>
          <w:color w:val="000000"/>
        </w:rPr>
        <w:t>—</w:t>
      </w:r>
      <w:r>
        <w:rPr>
          <w:rFonts w:ascii="Times New Roman;sans-serif" w:hAnsi="Times New Roman;sans-serif"/>
          <w:b w:val="false"/>
          <w:i/>
          <w:color w:val="000000"/>
          <w:sz w:val="20"/>
        </w:rPr>
        <w:t>The Business Combination Agreement</w:t>
      </w:r>
      <w:r>
        <w:rPr>
          <w:color w:val="000000"/>
        </w:rPr>
        <w:t xml:space="preserve">” </w:t>
      </w:r>
      <w:r>
        <w:rPr>
          <w:rFonts w:ascii="Times New Roman;sans-serif" w:hAnsi="Times New Roman;sans-serif"/>
          <w:b w:val="false"/>
          <w:color w:val="000000"/>
          <w:sz w:val="20"/>
        </w:rPr>
        <w:t>below for additional information and a summary of certain terms of the Business Combination Agreement. You are urged to read carefully the Business Combination Agreement in its entirety before voting on this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we are holding a shareholder vote on the Business Combination, we may consummate the Business Combination only if it is approved by the affirmative vote of at least a majority of the votes cast by the holders of the issued of ordinary shares present in person or represented by proxy at the extraordinary general meeting and entitled to vote on such matter.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statement/prospectus. You are urged to read the Business Combination Agreement in its entirety because it is the primary legal document that governs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schedules (the “</w:t>
      </w:r>
      <w:r>
        <w:rPr>
          <w:rFonts w:ascii="Times New Roman;sans-serif" w:hAnsi="Times New Roman;sans-serif"/>
          <w:b w:val="false"/>
          <w:color w:val="000000"/>
          <w:sz w:val="20"/>
          <w:u w:val="single"/>
        </w:rPr>
        <w:t>disclosure schedules</w:t>
      </w:r>
      <w:r>
        <w:rPr>
          <w:color w:val="000000"/>
        </w:rPr>
        <w:t>”</w:t>
      </w:r>
      <w:r>
        <w:rPr>
          <w:rFonts w:ascii="Times New Roman;sans-serif" w:hAnsi="Times New Roman;sans-serif"/>
          <w:b w:val="false"/>
          <w:color w:val="000000"/>
          <w:sz w:val="20"/>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ARYA, Sponsor, Nautilus or any other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Merger Sub and Nautilus entered into the Business Combination Agreement, which provides for, among other things, the following transactions: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 Prior to the Closing Date, Nautilus will change its name to “Nautilus Subsidiary, Inc.” (or another name mutually agreed to be ARYA and Nautilus); (ii) 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upon which ARYA will change its name to “Nautilus Biotechnology, Inc.” (provided that if such name is not available in Delaware or ARYA is otherwise unable to change its name to “Nautilus Biotechnology, Inc.” in Delaware, it will cause its name to be changed to “Nautilus Biotechnology Holdings, Inc.” or such other name mutually agreed to by ARYA and the Company);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(b)following the consummation of the Domestication, the parties to the Business Combination Agreement will cause a certificate of merger to be executed and filed with the Secretary of State of the State of Delaware,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pursuant to which Merger Sub will merge with and into Nautilus, with Nautilus as the surviving company in the Merger and, after giving effect to such merger, Nautilus will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and substantially concurrent with the execution of the Business Combination Agreement, ARYA entered into Subscription Agreements with each of the PIPE Investors, pursuant to which the PIPE Investors have agreed to subscribe for and purchase, and ARYA has agreed to issue and sell to the PIPE Investors, an aggregate of 20 million shares of New Nautilus Common Stock at a price of $10.00 per share, for aggregate gross proceeds of $200 million, which we refer to as the “PIPE Financing.” The Perceptive PIPE Investor has agreed to fund $55 million in the PIPE Financing on the terms and subject to the conditions contained in the applicable Subscription Agreement.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connection with the Business Combination, certain related agreements have been, or will be entered into on or prior to the closing of the Business Combination, including the Subscription Agreements, the Nautilus Shareholder Transaction Support Agreements, the Sponsor Letter Agreement and the Amended and Restated Registration Rights and Lock-Up Agreement (each as defined in the accompanying proxy statement/prospectus). See </w:t>
      </w:r>
      <w:r>
        <w:rPr>
          <w:color w:val="000000"/>
        </w:rPr>
        <w:t>“—</w:t>
      </w:r>
      <w:r>
        <w:rPr>
          <w:rFonts w:ascii="Times New Roman;sans-serif" w:hAnsi="Times New Roman;sans-serif"/>
          <w:b w:val="false"/>
          <w:i/>
          <w:color w:val="000000"/>
          <w:sz w:val="20"/>
        </w:rPr>
        <w:t>Related Agreements</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the Domestication on Existing ARYA Equity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Domestication will result in, among other things, the following, each of which will occur prior to the Effective Time on the Closing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issued and outstanding Class A ordinary share of ARYA will be converted, on a one-for-one basis, into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issued and outstanding Class B ordinary share of ARYA will be converted, on a one-for-one basis, into shares of New Nautilus Common Stock;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governing documents of ARYA will be amended and restated and become the certificate of incorporation and the bylaws as described in this proxy statement/prospectus and ARYA’s name will change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Consideration to Nautilus Equityholders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Aggregate New Nautilus Proceeds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Aggregate Transaction Proceeds will be used for general corporate purposes after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Closing and Effective Time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Closing of the transactions contemplated by the Business Combination Agreement is required to take place electronically by exchange of the closing deliverables as promptly as reasonably practicable, but in no event later than the third (3rd) business day, following the satisfaction (or, to the extent permitted by applicable law, waiver) of the conditions described below under the section entitled </w:t>
      </w:r>
      <w:r>
        <w:rPr>
          <w:color w:val="000000"/>
        </w:rPr>
        <w:t>“—</w:t>
      </w:r>
      <w:r>
        <w:rPr>
          <w:rFonts w:ascii="Times New Roman;sans-serif" w:hAnsi="Times New Roman;sans-serif"/>
          <w:b w:val="false"/>
          <w:i/>
          <w:color w:val="000000"/>
          <w:sz w:val="20"/>
        </w:rPr>
        <w:t>Conditions to Closing of the Business Combination</w:t>
      </w:r>
      <w:r>
        <w:rPr>
          <w:rFonts w:ascii="Times New Roman;sans-serif" w:hAnsi="Times New Roman;sans-serif"/>
          <w:b w:val="false"/>
          <w:color w:val="000000"/>
          <w:sz w:val="20"/>
        </w:rPr>
        <w:t>,” (other than those conditions that by their nature are to be satisfied at the Closing, but subject to satisfaction or waiver of such conditions) or at such other place, date and/or time as ARYA and Nautilus may agree in writing.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Conditions to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Conditions to Each Party’s Obligations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respective obligations of each party to the Business Combination Agreement to consummate the transactions contemplated by the Business Combination are subject to the satisfaction or, if permitted by applicable law, written waiver by all of the parties to the Business Combination Agreement of the following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applicable waiting period under the HSR Act relating to the Business Combination having been expired, been terminated or obtained (or deemed, by applicable law, to have been obtained);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order or law or other legal restraint or prohibition issued by any court of competent jurisdiction or other governmental entity of competent jurisdiction enjoining, prohibiting or preventing the consummation of the Domestication or Merger being in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this registration statement/proxy statement becoming effective in accordance with the provisions of the Securities Act, no stop order being issued by the SEC and remaining in effect with respect to this registration statement/proxy statement, and no proceeding seeking such a stop order being threatened or initiated by the SEC and remaining pending;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approval of the Business Combination Agreement and the transactions contemplated thereby (including the Merger) being obtained by the requisite number of shareholders of Nautilus in accordance with the DGCL and Nautilus’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ARYA’s initial listing application with Nasdaq in connection with the transactions contemplated by the Business Combination Agreement being approved and, immediately following the Effective Time, ARYA satisfying any applicable initial and continuing listing requirements of Nasdaq, and ARYA not having received any notice of non-compliance in connection therewith that has not been cured or would not be cured at or immediately following the Effective Time, and the shares of New Nautilus Common Stock (including the shares of New Nautilus Common Stock to be issued in connection with the Merger and the Domestication), being approved for listing on Nasdaq;</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approval of each Condition Precedent Proposal by the affirmative vote of the holders of the requisite number of ordinary shares of ARYA being obtained in accordance with ARYA’s Governing Documents and applicable law;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after giving effect to the transactions contemplated by the Business Combination Agreement (including the PIPE Financing), ARYA having at least $5,000,001 of net tangible assets (as determined in accordance with Rule 3a51-1(g)(1) of the Exchange Act) immediately after the Effective Time of the Merger.</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Conditions to the Obligations of the ARYA Parties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obligations of the ARYA Parties to consummate the transactions contemplated by the Business Combination Agreement are subject to the satisfaction or, if permitted by applicable law, written waiver by ARYA (on behalf of itself and the other ARYA Parties) of the following further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representations and warranties of Nautilus regarding its organization and qualification, certain representations and warranties regarding its capitalization, the absence of change in control payments or declaration of dividends or other distributions, the authority of Nautilus to execute and deliver the Business Combination Agreement and each of the ancillary documents thereto to which it is or will be a party and to consummate the transactions contemplated thereby, the intended tax treatment of the Merger and Nautilus brokers’ fees being true and correct (without giving effect to any limitation of “materiality” or “Nautilus Material Adverse Effect” or any similar limitation set forth in the Business Combination Agreement) in all material respects as of the date of the Business Combination Agreement and the Closing Date as though made on and as of the Closing Date (or, if given as of an earlier date, as of such earlier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 and warranty regarding the absence of a “Nautilus Material Adverse Effect” since January 1,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Nautilus Material Adverse Effect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other representations and warranties of Nautilus being true and correct (without giving effect to any limitation as to “materiality” or “Nautilus Material Adverse Effect” or any similar limitation set forth in the Business Combination Agreement) in all respects as of the date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 Nautilus Material Adverse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having performed and complied in all material respects with the covenants and agreements required to be performed or complied with by it under the Business Combination Agreement prior to the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since the date of the Business Combination Agreement, no Nautilus Material Adverse Effect has occurred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must have received a certificate executed by an authorized officer of Nautilus confirming that the conditions set forth in the first five bullet points in this section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must have received the Amended and Restated Registration Rights and Lock-Up Agreement, duly executed by certain stockholders of Nautilus.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Conditions to the Obligations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obligations of Nautilus to consummate the transactions contemplated by the Business Combination Agreement are subject to the satisfaction or, if permitted by applicable law, written waiver by Nautilus of the following further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representations and warranties regarding organization and qualification of the ARYA Parties, the authority of each ARYA Party to execute and deliver the Business Combination Agreement, and each of the ancillary documents thereto to which it is or will be a party and to consummate the transactions contemplated thereby, certain representations and warranties regarding the capitalization of the ARYA Parties, the absence of change in control payments, the intended tax treatment of the Merger and ARYA brokers’ fees being true and correct, in all material respects as of the date of the Business Combination Agreement and the Closing Date, as though made on and as of the Closing Date (or, if given as of an earlier date, as of such earlier date);</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representations and warranties regarding the absence of an ARYA Material Adverse Effect since March 27,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ARYA Material Adverse Effect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other representations and warranties of the ARYA Parties being true and correct (without giving effect to any limitation of “materiality” or “ARYA Material Adverse Effect” (as defined in the Business Combination Agreement) or any similar limitation set forth in the Business Combination Agreement) in all respects as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an ARYA Material Adverse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ARYA Parties having performed and complied in all material respects with the covenants and agreements required to be performed or complied with by them under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since the date of the Business Combination Agreement, no ARYA Material Adverse Effect has occurred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Aggregate Transaction Proceeds being equal to or greater than $250,000,000;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New Nautilus Board consisting of the number of directors, and comprising the individuals, determined pursuant to Section 5.18(a)(i) and (ii)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Sponsor and each of Todd Wider, Bradley L. Campbell and Saqib Islam having complied in all material respects with their respective covenants and agreements under the Sponsor Letter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Domestication having been consummated on the Closing Date prior to the Effective Time, including delivery to Nautilus of a time-stamped copy of the certificate of domestication and the certificate of incorporation issued by the Secretary of State of the State of Delaware in connection with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must have received a certificate executed by an authorized officer of Nautilus confirming that the conditions set forth in the first four bullet points of this section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must have received the Amended and Restated Registration Rights and Lock-Up Agreement, duly executed by ARYA, ARYA Sponsor and Perceptive Life Sciences Master Fund Ltd.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Representations and Warranties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Nautilus made customary representations and warranties to ARYA relating to, among other things: organization and qualification; capitalization; authorization; financial statements, absence of undisclosed liabilities, consents and approvals; permits; material contracts; absence of certain changes; litigation; compliance with law; employee plans; environmental matters; intellectual property; labor matters; insurance; tax matters; brokers; real and personal property; transactions with affiliates; data privacy and security; compliance with international trade and anti-corruption laws; information supplied; and regulatory compliance and investigation.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the ARYA Parties made customary representations and warranties to Nautilus relating to, among other things: organization and qualification; authorization; consent and approvals; brokers; information supplier; capitalization; SEC Filings; absence of certain changes; investment company status; material contracts; the trust account; transactions with affiliates; litigation; compliance with law; business activities; internal controls and financial statements; absence of undisclosed liabilities; tax matters; investigation; employment matters; and compliance with international trade and anti-corruption laws; change of control payments; the PIPE financing; information supplied; and regulatory compliance and investigation.</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Material Adverse Effect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certain representations and warranties of Nautilus and ARYA are qualified in whole or in part by materiality thresholds. In addition, certain representations and warranties of Nautilus and ARYA are qualified in whole or in part by a material adverse effect standard for purposes of determining whether a breach of such representations and warranties has occurred.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a “Nautilus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Nautilus, taken as a whole, or (b) the ability of Nautilus to consummate the Merger or the other transactions contemplated to be consummated by Nautilus on the Closing Date in connection therewith, in each case, in accordance with the terms of the Business Combination Agreement; provided, however, that, in the case of clause (a), none of the following shall be taken into account in determining whether a Nautilus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the Business Combination Agreement or the pendency or consummation of the transactions contemplated by the Business Combination Agreement, including the impact thereof on the relationships, contractual or otherwise, of Nautilus or any of its subsidiaries with employees, customers, investors, contractors, lenders, suppliers, vendors, partners, licensors, licensees, payors or other third parties related thereto (provided that the exception in this clause (vi) shall not apply to the representations and warranties set forth in Section 3.5(b) of the Business Combination Agreement to the extent that its purpose is to address the consequences resulting from the public announcement or pendency or consummation of the transactions contemplated by the Business Combination Agreement or the condition set forth in Section 6.2(a) of the Business Combination Agreement to the extent it relates to such representations and warranties), (vii) any failure by Nautilus or any of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 Nautilus Material Adverse Effect has occurred or is reasonably likely to occur to the extent such change, event, effect or occurrence has or has had a disproportionate adverse effect on Nautilus or any of its subsidiaries, taken as a whole, relative to other participants operating in the industries or markets in which Nautilus or any of its subsidiaries operate.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Business Combination Agreement, certain representations and warranties of the ARYA Parties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the ARYA Parties to consummate the Domestication, Merger or the other transactions contemplated to be consummated by the ARYA Parties on the Closing Date in connection therewith, in each case, in accordance with the terms of the Business Combination Agreement; provided, however, that, in the case of clause (a), none of the </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following shall be taken into account in determining whether a ARYA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the ARYA Parties operates, (vi) the execution or public announcement of the Business Combination Agreement or the pendency or consummation of the transactions contemplated by the Business Combination Agreement, including the impact thereof on the relationships, contractual or otherwise, of the ARYA Parties with investors, contractors, lenders, suppliers, vendors, partners, licensors, licensees, payors or other third parties related thereto (provided that the exception in this clause (vi) shall not apply to the representations and warranties set forth in Section 4.3(b) of the Business Combination Agreement to the extent that its purpose is to address the consequences resulting from the public announcement or pendency or consummation of the transactions contemplated by the Business Combination Agreement or the condition set forth in Section 6.3(a) of the Business Combination Agreement to the extent it relates to such representations and warranties), (vii) any failure by the ARYA Parties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Covenants of the Parties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Covenants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or as consented to in writing by ARYA (such consent not to be unreasonably withheld, conditioned or delayed), prior to the Closing, Nautilus will and will cause its subsidiaries to, operate the business of Nautilus and its subsidiaries in the ordinary course in all material respects and use commercially reasonable efforts to maintain and preserve intact in all material respects the business organization, assets, properties and material business relations of Nautilus and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prior to the Closing, Nautilus will and will cause its subsidiaries to, not do any of the following without ARYA’s consent (such consent not to be unreasonably withheld, conditioned or delayed except in the case of the first, second, fourth, fourteenth, seventeenth and eighteenth sub-bullets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declare, set aside, make or pay any dividends or distribution or payment in respect of, or repurchase or redeem any outstanding, any equity securities of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 consolidate, combine or amalgamate with any person or purchase or otherwise acquire any business entity or organization;</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any amendments, supplements, restatements or modifications to any Nautilus governing documents or the Nautilus shareholders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sell, assign, exclusively license or otherwise dispose of any material assets or properties of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any material assets or properties of Nautilus to any lien (other than any permitted liens);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transfer, issue, sell, grant, or otherwise dispose of or subject to a lien any equity interests of Nautilus or its subsidiaries or issue any options or other rights obligating Nautilus or any of its subsidiaries to issue any equity interests;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create or assume any indebtedness other than ordinary course trade payables or guarantee any liability of any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amend or modify, in either case in a manner materially adverse to Nautilus, or terminate certain material contracts of Nautilus, waive any material benefit or right under any such material contracts or enter into, amend or modify any contract that would have been a certain type of material contract had such contract been entered into, amended or modified prior to the date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make any loans, advances or capital contributions to, or guarantees for the benefit of, or any investments in, any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adopt or materially amend any material benefit plan or materially increase the compensation or benefits payable to any current or former director, manager, officer, employee, individual, independent contractor or service provider or take any action to accelerate any material payment or benefit payable to any such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waive or release any noncompetition, non-solicitation, no-hire, nondisclosure or other restrictive covenant obligation of any current or former director, manager, officer, employee, individual independent contractor or other service provider;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change or revoke any material tax election other than any such extension or waiver obtained in the ordinary course of business consistent with past practice;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settlements in excess of a certain threshold or that impose any material non-monetary obligations on Nautilus or any of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authorize, recommend, propose or announce an intention to adopt a plan of complete or partial liquidation, dissolution, restructuring, recapitalization, reorganization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changes to the methods of accounting of Nautilus or any of its subsidiaries, other changes that are made in accordance with Public Company Accounting Oversight Board standard;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providing for the payment of any brokerage fee, finders’ fee or other commission in connection with the transactions contemplated by the Business Combination Agreement or ancillary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 of control payment that is not disclosed to ARYA on the Nautilus disclosure schedules or make any material payments with respect to a Nautilus affiliated party arrangement that is not disclosed to ARYA on the Nautilus disclosure schedules;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to do any of the above actions prohibited under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shall terminate certain affiliate contracts as set forth on the Nautilus disclosure schedules effective as of the Closing.</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(and in any event within five business days) following the time at which this registration statement of which this proxy statement/prospectus forms a part, is declared effective under the Securities Act, Nautilus is required to obtain and deliver to ARYA a true and correct copy of a written consent of the Nautilus Shareholders approving the Business Combination Agreement and the transactions contemplated thereby (including the Merger), duly executed by (i) the requisite number of shareholders of Nautilus in accordance with the DGCL and (ii) a majority of the outstanding Nautilus preferred stock, voting as a separate class on an as-converted to Nautilus common stock basis (the “Nautilus Shareholder Written Consent”).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least two business days prior to the Closing Date, Nautilus is required to deliver an allocation schedule setting forth certain capitalization information of Nautilus for purposes of allocating the New Nautilus Common Stock or options to purchase New Nautilus Common Stock, as applicable, among the Nautilus equityholders.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prior to the Closing, Nautilus will purchase a “tail” policy providing liability insurance coverage for Nautilus directors and officers with respect to matters occurring on or prior to the Closing.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earlier of the Closing or termination of the Business Combination Agreement in accordance with its terms, Nautilus shall not, and shall cause its subsidiaries and its and their respective officers and directors to not and shall use its reasonable best efforts to cause its other representatives to not: (i) solicit, initiate, knowingly induce, knowingly encourage, facilitate, discuss or negotiate, directly or indirectly, any inquiry, proposal or offer that constitutes, or could reasonably be expected to lead to, a Nautilus Acquisition Proposal; (ii) furnish or disclose any non-public information to any Person in connection with, or that could reasonably be expected to lead to, a Nautilus Acquisition Proposal; (iii) enter into any contract or other arrangement or understanding regarding a Nautilus Acquisition Proposal; (iv) make any filings or submissions to the SEC connection with a public offering of any equity securities or other securities, of Nautilus; or (v) otherwise cooperate in any way with, or assist or participate in, any negotiations or discussions with any person in connection with any of the foregoing.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shall give ARYA prompt written notice of any demands for appraisal of any share of Nautilus, attempted withdrawals of such demands and any other documents or instruments served pursuant to the DGCL relating to Nautilus’ stockholders’ rights of appraisal in accordance with the provisions of Section 262 of the DGCL. The Company will not, except with the prior written consent of ARYA (which consent shall not be unreasonably withheld, conditioned, or delayed), settle, or make any payment, or deliver any consideration, with respect to, any such demand.</w:t>
      </w:r>
    </w:p>
    <w:p>
      <w:pPr>
        <w:pStyle w:val="TextBody"/>
        <w:spacing w:lineRule="auto" w:line="288" w:before="0" w:after="180"/>
        <w:ind w:left="0" w:right="0" w:firstLine="360"/>
        <w:rPr/>
      </w:pPr>
      <w:r>
        <w:rPr>
          <w:rFonts w:ascii="Times New Roman;sans-serif" w:hAnsi="Times New Roman;sans-serif"/>
          <w:b w:val="false"/>
          <w:color w:val="000000"/>
          <w:sz w:val="20"/>
        </w:rPr>
        <w:t>As promptly as reaso</w:t>
      </w:r>
      <w:r>
        <w:rPr>
          <w:rFonts w:ascii="Times New Roman;sans-serif" w:hAnsi="Times New Roman;sans-serif"/>
          <w:b w:val="false"/>
          <w:color w:val="000000"/>
          <w:sz w:val="20"/>
          <w:highlight w:val="white"/>
        </w:rPr>
        <w:t xml:space="preserve">nably practicable following the date of the Business Combination Agreement, Nautilus shall deliver to ARYA the Nautilus audited financial statements </w:t>
      </w:r>
      <w:r>
        <w:rPr>
          <w:rFonts w:ascii="Times New Roman;sans-serif" w:hAnsi="Times New Roman;sans-serif"/>
          <w:b w:val="false"/>
          <w:color w:val="000000"/>
          <w:sz w:val="20"/>
        </w:rPr>
        <w:t>for the years ended December 31, 2019 and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Date, Nautilus will change its name to “Nautilus Subsidiary, Inc.” (or another name mutually agreed to be ARYA and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Covenants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or as consented to in writing by Nautilus, prior to the Closing, ARYA will, and will cause its subsidiaries to, not do any of the following (such consent not to be unreasonably withheld, conditioned or delayed except in the case of the first, second, third, fourth, fifth, ninth, and eleventh sub-bullets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any amendments, supplements, restatements or modifications to the ARYA trust agreement or the governing documents of any ARYA Party;</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create or form a subsidiary;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 consolidate, combine or amalgamate with any person or purchase or otherwise acquire any business entity or organization;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declare, set aside, make or pay any dividends or distribution or payment in respect of, or repurchase any outstanding, any equity securities of ARYA or any subsidiary;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authorize, recommend, propose or announce an intention to adopt, or otherwise effect, a plan of complete or partial liquidation, dissolution, restructuring, recapitalization, reorganization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split, combine or reclassify any of its capital stock or other equity securities or issue any other security in respect of, in lieu of or in substitution for shares of its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create, assume or guarantee any indebtedness or other liability;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loans or advances to, or capital contributions in, any other person, other than to, or in, ARYA or any of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issue any equity securities of ARYA or grant any additional options, warrants or stock appreciation rights with respect to its equity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enter into, renew, modify or revise any ARYA related party transaction or make any material payment to any ARYA related party;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engage in any activities or business, or incur any liabilities, other than activities or business or liabilities (i) in connection with or incidental or related to such person’s organization, incorporation or formation, as applicable, or continuing corporate (or similar) existence, (ii) expressly permitted pursuant to or in accordance with Section 5.11 of the Business Combination Agreement (including those actions expressly contemplated by the Business Combination Agreement, any ancillary document thereto, the performance of covenants or agreements thereunder or the consummation of the transactions contemplated thereby) or (iii) those that are administrative or ministerial in nature and less than $20,000 individually, or in the aggregate;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amend or modify, in either case, in a manner materially adverse to ARYA or terminate certain material contracts;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or materially amend any material benefit plan, enter into any employment contract or collective bargaining agreement or hire any person as an employee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change or revoke any material tax election other than any such extension or waiver obtained in the ordinary course of business consistent with past practice;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changes to the methods of accounting of ARYA or any of its subsidiaries, other changes that are made in accordance with Public Company Accounting Oversight Board standard;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authorize, recommend, propose or announce an intention to adopt a plan of complete or partial liquidation or dissolution;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enter into any contract providing for the payment of any brokerage fee, finders’ fee or other commission in connection with the transactions contemplated by the Business Combination Agreement;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change of control payment that is not disclosed to Nautilus on the ARYA disclosure schedules;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to do any of the above actions prohibited under the Business Combination Agreement.</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(and in any event within one business day) following the date of the Business Combination Agreement, ARYA, as the sole stockholder of Merger Sub, will approve and adopt the Business Combination Agreement, the ancillary documents to which Merger Sub is or will be a party and the transactions contemplated hereby and thereby (including the Merger).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following the effectiveness of this registration statement of which this proxy statement/prospectus forms a part, ARYA will (i) duly give notice of and duly convene and hold the general meeting to approve the Condition Precedent Proposals and the Advisory Governing Documents Proposals (ii) cause the registration statement of which this proxy statement/prospectus forms a part to be mailed to the ARYA Shareholders, use reasonable best efforts to solicit proxies from the holders of ARYA’s outstanding shares to vote in favor of the Condition Precedent Proposals and the Governing Documents Proposals and (iii) provide ARYA shareholders with the opportunity to elect to effect an ARYA Shareholder redemption in accordance with the ARYA’s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shall use its reasonable best efforts to cause: (i) ARYA’s initial listing application with Nasdaq to have been approved; (ii) ARYA to satisfy all applicable initial and continuing listing requirements of Nasdaq; and (iii) the New Nautilus Common Stock issuable in accordance with the Business Combination Agreement, including the Domestication and the Merger, to be approved for listing on Nasdaq.</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meeting of the ARYA Shareholders, the ARYA Board will approve and adopt the 2021 Plan with any changes or modifications thereto as Nautilus and ARYA may mutually agree (such agreement not to be unreasonably withheld, conditioned or delayed by either Nautilus or ARYA, as applicable), and ARYA will initially reserve 16,182,600 shares of New Nautilus Common Stock for grant thereunder plus (i) the number of shares of New Nautilus Common Stock issuable upon the exercise or conversion of the Nautilus equity awards and (ii) such additional New Nautilus Common Stock as may become available for issuance under the terms and subject to the conditions of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meeting of the ARYA Shareholders, the ARYA Board will approve and adopt the ESPP with any changes or modifications thereto as Nautilus and ARYA may mutually agree (such agreement not to be unreasonably withheld, conditioned or delayed by either Nautilus or ARYA, as applicable), and ARYA will initially reserve 1,244,900 shares of New Nautilus Common Stock for grant thereunder plus such additional shares of New Nautilus Common Stock that may become available for issuance under the terms and subject to the conditions of the ESPP.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effective time, ARYA shall maintain the indemnification, exculpation and advancement of expenses provisions in favor of the current or former directors, officers, employees and agents of Nautilus for a period of six years after the Closing Date and shall, subject to certain exceptions, prior to the Closing, obtain a “tail” policy providing liability insurance coverage for ARYA directors and officers with respect to matters occurring on or prior to the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earlier of the Closing or termination of the Business Combination Agreement in accordance with its terms, ARYA shall not, shall cause its respective officers, and directors to not, shall cause Perceptive Advisors to not, and the Sponsor and their controlled affiliates to not, and shall use their reasonable best efforts to cause its and their affiliates and the other representatives of the ARYA Parties, Perceptive Advisors, the ARYA Sponsor and their controlled affiliates to not, directly or indirectly: (i) solicit, knowingly initiate,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an ARYA Acquisition Proposal; (iii) enter into any contract or other arrangement or understanding regarding an ARYA Acquisition Proposal; (iv) make and filings or submissions with the SEC in connection with an offering of any securities of ARYA or other equity securities of an ARYA Party; or (v) otherwise cooperate in any way with, or assist or participate in, any negotiations of discussion with any person in connection with an ARYA Acquisition Proposal.</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ARYA shall use its reasonable best efforts to obtain the PIPE financing, enforce the obligations of the PIPE investors and satisfy and comply with all the conditions to each Subscription Agreement.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ARYA shall not amend, modify or waiver any provision of any Subscription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shall also promptly notify Nautilus of any material breach or termination under any Subscription Agreement and shall deliver a Closing Notice (as defined in the Subscription Agreements) to the PIPE Investors promptly (and in any event within two (2) business days) following Nautilus’ reasonable request once all the conditions to closing the Business Combination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ARYA shall take all such actions as may be necessary or reasonably appropriate such that effective as of the Effective Time the ARYA Board shall consist of nine (9) board members as agreed to in Section 5.18 the Business Combination Agreement described under the section entitled “—Board of Directors,”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Following the Effective Time, ARYA shall, or shall cause New Nautilus and each of its subsidiaries, to provide the employees of New Nautilus credit for purposes of determining eligibility for New Nautilus employee benefits plans, and use commercially reasonable efforts to waive any eligibility waiting periods or other limitations under each of the employee benefit plans and cause any eligible expenses incurred by any New Nautilus employee during the portion of the plan year in which the Closing occurs, to be taken into account under those health and welfare benefit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Upon the satisfaction of the conditions to closing, ARYA shall deliver to the trustee all documents, certificates or other notices required to be delivered to the trustee pursuant to the Trust Agreement and shall cause the trustee to (i) pay all amounts (if any) payable to the Public Shareholders pursuant to the redemption, (ii) pay the differed underwriting expenses as set forth in the Trust Agreement, (iii) deposit all remaining amounts to New Nautilus and (iv) terminate the trust account following the completion of the actions described in clauses (i) through (iii).</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occurrence of the Effective Time, ARYA shall adopt, or cause to be adopted, the ARYA bylaws in accordance with applicable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Mutual Covenants of the Parties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parties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reasonable best efforts to consummate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notify the other party in writing promptly after learning of any shareholder demands or other shareholder proceedings relating to the Business Combination Agreement, any ancillary document or any matters relating thereto and reasonably cooperate with one another in connection therewith, including not settling any such proceedings without the consent of the other party;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keeping certain information confidential in accordance with the existing non-disclosure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making public announcements;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each party reasonable access to books, records and management;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reasonable best efforts to cause each of the Domestication and the Merger to constitute a transaction treated as a “reorganization” within the meaning of Section 368 of the IRS Code or otherwise use commercially reasonable efforts to restructure the Merger to so qualify;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cooperate in connection with certain tax matters and filings.</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making any appropriate filings pursuant to the HSR Act with respect to the transactions contemplated by the Business Combination Agreement promptly (and in any event within five (5) Business Days) following the date 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ARYA and Nautilus agreed that ARYA and Nautilus will prepare and mutually agree upon and ARYA will file with the SEC, this registration statement/proxy statement on Form S-4 relating to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determined by Nautilus prior to the effectiveness of the Registration Statement (all of whom are expected to be current members of the Nautilus board of directors), one individual determined by Sponsor prior to the effectiveness of the Registration Statement and one director that may designated by Nautilus and that is reasonably acceptable to Sponsor prior to the effectiveness of the Registration Statement (provided that if no individual is designated as of such time, then such director seat will be vacant following the Effective Time until an individual is elected or appointed to such directorship in accordance with the New Nautilus governing documents).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Survival of Representations, Warranties and Covenants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agreements and covenants in the Business Combination Agreement terminate at the Effective Time, except for the covenants and agreements relevant to the Closing, agreements or covenants which by their terms contemplate performance after the Effective Time, and the representations and warranties of Nautilus and ARYA regarding investigation and exclusivity of representations and warranties.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may be terminated under certain customary and limited circumstances at any time prior to the Closing,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the mutual written consent of ARYA and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by ARYA, subject to certain exceptions, if any of the representations or warranties made by Nautilus are not true and correct or if Nautilus fails to perform any of its respective covenants or agreements under the Business Combination Agreement (including an obligation to consummate the Closing) such that certain conditions to the obligations of ARYA, as described in the section entitled </w:t>
      </w:r>
      <w:r>
        <w:rPr>
          <w:color w:val="000000"/>
        </w:rPr>
        <w:t>“—</w:t>
      </w:r>
      <w:r>
        <w:rPr>
          <w:rFonts w:ascii="Times New Roman;sans-serif" w:hAnsi="Times New Roman;sans-serif"/>
          <w:b w:val="false"/>
          <w:i/>
          <w:color w:val="000000"/>
          <w:sz w:val="20"/>
        </w:rPr>
        <w:t>Conditions to Closing of the Business Combination”</w:t>
      </w:r>
      <w:r>
        <w:rPr>
          <w:color w:val="000000"/>
        </w:rPr>
        <w:t xml:space="preserve"> </w:t>
      </w:r>
      <w:r>
        <w:rPr>
          <w:rFonts w:ascii="Times New Roman;sans-serif" w:hAnsi="Times New Roman;sans-serif"/>
          <w:b w:val="false"/>
          <w:color w:val="000000"/>
          <w:sz w:val="20"/>
        </w:rPr>
        <w:t>above could not be satisfied and the breach (or breaches) of such representations or warranties or failure (or failures) to perform such covenants or agreements is (or are) not cured or cannot be cured within the earlier of (i) thirty (30) days after written notice thereof, and (ii) August 6, 2021 (the “</w:t>
      </w:r>
      <w:r>
        <w:rPr>
          <w:rFonts w:ascii="Times New Roman;sans-serif" w:hAnsi="Times New Roman;sans-serif"/>
          <w:b w:val="false"/>
          <w:color w:val="000000"/>
          <w:sz w:val="20"/>
          <w:u w:val="single"/>
        </w:rPr>
        <w:t>Termination Date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by Nautilus, subject to certain exceptions, if any of the representations or warranties made by the ARYA Parties are not true and correct or if any ARYA Party fails to perform any of its covenants or agreements under the Business Combination Agreement (including an obligation to consummate the Closing) such that the condition to the obligations of Nautilus, as described in the section entitled </w:t>
      </w:r>
      <w:r>
        <w:rPr>
          <w:color w:val="000000"/>
        </w:rPr>
        <w:t>“—</w:t>
      </w:r>
      <w:r>
        <w:rPr>
          <w:rFonts w:ascii="Times New Roman;sans-serif" w:hAnsi="Times New Roman;sans-serif"/>
          <w:b w:val="false"/>
          <w:i/>
          <w:color w:val="000000"/>
          <w:sz w:val="20"/>
        </w:rPr>
        <w:t>Conditions to Closing of the Business Combination”</w:t>
      </w:r>
      <w:r>
        <w:rPr>
          <w:color w:val="000000"/>
        </w:rPr>
        <w:t xml:space="preserve"> </w:t>
      </w:r>
      <w:r>
        <w:rPr>
          <w:rFonts w:ascii="Times New Roman;sans-serif" w:hAnsi="Times New Roman;sans-serif"/>
          <w:b w:val="false"/>
          <w:color w:val="000000"/>
          <w:sz w:val="20"/>
        </w:rPr>
        <w:t>above could not be satisfied and the breach (or breaches) of such representations or warranties or failure (or failures) to perform such covenants or agreements is (or are) not cured or cannot be cured within the earlier of (i) thirty (30) days after written notice thereof, and (ii) the Termination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either ARYA or Nautilus, subject to certain exceptions, if the transactions contemplated by the Business Combination Agreement are not consummated on or prior to the Termination Date;</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either ARYA or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any governmental entity of competent jurisdiction shall have issued an order permanently enjoining, restraining or otherwise prohibiting the transactions contemplated by the Business Combination Agreement and such order shall have become final and nonappealable;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the approval of the Condition Precedent Proposals by ARYA Shareholders is not obtained at the extraordinary general meeting (including any adjournment thereof);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ARYA, if Nautilus does not deliver, or cause to be delivered to ARYA, the Nautilus Shareholder Written Consent when required under 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Business Combination Agreement is validly terminated, none of the parties to the Business Combination Agreement will have any liability or any further obligation under the Business Combination Agreement, except (i) in the case of a willful breach of any covenant or agreement under the Business Combination Agreement or fraud, (ii) for customary obligations that survive the termination thereof (such as confidentiality obligations) and (iii) for any person’s liability under any ancillary document with respect to a claim against such Person by another person party to such agreement on the terms and subject to the conditions thereunder.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fees and expenses incurred in connection with the Business Combination Agreement and the ancillary documents thereto, and the transactions contemplated thereby, including the fees and disbursements of counsel, financial advisors and accountants, will be paid by the party incurring such fees or expenses; provided that, if the Business Combination Agreement is terminated in accordance with its terms, Nautilus shall pay, or cause to be paid, all unpaid Nautilus expenses and ARYA shall pay, or cause to be paid, all unpaid ARYA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Act also applies to the Domestication).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may be amended or modified only by a written agreement executed and delivered by ARYA and Nautilus, provided that amendments to certain specified provisions will also required the written agreement of Sponsor following the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Ownership of New Nautilus Immediately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Class A ordinary shares are redeemed in connection with the Business Combination), ARYA’s fully-diluted share capital would be 19,186,500 ordinary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 2021; (ii) 20,000,000 shares of New Nautilus Common Stock are issued in the PIPE Financing; and (iii) no options to purchase New Nautilus Common Stock outstanding as of               , 2021 have been exercised. Based on these assumptions, and assuming that none of ARYA’s outstanding public shares are redeemed in connection with the Business Combination, there would be approximately 124,482,062 shares of New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common stock outstanding immediately following the consummation of the Business Combination. If the actual facts are different than these assumptions, the ownership percentages in New Nautilus will be different.</w: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8,752,100 of ARYA’s outstanding public shares are redeemed in connection with the Business Combination, which is the estimated maximum number of shares that may be redeemed while still enabling the Aggregate Transaction Proceeds Condition to be met.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Agreements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The form of Subscription Agreement, the Amended and Restated Registration Rights and Lock-Up Agreement, the form of Nautilus Shareholder Transaction Support Agreement and the form of Sponsor Letter Agreement are attached hereto as </w:t>
      </w:r>
      <w:r>
        <w:rPr>
          <w:rFonts w:ascii="Times New Roman;sans-serif" w:hAnsi="Times New Roman;sans-serif"/>
          <w:b w:val="false"/>
          <w:color w:val="000000"/>
          <w:sz w:val="20"/>
          <w:highlight w:val="white"/>
        </w:rPr>
        <w:t>Annex F, Annex G, Annex H, and Annex E, respectively</w:t>
      </w:r>
      <w:r>
        <w:rPr>
          <w:rFonts w:ascii="Times New Roman;sans-serif" w:hAnsi="Times New Roman;sans-serif"/>
          <w:b w:val="false"/>
          <w:color w:val="000000"/>
          <w:sz w:val="20"/>
        </w:rPr>
        <w:t>. You are urged to read such agreements in their entirety prior to voting on the proposals presented at the extraordinary general meeting.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ARYA has entered into the Subscription Agreements with each of the PIPE Investors, which include the Perceptive PIPE Investors and certain existing Nautilus Shareholders, pursuant to which the PIPE Investors have agreed to subscribe for and purchase, and ARYA has agreed to issue and sell to the PIPE Investors, on the Closing Date immediately prior to the Closing,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ARYA, the Perceptive Shareholders, certain holders of Class B ordinary shares and certain Nautilus Shareholders entered into the Amended and Restated Registration Rights and Lock-Up Agreement pursuant to which, among other things, the Perceptive Shareholders, </w:t>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Registration Rights and Lock-Up Agreement further provides for the securities of New Nautilus held by the holders party thereto to be locked-up for a period of time following the Closing, subject to certain exceptions.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Transaction Support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execution of the Business Combination Agreement, ARYA, Nautilus and certain Nautilus Shareholders entered into shareholder support agreements (the “Nautilus Shareholder Transaction Support Agreements”) pursuant to which each such holder agreed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Nautilus Shares prior to the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 blank check company incorporated on March 27, 2020 as a Cayman Islands exempted company and formed for the purpose of effecting a merger, share exchange, asset acquisition, share purchase, reorganization or similar business combination with one or more businesses. In conducting a targeted search for a business combination target, as described in greater detail below, ARYA utilized the global network and investing, industry and sector, and transaction experience of Sponsor, ARYA’s management and the ARYA Board. The terms of the Business Combination Agreement and the related ancillary documents are the result of extensive negotiations among ARYA, Nautilus and their respective representatives and advisors.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prior to the closing of ARYA’s initial public offering, ARYA issued 3,737,500 founder shares to Sponsor in exchange for a capital contribution of $25,000, and Sponsor subsequently transferred 30,000 founder shares to each of Messrs. Wider, Campbell and Islam. On August 11, 2020 ARYA completed its initial public offering of 14,950,000 Class A ordinary shares at a price of $10.00 per share generating gross proceeds of $ </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million before underwriting discounts and expenses. Concurrently with the closing of its initial public offering, ARYA completed the private placement of 499,000 private placement shares at a price of $10.00 per private placement share to Sponsor. The private placement shares sold in the private placement are substantially identical to the public shares sold in the initial public offering, except that Sponsor has agreed not to transfer, assign or sell any of the private placement shares (except to certain permitted transferees) until 30 days after the completion of ARYA’s initial business combination. Prior to the consummation of ARYA’s initial public offering, neither ARYA, nor any authorized person on its behalf, initiated any substantive discussions, formal or otherwise, with respect to a business combination involving ARYA.</w:t>
      </w:r>
    </w:p>
    <w:p>
      <w:pPr>
        <w:pStyle w:val="TextBody"/>
        <w:spacing w:lineRule="auto" w:line="288" w:before="0" w:after="180"/>
        <w:ind w:left="0" w:right="0" w:firstLine="360"/>
        <w:rPr/>
      </w:pPr>
      <w:r>
        <w:rPr>
          <w:rFonts w:ascii="Times New Roman;sans-serif" w:hAnsi="Times New Roman;sans-serif"/>
          <w:b w:val="false"/>
          <w:color w:val="000000"/>
          <w:sz w:val="20"/>
        </w:rPr>
        <w:t xml:space="preserve">Following the completion of its initial public offering, ARYA’s officers and directors commenced an active, targeted search for an initial set of potential business combination targets, leveraging its officers’ and directors’ and Sponsor’s network of investment bankers, private equity firms and hedge funds (including Perceptive Advisors and its affiliates) and numerous other business relationships. The focus of this targeted search was potential business combinations targets in the </w:t>
      </w:r>
      <w:r>
        <w:rPr>
          <w:rFonts w:ascii="Times New Roman;sans-serif" w:hAnsi="Times New Roman;sans-serif"/>
          <w:b w:val="false"/>
          <w:color w:val="000000"/>
          <w:sz w:val="20"/>
          <w:highlight w:val="white"/>
        </w:rPr>
        <w:t>growing life sciences and medical technology sectors, which ARYA’s directors and officers believed, based on their experience, could satisfy all (or a portion of) certain key criteria for a business combination target, including, among others:</w:t>
      </w:r>
      <w:r>
        <w:rPr>
          <w:color w:val="000000"/>
        </w:rPr>
        <w:t xml:space="preserve"> </w:t>
      </w:r>
      <w:r>
        <w:rPr>
          <w:rFonts w:ascii="Times New Roman;sans-serif" w:hAnsi="Times New Roman;sans-serif"/>
          <w:b w:val="false"/>
          <w:color w:val="000000"/>
          <w:sz w:val="20"/>
        </w:rPr>
        <w:t xml:space="preserve">(a) scientific or other competitive advantages in the markets in which they operate; (b) the likely benefit of access to additional capital as well as ARYA’s management’s industry relationships and expertise; (c) the ability to achieve a reasonably expeditious timeline to both signing and closing based on the target’s preparedness and public company readiness, with strong management, corporate governance and financial reporting policies in place; (d) a positive reception by public investors, with the expectation that the target would have good access to the public capital markets in the future; (e) significant embedded and/or underexploited growth opportunities; (f) unrecognized value or other characteristics that have been unevaluated by the market based on its analysis and scientific and business due diligence review; and (g) the ability to offer attractive risk-adjusted equity returns for ARYA’s shareholders. </w:t>
      </w:r>
    </w:p>
    <w:p>
      <w:pPr>
        <w:pStyle w:val="TextBody"/>
        <w:spacing w:lineRule="auto" w:line="288" w:before="0" w:after="180"/>
        <w:ind w:left="0" w:right="0" w:firstLine="360"/>
        <w:rPr/>
      </w:pPr>
      <w:r>
        <w:rPr>
          <w:rFonts w:ascii="Times New Roman;sans-serif" w:hAnsi="Times New Roman;sans-serif"/>
          <w:b w:val="false"/>
          <w:color w:val="000000"/>
          <w:sz w:val="20"/>
        </w:rPr>
        <w:t xml:space="preserve">ARYA identified an initial set of 12 potential business combination targets that it believed met one or more of its acquisition criteria and commenced </w:t>
      </w:r>
      <w:r>
        <w:rPr>
          <w:rFonts w:ascii="Times New Roman;sans-serif" w:hAnsi="Times New Roman;sans-serif"/>
          <w:b w:val="false"/>
          <w:color w:val="000000"/>
          <w:sz w:val="20"/>
          <w:highlight w:val="white"/>
        </w:rPr>
        <w:t xml:space="preserve">preliminary due diligence on each and evaluated and analyzed each as potential business combination targets. ARYA’s due diligence, evaluation and analysis involved, among other things, diligence with respect to, and evaluating and analyzing, each target’s product candidate pipelines, other potential product or service offerings, technology, market potential and financial information, in each case, based on publicly available information and other market research available to the management team and its advisors, and its existing knowledge of the potential targets as a result of its network and existing relationships (including, in the case of Nautilus, ARYA’s knowledge of the proteomics market and Nautilus’ business, technologies and potential product or service offerings as a result of Perceptive Advisors’ approximate 3.2% ownership stake in Nautilus (on a fully diluted basis) that was purchased in connection with Nautilus’ Series B preferred stock financing, and the role of Michael Altman, director and Chief Financial Officer of ARYA, as a non-voting observer on the Nautilus board of directors). Based on this due diligence, evaluation and analysis, ARYA determined that it would contact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potential business combination targets (including Nautilus) to further evaluate and analyze a potential business combination, which ARYA believed, based on its preliminary evaluation</w:t>
      </w:r>
      <w:r>
        <w:rPr>
          <w:color w:val="000000"/>
        </w:rPr>
        <w:t xml:space="preserve"> </w:t>
      </w:r>
      <w:r>
        <w:rPr>
          <w:rFonts w:ascii="Times New Roman;sans-serif" w:hAnsi="Times New Roman;sans-serif"/>
          <w:b w:val="false"/>
          <w:color w:val="000000"/>
          <w:sz w:val="20"/>
          <w:highlight w:val="white"/>
        </w:rPr>
        <w:t>and the experience and existing knowledge of its officers and directors, were most suitable for a business combination due to the strength of the following factors, among others, relative to the other potential business combination targets: (a) scientific or other competitive advantages in the markets in which they operate and future growth prospects; (b) significant embedded and/or underexploited growth opportunities; and (c) the ability to</w:t>
      </w:r>
      <w:r>
        <w:rPr>
          <w:color w:val="000000"/>
        </w:rPr>
        <w:t xml:space="preserve"> </w:t>
      </w:r>
      <w:r>
        <w:rPr>
          <w:rFonts w:ascii="Times New Roman;sans-serif" w:hAnsi="Times New Roman;sans-serif"/>
          <w:b w:val="false"/>
          <w:color w:val="000000"/>
          <w:sz w:val="20"/>
        </w:rPr>
        <w:t xml:space="preserve">offer attractive, risk-adjusted equity returns for ARYA’s shareholders. ARYA had preliminary discussions with the potential business combination targets (other than Nautilus) with respect to their business and a potential business combination involving such target and ARYA. None of these discussions progressed beyond these preliminary discussions, ARYA did not enter into a non-disclosure agreement with any of these targets or propose any terms with respect to a potential business combination (whether via a term sheet, during discussions or otherwise) and ARYA ceased to have further discussions with these other potential business combination targets when it determined, for the reasons described below, that it would cease further analyzing and exploring these potential opportunities.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October 21, 2020, </w:t>
      </w:r>
      <w:r>
        <w:rPr>
          <w:rFonts w:ascii="Times New Roman;sans-serif" w:hAnsi="Times New Roman;sans-serif"/>
          <w:b w:val="false"/>
          <w:color w:val="000000"/>
          <w:sz w:val="20"/>
          <w:highlight w:val="white"/>
        </w:rPr>
        <w:t xml:space="preserve">Mr. Altman had a telephonic meeting with Sujal Patel, director and Chief Executive Officer of Nautilus, to discuss certain matters related to Nautilus’ business and unrelated to a business combination with ARYA. At the meeting, Mr. Altman indicated to Mr. Patel that ARYA wanted to further explore a potential </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highlight w:val="white"/>
        </w:rPr>
        <w:t>business combination between Nautilus and ARYA. The terms of a potential business combination were not discussed, the parties did not resolve to take any subsequent steps with respect to a potential business combination between ARYA and Nautilus and following this meeting Nautilus continued to explore</w:t>
      </w:r>
      <w:r>
        <w:rPr>
          <w:color w:val="000000"/>
        </w:rPr>
        <w:t xml:space="preserve"> </w:t>
      </w:r>
      <w:r>
        <w:rPr>
          <w:rFonts w:ascii="Times New Roman;sans-serif" w:hAnsi="Times New Roman;sans-serif"/>
          <w:b w:val="false"/>
          <w:color w:val="000000"/>
          <w:sz w:val="20"/>
          <w:highlight w:val="white"/>
        </w:rPr>
        <w:t xml:space="preserve">other potential strategic financings (including a potential private preferred stock financing round) and ARYA continued to explore other potential business combination targets.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Between October 22, 2020 and November 30, 2020, there were no further discussions between representatives of ARYA and Nautilus with respect to a potential business combination between the parties.</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On December 1, 2020, Mr. Altman and Konstantin Poukalov, the Chief Business Officer of ARYA, held a subsequent telephonic meeting with Mr. Patel, at ARYA’s invitation. At the meeting, the representatives of ARYA and Nautilus discussed Nautilus’ business and strategic prospects, as well as certain key aspects of a business combination with ARYA (including that consideration to Nautilus shareholders in such a transaction would consist of shares in ARYA, Perceptive Advisors was willing to participate in, and, if Nautilus saw fit, make a significant additional investment in the form of, the PIPE financing, which the parties discussed as being between $35 million and $50 million, and the potential size of the PIPE financing, which the parties discussed would be in the $150 million range) and the potential benefits of a potential business combination between ARYA and Nautilus (including the potential transaction providing Nautilus with immediate capital to continue its R&amp;D efforts and further develop its platform, the benefits to being a public company, including, if needed, having additional sources of capital available through the public equity markets and the less dilutive nature of the capital structure of ARYA as compared to other potential SPAC counterparties given the size of ARYA trust account and ARYA not having offered any warrants to public investors in connection with its initial public offering). At the meeting, the representatives of both ARYA and Nautilus expressed interest in further exploring a potential business combination.</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 xml:space="preserve">Between December 2, 2020 and December 10, 2020, representatives of ARYA and Nautilus held multiple telephonic and teleconference meetings to further discuss and explore a potential business combination between ARYA and Nautilus and the potential terms of such a potential business combination. As part of these discussions, Mr. Patel indicated that Nautilus would be unlikely to pursue a business combination with ARYA unless the equity valuation in the business combination was attractive relative to alternatives with late stage growth investors in private transactions, particularly given valuation trends in the late stage financing market generally and among comparable life science tools companies specifically, the significant level of early interest expressed by potential participants in its Series C preferred stock financing round, its expectation to follow a more traditional initial public offering path, and the increased costs and requirements of being a public company. As part of these discussions, representatives of ARYA shared their perspectives regarding Nautilus’ valuation, including based on information that ARYA had received to date, the valuation of comparable companies in Nautilus’ industry and the valuation ascribed to Seer, Inc., in its recent initial public offering, a life sciences company with a focus on commercializing a new proteomics platform that ARYA’s management believed was a good market comparable for the potential valuation of Nautilus, and both ARYA and Nautilus discussed the valuation at which each of them would be interested in pursuing a business combination transaction. The discussions in regard to the valuation of Nautilus ranged from $700 million to $1 billion, on a pre-transaction equity value basis, with, as more fully described below, the parties ultimately agreeing to a $900 million valuation in the term sheet, which ARYA’s management believed to be an attractive valuation for a potential business combination with Nautilus in light of its evaluation and analysis of the Company to date, as well as the valuation of comparable companies and, in particular, the implied $925 million valuation ascribed to Seer, Inc. in its recent initial public offering. </w:t>
      </w:r>
      <w:r>
        <w:rPr>
          <w:rFonts w:ascii="Times New Roman;sans-serif" w:hAnsi="Times New Roman;sans-serif"/>
          <w:b w:val="false"/>
          <w:color w:val="000000"/>
          <w:sz w:val="20"/>
          <w:highlight w:val="white"/>
        </w:rPr>
        <w:t xml:space="preserve">For further information related to the comparable company analysis performed by ARYA, please see the section entitled </w:t>
      </w:r>
      <w:r>
        <w:rPr>
          <w:color w:val="000000"/>
        </w:rPr>
        <w:t>“—</w:t>
      </w:r>
      <w:r>
        <w:rPr>
          <w:rFonts w:ascii="Times New Roman;sans-serif" w:hAnsi="Times New Roman;sans-serif"/>
          <w:b w:val="false"/>
          <w:i/>
          <w:color w:val="000000"/>
          <w:sz w:val="20"/>
        </w:rPr>
        <w:t>Background to the Business Combination—Summary of ARYA Financial Analysis—Comparable Company Analysis.”</w:t>
      </w:r>
    </w:p>
    <w:p>
      <w:pPr>
        <w:pStyle w:val="TextBody"/>
        <w:spacing w:lineRule="auto" w:line="288" w:before="0" w:after="180"/>
        <w:ind w:left="0" w:right="0" w:firstLine="360"/>
        <w:rPr/>
      </w:pPr>
      <w:r>
        <w:rPr>
          <w:rFonts w:ascii="Times New Roman;sans-serif" w:hAnsi="Times New Roman;sans-serif"/>
          <w:b w:val="false"/>
          <w:color w:val="000000"/>
          <w:sz w:val="20"/>
        </w:rPr>
        <w:t>On a December 10, 2020 teleconference meeting between representatives of ARYA, Perceptive Advisors and Nautilus, Mr. Patel,</w:t>
      </w:r>
      <w:r>
        <w:rPr>
          <w:color w:val="000000"/>
          <w:highlight w:val="white"/>
        </w:rPr>
        <w:t xml:space="preserve"> </w:t>
      </w:r>
      <w:r>
        <w:rPr>
          <w:rFonts w:ascii="Times New Roman;sans-serif" w:hAnsi="Times New Roman;sans-serif"/>
          <w:b w:val="false"/>
          <w:color w:val="000000"/>
          <w:sz w:val="20"/>
          <w:highlight w:val="white"/>
        </w:rPr>
        <w:t>Parag Mallick, director and Chief Scientist of Nautilus, and Nick Nelson, Chief Business Officer of Nautilus,</w:t>
      </w:r>
      <w:r>
        <w:rPr>
          <w:color w:val="000000"/>
        </w:rPr>
        <w:t xml:space="preserve"> </w:t>
      </w:r>
      <w:r>
        <w:rPr>
          <w:rFonts w:ascii="Times New Roman;sans-serif" w:hAnsi="Times New Roman;sans-serif"/>
          <w:b w:val="false"/>
          <w:color w:val="000000"/>
          <w:sz w:val="20"/>
        </w:rPr>
        <w:t>made a presentation to ARYA regarding Nautilus and its business operations, including certain financial information and projections, its product development pipeline, and views on competitive positioning and 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these discussions and the exploration of a potential business combination involving ARYA and Nautilus and throughout the process relating to a potential business combination involving ARYA and Nautilus, Mr. </w:t>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Altman recused himself from participation in all meetings, discussions, votes and other actions of the Nautilus board of directors (and any committees thereof) relating to the potential business combination.</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December 11, 2020, representatives of ARYA provided representatives of Nautilus with a draft term sheet with respect to a potential business combination. </w:t>
      </w:r>
    </w:p>
    <w:p>
      <w:pPr>
        <w:pStyle w:val="TextBody"/>
        <w:spacing w:lineRule="auto" w:line="288" w:before="0" w:after="180"/>
        <w:ind w:left="0" w:right="0" w:firstLine="360"/>
        <w:rPr/>
      </w:pPr>
      <w:r>
        <w:rPr>
          <w:rFonts w:ascii="Times New Roman;sans-serif" w:hAnsi="Times New Roman;sans-serif"/>
          <w:b w:val="false"/>
          <w:color w:val="000000"/>
          <w:sz w:val="20"/>
        </w:rPr>
        <w:t>Between December 12, 2020 and December 14, 2020, representatives of ARYA and Kirkland &amp; Ellis LLP (“</w:t>
      </w:r>
      <w:r>
        <w:rPr>
          <w:rFonts w:ascii="Times New Roman;sans-serif" w:hAnsi="Times New Roman;sans-serif"/>
          <w:b w:val="false"/>
          <w:color w:val="000000"/>
          <w:sz w:val="20"/>
          <w:u w:val="single"/>
        </w:rPr>
        <w:t>K&amp;E</w:t>
      </w:r>
      <w:r>
        <w:rPr>
          <w:color w:val="000000"/>
        </w:rPr>
        <w:t>”</w:t>
      </w:r>
      <w:r>
        <w:rPr>
          <w:rFonts w:ascii="Times New Roman;sans-serif" w:hAnsi="Times New Roman;sans-serif"/>
          <w:b w:val="false"/>
          <w:color w:val="000000"/>
          <w:sz w:val="20"/>
        </w:rPr>
        <w:t>), counsel to ARYA, on the one hand, and representatives of Nautilus and Wilson Sonsini Goodrich &amp; Rosati (“</w:t>
      </w:r>
      <w:r>
        <w:rPr>
          <w:rFonts w:ascii="Times New Roman;sans-serif" w:hAnsi="Times New Roman;sans-serif"/>
          <w:b w:val="false"/>
          <w:color w:val="000000"/>
          <w:sz w:val="20"/>
          <w:u w:val="single"/>
        </w:rPr>
        <w:t>Wilson Sonsini</w:t>
      </w:r>
      <w:r>
        <w:rPr>
          <w:color w:val="000000"/>
        </w:rPr>
        <w:t>”</w:t>
      </w:r>
      <w:r>
        <w:rPr>
          <w:rFonts w:ascii="Times New Roman;sans-serif" w:hAnsi="Times New Roman;sans-serif"/>
          <w:b w:val="false"/>
          <w:color w:val="000000"/>
          <w:sz w:val="20"/>
        </w:rPr>
        <w:t xml:space="preserve">), counsel to Nautilus, on the other hand, held multiple calls and exchanged multiple revised drafts of the term sheet. </w:t>
      </w:r>
      <w:r>
        <w:rPr>
          <w:rFonts w:ascii="Times New Roman;sans-serif" w:hAnsi="Times New Roman;sans-serif"/>
          <w:b w:val="false"/>
          <w:color w:val="000000"/>
          <w:sz w:val="20"/>
          <w:highlight w:val="white"/>
        </w:rPr>
        <w:t>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w:t>
      </w:r>
      <w:r>
        <w:rPr>
          <w:color w:val="000000"/>
        </w:rPr>
        <w:t xml:space="preserve"> </w:t>
      </w:r>
      <w:r>
        <w:rPr>
          <w:rFonts w:ascii="Times New Roman;sans-serif" w:hAnsi="Times New Roman;sans-serif"/>
          <w:b w:val="false"/>
          <w:color w:val="000000"/>
          <w:sz w:val="20"/>
          <w:highlight w:val="white"/>
        </w:rPr>
        <w:t>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w:t>
      </w:r>
      <w:r>
        <w:rPr>
          <w:color w:val="000000"/>
        </w:rPr>
        <w:t xml:space="preserve">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this same time period, ARYA and its representatives continued to conduct preliminary business due diligence with respect to Nautilus and its business (including its potential product and service offerings and related technology), the proteomics market and public financing markets in connection with exploring a potential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During this same time period and in conjunction with the entry by ARYA and Nautilus into the term sheet on December 14, 2020, ARYA ultimately determined to abandon the other potential business combination opportunities that it had been further analyzing and exploring because of, among other things: (a) ARYA’s directors’ and officers’ belief, based on its analysis and review and preliminary due diligence and the terms of the term sheet, that Nautilus was most attractive potential business combination that met its key criteria in a target, including, in particular, potential scientific and other competitive advantages of Nautilus in a large proteomics market that has the potential for greater growth with the next-generation proteomics offerings and potential for significant future growth prospects and value appreciation; (b) </w:t>
      </w:r>
      <w:r>
        <w:rPr>
          <w:rFonts w:ascii="Times New Roman;sans-serif" w:hAnsi="Times New Roman;sans-serif"/>
          <w:b w:val="false"/>
          <w:color w:val="000000"/>
          <w:sz w:val="20"/>
          <w:highlight w:val="white"/>
        </w:rPr>
        <w:t xml:space="preserve">the level of engagement by, and advanced negotiations and discussions with, Nautilus, as compared to the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other potential business combination targets where engagement was more limited and negotiations and discussions did not progress as rapidly, including with respect to having a preliminary agreement on key terms and conditions of a potential transaction</w:t>
      </w:r>
      <w:r>
        <w:rPr>
          <w:rFonts w:ascii="Times New Roman;sans-serif" w:hAnsi="Times New Roman;sans-serif"/>
          <w:b w:val="false"/>
          <w:color w:val="000000"/>
          <w:sz w:val="20"/>
        </w:rPr>
        <w:t xml:space="preserve">; and (c) </w:t>
      </w:r>
      <w:r>
        <w:rPr>
          <w:rFonts w:ascii="Times New Roman;sans-serif" w:hAnsi="Times New Roman;sans-serif"/>
          <w:b w:val="false"/>
          <w:color w:val="000000"/>
          <w:sz w:val="20"/>
          <w:highlight w:val="white"/>
        </w:rPr>
        <w:t xml:space="preserve">Nautilus’ preparedness and willingness to devote appropriate resources to negotiating and executing definitive agreements and to consummating a business combination and becoming a public company, as compared to the other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 xml:space="preserve">potential business combination targets.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December 14, 2020, </w:t>
      </w:r>
      <w:r>
        <w:rPr>
          <w:rFonts w:ascii="Times New Roman;sans-serif" w:hAnsi="Times New Roman;sans-serif"/>
          <w:b w:val="false"/>
          <w:color w:val="000000"/>
          <w:sz w:val="20"/>
          <w:highlight w:val="white"/>
        </w:rPr>
        <w:t xml:space="preserve">after extensive negotiations between representatives and advisors of the parties, </w:t>
      </w:r>
      <w:r>
        <w:rPr>
          <w:rFonts w:ascii="Times New Roman;sans-serif" w:hAnsi="Times New Roman;sans-serif"/>
          <w:b w:val="false"/>
          <w:color w:val="000000"/>
          <w:sz w:val="20"/>
        </w:rPr>
        <w:t xml:space="preserve">ARYA and Nautilus agreed on, and executed, a non-binding term sheet, which provided for, among other things, an agreed valuation of Nautilus based on an implied pre-transaction equity value of $900 million with no adjustment for cash or debt and a binding exclusivity period that, subject to certain customary exceptions, ended on the later of (a) 5:00 p.m. Eastern Time on January 31, 2021 and (b) the time at which either party gave written notice to the other party of termination thereof.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Following the entry into the term sheet, ARYA’s management provided ARYA directors with an update with respect to the potential business combination with Nautilus, including, among other things, the terms of the term </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highlight w:val="white"/>
        </w:rPr>
        <w:t>sheet and the expected process and timing for the potential transaction and ARYA’s due diligence and evaluation of Nautilus to-date, including, among other things, an overview of the management presentation representatives of Nautilus had delivered to ARYA management on December 10, 2020.</w:t>
      </w:r>
      <w:r>
        <w:rPr>
          <w:color w:val="000000"/>
        </w:rPr>
        <w:t xml:space="preserve">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w:t>
      </w:r>
    </w:p>
    <w:p>
      <w:pPr>
        <w:pStyle w:val="TextBody"/>
        <w:spacing w:lineRule="auto" w:line="288" w:before="0" w:after="180"/>
        <w:ind w:left="0" w:right="0" w:firstLine="360"/>
        <w:rPr/>
      </w:pPr>
      <w:r>
        <w:rPr>
          <w:rFonts w:ascii="Times New Roman;sans-serif" w:hAnsi="Times New Roman;sans-serif"/>
          <w:b w:val="false"/>
          <w:color w:val="000000"/>
          <w:sz w:val="20"/>
        </w:rPr>
        <w:t>On December 17, 2020, representatives of ARYA, K&amp;E, Jefferies LLC (“</w:t>
      </w:r>
      <w:r>
        <w:rPr>
          <w:rFonts w:ascii="Times New Roman;sans-serif" w:hAnsi="Times New Roman;sans-serif"/>
          <w:b w:val="false"/>
          <w:color w:val="000000"/>
          <w:sz w:val="20"/>
          <w:u w:val="single"/>
        </w:rPr>
        <w:t>Jefferies</w:t>
      </w:r>
      <w:r>
        <w:rPr>
          <w:color w:val="000000"/>
        </w:rPr>
        <w:t>”</w:t>
      </w:r>
      <w:r>
        <w:rPr>
          <w:rFonts w:ascii="Times New Roman;sans-serif" w:hAnsi="Times New Roman;sans-serif"/>
          <w:b w:val="false"/>
          <w:color w:val="000000"/>
          <w:sz w:val="20"/>
        </w:rPr>
        <w:t>) and Goldman Sachs &amp; Co. LLC (“</w:t>
      </w:r>
      <w:r>
        <w:rPr>
          <w:rFonts w:ascii="Times New Roman;sans-serif" w:hAnsi="Times New Roman;sans-serif"/>
          <w:b w:val="false"/>
          <w:color w:val="000000"/>
          <w:sz w:val="20"/>
          <w:u w:val="single"/>
        </w:rPr>
        <w:t>Goldman</w:t>
      </w:r>
      <w:r>
        <w:rPr>
          <w:color w:val="000000"/>
        </w:rPr>
        <w:t>”</w:t>
      </w:r>
      <w:r>
        <w:rPr>
          <w:rFonts w:ascii="Times New Roman;sans-serif" w:hAnsi="Times New Roman;sans-serif"/>
          <w:b w:val="false"/>
          <w:color w:val="000000"/>
          <w:sz w:val="20"/>
        </w:rPr>
        <w:t>), as placement agents in connection with the PIPE and financial advisors to ARYA (the “</w:t>
      </w:r>
      <w:r>
        <w:rPr>
          <w:rFonts w:ascii="Times New Roman;sans-serif" w:hAnsi="Times New Roman;sans-serif"/>
          <w:b w:val="false"/>
          <w:color w:val="000000"/>
          <w:sz w:val="20"/>
          <w:u w:val="single"/>
        </w:rPr>
        <w:t>Placement Agents</w:t>
      </w:r>
      <w:r>
        <w:rPr>
          <w:color w:val="000000"/>
        </w:rPr>
        <w:t>”</w:t>
      </w:r>
      <w:r>
        <w:rPr>
          <w:rFonts w:ascii="Times New Roman;sans-serif" w:hAnsi="Times New Roman;sans-serif"/>
          <w:b w:val="false"/>
          <w:color w:val="000000"/>
          <w:sz w:val="20"/>
        </w:rPr>
        <w:t>), Skadden, Arps, Slate Meagher &amp; Flom LLP (“</w:t>
      </w:r>
      <w:r>
        <w:rPr>
          <w:rFonts w:ascii="Times New Roman;sans-serif" w:hAnsi="Times New Roman;sans-serif"/>
          <w:b w:val="false"/>
          <w:color w:val="000000"/>
          <w:sz w:val="20"/>
          <w:u w:val="single"/>
        </w:rPr>
        <w:t>Skadden</w:t>
      </w:r>
      <w:r>
        <w:rPr>
          <w:color w:val="000000"/>
        </w:rPr>
        <w:t>”</w:t>
      </w:r>
      <w:r>
        <w:rPr>
          <w:rFonts w:ascii="Times New Roman;sans-serif" w:hAnsi="Times New Roman;sans-serif"/>
          <w:b w:val="false"/>
          <w:color w:val="000000"/>
          <w:sz w:val="20"/>
        </w:rPr>
        <w:t>), as counsel to Jefferies and Goldman, Nautilus, Morgan Stanley &amp; Co. LLC (“</w:t>
      </w:r>
      <w:r>
        <w:rPr>
          <w:rFonts w:ascii="Times New Roman;sans-serif" w:hAnsi="Times New Roman;sans-serif"/>
          <w:b w:val="false"/>
          <w:color w:val="000000"/>
          <w:sz w:val="20"/>
          <w:u w:val="single"/>
        </w:rPr>
        <w:t>Morgan Stanley</w:t>
      </w:r>
      <w:r>
        <w:rPr>
          <w:color w:val="000000"/>
        </w:rPr>
        <w:t>”</w:t>
      </w:r>
      <w:r>
        <w:rPr>
          <w:rFonts w:ascii="Times New Roman;sans-serif" w:hAnsi="Times New Roman;sans-serif"/>
          <w:b w:val="false"/>
          <w:color w:val="000000"/>
          <w:sz w:val="20"/>
        </w:rPr>
        <w:t xml:space="preserve">), as financial advisor to Nautilus, and Wilson Sonsini conducted a meeting telephonically during which the parties and their respective representatives and advisors discussed the timeline and process to signing definitive agreements providing for a potential business combination, and discussed and tentatively agreed on a work plan ultimately leading to such definitive agreements in late January or early February 2021. In connection with the consummation of the Business Combination, Jefferies and Goldman will be entitled to (i) deferred underwriting compensation, as set forth in the registration statement for ARYA’s initial public offering, and (ii) customary fees in connection with the PIPE Financing and Business Combination. These fees will be paid at the closing of the Business Combination, and are conditioned upon the successful completion of the Business Combination; if the Business Combination does not close, Jefferies and Goldman will not be entitled to such fees.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the date of the initial telephonic meeting on December 17, 2020 and February 7, 2021, representatives and advisors of each of ARYA and Nautilus conducted a weekly telephonic meeting to discuss progress on, and provide updates with respect to, key work streams and other aspects of the potential business combination and, as needed, further refine the transaction timeline and steps and related work plan. </w:t>
      </w:r>
    </w:p>
    <w:p>
      <w:pPr>
        <w:pStyle w:val="TextBody"/>
        <w:spacing w:lineRule="auto" w:line="288" w:before="0" w:after="180"/>
        <w:ind w:left="0" w:right="0" w:firstLine="360"/>
        <w:rPr/>
      </w:pPr>
      <w:r>
        <w:rPr>
          <w:rFonts w:ascii="Times New Roman;sans-serif" w:hAnsi="Times New Roman;sans-serif"/>
          <w:b w:val="false"/>
          <w:color w:val="000000"/>
          <w:sz w:val="20"/>
        </w:rPr>
        <w:t>Between the date of the initial telephonic meeting on December 17, 2020 and February 7, 2021</w:t>
      </w:r>
      <w:r>
        <w:rPr>
          <w:rFonts w:ascii="Times New Roman;sans-serif" w:hAnsi="Times New Roman;sans-serif"/>
          <w:b w:val="false"/>
          <w:color w:val="000000"/>
          <w:sz w:val="20"/>
          <w:highlight w:val="white"/>
        </w:rPr>
        <w:t xml:space="preserve">, the management teams of Nautilus and ARYA met on a regular – often daily – basis for the purposes of reviewing Nautilus’ technology and business and discussing the contemplated business combination transaction.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December 23, 2020, Nautilus provided ARYA and its advisors with access to an online data room for purposes of conducting further business, financial, legal, tax, intellectual property, insurance and other due diligence with respect to Nautilus and its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Between December 23, 2020 and January 30, 2021, representatives of ARYA conducted further business and financial due diligence with respect to Nautilus, its business and the proteomics market and, over the same period of time, ARYA’s legal, tax and other advisors conducted due diligence with respect to Nautilus and its business, in each case, based on information available in the data room (which included the Nautilus Forecasts (as defined below)), written responses from the management team of Nautilus and customary due diligence calls with the Nautilus management team and its advisors. Each of K&amp;E, KPMG LLP, tax and accounting advisor to ARYA and Fenwick &amp; West LLP, intellectual property counsel to ARYA, provided ARYA with a due diligence report summarizing its key findings with respect to its due diligence review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January 4, 2021, on behalf of ARYA, K&amp;E distributed the first draft of the Business Combination Agreement to Wilson Sonsini.</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Between January 4, 2021 and February 7, 2021, K&amp;E, on the one hand, and Wilson Sonsini, on the other hand, exchanged numerous revised drafts of the Business Combination Agreement. Certain key Nautilus shareholders also reviewed and provided feedback on drafts of the Business Combination Agreement and the ancillary documents. Over the same period of time, K&amp;E and Wilson Sonsini and other representatives and advisors for ARYA and Nautilus held numerous conference calls regarding certain terms and conditions of the Business Combination Agreement, including, among other things: (a) the size, terms and establishment of the 2021 Plan and the ESPP; (b) the standard for the “bring-down” at the closing for certain representations and warranties (including those related to certain capitalization reps, certain change of control and other management payments</w:t>
      </w:r>
      <w:r>
        <w:rPr>
          <w:color w:val="000000"/>
        </w:rPr>
        <w:t xml:space="preserve"> </w:t>
      </w:r>
      <w:r>
        <w:rPr>
          <w:rFonts w:ascii="Times New Roman;sans-serif" w:hAnsi="Times New Roman;sans-serif"/>
          <w:b w:val="false"/>
          <w:color w:val="000000"/>
          <w:sz w:val="20"/>
          <w:highlight w:val="white"/>
        </w:rPr>
        <w:t xml:space="preserve">or arrangements and other value “leakage”); (c) the ability of the Company or ARYA to terminate the agreement in </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highlight w:val="white"/>
        </w:rPr>
        <w:t>certain circumstances, including the proposed ability of Company to terminate the Business Combination Agreement due to, among other things, an alternate “superior” transaction and the ability of either party to terminate if certain of its related parties were in breach of their covenants or obligations under certain ancillary documents;</w:t>
      </w:r>
      <w:r>
        <w:rPr>
          <w:color w:val="000000"/>
        </w:rPr>
        <w:t xml:space="preserve"> </w:t>
      </w:r>
      <w:r>
        <w:rPr>
          <w:rFonts w:ascii="Times New Roman;sans-serif" w:hAnsi="Times New Roman;sans-serif"/>
          <w:b w:val="false"/>
          <w:color w:val="000000"/>
          <w:sz w:val="20"/>
          <w:highlight w:val="white"/>
        </w:rPr>
        <w:t>(d) the circumstances in which, and standard for determining whether, a party would have liability following the termination of the Business Combination Agreement (including the proposed payment of termination fees by the respective parties in certain circumstances); (e) the overall suite of representations, warranties and covenants to be provided by each party under the Business Combination Agreement and the related ancillary documents; (f) the governance structure of the New Nautilus follow the closing of the business combination; and (g) the use of cash held by ARYA outside of the Trust Account prior to the closing. For further information related to the final resolution of items (a) through (g), please see the section entitled “</w:t>
      </w:r>
      <w:r>
        <w:rPr>
          <w:rFonts w:ascii="Times New Roman;sans-serif" w:hAnsi="Times New Roman;sans-serif"/>
          <w:b w:val="false"/>
          <w:i/>
          <w:color w:val="000000"/>
          <w:sz w:val="20"/>
        </w:rPr>
        <w:t>Business Combination Proposal—The Business Combination Agreement</w:t>
      </w:r>
      <w:r>
        <w:rPr>
          <w:rFonts w:ascii="Times New Roman;sans-serif" w:hAnsi="Times New Roman;sans-serif"/>
          <w:b w:val="false"/>
          <w:color w:val="000000"/>
          <w:sz w:val="20"/>
          <w:highlight w:val="white"/>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On January 6, 2021, representatives of K&amp;E distributed to representatives of Wilson Sonsini the first draft form of the Nautilus Shareholder Transaction Support Agreements, pursuant to which certain Nautilus Shareholders have agreed to, among other things, (a) vote in favor of the Business Combination Agreement and the transactions contemplated thereby and (b) be bound by certain other covenants and agreements related to the Business Combination. During this time and in connection with these negotiations, multiple drafts of the Nautilus Shareholder Transaction Support Agreements were exchanged prior to their execution on February 7, 2021, following the execution of the Business Combination Agreement. For additional information, see “</w:t>
      </w:r>
      <w:r>
        <w:rPr>
          <w:color w:val="000000"/>
        </w:rPr>
        <w:t>—</w:t>
      </w:r>
      <w:r>
        <w:rPr>
          <w:rFonts w:ascii="Times New Roman;sans-serif" w:hAnsi="Times New Roman;sans-serif"/>
          <w:b w:val="false"/>
          <w:i/>
          <w:color w:val="000000"/>
          <w:sz w:val="20"/>
        </w:rPr>
        <w:t>Related Agreements—Transaction Support Agreements</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January 14, 2021, representatives of Wilson Sonsini distributed to representatives of K&amp;E the first draft form of the Amended and Restated Registration Rights Agreement &amp; Lock-Up Agreement based on the terms of the non-binding term sheet, as updated by subsequent discussions, pursuant to which, among other things, ARYA would agree to register for resale, pursuant to Rule 415 under the Securities Act, certain equity securities of Nautilus that are held by the parties thereto from time to time, the terms of which the parties continued to negotiate over the course of the following weeks. During this time and in connection with these negotiations, multiple drafts of the Registration Rights Agreement were exchanged prior to its execution on February 7, 2021, concurrently with the execution of the Business Combination Agreement. </w:t>
      </w:r>
      <w:r>
        <w:rPr>
          <w:rFonts w:ascii="Times New Roman;sans-serif" w:hAnsi="Times New Roman;sans-serif"/>
          <w:b w:val="false"/>
          <w:color w:val="000000"/>
          <w:sz w:val="20"/>
          <w:highlight w:val="white"/>
        </w:rPr>
        <w:t xml:space="preserve">For further information related to </w:t>
      </w:r>
      <w:r>
        <w:rPr>
          <w:rFonts w:ascii="Times New Roman;sans-serif" w:hAnsi="Times New Roman;sans-serif"/>
          <w:b w:val="false"/>
          <w:color w:val="000000"/>
          <w:sz w:val="20"/>
        </w:rPr>
        <w:t>Amended and Restated Registration Rights Agreement &amp; Lock-Up</w:t>
      </w:r>
      <w:r>
        <w:rPr>
          <w:rFonts w:ascii="Times New Roman;sans-serif" w:hAnsi="Times New Roman;sans-serif"/>
          <w:b w:val="false"/>
          <w:color w:val="000000"/>
          <w:sz w:val="20"/>
          <w:highlight w:val="white"/>
        </w:rPr>
        <w:t>, please see the section entitled “</w:t>
      </w:r>
      <w:r>
        <w:rPr>
          <w:color w:val="000000"/>
        </w:rPr>
        <w:t>—</w:t>
      </w:r>
      <w:r>
        <w:rPr>
          <w:rFonts w:ascii="Times New Roman;sans-serif" w:hAnsi="Times New Roman;sans-serif"/>
          <w:b w:val="false"/>
          <w:i/>
          <w:color w:val="000000"/>
          <w:sz w:val="20"/>
        </w:rPr>
        <w:t>Related Agreements—Registration and Shareholder Rights Agreement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ind w:left="0" w:right="0" w:firstLine="360"/>
        <w:rPr/>
      </w:pPr>
      <w:r>
        <w:rPr>
          <w:rFonts w:ascii="Times New Roman;sans-serif" w:hAnsi="Times New Roman;sans-serif"/>
          <w:b w:val="false"/>
          <w:color w:val="000000"/>
          <w:sz w:val="20"/>
        </w:rPr>
        <w:t>On January 30, 2021, representatives of Wilson Sonsini distributed to representatives of K&amp;E the first draft form of a Sponsor Letter Agreement, pursuant to which Sponsor and each of Todd Wider, Bradley L. Campbell and Saqib Islam agreed to, among other things, (a) vote in favor of the Business Combination Agreement and the transactions contemplated thereby (including the Merger), (b)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(c) be bound by certain transfer restrictions with respect to his, her or its shares in ARYA prior to the closing of the Business Combination, in each case, on the terms and subject to the conditions set forth in the Sponsor Letter Agreement. During this time and in connection with these negotiations, multiple drafts of the Sponsor Letter Agreement were exchanged prior to its execution on February 7, 2021, concurrently with the execution of the Business Combination Agreement. See</w:t>
      </w:r>
      <w:r>
        <w:rPr>
          <w:color w:val="000000"/>
        </w:rPr>
        <w:t xml:space="preserve"> “—</w:t>
      </w:r>
      <w:r>
        <w:rPr>
          <w:rFonts w:ascii="Times New Roman;sans-serif" w:hAnsi="Times New Roman;sans-serif"/>
          <w:b w:val="false"/>
          <w:i/>
          <w:color w:val="000000"/>
          <w:sz w:val="20"/>
        </w:rPr>
        <w:t>Related Agreements—Registration and Shareholder Rights Agreement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ind w:left="0" w:right="0" w:firstLine="360"/>
        <w:rPr/>
      </w:pPr>
      <w:r>
        <w:rPr>
          <w:rFonts w:ascii="Times New Roman;sans-serif" w:hAnsi="Times New Roman;sans-serif"/>
          <w:b w:val="false"/>
          <w:color w:val="000000"/>
          <w:sz w:val="20"/>
        </w:rPr>
        <w:t>Beginning in early January 2021, representatives of Jefferies and Goldman, as the Placement Agents, held conversations with prospective investors with respect to the PIPE Financing</w:t>
      </w:r>
      <w:r>
        <w:rPr>
          <w:color w:val="000000"/>
          <w:highlight w:val="white"/>
        </w:rPr>
        <w:t xml:space="preserve"> </w:t>
      </w:r>
      <w:r>
        <w:rPr>
          <w:rFonts w:ascii="Times New Roman;sans-serif" w:hAnsi="Times New Roman;sans-serif"/>
          <w:b w:val="false"/>
          <w:color w:val="000000"/>
          <w:sz w:val="20"/>
          <w:highlight w:val="white"/>
        </w:rPr>
        <w:t>to review Nautilus’ business and address questions from potential investors.</w:t>
      </w:r>
      <w:r>
        <w:rPr>
          <w:color w:val="000000"/>
        </w:rPr>
        <w:t xml:space="preserve"> </w:t>
      </w:r>
      <w:r>
        <w:rPr>
          <w:rFonts w:ascii="Times New Roman;sans-serif" w:hAnsi="Times New Roman;sans-serif"/>
          <w:b w:val="false"/>
          <w:color w:val="000000"/>
          <w:sz w:val="20"/>
        </w:rPr>
        <w:t xml:space="preserve">ARYA and Nautilus came to agreement on the proposed size and terms of the PIPE Financing and K&amp;E, Wilson Sonsini and Skadden exchanged drafts of the form of Subscription Agreement to entered into by PIPE Investors in connection with the PIPE Financing. On January 27, 2021, a draft of the form of Subscription Agreement was distributed to prospective PIPE Investors with respect to the PIPE Financing. Between January 27, 2021 and February 7, 2021, K&amp;E, Wilson Sonsini and Skadden collectively negotiated the terms and exchanged drafts of the Subscription Agreements with the PIPE Investors and their respective representatives and advisors, including with respect to the registration rights and indemnities set forth therein, and responded to follow-up questions and comments related thereto, including with respect to the closing </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and the expected timeline for consummating the Business Combination. During this time, the prospective PIPE Investors conveyed to the Placement Agents their initial proposed subscription amounts.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January 22, 2021 and January 28, 2021, representatives and advisors of ARYA and Nautilus exchanged numerous revised drafts of, and held various calls and meetings to discuss, the investor management presentation, research analyst coverage and outstanding information requests related thereto.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2021, a final version of the Subscription Agreement was distributed to the prospective PIPE Investors, which reflected the outcome of negotiations between ARYA, Nautilus and the prospective PIPE Investors and their respective representatives and advisors. On February 5, 2021, the prospective PIPE Investors that had chosen to participate in the PIPE Financing indicated their final subscription amounts and delivered executed Subscription Agreements to K&amp;E.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On February 6, 2021, a telephonic meeting of the ARYA Board was held with representatives of K&amp;E, Ogier, counsel to ARYA with respect to matters of Cayman Islands law, ARYA’s management and Sponsor in attendance. At the meeting, the ARYA Board was provided with an overview of the proposed Business Combination (including the potential benefits and the risks related thereto), the key terms of the related ancillary documents and the due diligence process and findings with respect to Nautilus.</w:t>
      </w:r>
      <w:r>
        <w:rPr>
          <w:color w:val="000000"/>
        </w:rPr>
        <w:t xml:space="preserve"> </w:t>
      </w:r>
      <w:r>
        <w:rPr>
          <w:rFonts w:ascii="Times New Roman;sans-serif" w:hAnsi="Times New Roman;sans-serif"/>
          <w:b w:val="false"/>
          <w:color w:val="000000"/>
          <w:sz w:val="20"/>
          <w:highlight w:val="white"/>
        </w:rPr>
        <w:t>In addition, members of the ARYA Board disclosed and acknowledged any conflicts of interests of the members of the ARYA Board with respect to the proposed Business Combination, including Perceptive Advisors’ existing ownership interest in Nautilus and Mr. Altman’s role as a non-voting observer on the Nautilus board of directors. Based on the factors cited in “—</w:t>
      </w:r>
      <w:r>
        <w:rPr>
          <w:rFonts w:ascii="Times New Roman;sans-serif" w:hAnsi="Times New Roman;sans-serif"/>
          <w:b w:val="false"/>
          <w:i/>
          <w:color w:val="000000"/>
          <w:sz w:val="20"/>
        </w:rPr>
        <w:t>Reasons for the Business Combination</w:t>
      </w:r>
      <w:r>
        <w:rPr>
          <w:color w:val="000000"/>
          <w:highlight w:val="white"/>
        </w:rPr>
        <w:t xml:space="preserve">” </w:t>
      </w:r>
      <w:r>
        <w:rPr>
          <w:rFonts w:ascii="Times New Roman;sans-serif" w:hAnsi="Times New Roman;sans-serif"/>
          <w:b w:val="false"/>
          <w:color w:val="000000"/>
          <w:sz w:val="20"/>
          <w:highlight w:val="white"/>
        </w:rPr>
        <w:t>and in light of the fact that the implied fair market value of the vested equity of Nautilus to be acquired in the Business Combination was significantly in excess of 80% of the assets held in the Trust Account (excluding the deferred underwriting commissions and taxes payable on the income earned on the Trust Account), the ARYA Board then unanimously adopted and approved, among other resolutions, resolutions (a) determining that it is in the best interests of ARYA and its shareholders to adopt and approve the execution and delivery of the Business Combination Agreement and the ancillary documents thereto and the transactions contemplated by each of the Business Combination Agreement and the ancillary documents thereto (including the Domestication, the Merger and the PIPE Financing), (b) adopting and approving the Business Combination Agreement and ancillary documents thereto and approving ARYA’s execution, delivery and performance of the same and the consummation of the transactions contemplated by the Business Combination Agreement and the ancillary documents thereto, including the Domestication, the Merger and the PIPE Financing (part of which would be issued to an affiliate of Sponsor), (c) recommending that the ARYA shareholders vote in favor of the Business Combination Proposal, the Domestication Proposal, each of the Governing Documents Proposals, the Nasdaq Proposal, the Incentive Award Plan Proposal, the Equity Stock Purchase Plan Proposal and the Adjournment Proposal and (d) adopting and approving, conditioned upon the Closing and the receipt of the required ARYA shareholders vote in favor of the Incentive Award Plan Proposal and the Employee Stock Purchase Plan Proposal, as applicable, the 2021 Plan and the ESPP and the applicable number of shares of New Nautilus Common Stock as set forth in the Business Combination Agreement reserved for issuance under each of the 2021 Plan and the ESPP.</w:t>
      </w:r>
      <w:r>
        <w:rPr>
          <w:color w:val="000000"/>
        </w:rPr>
        <w:t xml:space="preserve"> </w:t>
      </w:r>
      <w:r>
        <w:rPr>
          <w:rFonts w:ascii="Times New Roman;sans-serif" w:hAnsi="Times New Roman;sans-serif"/>
          <w:b w:val="false"/>
          <w:color w:val="000000"/>
          <w:sz w:val="20"/>
          <w:highlight w:val="white"/>
        </w:rPr>
        <w:t>The ARYA Board did not obtain a third-party valuation or fairness opinion in connection with its resolution to approve the Business Combination but determined that ARYA’s management, the members of the ARYA Board and the other representatives of ARYA had substantial experience in evaluating the operating and financial and business merits of companies similar to Nautilus and reviewed certain financial and business information of Nautilus and compared it to certain publicly traded companies, selected based on the experience and the professional judgement of ARYA’s management, and concluded that the experience and background of ARYA’s management members, the members of the ARYA Board and the other representatives and advisors of ARYA enabled the ARYA Board to make the necessary analyses and determinations regarding the Business Combination and the other matters for approval.</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February 6, 2021, the Nautilus board of directors </w:t>
      </w:r>
      <w:r>
        <w:rPr>
          <w:rFonts w:ascii="Times New Roman;sans-serif" w:hAnsi="Times New Roman;sans-serif"/>
          <w:b w:val="false"/>
          <w:color w:val="000000"/>
          <w:sz w:val="20"/>
          <w:highlight w:val="white"/>
        </w:rPr>
        <w:t>met via videoconference, with all board members present, to consider and discuss the proposed transaction with ARYA. Also present were representatives of Wilson Sonsini. Following a thorough review and discussion, the Business Combination Agreement and related documents and agreements were unanimously approved by all Nautilus board members and the Nautilus board of directors determined to recommend the approval of the Business Combination Agreement to Nautilus’ shareholders.</w:t>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the parties entered into the Business Combination Agreement and the related ancillary documents and the PIPE Investors executed and delivered the Subscription Agreements, which provided for binding subscriptions to purchase an aggregate of 20 million shares of New Nautilus Common Stock at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8, 2021, ARYA and Nautilus issued a joint press release announcing the execution and delivery of the Business Combination Agreement, and ARYA filed a Current Report on Form 8-K, which filed as an exhibit (a) the Business Combination Agreement, (b) the Sponsor Letter Agreement, (c) the Amended and Restated Registration Rights and Lock-Up Agreement, (d) the form of Subscription Agreement, (e) form of Transaction Support Agreement, (f) a joint press release, dated February 8, 2021, (g) an investor presentation providing information on Nautilus and a summary of certain key terms of the Business Combination, (h) a transcript of a conference call with investors, (i) a transcript of an interview with opinion leader Dr. Josh LaBaer, (j) an email sent to Nautilus employees on February 8, 2021 about the Business Combination, and (k) a presentation used during a town hall meeting with employees of Nautilus on February 8, 2021.</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Board’s Reasons for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The ARYA Board, in evaluating the transaction with Nautilus, consulted with its legal counsel, financial and accounting advisors and other advisors. In reaching its resolution (i) that the terms and conditions of the Business Combination Agreement and the transactions contemplated thereby, including the Business Combination, the Domestication and the Merger, are advisable, fair to and in the best interests of ARYA and its shareholders and (ii) to recommend that the shareholders adopt the Business Combination Agreement and approve the Business Combination, the Domestication and the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Times New Roman;sans-serif" w:hAnsi="Times New Roman;sans-serif"/>
          <w:b w:val="false"/>
          <w:i/>
          <w:color w:val="000000"/>
          <w:sz w:val="20"/>
        </w:rPr>
        <w:t>Cautionary Note Regarding Forward-Looking Statements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members of the ARYA Board are well qualified to evaluate the transaction with Nautilus. They have extensive transactional experience, particularly in the healthcare and life sciences industries.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i/>
          <w:color w:val="000000"/>
          <w:sz w:val="20"/>
        </w:rPr>
        <w:t>Single molecule proteomics platform with integrated machine learning software</w:t>
      </w:r>
      <w:r>
        <w:rPr>
          <w:rFonts w:ascii="Times New Roman;sans-serif" w:hAnsi="Times New Roman;sans-serif"/>
          <w:b w:val="false"/>
          <w:color w:val="000000"/>
          <w:sz w:val="20"/>
        </w:rPr>
        <w:t xml:space="preserve">. The Nautilus Platform has been designed by substantially reimagining methods of protein analysis. The ARYA Board believes that the Nautilus Platform has the potential to be a disruptive, single-molecule analysis technology of extreme sensitivity, scale, and ease-of-use. </w:t>
      </w:r>
    </w:p>
    <w:p>
      <w:pPr>
        <w:pStyle w:val="TextBody"/>
        <w:spacing w:lineRule="auto" w:line="288" w:before="0" w:after="180"/>
        <w:ind w:left="0" w:right="0" w:firstLine="360"/>
        <w:rPr/>
      </w:pPr>
      <w:r>
        <w:rPr>
          <w:rFonts w:ascii="Times New Roman;sans-serif" w:hAnsi="Times New Roman;sans-serif"/>
          <w:b w:val="false"/>
          <w:color w:val="000000"/>
          <w:sz w:val="20"/>
        </w:rPr>
        <w:t xml:space="preserve">B. </w:t>
      </w:r>
      <w:r>
        <w:rPr>
          <w:rFonts w:ascii="Times New Roman;sans-serif" w:hAnsi="Times New Roman;sans-serif"/>
          <w:b/>
          <w:i/>
          <w:color w:val="000000"/>
          <w:sz w:val="20"/>
        </w:rPr>
        <w:t>Leadership in commercial proteomics detection technology and targeted product development plan</w:t>
      </w:r>
      <w:r>
        <w:rPr>
          <w:rFonts w:ascii="Times New Roman;sans-serif" w:hAnsi="Times New Roman;sans-serif"/>
          <w:b w:val="false"/>
          <w:color w:val="000000"/>
          <w:sz w:val="20"/>
        </w:rPr>
        <w:t xml:space="preserve">. Nautilus aims to be the first commercially available proteomics detection platform technology and end-to-end solution designed to decode and quantify virtually the entire proteome. Since the early days of Nautilus’ product development, Nautilus has consulted with biopharma companies, academic institutions and research organizations to inform its product development plans and address its target customer needs. The ARYA Board believes that Nautilus’ novel end-to-end proteomics detection platform has the potential to allow Nautilus to leverage a diversified revenue model that could be highly recurring in nature. The ARYA Board also believes that Nautilus will be able to capitalize on the existing mass spectrometry-based proteomics marketplace and operate with an efficient sales model. </w:t>
      </w:r>
    </w:p>
    <w:p>
      <w:pPr>
        <w:pStyle w:val="TextBody"/>
        <w:spacing w:lineRule="auto" w:line="288" w:before="0" w:after="180"/>
        <w:ind w:left="0" w:right="0" w:firstLine="360"/>
        <w:rPr/>
      </w:pPr>
      <w:r>
        <w:rPr>
          <w:rFonts w:ascii="Times New Roman;sans-serif" w:hAnsi="Times New Roman;sans-serif"/>
          <w:b w:val="false"/>
          <w:color w:val="000000"/>
          <w:sz w:val="20"/>
        </w:rPr>
        <w:t xml:space="preserve">C. </w:t>
      </w:r>
      <w:r>
        <w:rPr>
          <w:rFonts w:ascii="Times New Roman;sans-serif" w:hAnsi="Times New Roman;sans-serif"/>
          <w:b/>
          <w:i/>
          <w:color w:val="000000"/>
          <w:sz w:val="20"/>
        </w:rPr>
        <w:t>Potential clinical applications of the Nautilus Platform</w:t>
      </w:r>
      <w:r>
        <w:rPr>
          <w:rFonts w:ascii="Times New Roman;sans-serif" w:hAnsi="Times New Roman;sans-serif"/>
          <w:b w:val="false"/>
          <w:color w:val="000000"/>
          <w:sz w:val="20"/>
        </w:rPr>
        <w:t xml:space="preserve">. The ARYA Board believes that as the proteomics market continues to mature, and if Nautilus’ technology is validated across translational research applications, the Nautilus Platform could transfer well into the clinical setting where many prior technologies have thus far been unable to succeed. </w:t>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i/>
          <w:color w:val="000000"/>
          <w:sz w:val="20"/>
        </w:rPr>
        <w:t>Continuously self-improving data driven technology</w:t>
      </w:r>
      <w:r>
        <w:rPr>
          <w:rFonts w:ascii="Times New Roman;sans-serif" w:hAnsi="Times New Roman;sans-serif"/>
          <w:b w:val="false"/>
          <w:color w:val="000000"/>
          <w:sz w:val="20"/>
        </w:rPr>
        <w:t xml:space="preserve">. The Nautilus Platform has been designed to create and process a vast amount of proteomic data, which the ARYA Board believes will allow machine learning algorithms to continuously improve the Nautilus Platform. </w:t>
      </w:r>
    </w:p>
    <w:p>
      <w:pPr>
        <w:pStyle w:val="TextBody"/>
        <w:spacing w:lineRule="auto" w:line="288" w:before="0" w:after="180"/>
        <w:ind w:left="0" w:right="0" w:firstLine="360"/>
        <w:rPr/>
      </w:pPr>
      <w:r>
        <w:rPr>
          <w:rFonts w:ascii="Times New Roman;sans-serif" w:hAnsi="Times New Roman;sans-serif"/>
          <w:b w:val="false"/>
          <w:color w:val="000000"/>
          <w:sz w:val="20"/>
        </w:rPr>
        <w:t xml:space="preserve">E. </w:t>
      </w:r>
      <w:r>
        <w:rPr>
          <w:rFonts w:ascii="Times New Roman;sans-serif" w:hAnsi="Times New Roman;sans-serif"/>
          <w:b/>
          <w:i/>
          <w:color w:val="000000"/>
          <w:sz w:val="20"/>
        </w:rPr>
        <w:t>Experienced and multidisciplinary management team</w:t>
      </w:r>
      <w:r>
        <w:rPr>
          <w:rFonts w:ascii="Times New Roman;sans-serif" w:hAnsi="Times New Roman;sans-serif"/>
          <w:b w:val="false"/>
          <w:color w:val="000000"/>
          <w:sz w:val="20"/>
        </w:rPr>
        <w:t>. The ARYA Board believes that Nautilus has a proven and experienced team that is positioned to successfully lead New Nautilus after the Business Combination and disrupt the field of proteomics.</w:t>
      </w:r>
    </w:p>
    <w:p>
      <w:pPr>
        <w:pStyle w:val="TextBody"/>
        <w:spacing w:lineRule="auto" w:line="288" w:before="0" w:after="180"/>
        <w:ind w:left="0" w:right="0" w:firstLine="360"/>
        <w:rPr/>
      </w:pPr>
      <w:r>
        <w:rPr>
          <w:rFonts w:ascii="Times New Roman;sans-serif" w:hAnsi="Times New Roman;sans-serif"/>
          <w:b w:val="false"/>
          <w:color w:val="000000"/>
          <w:sz w:val="20"/>
        </w:rPr>
        <w:t xml:space="preserve">F. </w:t>
      </w:r>
      <w:r>
        <w:rPr>
          <w:rFonts w:ascii="Times New Roman;sans-serif" w:hAnsi="Times New Roman;sans-serif"/>
          <w:b/>
          <w:i/>
          <w:color w:val="000000"/>
          <w:sz w:val="20"/>
        </w:rPr>
        <w:t>Advancement of the Nautilus Platform through a strong commitment to R&amp;D and new partnerships and collaboration</w:t>
      </w:r>
      <w:r>
        <w:rPr>
          <w:rFonts w:ascii="Times New Roman;sans-serif" w:hAnsi="Times New Roman;sans-serif"/>
          <w:b w:val="false"/>
          <w:color w:val="000000"/>
          <w:sz w:val="20"/>
        </w:rPr>
        <w:t xml:space="preserve">s. The ARYA Board believes that Nautilus’ R&amp;D projects and its partnerships and collaborations with biopharma companies (such as Nautilus’ existing relationship with Genentech), academic institutions, research organizations and customers will enable a successful full commercial launch of the Nautilus Platform, drive adoption of the Nautilus Platform in the life sciences industry and enable Nautilus to continuously innovate and develop new products, applications, workflows, and analysis tools that are based on Nautilus’ core technology. </w:t>
      </w:r>
    </w:p>
    <w:p>
      <w:pPr>
        <w:pStyle w:val="TextBody"/>
        <w:spacing w:lineRule="auto" w:line="288" w:before="0" w:after="180"/>
        <w:ind w:left="0" w:right="0" w:firstLine="360"/>
        <w:rPr/>
      </w:pPr>
      <w:r>
        <w:rPr>
          <w:rFonts w:ascii="Times New Roman;sans-serif" w:hAnsi="Times New Roman;sans-serif"/>
          <w:b w:val="false"/>
          <w:color w:val="000000"/>
          <w:sz w:val="20"/>
        </w:rPr>
        <w:t xml:space="preserve">G. </w:t>
      </w:r>
      <w:r>
        <w:rPr>
          <w:rFonts w:ascii="Times New Roman;sans-serif" w:hAnsi="Times New Roman;sans-serif"/>
          <w:b/>
          <w:i/>
          <w:color w:val="000000"/>
          <w:sz w:val="20"/>
        </w:rPr>
        <w:t>Efficient and scalable sourcing and manufacturing processes</w:t>
      </w:r>
      <w:r>
        <w:rPr>
          <w:rFonts w:ascii="Times New Roman;sans-serif" w:hAnsi="Times New Roman;sans-serif"/>
          <w:b w:val="false"/>
          <w:color w:val="000000"/>
          <w:sz w:val="20"/>
        </w:rPr>
        <w:t xml:space="preserve">. The ARYA Board believes that the components of Nautilus’ technology will allow for the creation of efficient sourcing and manufacturing processes that ultimately will enable Nautilus to adequately increase manufacturing and production capabilities and meet its commercial plans. </w:t>
      </w:r>
    </w:p>
    <w:p>
      <w:pPr>
        <w:pStyle w:val="TextBody"/>
        <w:spacing w:lineRule="auto" w:line="288" w:before="0" w:after="180"/>
        <w:ind w:left="0" w:right="0" w:firstLine="360"/>
        <w:rPr/>
      </w:pPr>
      <w:r>
        <w:rPr>
          <w:rFonts w:ascii="Times New Roman;sans-serif" w:hAnsi="Times New Roman;sans-serif"/>
          <w:b w:val="false"/>
          <w:color w:val="000000"/>
          <w:sz w:val="20"/>
        </w:rPr>
        <w:t xml:space="preserve">H. </w:t>
      </w:r>
      <w:r>
        <w:rPr>
          <w:rFonts w:ascii="Times New Roman;sans-serif" w:hAnsi="Times New Roman;sans-serif"/>
          <w:b/>
          <w:i/>
          <w:color w:val="000000"/>
          <w:sz w:val="20"/>
        </w:rPr>
        <w:t>Results of due diligence and attractive valuation</w:t>
      </w:r>
      <w:r>
        <w:rPr>
          <w:rFonts w:ascii="Times New Roman;sans-serif" w:hAnsi="Times New Roman;sans-serif"/>
          <w:b w:val="false"/>
          <w:color w:val="000000"/>
          <w:sz w:val="20"/>
        </w:rPr>
        <w:t>. The ARYA Board considered the scope of the due diligence investigations conducted by the ARYA management and its advisors and evaluated the results thereof and information available to it related to Nautilus, including attractive projected financial information. See “</w:t>
      </w:r>
      <w:r>
        <w:rPr>
          <w:color w:val="000000"/>
        </w:rPr>
        <w:t>—</w:t>
      </w:r>
      <w:r>
        <w:rPr>
          <w:rFonts w:ascii="Times New Roman;sans-serif" w:hAnsi="Times New Roman;sans-serif"/>
          <w:b w:val="false"/>
          <w:i/>
          <w:color w:val="000000"/>
          <w:sz w:val="20"/>
        </w:rPr>
        <w:t>Certain Company Projected Financial Information.</w:t>
      </w:r>
      <w:r>
        <w:rPr>
          <w:color w:val="00000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of directors also identified and considered the following factors and risks weighing negatively against pursuing the Business Combination, although not weighted or in any order of significance:</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i/>
          <w:color w:val="000000"/>
          <w:sz w:val="20"/>
        </w:rPr>
        <w:t>Benefits Not Achieved</w:t>
      </w:r>
      <w:r>
        <w:rPr>
          <w:rFonts w:ascii="Times New Roman;sans-serif" w:hAnsi="Times New Roman;sans-serif"/>
          <w:b w:val="false"/>
          <w:color w:val="000000"/>
          <w:sz w:val="20"/>
        </w:rPr>
        <w:t>. The risk that the potential benefits of the Business Combination may not be fully achieved, or may not be achieved within the expected timeframe.</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i/>
          <w:color w:val="000000"/>
          <w:sz w:val="20"/>
        </w:rPr>
        <w:t>Liquidation of ARYA</w:t>
      </w:r>
      <w:r>
        <w:rPr>
          <w:rFonts w:ascii="Times New Roman;sans-serif" w:hAnsi="Times New Roman;sans-serif"/>
          <w:b w:val="false"/>
          <w:color w:val="000000"/>
          <w:sz w:val="20"/>
        </w:rPr>
        <w:t>. The risks and costs to ARYA if the Business Combination is not completed, including the risk of diverting management focus and resources from other business combination opportunities, which could result in ARYA being unable to effect a business combination by August 11, 2022 and force ARYA to liquidate.</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i/>
          <w:color w:val="000000"/>
          <w:sz w:val="20"/>
        </w:rPr>
        <w:t>Exclusivity</w:t>
      </w:r>
      <w:r>
        <w:rPr>
          <w:rFonts w:ascii="Times New Roman;sans-serif" w:hAnsi="Times New Roman;sans-serif"/>
          <w:b w:val="false"/>
          <w:color w:val="000000"/>
          <w:sz w:val="20"/>
        </w:rPr>
        <w:t>. The fact that the Business Combination Agreement includes an exclusivity provision that prohibits ARYA from soliciting other business combination proposals, which restricts ARYA’s ability, so long as the Business Combination Agreement is in effect, to consider other potential business combinations.</w: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i/>
          <w:color w:val="000000"/>
          <w:sz w:val="20"/>
        </w:rPr>
        <w:t>Shareholder vote</w:t>
      </w:r>
      <w:r>
        <w:rPr>
          <w:rFonts w:ascii="Times New Roman;sans-serif" w:hAnsi="Times New Roman;sans-serif"/>
          <w:b w:val="false"/>
          <w:color w:val="000000"/>
          <w:sz w:val="20"/>
        </w:rPr>
        <w:t>. The risk that ARYA’s shareholders may fail to provide the votes necessary to effect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i/>
          <w:color w:val="000000"/>
          <w:sz w:val="20"/>
        </w:rPr>
        <w:t>Post-Business Combination corporate governance; terms of the Amended and Restated Registration Rights and Lock-Up Agreement</w:t>
      </w:r>
      <w:r>
        <w:rPr>
          <w:rFonts w:ascii="Times New Roman;sans-serif" w:hAnsi="Times New Roman;sans-serif"/>
          <w:b w:val="false"/>
          <w:color w:val="000000"/>
          <w:sz w:val="20"/>
        </w:rPr>
        <w:t>. The ARYA Board considered the corporate governance provisions of the Business Combination Agreement, the Amended and |Restated Registration Rights and Lock-Up Agreement and the material provisions of the Proposed Governing Documents. See the sections entitled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 “—Related Agreements—Registration Rights Agreement</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Related Agreements—Investor Rights Agreement</w:t>
      </w:r>
      <w:r>
        <w:rPr>
          <w:color w:val="000000"/>
        </w:rPr>
        <w:t xml:space="preserve">” </w:t>
      </w:r>
      <w:r>
        <w:rPr>
          <w:rFonts w:ascii="Times New Roman;sans-serif" w:hAnsi="Times New Roman;sans-serif"/>
          <w:b w:val="false"/>
          <w:color w:val="000000"/>
          <w:sz w:val="20"/>
        </w:rPr>
        <w:t>for detailed discussions of the terms and conditions of these documents.</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i/>
          <w:color w:val="000000"/>
          <w:sz w:val="20"/>
        </w:rPr>
        <w:t>Limitations of review</w:t>
      </w:r>
      <w:r>
        <w:rPr>
          <w:rFonts w:ascii="Times New Roman;sans-serif" w:hAnsi="Times New Roman;sans-serif"/>
          <w:b w:val="false"/>
          <w:color w:val="000000"/>
          <w:sz w:val="20"/>
        </w:rPr>
        <w:t>. The ARYA Board considered that they were not obtaining an opinion from any independent investment banking or accounting firm that the consideration to be received by the Nautilus Shareholders is fair to ARYA or its shareholders from a financial point of view. Accordingly, the ARYA Board considered that ARYA may not have properly valued Nautilus.</w:t>
      </w: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i/>
          <w:color w:val="000000"/>
          <w:sz w:val="20"/>
        </w:rPr>
        <w:t>Closing conditions</w:t>
      </w:r>
      <w:r>
        <w:rPr>
          <w:rFonts w:ascii="Times New Roman;sans-serif" w:hAnsi="Times New Roman;sans-serif"/>
          <w:b w:val="false"/>
          <w:color w:val="000000"/>
          <w:sz w:val="20"/>
        </w:rPr>
        <w:t>. The fact that completion of the Business Combination is conditioned on the satisfaction of certain closing conditions that are not within ARYA’s control, including approval by ARYA shareholders and approval by Nasdaq of the initial listing application in connection with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i/>
          <w:color w:val="000000"/>
          <w:sz w:val="20"/>
        </w:rPr>
        <w:t>Litigation</w:t>
      </w:r>
      <w:r>
        <w:rPr>
          <w:rFonts w:ascii="Times New Roman;sans-serif" w:hAnsi="Times New Roman;sans-serif"/>
          <w:b w:val="false"/>
          <w:color w:val="000000"/>
          <w:sz w:val="20"/>
        </w:rPr>
        <w:t>. The possibility of litigation challenging the Business Combination or that an adverse judgment granting permanent injunctive relief could indefinitely enjoin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I.</w:t>
      </w:r>
      <w:r>
        <w:rPr>
          <w:rFonts w:ascii="Times New Roman;sans-serif" w:hAnsi="Times New Roman;sans-serif"/>
          <w:b/>
          <w:i/>
          <w:color w:val="000000"/>
          <w:sz w:val="20"/>
        </w:rPr>
        <w:t>Fees and expenses</w:t>
      </w:r>
      <w:r>
        <w:rPr>
          <w:rFonts w:ascii="Times New Roman;sans-serif" w:hAnsi="Times New Roman;sans-serif"/>
          <w:b w:val="false"/>
          <w:color w:val="000000"/>
          <w:sz w:val="20"/>
        </w:rPr>
        <w:t>. The fees and expenses associated with completing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J.</w:t>
      </w:r>
      <w:r>
        <w:rPr>
          <w:rFonts w:ascii="Times New Roman;sans-serif" w:hAnsi="Times New Roman;sans-serif"/>
          <w:b/>
          <w:i/>
          <w:color w:val="000000"/>
          <w:sz w:val="20"/>
        </w:rPr>
        <w:t>Other risks</w:t>
      </w:r>
      <w:r>
        <w:rPr>
          <w:rFonts w:ascii="Times New Roman;sans-serif" w:hAnsi="Times New Roman;sans-serif"/>
          <w:b w:val="false"/>
          <w:color w:val="000000"/>
          <w:sz w:val="20"/>
        </w:rPr>
        <w:t>. Various other risks associated with the Business Combination, the business of ARYA and the business of Nautilus described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Company Projected Financial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prospective financial information and other forecasted financial information included herein (referred to as "Nautilus Forecasts")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but, in the view of Nautilus’ management, were prepared on a reasonable basis, reflected the best currently available estimates and judgments at the time of preparation, and presented as of the time of preparation, to the best of Nautilus management’s knowledge and belief, the reasonable projections of the future financial performance of Nautilus. The Nautilus Forecasts were prepared utilizing Nautilus’ historical internal forecast approach and does not give effect to the adoption of any new accounting pronouncements. These projections were prepared solely for internal use, capital budgeting and other management purposes, and are subjective in many respects and therefore susceptible to varying interpretations and the need for periodic revision based on actual experience and business developments, and were not intended for third-party use, including by investors or holders. You are cautioned not to rely on the projections in making a decision regarding the transaction, as the projections may be materially different than actual results.</w:t>
      </w:r>
    </w:p>
    <w:p>
      <w:pPr>
        <w:pStyle w:val="TextBody"/>
        <w:spacing w:lineRule="auto" w:line="288" w:before="0" w:after="180"/>
        <w:ind w:left="0" w:right="0" w:firstLine="360"/>
        <w:rPr/>
      </w:pPr>
      <w:r>
        <w:rPr>
          <w:rFonts w:ascii="Times New Roman;sans-serif" w:hAnsi="Times New Roman;sans-serif"/>
          <w:b w:val="false"/>
          <w:color w:val="000000"/>
          <w:sz w:val="20"/>
        </w:rPr>
        <w:t>The projections reflect numerous qualitative estimates and assumptions including assumptions with respect to general business, economic, market, regulatory and financial conditions and various other factors, all of which are difficult to predict and many of which are beyond Nautilus’ control, such as the risks and uncertainties contained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The projections are not predictive of Nautilus’ actual future results and should not be construed as financial guidance for any future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revenue projections are based on its management’s expectation of adopting a three-phase plan for commercialization. The first phase is expected to involve collaboration with biopharmaceutical companies and key opinion leaders to validate the performance and utility of Nautilus’ product, during which no significant revenue will be recognized, if any. The second phase will include an early access limited release phase in which management expects to recognize limited revenue. Finally, the third phase is anticipated to include a broader commercial launch. Revenue projections are based on a price point for the Nautilus Platform that is expected to be in-line with mass spectrometry system budgets allocated for broad scale proteomics applications, and thus with a premium instrumentation average selling price, or ASP. Nautilus believes there are multiple high-value applications in precision and personalized medicine, drug discovery, and clinical diagnostics that can be unlocked by accurate, reproduceable, and cost effective proteomic profiling, leading to a broad adoption in instrument sales in line with </w:t>
      </w: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disruptive life science tools. Nautilus consumables are expected be priced in-line with next generation sequencing (“NGS”) consumable kits and flow cell system run reagents. Total instrument run time is based on total cycle number and is expected to target between 1 and 3 days. The instrument itself is comprised of many readily available component parts that help to create efficient sourcing and manufacturing processes. Once development is complete, Nautilus will determine the most appropriate path for high volume production. This may consist of a process developed by contract manufacturing of major system components with final assembly and testing in-house, or fully outsourced production, or some combination of both. The financial projections assume the use of third party manufacturers. Finally, Nautilus’ management expects increasing marketing expenses and selling, general, and administrative expenses to support the expected growth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projections for revenue, gross profit, total operating expenses, and EBITDA are forward-looking statements that are based on growth assumptions that are inherently subject to significant uncertainties and contingencies, many of which are beyond Nautilus’ control. While all projections are necessarily speculative, Nautilus believes that the prospective financial information covering periods beyond 12 months from its date of preparation carries increasingly higher levels of uncertainty and should be read in that context. There will be differences between actual and projected results, and actual results may be materially greater or materially less than those contained in the projections. The inclusion of the projections in this proxy statement/prospectus should not be regarded as an indication that Nautilus or its representatives considered or currently consider the projections to be a reliable prediction of future events, and reliance should not be placed on the projections.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projections were requested by, and disclosed to, us for use as a component of our overall evaluation of Nautilus and are included in this proxy statement/prospectus because they were provided to the ARYA Board for its evaluation of the Business Combination. Nautilus has not warranted the accuracy, reliability, appropriateness or completeness of the projections to anyone, including us. Neither the management of Nautilus nor any of its representatives, advisors or affiliates has made or makes any representation to any person regarding the ultimate performance of Nautilus compared to the information contained in the projections, and none of them intends to or undertakes any obligation to update or otherwise revise the projections to reflect circumstances existing after the date when made or to reflect the occurrence of future events in the event that any or all of the assumptions underlying the projections are shown to be in error. Accordingly, they should not be looked upon as “guidance” of any sort. Nautilus will not refer back to these forecasts in its future periodic reports filed under the Exchange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Forecasts included in this proxy statement/prospectus were prepared by, and are the responsibility of, the management of Nautilus. PricewaterhouseCoopers LLP has not audited, reviewed, examined, compiled nor applied agreed-upon procedures with respect to the accompanying Nautilus Forecasts and, accordingly, PricewaterhouseCoopers LLP does not express an opinion or any other form of assurance with respect thereto. The PricewaterhouseCoopers LLP report included in this proxy statement/prospectus relates to the Company's previously issued financial statements. It does not extend to the Nautilus Forecasts and should not be read to do so.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includes the projected financial information which Nautilus management provided in the online data room to ARYA as part of ARYA's due diligence (in millions of dollars).</w:t>
      </w:r>
    </w:p>
    <w:tbl>
      <w:tblPr>
        <w:tblW w:w="7382" w:type="dxa"/>
        <w:jc w:val="left"/>
        <w:tblInd w:w="0" w:type="dxa"/>
        <w:tblCellMar>
          <w:top w:w="28" w:type="dxa"/>
          <w:left w:w="28" w:type="dxa"/>
          <w:bottom w:w="28" w:type="dxa"/>
          <w:right w:w="28" w:type="dxa"/>
        </w:tblCellMar>
      </w:tblPr>
      <w:tblGrid>
        <w:gridCol w:w="804"/>
        <w:gridCol w:w="707"/>
        <w:gridCol w:w="708"/>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66"/>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 December 31,</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millions)</w:t>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includes expenses incurred in support of research and development and general and administrative activities and is a non-GAAP measure as it excludes depreciation, amortization, and stock-based compensation expense. Research and development expenses account for a significant portion of our operating expenses and consist primarily of salaries and related benefits expense of product development personnel, facilities costs, laboratory supplies and equipment, external costs of vendors engaged to conduct research and development activities, and allocated expenses for technology and facilities. Sales, general and administrative expenses consist of </w:t>
      </w:r>
    </w:p>
    <w:p>
      <w:pPr>
        <w:pStyle w:val="HorizontalLine"/>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salaries, bonuses, commissions and benefits expense for personnel in executive, sales, marketing, legal, human resources, finance and administrative functions, professional fees for marketing services, legal, patent, consulting, accounting and audit services, and allocated expenses for technology and facilities.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before Interest, Taxes, Depreciation, Amortization, and stock-based compensation or EBITDA, is a non-GAAP measure.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Management uses non-GAAP measures to compare Nautilus’ performance relative to forecasts and strategic plans and to benchmark Nautilus’ performance. Non-GAAP information is not prepared under a comprehensive set of accounting rules and should only be used to supplement an understanding of Nautilus’ operating results as reported under U.S. GAAP. Nautilus is unable to present a quantitative reconciliation of forward-looking non-GAAP financial measures because management cannot reliably predict all of the necessary components of such GAAP measures. Among other examples, Nautilus cannot reliably predict future stock-based compensation charges or other charges whose determination is dependent on facts and circumstances applicable at the time such charges are determined.</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In addition, the ARYA Board reviewed financial projections in a potential upside scenario with more aggressive assumptions concerning an accelerated development timeline for the Nautilus platform and, consequently, an accelerated commercialization timeline. The potential upside scenario also relied on assumptions concerning Nautilus’ ability to mitigate v</w:t>
      </w:r>
      <w:r>
        <w:rPr>
          <w:rFonts w:ascii="Times New Roman;sans-serif" w:hAnsi="Times New Roman;sans-serif"/>
          <w:b w:val="false"/>
          <w:color w:val="000000"/>
          <w:sz w:val="20"/>
        </w:rPr>
        <w:t xml:space="preserve">arious identified development risks. Given Nautilus’ early, pre-revenue stage of development and the substantial uncertainty concerning when its platform will be sufficiently complete to support commercial sales, the ARYA Board believed that the Nautilus Forecasts as summarized above reflected a more reasonable financial estimate based on currently available information and the risks and uncertainties facing Nautilus.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Summary of ARYA Financial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valuation of Nautilus, ARYA reviewed certain financial information of certain publicly traded companies, particularly, similar life sciences research tools providers, selected based on the experience and the professional judgment of ARYA’s management team, as compared to the financial information of Nautilus. The following is a summary of the material comparable company analysis prepared by ARYA and reviewed by the ARYA Board.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performing its analysis, ARYA’s management team made assumptions with respect to, among other things, commercial efforts, industry performance, general business and economic conditions and numerous other matters, many of which are beyond the control of ARYA, Nautilus or any other parties to the Business Combination. None of Nautilus, ARYA, or any other person assumes responsibility if future results are materially different from those discussed. Any estimates contained in this analysis are not necessarily indicative of actual values or predictive of future results or values, which may be significantly more or less favorable than as set forth below. In addition, analysis relating to the value of Nautilus do not purport to be appraisals or reflect the prices at which Nautilus’ securities may actually be valued or trade in the open market after the consummation of the Business Combination. Accordingly, the assumptions and estimates used in, and the results derived from, the below analysis are inherently subject to substantial uncertainty. The following quantitative information, to the extent that it is based on market data, is not necessarily indicative of current market conditions.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Comparable Company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considered certain financial and operating data for certain publicly traded companies, particularly, similar life sciences research tools providers which are highlighted below. None of the selected companies has characteristics identical to Nautilus. ARYA reviewed the enterprise value (“EV”), gross margin (“GM”), revenue and revenue growth of each of the comparable companies, which ARYA management deemed relevant based on its professional judgment and expertise, and compared the same to the revenue and growth projections of Nautilus, determined in accordance with the valuation analysis described above:</w:t>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before="0" w:after="180"/>
        <w:ind w:left="0" w:right="0" w:firstLine="360"/>
        <w:rPr/>
      </w:pPr>
      <w:r>
        <w:rPr/>
      </w:r>
    </w:p>
    <w:tbl>
      <w:tblPr>
        <w:tblW w:w="10276" w:type="dxa"/>
        <w:jc w:val="left"/>
        <w:tblInd w:w="0" w:type="dxa"/>
        <w:tblCellMar>
          <w:top w:w="28" w:type="dxa"/>
          <w:left w:w="28" w:type="dxa"/>
          <w:bottom w:w="28" w:type="dxa"/>
          <w:right w:w="28" w:type="dxa"/>
        </w:tblCellMar>
      </w:tblPr>
      <w:tblGrid>
        <w:gridCol w:w="521"/>
        <w:gridCol w:w="243"/>
        <w:gridCol w:w="197"/>
        <w:gridCol w:w="181"/>
        <w:gridCol w:w="571"/>
        <w:gridCol w:w="109"/>
        <w:gridCol w:w="115"/>
        <w:gridCol w:w="115"/>
        <w:gridCol w:w="116"/>
        <w:gridCol w:w="181"/>
        <w:gridCol w:w="496"/>
        <w:gridCol w:w="109"/>
        <w:gridCol w:w="181"/>
        <w:gridCol w:w="496"/>
        <w:gridCol w:w="109"/>
        <w:gridCol w:w="181"/>
        <w:gridCol w:w="496"/>
        <w:gridCol w:w="109"/>
        <w:gridCol w:w="181"/>
        <w:gridCol w:w="496"/>
        <w:gridCol w:w="109"/>
        <w:gridCol w:w="181"/>
        <w:gridCol w:w="496"/>
        <w:gridCol w:w="109"/>
        <w:gridCol w:w="165"/>
        <w:gridCol w:w="165"/>
        <w:gridCol w:w="166"/>
        <w:gridCol w:w="165"/>
        <w:gridCol w:w="165"/>
        <w:gridCol w:w="166"/>
        <w:gridCol w:w="165"/>
        <w:gridCol w:w="165"/>
        <w:gridCol w:w="166"/>
        <w:gridCol w:w="165"/>
        <w:gridCol w:w="165"/>
        <w:gridCol w:w="166"/>
        <w:gridCol w:w="199"/>
        <w:gridCol w:w="199"/>
        <w:gridCol w:w="203"/>
        <w:gridCol w:w="174"/>
        <w:gridCol w:w="174"/>
        <w:gridCol w:w="178"/>
        <w:gridCol w:w="174"/>
        <w:gridCol w:w="174"/>
        <w:gridCol w:w="178"/>
        <w:gridCol w:w="158"/>
        <w:gridCol w:w="158"/>
        <w:gridCol w:w="225"/>
      </w:tblGrid>
      <w:tr>
        <w:trPr/>
        <w:tc>
          <w:tcPr>
            <w:tcW w:w="52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5"/>
              </w:rPr>
            </w:pPr>
            <w:r>
              <w:rPr>
                <w:rFonts w:ascii="Times New Roman;sans-serif" w:hAnsi="Times New Roman;sans-serif"/>
                <w:b w:val="false"/>
                <w:i/>
                <w:color w:val="000000"/>
                <w:sz w:val="15"/>
              </w:rPr>
              <w:t>($ in millions)</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Revenue</w:t>
            </w:r>
          </w:p>
        </w:tc>
        <w:tc>
          <w:tcPr>
            <w:tcW w:w="198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Revenue growth</w:t>
            </w:r>
          </w:p>
        </w:tc>
        <w:tc>
          <w:tcPr>
            <w:tcW w:w="219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EV/Revenue</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Company Name</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5"/>
              </w:rPr>
              <w:t>EV</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GM</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2020E</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2021E</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2022E</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2023E</w:t>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2024E</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2021E</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2022E</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2023E</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2024E</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2021E</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2022E</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2023E</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2024E</w:t>
            </w:r>
          </w:p>
        </w:tc>
      </w:tr>
      <w:tr>
        <w:trPr/>
        <w:tc>
          <w:tcPr>
            <w:tcW w:w="96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10X Genomics</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19,012 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79%</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287 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71%</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36%</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29%</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26%</w:t>
            </w:r>
          </w:p>
        </w:tc>
        <w:tc>
          <w:tcPr>
            <w:tcW w:w="60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38.7x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28.4x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22.1x</w:t>
            </w:r>
          </w:p>
        </w:tc>
        <w:tc>
          <w:tcPr>
            <w:tcW w:w="54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17.6x</w:t>
            </w:r>
          </w:p>
        </w:tc>
      </w:tr>
      <w:tr>
        <w:trPr/>
        <w:tc>
          <w:tcPr>
            <w:tcW w:w="96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Seer Inc.</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4,412 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100%</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614%</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289%</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129%</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60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1231.6x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316.6x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138.5x</w:t>
            </w:r>
          </w:p>
        </w:tc>
        <w:tc>
          <w:tcPr>
            <w:tcW w:w="54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68.9x</w:t>
            </w:r>
          </w:p>
        </w:tc>
      </w:tr>
      <w:tr>
        <w:trPr/>
        <w:tc>
          <w:tcPr>
            <w:tcW w:w="96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908 Devices Inc.</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1,875 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58%</w:t>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D9D9D9"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73 </w:t>
            </w:r>
          </w:p>
        </w:tc>
        <w:tc>
          <w:tcPr>
            <w:tcW w:w="109" w:type="dxa"/>
            <w:tcBorders/>
            <w:shd w:fill="D9D9D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30%</w:t>
            </w:r>
          </w:p>
        </w:tc>
        <w:tc>
          <w:tcPr>
            <w:tcW w:w="49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60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71.0x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48.3x</w:t>
            </w:r>
          </w:p>
        </w:tc>
        <w:tc>
          <w:tcPr>
            <w:tcW w:w="526"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37.2x</w:t>
            </w:r>
          </w:p>
        </w:tc>
        <w:tc>
          <w:tcPr>
            <w:tcW w:w="541" w:type="dxa"/>
            <w:gridSpan w:val="3"/>
            <w:tcBorders/>
            <w:shd w:fill="D9D9D9"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25.8x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Berkeley Lights Inc.</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70%</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43%</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39%</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27%</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55.8x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40.2x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33.6x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26.4x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Illumina</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60,047 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69%</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16%</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15%</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17%</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15.3x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13.2x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11.5x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9.8x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NanoString Technologies</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55%</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27%</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17%</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23.1x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17.7x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15.1x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14.6x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Quanterix Corp</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53%</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27%</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23.4x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19.3x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16.3x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13.4x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Bio-Techne Corp.</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13,719 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71%</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25%</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14.2x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12.8x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Twist Bioscience Corp.</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34%</w:t>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53.3x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40.4x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39.6x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Median (highlighted)</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79%</w:t>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71%</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30%</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71.0x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48.3x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37.2x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25.8x</w:t>
            </w:r>
          </w:p>
        </w:tc>
      </w:tr>
      <w:tr>
        <w:trPr/>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Median</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69%</w:t>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20%</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26%</w:t>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38.7x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28.4x</w:t>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22.1x</w:t>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17.6x</w:t>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Source: Analyst Consensus Estimates, Bloomberg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Seer Inc.’s and Nautilus similar technological and market focus on proteomics research and a comparison of the two companies’ revenue and growth projections, it was determined that Seer Inc. is the most comparable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Satisfaction of 80% Test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a requirement under the Existing Governing Documents that any business acquired by ARYA have a fair market value equal to at least 80% of the balance of the funds in the trust account at the time of the execution of a definitive agreement for an initial business combination. Based on the financial analysis of Nautilus generally used to approve the transaction, the ARYA board of directors determined that this requirement was met. The board determined that the consideration being paid in the Business Combination, which amount was negotiated at arms-length, was fair to and in the best interests of ARYA and its shareholders and appropriately reflected Nautilus’ value. In reaching this determination, the board concluded that it was appropriate to base such valuation in part on qualitative factors such as management strength and depth, competitive positioning, customer relationships, and technical skills, as well as quantitative factors such as Nautilus’ potential for future growth in revenue and profits. The ARYA Board believes that the financial skills and background of its members qualify it to conclude that the acquisition of Nautilus met this requirement.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ARYA’s Directors and Executive Officers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the private placement shares would be worthless if a business combination is not consummated by August 11, 2022;</w:t>
      </w:r>
    </w:p>
    <w:p>
      <w:pPr>
        <w:pStyle w:val="HorizontalLine"/>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has been entered into by the initial shareholders;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Perceptive PIPE Investor has entered into a subscription agreement to purchase 5,500,000 shares in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w:t>
      </w:r>
      <w:r>
        <w:rPr>
          <w:rFonts w:ascii="Times New Roman;sans-serif" w:hAnsi="Times New Roman;sans-serif"/>
          <w:b w:val="false"/>
          <w:i/>
          <w:color w:val="000000"/>
          <w:sz w:val="20"/>
        </w:rPr>
        <w:t>i.e.</w:t>
      </w:r>
      <w:r>
        <w:rPr>
          <w:rFonts w:ascii="Times New Roman;sans-serif" w:hAnsi="Times New Roman;sans-serif"/>
          <w:b w:val="false"/>
          <w:color w:val="000000"/>
          <w:sz w:val="20"/>
        </w:rPr>
        <w:t>,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ARYA may be entitled to distribute or pay over funds held by ARYA outside the Trust Account to the Sponsor or any of its Affiliates prior to the Closing;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ARYA’s initial shareholders own approximately 22.1% of the issued and outstanding ordinary shares. See “</w:t>
      </w:r>
      <w:r>
        <w:rPr>
          <w:rFonts w:ascii="Times New Roman;sans-serif" w:hAnsi="Times New Roman;sans-serif"/>
          <w:b w:val="false"/>
          <w:i/>
          <w:color w:val="000000"/>
          <w:sz w:val="20"/>
        </w:rPr>
        <w:t>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w:t>
      </w: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Nautilus’ Directors and Executive Officers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you consider the recommendation of the Nautilus board of directors in favor of approval of the Business Combination Proposal, you should keep in mind that certain of Nautilus’ directors and officers have interests in the Business Combination that are different from, or in addition to, those of Nautilus or ARYA’s stockholders generally. 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certain of Nautilus’ directors are expected to become directors of New Nautilus upon the Closing and will receive compensation under the New Nautilus director compensation policy described in the section entitled “</w:t>
      </w:r>
      <w:r>
        <w:rPr>
          <w:rFonts w:ascii="Times New Roman;sans-serif" w:hAnsi="Times New Roman;sans-serif"/>
          <w:b w:val="false"/>
          <w:i/>
          <w:color w:val="000000"/>
          <w:sz w:val="20"/>
        </w:rPr>
        <w:t>Nautilus Director Compensation</w:t>
      </w:r>
      <w:r>
        <w:rPr>
          <w:color w:val="00000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each of Nautilus’ executive officers are expected to become executive officers of New Nautilus upon the Closing, serving in the same position they are currently serving with Nautilus, and are expected to enter into confirmatory employment letters and change in control and severance agreements in connection with the Merger, in each case on substantially the terms described in the sections entitled “</w:t>
      </w:r>
      <w:r>
        <w:rPr>
          <w:rFonts w:ascii="Times New Roman;sans-serif" w:hAnsi="Times New Roman;sans-serif"/>
          <w:b w:val="false"/>
          <w:i/>
          <w:color w:val="000000"/>
          <w:sz w:val="20"/>
        </w:rPr>
        <w:t>Nautilus Executive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Nautilus Director Compensation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substantial number of shares of New Nautilus to be issued to Nautilus’ directors, executive officers and/or their affiliated entities, as set forth in the section entitled “</w:t>
      </w:r>
      <w:r>
        <w:rPr>
          <w:rFonts w:ascii="Times New Roman;sans-serif" w:hAnsi="Times New Roman;sans-serif"/>
          <w:b w:val="false"/>
          <w:i/>
          <w:color w:val="000000"/>
          <w:sz w:val="20"/>
        </w:rPr>
        <w:t>Beneficial Ownership of Securities,</w:t>
      </w:r>
      <w:r>
        <w:rPr>
          <w:color w:val="000000"/>
        </w:rPr>
        <w:t xml:space="preserve">” </w:t>
      </w:r>
      <w:r>
        <w:rPr>
          <w:rFonts w:ascii="Times New Roman;sans-serif" w:hAnsi="Times New Roman;sans-serif"/>
          <w:b w:val="false"/>
          <w:color w:val="000000"/>
          <w:sz w:val="20"/>
        </w:rPr>
        <w:t>and the fact that such shares will have a significantly higher value than their original purchase price upon consummation of the Business Combination, in addition to the outstanding equity awards held by certain directors and executive officers of Nautilus, as set forth in the sections entitled “</w:t>
      </w:r>
      <w:r>
        <w:rPr>
          <w:rFonts w:ascii="Times New Roman;sans-serif" w:hAnsi="Times New Roman;sans-serif"/>
          <w:b w:val="false"/>
          <w:i/>
          <w:color w:val="000000"/>
          <w:sz w:val="20"/>
        </w:rPr>
        <w:t>Nautilus Executive Compensation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Nautilus Director Compensation</w:t>
      </w:r>
      <w:r>
        <w:rPr>
          <w:color w:val="000000"/>
        </w:rPr>
        <w:t>”</w:t>
      </w:r>
      <w:r>
        <w:rPr>
          <w:rFonts w:ascii="Times New Roman;sans-serif" w:hAnsi="Times New Roman;sans-serif"/>
          <w:b w:val="false"/>
          <w:color w:val="000000"/>
          <w:sz w:val="20"/>
        </w:rPr>
        <w:t>, which will be assumed by New Nautilus in connection with the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has been entered into by certain of Nautilus’ directors or their affiliated entities, as set forth in the section entitled “</w:t>
      </w:r>
      <w:r>
        <w:rPr>
          <w:rFonts w:ascii="Times New Roman;sans-serif" w:hAnsi="Times New Roman;sans-serif"/>
          <w:b w:val="false"/>
          <w:i/>
          <w:color w:val="000000"/>
          <w:sz w:val="20"/>
        </w:rPr>
        <w:t>Certain Relationships and Related Person Transactions</w:t>
      </w:r>
      <w:r>
        <w:rPr>
          <w:color w:val="000000"/>
        </w:rPr>
        <w:t>”</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certain of Nautilus’s directors or their affiliated entities have entered into subscription agreements for the PIPE Financing, as set forth in the section entitled “</w:t>
      </w:r>
      <w:r>
        <w:rPr>
          <w:rFonts w:ascii="Times New Roman;sans-serif" w:hAnsi="Times New Roman;sans-serif"/>
          <w:b w:val="false"/>
          <w:i/>
          <w:color w:val="000000"/>
          <w:sz w:val="20"/>
        </w:rPr>
        <w:t>Certain Relationships and Related Person Transactions</w:t>
      </w:r>
      <w:r>
        <w:rPr>
          <w:color w:val="000000"/>
        </w:rPr>
        <w:t>”</w:t>
      </w:r>
      <w:r>
        <w:rPr>
          <w:rFonts w:ascii="Times New Roman;sans-serif" w:hAnsi="Times New Roman;sans-serif"/>
          <w:b w:val="false"/>
          <w:color w:val="000000"/>
          <w:sz w:val="20"/>
        </w:rPr>
        <w: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Nautilus’ directors and officers, as set forth in the section entitled “</w:t>
      </w:r>
      <w:r>
        <w:rPr>
          <w:rFonts w:ascii="Times New Roman;sans-serif" w:hAnsi="Times New Roman;sans-serif"/>
          <w:b w:val="false"/>
          <w:i/>
          <w:color w:val="000000"/>
          <w:sz w:val="20"/>
        </w:rPr>
        <w:t>Certain Relationships and Related Person Transactions</w:t>
      </w:r>
      <w:r>
        <w:rPr>
          <w:color w:val="000000"/>
        </w:rPr>
        <w:t>”</w:t>
      </w:r>
      <w:r>
        <w:rPr>
          <w:rFonts w:ascii="Times New Roman;sans-serif" w:hAnsi="Times New Roman;sans-serif"/>
          <w:b w:val="false"/>
          <w:color w:val="000000"/>
          <w:sz w:val="20"/>
        </w:rPr>
        <w:t>, and the continuation of Nautilus’ directors’ and officers’ liability insurance after the Business Combination (</w:t>
      </w:r>
      <w:r>
        <w:rPr>
          <w:rFonts w:ascii="Times New Roman;sans-serif" w:hAnsi="Times New Roman;sans-serif"/>
          <w:b w:val="false"/>
          <w:i/>
          <w:color w:val="000000"/>
          <w:sz w:val="20"/>
        </w:rPr>
        <w:t>i.e.</w:t>
      </w:r>
      <w:r>
        <w:rPr>
          <w:rFonts w:ascii="Times New Roman;sans-serif" w:hAnsi="Times New Roman;sans-serif"/>
          <w:b w:val="false"/>
          <w:color w:val="000000"/>
          <w:sz w:val="20"/>
        </w:rPr>
        <w:t>, a “tail policy”).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Engagements in Connection with the Business Combination and Related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Goldman and Jefferies (together with their respective affiliates) are full service financial institutions engaged in various activities, which may include sales and trading, commercial and investment banking, advisory, investment management, investment research, principal investing, hedging, market making, brokerage and other financial and non-financial activities and services. From time to time, Goldman, Jefferies and their respective affiliates have provided various investment banking and other commercial dealings services unrelated to the Business Combination or the PIPE to ARYA and its affiliates, and have received customary compensation in connection therewith. In addition, Goldman and Jefferies and their affiliates may provide investment banking and other commercial dealings to ARYA, Nautilus and their respective affiliates in the future, for which they would expect to receive customary compensation.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the ordinary course of their business activities, Goldman, Jefferies and their respective affiliates, officers, directors and employees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ARYA or Nautilus, or their respective affiliates. Goldman, Jefferies and its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Expected Accounting Treatment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will be accounted for as a reverse recapitalization because Nautilus has been determined to be the accounting acquirer under U.S. GAAP. Under this method of accounting, ARYA has been treated as the “acquired” company for financial reporting purposes. This determination was primarily because existing Nautilus Shareholders will hold the majority of voting rights in New Nautilus, existing Nautilus Shareholders will have the right to appoint the majority of the directors on the New Nautilus Board, Nautilus’ senior management will comprise the senior management of New Nautilus, and Nautilus’ operations prior to the acquisition will comprise the ongoing operations of New Nautilus. Accordingly, for accounting purposes, the financial statements of the combined entity will represent a continuation of the financial statements of Nautilus with the Business Combination being treated as the equivalent of Nautilus issuing equity for the net assets of ARYA, accompanied by a recapitalization, with no goodwill or other intangible assets recorded.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HSR Act and the rules that have been promulgated thereunder by the FTC, certain transactions may not be consummated unless information has been furnished to the Antitrust Division and the FTC and certain waiting period requirements have been satisfied. The Nautilus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before or after consummation of the Business Combination, notwithstanding termination of the waiting period under the HSR Act, the applicable competition authorities the United States or any other applicable jurisdiction could take such action under applicable antitrust laws as such authority deems necessary or desirable in the public interest, including seeking to enjoin the consummation of the Business Combination, conditionally </w:t>
      </w:r>
    </w:p>
    <w:p>
      <w:pPr>
        <w:pStyle w:val="HorizontalLine"/>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ARYA or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ARYA’s entry into the Business Combination Agreement,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pStyle w:val="TextBody"/>
        <w:spacing w:lineRule="auto" w:line="288" w:before="0" w:after="180"/>
        <w:rPr/>
      </w:pPr>
      <w:r>
        <w:rPr>
          <w:rFonts w:ascii="Times New Roman;sans-serif" w:hAnsi="Times New Roman;sans-serif"/>
          <w:b/>
          <w:color w:val="000000"/>
          <w:sz w:val="20"/>
        </w:rPr>
        <w:t>Recommendation</w:t>
      </w:r>
      <w:r>
        <w:rPr>
          <w:color w:val="000000"/>
        </w:rPr>
        <w:t xml:space="preserve"> </w:t>
      </w:r>
      <w:r>
        <w:rPr>
          <w:rFonts w:ascii="Times New Roman;sans-serif" w:hAnsi="Times New Roman;sans-serif"/>
          <w:b/>
          <w:color w:val="000000"/>
          <w:sz w:val="20"/>
        </w:rPr>
        <w:t>of the ARYA Board</w:t>
      </w:r>
      <w:r>
        <w:rPr>
          <w:color w:val="000000"/>
        </w:rPr>
        <w:t xml:space="preserve">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THE ARYA SHAREHOLDERS VOTE “FOR” THE APPROVAL OF THE BUSINESS COMBINATION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color w:val="000000"/>
        </w:rPr>
        <w:t>—</w:t>
      </w:r>
      <w:r>
        <w:rPr>
          <w:rFonts w:ascii="Times New Roman;sans-serif" w:hAnsi="Times New Roman;sans-serif"/>
          <w:b w:val="false"/>
          <w:i/>
          <w:color w:val="000000"/>
          <w:sz w:val="20"/>
        </w:rPr>
        <w:t>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DOMESTICATION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in this proxy statement/prospectus, ARYA is asking its shareholders to approve the Domestication Proposal. Under the Business Combination Agreement, the approval of the Domestication Proposal is also a condition to the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As a condition to closing the Business Combination, the board of directors of ARYA has unanimously approved, and ARYA shareholders are being asked to consider and vote upon a proposal to approve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a change of ARYA’s jurisdiction of incorporation by deregistering as a Cayman Islands exempted company and continuing and domesticating as a corporation incorporated under the laws of the State of Delaware. To effect the Domestication, ARYA will file an application to deregister with the Cayman Islands Registrar of Companies, together with the necessary accompanying documents, and file a certificate of incorporation and a certificate of corporate domestication with the Secretary of State of the State of Delaware, under which ARYA will be domesticated and continue as a Delaware corporation.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The Domestication Proposal, if approved, will approve a change of ARYA’s jurisdiction of incorporation from the Cayman Islands to the State of Delaware. Accordingly, while ARYA is currently incorporated as an exempted company under the Cayman Islands Companies Act, upon the Domestication, New Nautilus will be governed by the DGCL. We encourage shareholders to carefully consult the information on the Proposed Governing Documents set out below under “</w:t>
      </w:r>
      <w:r>
        <w:rPr>
          <w:rFonts w:ascii="Times New Roman;sans-serif" w:hAnsi="Times New Roman;sans-serif"/>
          <w:b w:val="false"/>
          <w:i/>
          <w:color w:val="000000"/>
          <w:sz w:val="20"/>
        </w:rPr>
        <w:t>Comparison of Corporate Governance and Shareholder Rights</w:t>
      </w:r>
      <w:r>
        <w:rPr>
          <w:rFonts w:ascii="Times New Roman;sans-serif" w:hAnsi="Times New Roman;sans-serif"/>
          <w:b w:val="false"/>
          <w:color w:val="000000"/>
          <w:sz w:val="20"/>
        </w:rPr>
        <w:t>.” The Proposed Certificate of Incorporation differs in certain material respects from the Existing Governing Documents and we encourage shareholders to carefully consult the information set out below under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rFonts w:ascii="Times New Roman;sans-serif" w:hAnsi="Times New Roman;sans-serif"/>
          <w:b w:val="false"/>
          <w:color w:val="000000"/>
          <w:sz w:val="20"/>
        </w:rPr>
        <w:t>,” the Existing Governing Documents of ARYA, attached hereto as Annex B and the Proposed Certificate of Incorporation of New Nautilus, attached hereto as Annex 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a reincorporation in Delaware is in the best interests of ARYA and its shareholders. As explained in more detail below, these reasons can be summarized as follows: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Prominence, Predictability, and Flexibility of Delaware Law.</w:t>
      </w:r>
      <w:r>
        <w:rPr>
          <w:color w:val="000000"/>
        </w:rPr>
        <w:t xml:space="preserve"> </w:t>
      </w:r>
      <w:r>
        <w:rPr>
          <w:rFonts w:ascii="Times New Roman;sans-serif" w:hAnsi="Times New Roman;sans-serif"/>
          <w:b w:val="false"/>
          <w:color w:val="000000"/>
          <w:sz w:val="20"/>
        </w:rPr>
        <w:t>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Well-Established Principles of Corporate Governance.</w:t>
      </w:r>
      <w:r>
        <w:rPr>
          <w:color w:val="000000"/>
        </w:rPr>
        <w:t xml:space="preserve"> </w:t>
      </w:r>
      <w:r>
        <w:rPr>
          <w:rFonts w:ascii="Times New Roman;sans-serif" w:hAnsi="Times New Roman;sans-serif"/>
          <w:b w:val="false"/>
          <w:color w:val="000000"/>
          <w:sz w:val="20"/>
        </w:rPr>
        <w:t xml:space="preserve">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New Nautilus, its board of directors and management to make corporate decisions and take </w:t>
      </w:r>
    </w:p>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Nautilus’ stockholders from possible abuses by directors and officers.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Increased Ability to Attract and Retain Qualified Directors.</w:t>
      </w:r>
      <w:r>
        <w:rPr>
          <w:color w:val="000000"/>
        </w:rPr>
        <w:t xml:space="preserve"> </w:t>
      </w:r>
      <w:r>
        <w:rPr>
          <w:rFonts w:ascii="Times New Roman;sans-serif" w:hAnsi="Times New Roman;sans-serif"/>
          <w:b w:val="false"/>
          <w:color w:val="000000"/>
          <w:sz w:val="20"/>
        </w:rPr>
        <w:t>Reincorporation from the Cayman Islands to Delaware is attractive to directors, officers, and stockholders alike. New Nautilus’ incorporation in Delaware may make New Nautilus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of directors therefore believes that providing the benefits afforded directors by Delaware law will enable New Nautilus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company’s ability to limit director liability. As a result, we believe that the corporate environment afforded by Delaware will enable the surviving corporation to compete more effectively with other public companies in attracting and retaining new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Expected Accounting Treatment of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Domestication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xml:space="preserve">, as a special resolution, that ARYA be transferred by way of continuation to Delaware pursuant to Part XII of the Companies Act (Revised) of the Cayman Islands and Section 388 of the General Corporation Law </w:t>
      </w:r>
    </w:p>
    <w:p>
      <w:pPr>
        <w:pStyle w:val="HorizontalLine"/>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DOMESTICATION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CHARTER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asking its shareholders to adopt the Proposed Certificate of Incorporation in the form attached hereto as Annex C, which, in the judgment of the ARYA Board, is necessary to adequately address the needs of ARYA following the Domestication and the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For a summary of the key differences between the Amended and Restated Memorandum and Articles of Association of ARYA under Cayman Islands law and the Proposed Certificate of Incorporation under the DGCL, please see </w:t>
      </w:r>
      <w:r>
        <w:rPr>
          <w:color w:val="000000"/>
        </w:rPr>
        <w:t>“</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color w:val="000000"/>
        </w:rPr>
        <w:t xml:space="preserve"> </w:t>
      </w:r>
      <w:r>
        <w:rPr>
          <w:rFonts w:ascii="Times New Roman;sans-serif" w:hAnsi="Times New Roman;sans-serif"/>
          <w:b w:val="false"/>
          <w:color w:val="000000"/>
          <w:sz w:val="20"/>
        </w:rPr>
        <w:t>The summary is qualified in its entirety by reference to the full text of the Proposed Certificate of Incorporation, a copy of which is included as Annex 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 special resolution, that the Amended and Restated Memorandum and Articles of Association of ARYA currently in effect be amended and restated by the deletion in their entirety and the substitution in their place of the Proposed Certificate of Incorporation (a copy of which is attached to this proxy statement/prospectus as Annex C) including the authorization of the change in authorized share capital as indicated therein and the change of name to ‘Nautilus Biotechnology, Inc.’”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Required Vote With Respect to the Charter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Charter Proposal requires a special resolution under Cayman Islands law, being the affirmative vote of holders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Charter Proposal is conditioned on the approval and adoption of each of the other Condition Precedent Proposals. Abstentions and broker non-votes, while considered present for the purposes of establishing a quorum, will not count as votes cast at the extraordinary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CHARTER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each of the following Advisory Governing Documents Proposals and the Condition Precedent Proposals are approved and the Business Combination is to be consummated, ARYA will replace the Existing Governing Documents with the Proposed Certificate of Incorporation.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ARYA’s shareholders are asked to consider and vote upon and to approve, on a non-binding advisory basis, four (4) separate governance proposals, also referred to herein as Advisory Governing Documents Proposals, in connection with the replacement of the Existing Governing Documents with the Proposed Certificate of Incorporation. In the judgment of the ARYA Board, these proposals are necessary to adequately address the needs of ARYA and its shareholders following the consummation of the Business Combination and the Domestication. Accordingly, regardless of the outcome of the non-binding advisory vote on these proposals, ARYA intends that the Proposed Certificate of Incorporation in the form set forth on Annex C will take effect at consummation of the Business Combination and Domestication, assuming adoption of the Charter Proposal. </w:t>
      </w:r>
    </w:p>
    <w:p>
      <w:pPr>
        <w:pStyle w:val="TextBody"/>
        <w:spacing w:lineRule="auto" w:line="288" w:before="0" w:after="180"/>
        <w:ind w:left="0" w:right="0" w:firstLine="360"/>
        <w:rPr/>
      </w:pPr>
      <w:r>
        <w:rPr>
          <w:rFonts w:ascii="Times New Roman;sans-serif" w:hAnsi="Times New Roman;sans-serif"/>
          <w:b w:val="false"/>
          <w:color w:val="000000"/>
          <w:sz w:val="20"/>
        </w:rPr>
        <w:t>The Proposed Certificate of Incorporation differs in certain material respects from the Existing Governing Documents. The following table sets forth a summary of the principal changes proposed to be made between the Existing Governing Documents and the Proposed Certificate of Incorporation for New Nautilus. This summary is qualified by reference to the complete text of the Existing Governing Documents of ARYA, attached to this proxy statement/prospectus as Annex B and the complete text of the Proposed Certificate of Incorporation, a copy of which is attached to this proxy statement/prospectus as Annex C. All shareholders are encouraged to read the Proposed Certificate of Incorporation in its entirety for a more complete description of its terms. Additionally, as the Existing Governing Documents are governed by Cayman Islands law and the Proposed Governing Documents will be governed by the DGCL, we encourage shareholders to carefully consult the information set out under the “</w:t>
      </w:r>
      <w:r>
        <w:rPr>
          <w:rFonts w:ascii="Times New Roman;sans-serif" w:hAnsi="Times New Roman;sans-serif"/>
          <w:b w:val="false"/>
          <w:i/>
          <w:color w:val="000000"/>
          <w:sz w:val="20"/>
        </w:rPr>
        <w:t>Comparison of Corporate Governance and Shareholder Rights</w:t>
      </w:r>
      <w:r>
        <w:rPr>
          <w:color w:val="000000"/>
        </w:rPr>
        <w:t xml:space="preserve">” </w:t>
      </w:r>
      <w:r>
        <w:rPr>
          <w:rFonts w:ascii="Times New Roman;sans-serif" w:hAnsi="Times New Roman;sans-serif"/>
          <w:b w:val="false"/>
          <w:color w:val="000000"/>
          <w:sz w:val="20"/>
        </w:rPr>
        <w:t>section of this proxy statement/prospectus.</w:t>
      </w:r>
    </w:p>
    <w:tbl>
      <w:tblPr>
        <w:tblW w:w="10205" w:type="dxa"/>
        <w:jc w:val="left"/>
        <w:tblInd w:w="0" w:type="dxa"/>
        <w:tblCellMar>
          <w:top w:w="28" w:type="dxa"/>
          <w:left w:w="28" w:type="dxa"/>
          <w:bottom w:w="28" w:type="dxa"/>
          <w:right w:w="28" w:type="dxa"/>
        </w:tblCellMar>
      </w:tblPr>
      <w:tblGrid>
        <w:gridCol w:w="615"/>
        <w:gridCol w:w="478"/>
        <w:gridCol w:w="481"/>
        <w:gridCol w:w="1521"/>
        <w:gridCol w:w="1214"/>
        <w:gridCol w:w="1218"/>
        <w:gridCol w:w="109"/>
        <w:gridCol w:w="109"/>
        <w:gridCol w:w="109"/>
        <w:gridCol w:w="1391"/>
        <w:gridCol w:w="1224"/>
        <w:gridCol w:w="1736"/>
      </w:tblGrid>
      <w:tr>
        <w:trPr/>
        <w:tc>
          <w:tcPr>
            <w:tcW w:w="615"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Proposal A)</w:t>
            </w:r>
          </w:p>
        </w:tc>
        <w:tc>
          <w:tcPr>
            <w:tcW w:w="3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capital under the Existing Governing Documents is US$50,000 divided into 479,000,000 Class A ordinary shares of par value US$0.0001 per share, 20,000,000 Class B ordinary shares of par value US$0.0001 per share and 1,000,000 preference shares of par value US$0.0001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1,000,000,000 shares of New Nautilus Common Stock, par value $0.0001 per share, and 200,000,000 shares of New Nautilus Preferred Stock, par value $0.0001 per share.</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of the Proposed Certificate of Incorporation.</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Authorize the Board of Directors to Issue Preferred Stock Without Stockholder Consent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Proposal B)</w:t>
            </w:r>
          </w:p>
        </w:tc>
        <w:tc>
          <w:tcPr>
            <w:tcW w:w="3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authorize the issuance of 1,000,000 preference shares with such designation, rights and preferences as may be determined from time to time by our board of directors. Accordingly, our board of directors is empowered under the Existing Governing Documents, without shareholder approval, to issue preference shares with dividend, liquidation, redemption, voting or other rights which could adversely affect the voting power or other rights of the holders of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713"/>
        <w:gridCol w:w="627"/>
        <w:gridCol w:w="628"/>
        <w:gridCol w:w="1754"/>
        <w:gridCol w:w="1459"/>
        <w:gridCol w:w="1465"/>
        <w:gridCol w:w="109"/>
        <w:gridCol w:w="109"/>
        <w:gridCol w:w="109"/>
        <w:gridCol w:w="1106"/>
        <w:gridCol w:w="878"/>
        <w:gridCol w:w="1248"/>
      </w:tblGrid>
      <w:tr>
        <w:trPr/>
        <w:tc>
          <w:tcPr>
            <w:tcW w:w="71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 and Article 3 of the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Section 3 of the Proposed Certificate of Incorporation.</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Shareholder/Stockholder Written Consent In Lieu of a Meeting </w:t>
            </w: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C)</w:t>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resolutions may be passed by a vote in person, by proxy at a general meeting, or by unanimous written resolution.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allows stockholders to vote in person or by proxy at a meeting of stockholders, but prohibit the ability of stockholders to act by written consent in lieu of a meeting.</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Articles 14 and 15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VIII, Section 1 of the Proposed Certificate of Incorporation and Section 2.10 of the Proposed Bylaws.</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Name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D)</w:t>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the name of the company is “ARYA Sciences Acquisition Corp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name of the corporation will be “Nautilus Biotechnology, Inc.”</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1 of our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 of the Proposed Certificate of Incorporation.</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Perpetual Existence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D)</w:t>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if we do not consummate a business combination (as defined in the Existing Governing Documents) by August 11, 2022 (twenty-four months after the closing of ARYA’s initial public offering), ARYA will cease all operations except for the purposes of winding up and will redeem the shares issued in ARYA’s initial public offering and liquidate its trust account.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provides that the corporation will have perpetual existence, which is the default rule under the DGCL and will make Nautilus’ existence perpetual.</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VII, Section 1 of the Proposed Certificate of Incorporation.</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Takeovers by Interested Stockholders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 Proposal D)</w:t>
            </w:r>
          </w:p>
        </w:tc>
        <w:tc>
          <w:tcPr>
            <w:tcW w:w="4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restrictions on takeovers of ARYA by a related shareholder following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opt out of Section 203 of the DGCL, and therefore, New Nautilus will be subject to Section 203 of the DGCL relating to business combinations with interested stockholders.</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is the default rule under the DGCL.</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608"/>
        <w:gridCol w:w="533"/>
        <w:gridCol w:w="537"/>
        <w:gridCol w:w="1357"/>
        <w:gridCol w:w="1022"/>
        <w:gridCol w:w="1026"/>
        <w:gridCol w:w="109"/>
        <w:gridCol w:w="109"/>
        <w:gridCol w:w="109"/>
        <w:gridCol w:w="1508"/>
        <w:gridCol w:w="1359"/>
        <w:gridCol w:w="1928"/>
      </w:tblGrid>
      <w:tr>
        <w:trPr/>
        <w:tc>
          <w:tcPr>
            <w:tcW w:w="60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6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Provisions Related to Status as Blank Check Company</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 Proposal D)</w:t>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set forth various provisions related to our status as a blank check company prior to the consummation of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include such provisions related to our status as a blank check company, which no longer will apply upon consummation of the Business Combination, as we will cease to be a blank check company at such time.</w:t>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A—ADVISORY VOTE ON THE APPROVAL OF AN AMENDMENT TO CHANGE AUTHORIZED SHARE CAPITAL,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A</w:t>
      </w:r>
      <w:r>
        <w:rPr>
          <w:color w:val="000000"/>
        </w:rPr>
        <w:t>—</w:t>
      </w:r>
      <w:r>
        <w:rPr>
          <w:rFonts w:ascii="Times New Roman;sans-serif" w:hAnsi="Times New Roman;sans-serif"/>
          <w:b w:val="false"/>
          <w:color w:val="000000"/>
          <w:sz w:val="20"/>
        </w:rPr>
        <w:t>an advisory vote on the amendment to approve the change in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par value $0.0001 per share, and 200,000,000 shares of New Nautilus Preferred Stock, par value $0.0001 per share. In accordance with SEC guidance, this proposal is being presented separately and will be voted upon on a non-binding advisory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statement/prospectus, there are 19,186,500 ordinary shares issued and outstanding, which includes an aggregate of 499,000 private placement shares and 3,737,500 Class B ordinary shares held by the initial shareholders, including Sponsor.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For further details, see “</w:t>
      </w:r>
      <w:r>
        <w:rPr>
          <w:rFonts w:ascii="Times New Roman;sans-serif" w:hAnsi="Times New Roman;sans-serif"/>
          <w:b w:val="false"/>
          <w:i/>
          <w:color w:val="000000"/>
          <w:sz w:val="20"/>
        </w:rPr>
        <w:t>Consideration to Nautilus Equityholders in the Business Combination</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to ensure that New Nautilus has sufficient authorized capital for future issuances, the Proposed Certificate of Incorporation of New Nautilus changes the authorized share of ARYA from US$50,000 divided into (i) 479,000,000 Class A ordinary shares, 20,000,000 Class B ordinary shares and 1,000,000 preference shares of ARYA to (ii) 1,000,000,000 shares of New Nautilus Common Stock and 200,000,000 shares of New Nautilus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principal purpose of this proposal is to provide for an authorized capital structure of New Nautilus that will enable it to continue as an operating company governed by the DGCL. Our board of directors believes that it is important for New Nautilus to have available for issuance a number of authorized shares of common stock and preferred stock sufficient to support our growth and to provide flexibility for future corporate needs (including, if needed, as part of financing for future growth acquisitions).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A,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HorizontalLine"/>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A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that 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common stock, par value $0.0001 per share, of New Nautilus and 200,000,000 shares of preferred stock, par value $0.0001 per share, of New Nautilus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A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B—ADVISORY VOTE ON THE APPROVAL OF A PROPOSAL REGARDING ISSUANCE OF PREFERRED STOCK OF NEW NAUTILUS AT THE BOARD OF DIRECTORS’ SOLE DISCRETION,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B</w:t>
      </w:r>
      <w:r>
        <w:rPr>
          <w:color w:val="000000"/>
        </w:rPr>
        <w:t>—</w:t>
      </w:r>
      <w:r>
        <w:rPr>
          <w:rFonts w:ascii="Times New Roman;sans-serif" w:hAnsi="Times New Roman;sans-serif"/>
          <w:b w:val="false"/>
          <w:color w:val="000000"/>
          <w:sz w:val="20"/>
        </w:rPr>
        <w:t>an advisory vote on an amendment to authorize the New Nautilus Board to issue any or all shares of New Nautilus Preferred Stock in one or more classes or series, with such terms and conditions as may be expressly determined by the New Nautilus Board and as may be permitted by the DGCL. In accordance with SEC guidance, this proposal is being presented separately and will be voted upon on a non-binding advisory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B,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B will allow for issuance of any or all of these shares of preferred stock from time to time at the discretion of the New Nautilus Board, as may be permitted by the DGCL, and without further stockholder action. The shares of preferred stock would be issuable for any proper corporate purpose, including, among other things, future acquisitions, capital raising transactions consisting of equity or convertible debt, stock dividends or issuances under current and any future stock incentive plans, pursuant to which we may provide equity incentives to employees, officers and directors, and in certain instances may be used as an anti-takeover defense.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these additional shares will provide New Nautilus with needed flexibility to issue shares in the future in a timely manner and under circumstances the New Nautilus Board considers favorable without incurring the risk, delay and potential expense incident to obtaining stockholder approval for a particular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Authorized but unissued preferred stock may enable the New Nautilus Board to render it more difficult or to discourage an attempt to obtain control of New Nautilus and thereby protect continuity of or entrench its management, which may adversely affect the market price of New Nautilus stock. If, in the due exercise of its fiduciary obligations, for example, the New Nautilus Board was to determine that a takeover proposal was not in the best interests of New Nautilus, such preferred stock could be issued by New Nautilus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New Nautilus Board, by effecting an acquisition that might complicate or preclude the takeover, or otherwise. Allowing the New Nautilus Board to issue the authorized preferred stock on its own volition will enable New Nautilus to have the flexibility to issue such preferred stock in the future for financing its business, for acquiring other businesses, for forming strategic partnerships and alliances and for stock dividends and stock splits. New Nautilus currently has no such plans, proposals, or arrangements, written or otherwise, to issue any of the additional authorized stock for such purposes.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pStyle w:val="HorizontalLine"/>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B,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B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color w:val="000000"/>
        </w:rPr>
        <w:t xml:space="preserve"> </w:t>
      </w:r>
      <w:r>
        <w:rPr>
          <w:rFonts w:ascii="Times New Roman;sans-serif" w:hAnsi="Times New Roman;sans-serif"/>
          <w:b w:val="false"/>
          <w:color w:val="000000"/>
          <w:sz w:val="20"/>
        </w:rPr>
        <w:t>that an amendment to authorize the New Nautilus Board to issue any or all shares of New Nautilus Preferred Stock in one or more classes or series, with such terms and conditions as may be expressly determined by the New Nautilus Board and as may be permitted by the DGCL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B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C—ADVISORY VOTE ON THE APPROVAL OF PROPOSAL REGARDING THE ABILITY OF STOCKHOLDERS TO ACT BY WRITTEN CONSENT,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C</w:t>
      </w:r>
      <w:r>
        <w:rPr>
          <w:color w:val="000000"/>
        </w:rPr>
        <w:t>—</w:t>
      </w:r>
      <w:r>
        <w:rPr>
          <w:rFonts w:ascii="Times New Roman;sans-serif" w:hAnsi="Times New Roman;sans-serif"/>
          <w:b w:val="false"/>
          <w:color w:val="000000"/>
          <w:sz w:val="20"/>
        </w:rPr>
        <w:t>an advisory vote on an amendment to remove the ability of New Nautilus stockholders to take action by written consent in lieu of a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C,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stipulates that any action required or permitted to be taken by the stockholders of New Nautilus must be effected at a duly called annual or special meeting of stockholders of New Nautilus, and may not be effected by any consent in writing by such stockholder.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Proposed Certificate of Incorporation, New Nautilus’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New Nautilus’ organizational documents outside of a duly called special or annual meeting of the stockholders of New Nautilus. Further, our board of directors believes that eliminating stockholders’ ability to act by written consent will reduce the time and effort the New Nautilus Board and management would need to devote to stockholder proposals, which time and effort could distract New Nautilus’ directors and management from other important company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elimination of New Nautilus’ stockholders’ ability to act by written consent may have certain anti-takeover effects by forcing a potential acquirer to take control of the New Nautilus Board only at a duly called meeting of stockholders. However, this proposal is not in response to any effort of which ARYA is aware to obtain control of New Nautilus, and ARYA and its management do not presently intend to propose other anti-takeover measures in future proxy solicitations (other than those set forth in the Proposed Governing Documents). Further, the board of directors does not believe that the effects of the elimination of stockholder action by written consent will create a significant impediment to a tender offer or other effort to take control of New Nautilus.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C,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 </w:t>
      </w:r>
    </w:p>
    <w:p>
      <w:pPr>
        <w:pStyle w:val="HorizontalLine"/>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 xml:space="preserve">RESOLVED, </w:t>
      </w:r>
      <w:r>
        <w:rPr>
          <w:rFonts w:ascii="Times New Roman;sans-serif" w:hAnsi="Times New Roman;sans-serif"/>
          <w:b w:val="false"/>
          <w:color w:val="000000"/>
          <w:sz w:val="20"/>
        </w:rPr>
        <w:t>that an amendment to remove the ability of New Nautilus stockholders to take action by written consent in lieu of a meeting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C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D—ADVISORY VOTE ON THE APPROVAL OF OTHER CHANGES IN CONNECTION WITH ADOPTION OF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D</w:t>
      </w:r>
      <w:r>
        <w:rPr>
          <w:color w:val="000000"/>
        </w:rPr>
        <w:t>—</w:t>
      </w:r>
      <w:r>
        <w:rPr>
          <w:rFonts w:ascii="Times New Roman;sans-serif" w:hAnsi="Times New Roman;sans-serif"/>
          <w:b w:val="false"/>
          <w:color w:val="000000"/>
          <w:sz w:val="20"/>
        </w:rPr>
        <w:t>advisory vote on certain other changes in connection with (i) changing the post-Business Combination corporate name from “ARYA Sciences Acquisition Corp III” to “Nautilus Biotechnology, Inc.” (which is expected to occur upon the 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D,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be further amended in connection with the Business Combination to provide that the name of the corporation will be “Nautilus Biotechnology, Inc.” In addition, the Proposed Certificate of Incorporation will make New Nautilus’ corporate existence perpetual.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the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not contain provisions related to a blank check company (including those related to operation of the trust account, winding up of our operations should we not complete a business combination by a specified date, and other such blank check-specific provisions as are present in the Existing Governing Documents) because following the consummation of the Business Combination, New Nautilus will not be a blank check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each of the Advisory Governing Documents Proposals, assuming approval of each of the other Condition Precedent Proposals, will result, upon the consummation of the Domestication, in the wholesale replacement of ARYA’s Existing Governing Documents with New Nautilus’ Proposed Certificate of Incorporation. </w:t>
      </w:r>
    </w:p>
    <w:p>
      <w:pPr>
        <w:pStyle w:val="TextBody"/>
        <w:spacing w:lineRule="auto" w:line="288" w:before="0" w:after="180"/>
        <w:ind w:left="0" w:right="0" w:firstLine="360"/>
        <w:rPr/>
      </w:pPr>
      <w:r>
        <w:rPr>
          <w:rFonts w:ascii="Times New Roman;sans-serif" w:hAnsi="Times New Roman;sans-serif"/>
          <w:b w:val="false"/>
          <w:color w:val="000000"/>
          <w:sz w:val="20"/>
        </w:rPr>
        <w:t>While certain material changes between the Existing Governing Documents and the Proposed Certificate of Incorporation have been unbundled into distinct Advisory Governing Documents Proposals or otherwise identified in this Advisory Governing Documents Proposal D, there are other differences between the Existing Governing Documents and the Proposed Governing Documents (arising from, among other things, differences between Cayman Islands law and the DGCL and the typical form of organizational documents under each such body of law) that will be approved (subject to the approval aforementioned related proposals and consummation of the Business Combination) if our shareholders approve this Advisory Governing Documents Proposal D. Accordingly, we encourage shareholders to carefully review the terms of the Proposed Governing Documents of New Nautilus, attached hereto as Annex C and Annex D, as well as the information set under the “</w:t>
      </w:r>
      <w:r>
        <w:rPr>
          <w:rFonts w:ascii="Times New Roman;sans-serif" w:hAnsi="Times New Roman;sans-serif"/>
          <w:b w:val="false"/>
          <w:i/>
          <w:color w:val="000000"/>
          <w:sz w:val="20"/>
        </w:rPr>
        <w:t>Comparison of Corporate Governance and Shareholder Rights</w:t>
      </w:r>
      <w:r>
        <w:rPr>
          <w:color w:val="000000"/>
        </w:rPr>
        <w:t xml:space="preserve">” </w:t>
      </w:r>
      <w:r>
        <w:rPr>
          <w:rFonts w:ascii="Times New Roman;sans-serif" w:hAnsi="Times New Roman;sans-serif"/>
          <w:b w:val="false"/>
          <w:color w:val="000000"/>
          <w:sz w:val="20"/>
        </w:rPr>
        <w:t>section of this proxy statement/prospectus.</w:t>
      </w:r>
    </w:p>
    <w:p>
      <w:pPr>
        <w:pStyle w:val="HorizontalLine"/>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Corporate Name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changing the post-business combination corporate name from “ARYA Sciences Acquisition Corp III” to “Nautilus Biotechnology, Inc.” is desirable to reflect the Business Combination with Nautilus and to clearly identify New Nautilus as the publicly traded entity.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Perpetual Existence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making New Nautilus’ corporate existence perpetual is desirable to reflect the Business Combination. Additionally, perpetual existence is the usual period of existence for public corporations, and our board of directors believes that it is the most appropriate period for New Nautilus following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Business Combinations with Interested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New Nautilus will be subject to Section 203 of the DGCL, which will encourage any potential acquirer to negotiate with the New Nautilus Board and therefore provide an opportunity to possibly obtain a higher purchase price than would otherwise be offered in connection with a non-negotiated, hostile or unsolicited proposed acquisition of New Nautilus. Such provisions may make it more difficult for an acquirer to consummate certain types of unfriendly or hostile corporate takeovers or other transactions involving the corporation that have not been approved by the New Nautilus Board. Our board of directors believes that while the provisions of Section 203 of the DGCL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New Nautilus without paying a fair premium to all stockholders.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Provisions Related to Status as Blank Check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elimination of certain provisions related to our status as a blank check company is desirable because these provisions will serve no purpose following the Business Combination. For example, the Proposed Certificate of Incorporation does not include the requirement to dissolve New Nautilus and allows it to continue as a corporate entity with perpetual existence following consummation of the Business Combination. Perpetual existence is the usual period of existence for public corporations, and our board of directors believes it is the most appropriate period for New Nautilus following the Business Combination. In addition, certain other provisions in our Existing Governing Documents require that proceeds from the ARYA’s initial public offering be held in the trust account until a business combination or liquidation of ARYA has occurred. These provisions cease to apply once the Business Combination is consummated and are therefore not included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D,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D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Charter Proposal and the other Condition Precedent Proposals.</w:t>
      </w:r>
    </w:p>
    <w:p>
      <w:pPr>
        <w:pStyle w:val="HorizontalLine"/>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 xml:space="preserve">RESOLVED, </w:t>
      </w:r>
      <w:r>
        <w:rPr>
          <w:rFonts w:ascii="Times New Roman;sans-serif" w:hAnsi="Times New Roman;sans-serif"/>
          <w:b w:val="false"/>
          <w:color w:val="000000"/>
          <w:sz w:val="20"/>
        </w:rPr>
        <w:t>that certain other changes in connection with the replacement of the Existing Governing Documents with the Proposed Certificate of Incorporation as part of the Domestication (copies of which are attached to the proxy statement/prospectus as Annex C and Annex D, respectively),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and (iv) removing certain provisions related to our status as a blank check company that will no longer be applicable upon consummation of the Business Combination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D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NASDAQ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The Nasdaq Proposal</w:t>
      </w:r>
      <w:r>
        <w:rPr>
          <w:color w:val="000000"/>
        </w:rPr>
        <w:t>—</w:t>
      </w:r>
      <w:r>
        <w:rPr>
          <w:rFonts w:ascii="Times New Roman;sans-serif" w:hAnsi="Times New Roman;sans-serif"/>
          <w:b w:val="false"/>
          <w:color w:val="000000"/>
          <w:sz w:val="20"/>
        </w:rPr>
        <w:t>to consider and vote upon a proposal to approve by ordinary resolution for the purposes of complying with the applicable provisions of the Nasdaq Stock Exchange Listing Rules (each, a “</w:t>
      </w:r>
      <w:r>
        <w:rPr>
          <w:rFonts w:ascii="Times New Roman;sans-serif" w:hAnsi="Times New Roman;sans-serif"/>
          <w:b w:val="false"/>
          <w:color w:val="000000"/>
          <w:sz w:val="20"/>
          <w:u w:val="single"/>
        </w:rPr>
        <w:t>Nasdaq</w:t>
      </w:r>
      <w:r>
        <w:rPr>
          <w:color w:val="000000"/>
        </w:rPr>
        <w:t xml:space="preserve"> </w:t>
      </w:r>
      <w:r>
        <w:rPr>
          <w:rFonts w:ascii="Times New Roman;sans-serif" w:hAnsi="Times New Roman;sans-serif"/>
          <w:b w:val="false"/>
          <w:color w:val="000000"/>
          <w:sz w:val="20"/>
          <w:u w:val="single"/>
        </w:rPr>
        <w:t>Listing Rule</w:t>
      </w:r>
      <w:r>
        <w:rPr>
          <w:color w:val="000000"/>
        </w:rPr>
        <w:t>”</w:t>
      </w:r>
      <w:r>
        <w:rPr>
          <w:rFonts w:ascii="Times New Roman;sans-serif" w:hAnsi="Times New Roman;sans-serif"/>
          <w:b w:val="false"/>
          <w:color w:val="000000"/>
          <w:sz w:val="20"/>
        </w:rPr>
        <w:t>) 5635(a), (b), (c) and (d), the issuance of shares of New Nautilus Common Stock in connection with the Business Combination and the PIPE Financing, to the extent such issuance would require a shareholder vote under Nasdaq Listing Rule 5635(a), (b), (c) or (d) (such proposal, the “</w:t>
      </w:r>
      <w:r>
        <w:rPr>
          <w:rFonts w:ascii="Times New Roman;sans-serif" w:hAnsi="Times New Roman;sans-serif"/>
          <w:b w:val="false"/>
          <w:color w:val="000000"/>
          <w:sz w:val="20"/>
          <w:u w:val="single"/>
        </w:rPr>
        <w:t>Nasdaq Proposal</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Approval for Purposes of Nasdaq Listing Rule 5635</w:t>
      </w:r>
    </w:p>
    <w:p>
      <w:pPr>
        <w:pStyle w:val="TextBody"/>
        <w:spacing w:lineRule="auto" w:line="288" w:before="0" w:after="180"/>
        <w:ind w:left="0" w:right="0" w:firstLine="360"/>
        <w:rPr/>
      </w:pPr>
      <w:r>
        <w:rPr>
          <w:rFonts w:ascii="Times New Roman;sans-serif" w:hAnsi="Times New Roman;sans-serif"/>
          <w:b w:val="false"/>
          <w:color w:val="000000"/>
          <w:sz w:val="20"/>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 (i) 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shareholder approval is required prior to the issuance of securities when the issuance or potential issuance will result in a change of control of the registrant. Under Nasdaq Listing Rule 5635(c),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 If the Business Combination is completed pursuant to the Business Combination Agreement, ARYA currently expects to issue an estimated 124,482,062 shares of New Nautilus Common Stock (assuming that none of ARYA’s outstanding public shares are redeemed) in connection with the Business Combination and the PIPE Financing. For further details, see “</w:t>
      </w:r>
      <w:r>
        <w:rPr>
          <w:rFonts w:ascii="Times New Roman;sans-serif" w:hAnsi="Times New Roman;sans-serif"/>
          <w:b w:val="false"/>
          <w:i/>
          <w:color w:val="000000"/>
          <w:sz w:val="20"/>
        </w:rPr>
        <w:t>Business Combination Proposal— Consideration to Nautilus Equityholders in the Business Combination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Incentive Award Plan Proposal</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Nasdaq Listing Rule 5635(a)(2), when a Nasdaq-listed company proposes to issue securities in connection with the acquisition of the stock or assets of another company, shareholder approval is required if any director, officer or substantial shareholder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ARYA’s ordinary shares, Sponsor and Perceptive PIPE Investor are considered substantial shareholders of ARYA under Nasdaq Listing Rule 5635(e)(3). In connection with the PIPE Financing, Perceptive PIPE Investor is expected to be issued 5,500,000 shares of New Nautilus Common Stock. Upon the consummation of the Business Combination, Perceptive PIPE Investor will also receive approximately 2,913,655 shares of New Nautilus Common Stock in exchange for the existing shares of Nautilus common stock held by Perceptive PIPE Investor.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this proposal is not approved by ARYA shareholders, the Business Combination cannot be consummated. In the event that this proposal is approved by ARYA shareholders, but the Business Combination Agreement is terminated (without the Business Combination being consummated) prior to the issuance of shares of </w:t>
      </w:r>
    </w:p>
    <w:p>
      <w:pPr>
        <w:pStyle w:val="HorizontalLine"/>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New Nautilus Common Stock pursuant to the Business Combination Agreement, New Nautilus will not issue such shares of New Nautilus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Nasdaq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for the purposes of complying with the applicable provisions of Nasdaq Stock Exchange Listing Rule 5635, the issuance of shares of New Nautilus Common Stock be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NASDAQ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INCENTIVE AWARD PLAN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seeking stockholder approval for the Nautilus Biotechnology, Inc. 2021 Equity Incentive Plan, or the “2021 Plan.” The 2021 Plan is being adopted in connection with the Business Combination Agreement and will become effective upon the Closing. The Nautilus 2017 Equity Incentive Plan, as amended, or the 2017 Plan, will expire as of the effective date of the Merger and no awards will be granted under the 2017 Plan following its termination. The 2021 Plan, if approved by stockholders, will allow New Nautilus to provide equity awards as part of New Nautilus’ compensation program, an important tool for motivating, attracting and retaining talented employees and for providing incentives that promote the Company’s business and increased stockholder value. Non-approval of the 2021 Plan will compel New Nautilus to significantly increase the cash component of employee compensation following the Closing to continue to attract and retain key employees because New Nautilus would need to replace components of compensation Nautilus previously delivered in equity awards, which would therefore reduce New Nautilus’ operating cash flow.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Both of the Boards of ARYA and Nautilus and their respective compensation committees believe that long-term incentive compensation programs help align more closely the interests of management, employees and stockholders to create long-term stockholder value. Equity plans such as the 2021 Plan increase New Nautilus’ ability to achieve this objective and, by allowing for several different forms of long-term incentive awards, helps New Nautilus to recruit, reward, motive, and retain talented personnel. Both of the Boards of ARYA and Nautilus and their respective compensation committees believe that the approval of the 2021 Plan is essential to New Nautilus’ continued success, and in particular, New Nautilus’ ability to attract and retain outstanding and highly skilled individuals in the extremely competitive labor markets in which New Nautilus will compete. Such awards also are crucial to New Nautilus’ ability to motivate employees to achieve its goals.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Key Plan Provisions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will continue until terminated by the New Nautilus Board or New Nautilus’ compensation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provides for the grant of stock options, both incentive stock options and nonqualified stock options, stock appreciation rights, restricted stock, restricted stock units and performance awards.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number of shares of New Nautilus Common Stock will be authorized for issuance pursuant to awards under the 2021 Plan equal to (a) 16,182,600 shares of New Nautilus Common Stock, plus (b) any shares of Nautilus Common Stock subject to equity awards that are assumed in the Merger and that after the effective date of the Merger are terminated without being exercised in full, are tendered to or withheld by New Nautilus to satisfy exercise price or tax withholding obligations, or are forfeited to or repurchased by Nautilus due to failure to vest (provided that the maximum number of shares that may be added to the 2021 Plan pursuant to the foregoing clause (b) is 7,500,000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provides for an automatic share reserve increase feature, whereby the share reserve will be increased automatically on the first day of each fiscal year beginning with the 2022 fiscal year, in an amount equal to the least of (a) 18,672,200 shares, (b) a number of shares equal to 5% of the total number of shares of New Nautilus Common Stock outstanding on the last day of the immediately preceding fiscal year, and (c) a lesser number of shares as determined by the administrator. The automatic share reserve feature will cease immediately after the increase on the first day of the 2031 fiscal year.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will be administered by the New Nautilus Board or, if designated by the New Nautilus Board, the compensation committee of the New Nautilus Board.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the 2021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provide a summary of the principal features of the 2021 Plan and its operation. However, this summary is not a complete description of all of the provisions of the 2021 Plan and is qualified in its entirety by the specific language of the 2021 Plan. A copy of the 2021 Plan is attached to this proxy statement/prospectus/information statement as Annex I.</w:t>
      </w:r>
    </w:p>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Purposes of the 2021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purposes of the 2021 Plan will be to attract and retain personnel for positions with New Nautilus or any parent or subsidiary of New Nautilus; to provide additional incentive to employees, directors, and consultants; and to promote the success of the New Nautilus business. These incentives will be provided through the grant of stock options, stock appreciation rights, restricted stock, restricted stock units, and performance awards as the administrator of the 2021 Plan may determine.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provides for the grant of incentive stock options, within the meaning of Section 422 of the Code, to New Nautilus’ employees and any of its parent and subsidiary corporations’ employees, and for the grant of nonstatutory stock options, restricted stock, restricted stock units, stock appreciation rights and performance awards to employees, directors and consultants of New Nautilus and employees and consultants of any of its parents or subsidiaries. Following the Closing, we expect New Nautilus to have, collectively, seven non-employee directors and approximately 75 employees (including employee directors) and 7 consultants.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adjustment provisions contained in the 2021 Plan and the evergreen provision described below, a total of 16,182,600 shares of New Nautilus Common Stock will be reserved for issuance pursuant to the 2021 Plan. In addition, the shares reserved for issuance under the 2021 Plan will include any shares of Nautilus Common Stock subject to awards of stock options or other awards that are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18,672,200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number of shares equal to 5% of the outstanding shares of New Nautilus Common Stock as of the last day of the immediately preceding fiscal year;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such number of shares as the New Nautilus Board or its designated committee may determine no later than the last day of New Nautilus’ immediately preceding fiscal year.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Shares issuable under the 2021 Plan will be authorized, but unissued, or reacquired shares of New Nautilus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pStyle w:val="HorizontalLine"/>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Plan 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one or more committees appointed by the New Nautilus Board will have authority to administer the 2021 Plan. The compensation committee of the New Nautilus Board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New Nautilus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 options may be granted under the 2021 Plan. The exercise price of options granted under the 2021 Plan generally must be equal to at least 100% of the fair market value of a share of New Nautilus Common Stock on the date of grant. The term of an option may not exceed ten years. With respect to any participant who owns more than 10% of the voting power of all classes of New Nautilus’ (or any of its parent’s or subsidiary’s) outstanding stock, the term of an incentive stock option granted to such participant must not exceed five years and the per share exercise price must equal at least 110% of the fair market value of a share of New Nautilus Common Stock on the grant date. The administrator will determine the methods of payment of the exercise price of an option, which may include cash, certain shares of New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pStyle w:val="HorizontalLine"/>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 may be granted under the 2021 Plan. Stock appreciation rights allow the recipient to receive the appreciation in the fair market value of New Nautilus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New Nautilus Common Stock, or a combination of both, except that the per-share exercise price for the shares to be issued pursuant to the exercise of a stock appreciation right generally will be no less than 100% of the fair market value per share on the date of grant.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Restricted stock may be granted under the 2021 Plan. Restricted stock awards are grants of shares of New Nautilus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Restricted stock units (or “RSUs”) may be granted under the 2021 Plan. Restricted stock units are bookkeeping entries representing an amount equal to the fair market value of one share of New Nautilus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w:t>
      </w:r>
    </w:p>
    <w:p>
      <w:pPr>
        <w:pStyle w:val="HorizontalLine"/>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administrator, in its sole discretion, may accelerate the time at which any restrictions will lapse or be removed.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outside (non-employee) directors will be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2021 Plan in the future.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Non-Transferability of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there is a proposed liquidation or dissolution of New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provides that in the event of New Nautilus’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w:t>
      </w:r>
    </w:p>
    <w:p>
      <w:pPr>
        <w:pStyle w:val="HorizontalLine"/>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noBreakHyphen/>
        <w:t>employee director.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Forfeiture and Clawback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Awards will be subject to any clawback policy of which we are required to adopt to comply with the listing standards of any national securities exchange or association on which New Nautilus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clawback policy of New Nautilus as described in the first sentence of this paragraph or with applicable laws.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Amendment or 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will become effective upon the later to occur of (a) its adoption by the ARYA Board, (b) approval by ARYA Stockholders, or (c) the time immediately prior to the Closing and will continue in effect until terminated by the administrator. However, no incentive stock options may be granted after the ten year anniversary of the adoption of the 2021 Plan by the ARYA Board, and the evergreen feature of the 2021 Plan will terminate following the increase on the first day of the 2031 fiscal year.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U.S. Federal Income Tax Consequences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is intended only as a general guide to the U.S. federal income tax consequences of participation in the 2021 Plan. The summary is based on existing U.S. laws and regulations as of February 12, 2021,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Incentive 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w:t>
      </w:r>
    </w:p>
    <w:p>
      <w:pPr>
        <w:pStyle w:val="HorizontalLine"/>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same year as the option exercise). In addition, special alternative minimum tax rules may apply to certain subsequent disqualifying dispositions of the shares or provide certain basis adjustments or tax credits.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Nonstatutory 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Unit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generally will recognize no income upon the grant of a performance award. Upon the settlement of such awards, participants generally will be required to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Section 409A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pStyle w:val="HorizontalLine"/>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Medicare Surtax</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 participant’s annual “net investment income,” as defined in Section 1411 of the Code, may be subject to a 3.8% U.S. federal surtax. Net investment income may include capital gain and/or loss arising from the disposition of shares of New Nautilus Common Stock issued pursuant to awards under the 2021 Plan. Whether a participant’s net investment income will be subject to this surtax will depend on the participant’s level of annual income and other factors.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Tax Effect for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New Nautilus chief executive officer and certain “covered employees” as determined under Section 162(m) and applicable guidance. Under Section 162(m), the annual compensation paid to any of these specified individuals will be deductible only to the extent that it does not exceed $1,000,000.</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FOREGOING IS ONLY A SUMMARY OF THE EFFECT OF U.S. FEDERAL INCOME TAXATION UPON PARTICIPANTS AND NEW NAUTILUS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Number of Awards Granted to Employees, Consultants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number of awards that an employee, director, or consultant may receive under the 2021 Plan is in the discretion of the administrator and therefore cannot be determined in advance. ARYA previously has not sponsored an equity incentive plan, and, therefore, the aggregate number of shares of New Nautilus Common Stock which would have been received by or allocated to the New Nautilus named executive officers; executive officers, as a group; directors who are not executive officers, as a group; and all other current employees who are not executive officers, as a group is not determinable. As of               , 2021, the closing price of a Class A ordinary share of ARYA was $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Equity Incentive Plan, a copy of which is attached to the proxy statement/prospectus as Annex I, be adopted and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Incentive Award Plan Proposal is conditioned on the approval and adoption of each of the other Condition Precedent Proposals.</w:t>
      </w:r>
    </w:p>
    <w:p>
      <w:pPr>
        <w:pStyle w:val="HorizontalLine"/>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STOCKHOLDERS VOTE “FOR” THE APPROVAL OF THE INCENTIVE AWARD PLAN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EMPLOYEE STOCK PURCHASE PLAN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seeking stockholder approval for the Nautilus Biotechnology, Inc. 2021 Employee Stock Purchase Plan, or the “ESPP.” The ESPP is being adopted in connection with the Business Combination and will become effective upon the Closing, but the first offering period will commence at a later date determined by the administrator of the ESPP. The ESPP will provide eligible employees an opportunity to purchase New Nautilus Common Stock at a discount through accumulated contributions of their earned compensation. Both of the Boards of ARYA and Nautilus and their respective compensation committees have determined that offering an employee stock purchase plan is important to the ability of New Nautilus to compete for talent. The ESPP will become a significant part of New Nautilus’ overall equity compensation strategy (especially with respect to our nonexecutive employees) if it is approved by ARYA’s stockholders. If ARYA’s stockholders do not approve the ESPP, New Nautilus may not be able to offer competitive compensation to existing employees and qualified candidates, which could prevent New Nautilus from successfully attracting and retaining highly skilled 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ESPP’s initial share reserve which we are asking the stockholders to approve is 1,244,900 shares of New Nautilus Common Stock. Following the ESPP’s effectiveness, offering periods will not commence under the ESPP until determined by the New Nautilus Board or its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Both of the Boards of ARYA and Nautilus and their respective compensation committees believe that an employee stock purchase plan will be an important factor in attracting, motivating, and retaining qualified personnel who are essential to our success. The ESPP provides a significant incentive by allowing employees to purchase shares of New Nautilus Common Stock at a discount. The ARYA Board has approved the ESPP, subject to the approval of ARYA’s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the 2021 Employee Stock Purchase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features of the ESPP and its operation. This summary does not contain all of the terms and conditions of the ESPP and is qualified in its entirety by reference to the ESPP as set forth in Annex J attached to this proxy statement/prospectus/information statement.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 of the ESPP is to provide eligible employees with an opportunity to purchase shares of the New Nautilus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ARYA’s stockholders approve the ESPP, and subject to adjustment upon certain changes in New Nautilus’ capitalization as described in the ESPP, the maximum number of shares of New Nautilus Common Stock that will be available for issuance under the ESPP will be 1,244,900 shares of New Nautilus Common Stock. The number of shares of New Nautilus Common Stock available for issuance under the ESPP will be increased on the first day of each fiscal year beginning with the 2022 fiscal year in an amount equal to the least of (a) 3,734,500 shares of New Nautilus Common Stock, (b) 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New Nautilus Common Stock.</w:t>
      </w:r>
    </w:p>
    <w:p>
      <w:pPr>
        <w:pStyle w:val="HorizontalLine"/>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ARYA’s stockholders do not approve the ESPP, then the ESPP will not become effective and no shares of New Nautilus Common Stock will be available for issuance thereunder.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a committee appointed by the New Nautilus board will have authority to administer the ESPP. Unless and until determined otherwise by the New Nautilus Board, the compensation committee of the New Nautilus Board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 Following the Closing, we expect New Nautilus to have, collectively, approximately 75 employees (including employee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Participants may end their participation at any time during an offering period and will be paid their accrued contributions that have not yet been used to purchase shares of New Nautilus Common Stock. Participation ends automatically upon termination of employment with us (or our participating subsidiaries).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Offering Periods and Purchase Periods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will include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New Nautilus Common Stock on a purchase date is less than the fair market value of a share of New Nautilus Common Stock on the first trading day of the offering period, participants in that offering period will be </w:t>
      </w:r>
    </w:p>
    <w:p>
      <w:pPr>
        <w:pStyle w:val="HorizontalLine"/>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withdrawn from that offering period following their purchase of shares on such purchase date and automatically will be enrolled in a new offering period.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will permit participants to purchase shares of New Nautilus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Exercise of Purchase Right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Amounts deducted and accumulated by a participant under the ESPP are used to purchase shares of New Nautilus Common Stock at the end of each purchase period. The purchase price of the shares will be 85% of the lower of (a) the fair market value of a share of New Nautilus Common Stock on the first trading day of the offering period or (b) the fair market value of a share of New Nautilus Common Stock on the exercise date. A participant will be permitted to purchase a maximum of 1,250 shares during each offering period, provided that the administrator may increase or decrease such maximum number of shares for each purchase period or offering period. Until shares of New Nautilus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Termination of Participation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Participation in the ESPP generally will terminate when a participating employee’s employment with us or a participating subsidiary ceases for any reason, the employee withdraws from the ESPP or New Nautilus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Non-Transferability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will not be permitted to transfer the contributions credited to his or her ESPP account or rights granted under the ESPP, other than by will or the laws of descent and distribution.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Certain Adjustments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provides that in the event that any dividend or other distribution (whether in the form of cash, New Nautilus Common Stock, other securities or other property), recapitalization, stock split, reverse stock split, reorganization, merger, consolidation, split-up, spin-off, combination, reclassification, repurchase or exchange of New Nautilus Common Stock or other securities of New Nautilus or other change in New Nautilus’ corporate structure affecting New Nautilus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New Nautilus’ proposed dissolution or liquidation, any offering period in progress will be shortened by setting a new purchase date and will terminate immediately before the completion of such proposed transaction, unless determined otherwise by the administrator.</w:t>
      </w:r>
    </w:p>
    <w:p>
      <w:pPr>
        <w:pStyle w:val="HorizontalLine"/>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or change in control of New Nautilus,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Amendment; 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will have the authority to modify, amend, suspend or terminate the ESPP except that, subject to certain exceptions described in the ESPP, no such action may adversely affect any outstanding rights to purchase shares of New Nautilus Common Stock under the ESPP. The ESPP will terminate automatically 20 years after the later of (a) the date of the ESPP’s adoption by the New Nautilus Board, (b) the date of the ESPP’s approval by the ARYA stockholders, or (c) the date of the Closing, unless New Nautilus terminates it earlier.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U.S. Federal Income Tax Consequences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is intended only as a general guide to the material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is intended to qualify as an employee stock purchase plan within the meaning of Section 423 of the Code. Under an employee stock purchase plan that so qualifies, no taxable income will be recognized by a participant, and no deductions will be allowable to New Nautilus, upon either the grant or the exercise of the purchase rights. Taxable income will not be recognized until there is a sale or other disposition of the shares of New Nautilus Common Stock acquired under the ESPP or in the event of the participant’s death while still owning the purchased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sells or otherwise disposes of the purchased shares of New Nautilus Common Stock within two years after the start date of the offering period in which the shares of Common Stock were acquired or within one year after the date of purchase of those shares of New Nautilus Common Stock, then the participant generally will recognize ordinary income in the year of sale or disposition equal to the amount by which the fair market value of the shares of New Nautilus Common Stock on the purchase date exceeded the purchase price paid for those shares of New Nautilus Common Stock, and New Nautilus will be entitled to an income tax deduction equal in amount to such excess, for the taxable year in which such disposition occurs. The amount of this ordinary income will be added to the participant’s basis in the shares of New Nautilus Common Stock, and any resulting gain or loss recognized upon the sale or disposition will be a capital gain or loss. If the shares of New Nautilus Common Stock have been held for more than one year since the date of purchase, the gain or loss will be long-term.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sells or disposes of the purchased shares of New Nautilus Common Stock more than two years after the start date of the offering period in which the shares of New Nautilus Common Stock were acquired and more than one year after the date of purchase of those shares of New Nautilus Common Stock, then the participant generally will recognize ordinary income in the year of sale or disposition equal to the lesser of (a) the amount by which the fair market value of the shares of New Nautilus Common Stock on the sale or disposition date exceeded the purchase price paid for those shares of New Nautilus Common Stock, or (b) 15% of the fair market value of the shares of New Nautilus Common Stock on the start date of that offering period. Any additional gain upon the disposition will be taxed as a long-term capital gain. Alternatively, if the fair market value of the shares of New Nautilus Common Stock on the date of the sale or disposition is less than the purchase price, there will be no ordinary income and any loss recognized will be a long-term capital loss. We will not be entitled to an income tax deduction with respect to such disposition.</w:t>
      </w:r>
    </w:p>
    <w:p>
      <w:pPr>
        <w:pStyle w:val="HorizontalLine"/>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 participant’s annual “net investment income,” as defined in Section 1411 of the Code, may be subject to a 3.8% U.S. federal surtax. Net investment income may include capital gain and/or loss arising from the disposition of shares of New Nautilus Common Stock purchased under the ESPP. Whether a participant’s net investment income will be subject to this surtax will depend on the participant’s level of annual income and other factors.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still owns the purchased shares of New Nautilus Common Stock at the time of death, the lesser of (i) the amount by which the fair market value of the shares of New Nautilus Common Stock on the date of death exceeds the purchase price or (ii) 15% of the fair market value of the shares of New Nautilus Common Stock on the start date of the offering period in which those shares of New Nautilus Common Stock were acquired will constitute ordinary income in the year of death.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Plan Benefits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Participation in the ESPP is voluntary and dependent on each eligible employee’s election to participate, the amount of his or her eligible compensation, and his or her determination as to the portion of his or her eligible compensation to contribute to the ESPP. Further, the number of shares of New Nautilus Common Stock that may be purchased under the ESPP is determined, in part, by the price of the shares of New Nautilus Common Stock on the first day of each offering period and applicable exercise date of each purchase period. Accordingly, the actual number of shares of New Nautilus Common Stock that would be purchased by any individual under the ESPP in the future is not determinable. We have not previously sponsored an employee stock purchase plan, and, therefore, the number of shares of New Nautilus Common Stock which would have been received by or allocated to New Nautilus named executive officers, all current executive officers as a group, and all other current employees who may participate in the ESPP as a group are not determinable. Non-employee directors are not eligible to participate in the ESPP. As of                    , 2021, the closing price of a Class A ordinary share of ARYA was $     .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Employee Stock Purchase Plan, a copy of which is attached to the proxy statement/prospectus as Annex J, be adopted and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Employee Stock Purchase Plan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STOCKHOLDERS VOTE “FOR” THE APPROVAL OF THE EMPLOYEE STOCK PURCHASE PLAN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ADJOURNMENT PROPOSAL</w:t>
      </w:r>
    </w:p>
    <w:p>
      <w:pPr>
        <w:pStyle w:val="TextBody"/>
        <w:spacing w:lineRule="auto" w:line="288" w:before="0" w:after="180"/>
        <w:ind w:left="0" w:right="0" w:firstLine="360"/>
        <w:rPr/>
      </w:pPr>
      <w:r>
        <w:rPr>
          <w:rFonts w:ascii="Times New Roman;sans-serif" w:hAnsi="Times New Roman;sans-serif"/>
          <w:b w:val="false"/>
          <w:color w:val="000000"/>
          <w:sz w:val="20"/>
        </w:rPr>
        <w:t>The Adjournment Proposal allows the ARYA Board to submit a proposal to approve, by ordinary resolution, the adjournment of the extraordinary general meeting to a later date or dates (i)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(ii) in order to solicit additional proxies from ARYA shareholders in favor of one or more of the proposals at the extraordinary general meeting or (iii) if ARYA shareholders redeem an amount of public shares such that the Aggregate Transaction Proceeds Condition would not be satisfied. See “</w:t>
      </w:r>
      <w:r>
        <w:rPr>
          <w:rFonts w:ascii="Times New Roman;sans-serif" w:hAnsi="Times New Roman;sans-serif"/>
          <w:b w:val="false"/>
          <w:i/>
          <w:color w:val="000000"/>
          <w:sz w:val="20"/>
        </w:rPr>
        <w:t>Business Combination Proposal—Interests of ARYA’s Directors and Executive Officers in the Business Combination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if the Adjournment Proposal is Not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Adjournment Proposal is presented to the extraordinary general meeting and is not approved by the shareholders, the ARYA Board may not be able to adjourn the extraordinary general meeting to a later date in the event that, based on the tabulated votes, there are not sufficient votes at the time of the extraordinary general meeting to approve the Condition Precedent Proposals. In such events, the Business Combination would not be completed.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ADJOURNMENT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w:t>
      </w:r>
    </w:p>
    <w:p>
      <w:pPr>
        <w:pStyle w:val="HorizontalLine"/>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MATERIAL U.S. FEDERAL INCOME TAX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a summary of material U.S. federal income tax considerations generally applicable to holders of our public shares (other than our Sponsor or any of its affiliates) as a consequence of the (i) Domestication, (ii) exercise of redemption rights and (iii) ownership and disposition of shares of New Nautilus Common Stock after the Domestication. This section applies only to holders that hold their public shares as capital assets for U.S. federal income tax purposes (generally, property held for investment). This discussion is a summary only and does not discuss all aspects of U.S. federal income taxation that may be relevant to particular holders in light of their particular circumstances or status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financial institutions or financial services entities;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broker-dealers;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 corporations;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taxpayers that are subject to the mark-to-market accounting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tax-exempt entities;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governments or agencies or instrumentalities thereof;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insurance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regulated investment companies or real estate investment trusts;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expatriates or former long-term residents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actually or constructively own five percent or more of our voting shares or five percent or more of the total value of all classes of our shares (except as specifically addressed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acquired our securities pursuant to an exercise of employee share options, in connection with employee share incentive plans or otherwise as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hold our securities as part of a straddle, constructive sale, hedging, conversion or other integrated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whose functional currency is not the U.S. dollar;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controlled foreign corporations;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purchase stock in New Nautilus as part of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accrual method taxpayers that file applicable financial statements as described in Section 451(b) of the Code;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passive foreign investment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is based on current U.S. federal income tax law, which is subject to change, possibly on a retroactive basis, which may affect the U.S. federal income tax consequences described herein. Furthermore, this discussion does not address any aspect of U.S. federal non-income tax laws, such as gift, estate or Medicare contribution tax laws, or state, local or non-U.S. tax laws. In addition, this summary does not address any tax consequences to investors that directly or indirectly hold equity interests in Nautilus prior to the Business Combination, including holders of our public shares that also hold, directly or indirectly, equity interests in Nautilus. With respect to the consequences of holding shares of New Nautilus Common Stock, this discussion is limited to holders who acquire such shares of New Nautilus Common Stock in connection with the Domestication. We have not sought, and will not seek, a ruling from the U.S. Internal Revenue Service (“IRS”) as to any U.S. federal income tax consideration described herein. The IRS may disagree with the discussion herein, and its determination may be </w:t>
      </w:r>
    </w:p>
    <w:p>
      <w:pPr>
        <w:pStyle w:val="HorizontalLine"/>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upheld by a court. Moreover, there can be no assurance that future legislation, regulations, administrative rulings or court decisions will not adversely affect the accuracy of the statements in this discussion.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discussion does not consider the U.S. federal income tax treatment of partnerships or other pass-through entities or persons who hold our securities through such entities. If a partnership (or other entity classified as a partnership for U.S. federal income tax purposes) is the beneficial owner of our public shares, the U.S. federal income tax treatment of a partner in the partnership generally will depend on the status of the partner and the activities of the partner and the partnership. If you are a partner of a partnership holding our public shares, we urge you to consult your tax advisor.</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EACH HOLDER SHOULD CONSULT ITS TAX ADVISOR WITH RESPECT TO THE PARTICULAR TAX CONSEQUENCES TO SUCH HOLDER OF THE DOMESTICATION, AN EXERCISE OF REDEMPTION RIGHTS, INCLUDING THE EFFECTS OF U.S. FEDERAL, STATE AND LOCAL AND NON-U.S. TAX LAWS AND OWNERSHIP AND DISPOSITION OF SHARES OF NEW NAUTILUS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used herein, a “U.S. Holder” is a beneficial owner of our public shares or New Nautilus Common Stock, as applicable, and is, for U.S. federal income tax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individual citizen or resident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corporation (or other entity that is treated as a corporation for U.S. federal income tax purposes) that is created or organized (or treated as created or organized) in or under the laws of the United States or any state thereof or the District of Columbia;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estate whose income is subject to U.S. federal income tax regardless of its source;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the Domestication on U.S. Holders</w:t>
      </w:r>
    </w:p>
    <w:p>
      <w:pPr>
        <w:pStyle w:val="TextBody"/>
        <w:spacing w:lineRule="auto" w:line="288" w:before="0" w:after="180"/>
        <w:ind w:left="0" w:right="0" w:firstLine="360"/>
        <w:rPr/>
      </w:pPr>
      <w:r>
        <w:rPr>
          <w:rFonts w:ascii="Times New Roman;sans-serif" w:hAnsi="Times New Roman;sans-serif"/>
          <w:b w:val="false"/>
          <w:color w:val="000000"/>
          <w:sz w:val="20"/>
        </w:rPr>
        <w:t>The discussion under this heading "</w:t>
      </w:r>
      <w:r>
        <w:rPr>
          <w:color w:val="000000"/>
        </w:rPr>
        <w:t>—</w:t>
      </w:r>
      <w:r>
        <w:rPr>
          <w:rFonts w:ascii="Times New Roman;sans-serif" w:hAnsi="Times New Roman;sans-serif"/>
          <w:b w:val="false"/>
          <w:i/>
          <w:color w:val="000000"/>
          <w:sz w:val="20"/>
        </w:rPr>
        <w:t>Effects of the Domestication on U.S. Holders</w:t>
      </w:r>
      <w:r>
        <w:rPr>
          <w:rFonts w:ascii="Times New Roman;sans-serif" w:hAnsi="Times New Roman;sans-serif"/>
          <w:b w:val="false"/>
          <w:color w:val="000000"/>
          <w:sz w:val="20"/>
        </w:rPr>
        <w:t xml:space="preserve">" constitutes the opinion of Kirkland &amp; Ellis LLP, United States tax counsel to ARYA, insofar as it discusses the material U.S. federal income tax considerations applicable to U.S. Holders of public shares and public warrants as a result of the Domestication, based on, and subject to, customary assumptions, qualifications and limitations, and the assumptions, qualifications and limitations herein and in the opinion included as Exhibit 8.1 hereto, as well as representations of ARYA.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U.S. federal income tax consequences of the Domestication will depend primarily upon whether the Domestication qualifies as a “reorganization” within the meaning of Section 368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Section 368(a)(1)(F) of the Code, a reorganization is a “mere change in identity, form, or place of organization of one corporation, however effected” (an “F Reorganization”). Pursuant to the Domestication, we will change our jurisdiction of incorporation by deregistering as an exempted company in the Cayman Islands and continuing and domesticating as a corporation incorporated under the laws of the State of Delaware, changing our name to “Nautilus Biotechnology, Inc.”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Domestication generally should qualify as an F Reorganization. However, due to the absence of direct guidance on the statutory conversion of a corporation holding only investment-type assets such as ARYA, this result is not entirely clear. Accordingly, due to the absence of such guidance, it is not possible to predict whether the IRS or a court considering the issue would take a contrary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a transaction, such as the Domestication, that should qualify as an F Reorganization, U.S. Holders of public shares generally should not recognize gain or loss for U.S. federal income tax purposes on the </w:t>
      </w:r>
    </w:p>
    <w:p>
      <w:pPr>
        <w:pStyle w:val="HorizontalLine"/>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Domestication, except as provided under “</w:t>
      </w:r>
      <w:r>
        <w:rPr>
          <w:color w:val="000000"/>
        </w:rPr>
        <w:t>—</w:t>
      </w:r>
      <w:r>
        <w:rPr>
          <w:rFonts w:ascii="Times New Roman;sans-serif" w:hAnsi="Times New Roman;sans-serif"/>
          <w:b w:val="false"/>
          <w:i/>
          <w:color w:val="000000"/>
          <w:sz w:val="20"/>
        </w:rPr>
        <w:t>Effects of Section 367(b) to U.S. Holders</w:t>
      </w:r>
      <w:r>
        <w:rPr>
          <w:color w:val="000000"/>
        </w:rPr>
        <w:t xml:space="preserve">” </w:t>
      </w:r>
      <w:r>
        <w:rPr>
          <w:rFonts w:ascii="Times New Roman;sans-serif" w:hAnsi="Times New Roman;sans-serif"/>
          <w:b w:val="false"/>
          <w:color w:val="000000"/>
          <w:sz w:val="20"/>
        </w:rPr>
        <w:t>and “</w:t>
      </w:r>
      <w:r>
        <w:rPr>
          <w:color w:val="000000"/>
        </w:rPr>
        <w:t xml:space="preserve">— </w:t>
      </w:r>
      <w:r>
        <w:rPr>
          <w:rFonts w:ascii="Times New Roman;sans-serif" w:hAnsi="Times New Roman;sans-serif"/>
          <w:b w:val="false"/>
          <w:i/>
          <w:color w:val="000000"/>
          <w:sz w:val="20"/>
        </w:rPr>
        <w:t>PFIC Considerations</w:t>
      </w:r>
      <w:r>
        <w:rPr>
          <w:rFonts w:ascii="Times New Roman;sans-serif" w:hAnsi="Times New Roman;sans-serif"/>
          <w:b w:val="false"/>
          <w:color w:val="000000"/>
          <w:sz w:val="20"/>
        </w:rPr>
        <w:t>,” and the Domestication should be treated for U.S. federal income tax purposes as if ARYA (i) transferred all of its assets and liabilities to New Nautilus in exchange for all of the outstanding common stock of New Nautilus; and then (ii) distributed the common stock of New Nautilus to the shareholders of ARYA in liquidation of ARYA. The taxable year of ARYA should be deemed to end on the date of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case of a transaction, such as the Domestication, that should qualify as an F Reorganization, subject to the PFIC rules discussed below: (i) a U.S. holder’s tax basis in a share of New Nautilus Common Stock received by the U.S. Holder in the Domestication should generally be the same as its tax basis in the public share surrendered in exchange therefor, increased by any amount included in the income of such U.S. Holder under Section 367(b) of the Code (as discussed below) and (ii) the holding period for a share of New Nautilus Common Stock should generally include such U.S. Holder’s holding period for the public share surrendered in exchange therefor.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Domestication fails to qualify as an F reorganization, subject to the PFIC rules discussed below, a U.S. Holder generally would recognize gain or loss with respect to a public share in an amount equal to the difference, if any, between the fair market value of the corresponding share of New Nautilus Common Stock received in the Domestication and the U.S. Holder's adjusted tax basis in its public share surrendered in exchange therefor. In such event, such U.S. Holder's basis in the share of New Nautilus Common Stock would be equal to the fair market value of that share of New Nautilus Common Stock on the date of the Domestication and such U.S. Holder's holding period for the share of New Nautilus Common Stock would begin on the day following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the Domestication will occur immediately prior to the redemption of U.S. Holders that exercise redemption rights with respect to our public shares, U.S. Holders exercising such redemption rights will be subject to the potential tax consequences of the Domestication. All U.S. Holders considering exercising redemption rights with respect to their public share are urged to consult with their tax advisors with respect to the potential tax consequences to the of the Domestication and exercise of redemption rights in their particular circumstances.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Section 367(b) to 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367(b) of the Code applies to certain transactions involving foreign corporations, including an inbound domestication of a foreign corporation in an F Reorganization. Section 367(b) of the Code imposes U.S. federal income tax on certain U.S. persons in connection with transactions that would otherwise qualify as a “reorganization” within the meaning of Section 368 of the Code. Section 367(b) of the Code will generally apply to U.S. Holders on the date of the Domestication. Because the Domestication will occur immediately prior to the redemption of U.S. Holders that exercise redemption rights with respect to our public shares, U.S. Holders exercising such redemption rights will be subject to the potential tax consequences of Section 367(b) of the Code as a result of the Domestication.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A.U.S. Holders That Hold 10 Percent or More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or constructively) 10% or more of the total combined voting power of all classes of our stock entitled to vote or 10% or more of the total value of all classes of our stock (a “U.S. Shareholder”) must include in income as a dividend the “all earnings and profits amount” attributable to the public shares it directly owns, within the meaning of Treasury Regulations under Section 367(b) of the Code. Complex attribution rules apply in determining whether a U.S. Holder is a U.S. Shareholder and all U.S. Holders are urged to consult their tax advisors with respect to these attribution rules.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U.S. Shareholder’s “all earnings and profits amount” with respect to its public shares is the net positive earnings and profits of ARYA (as determined under Treasury Regulations under Section 367 of the Code) attributable to such public shares (as determined under Treasury Regulations under Section 367 of the Code) but without regard to any gain that would be realized on a sale or exchange of such public shares. Treasury Regulations under Section 367 provide that the all earnings and profits amount attributable to a shareholder’s stock is determined according to the principles of Section 1248 of the Code and the Treasury Regulations thereunder. In general, Section 1248 of the Code and the Treasury Regulations thereunder provide that the amount of earnings and profits attributable to a block of stock (as defined in Treasury Regulations under Section 1248 of the Code) in a foreign </w:t>
      </w:r>
    </w:p>
    <w:p>
      <w:pPr>
        <w:pStyle w:val="HorizontalLine"/>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corporation is the ratably allocated portion of the foreign corporation’s earnings and profits generated during the period the shareholder held the block of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does not expect to have significant, cumulative earnings and profits through the date of the Domestication. If ARYA’s cumulative net earnings and profits through the date of the Domestication is less than or equal to zero, then a U.S. Holder should not be required to include in gross income an “all earnings and profits amount” with respect to its public shares. If ARYA’s cumulative net earnings and profits are greater than zero through the date of the Domestication, a U.S. Shareholder would be required to include its “all earnings and profits amount” in income as a deemed dividend under Treasury Regulations under Section 367(b) of the Code as a result of the Domestication. Any such U.S. Holder that is a corporation may, under certain circumstances, effectively be exempt from taxation on a portion or all of the deemed dividend pursuant to Section 245A of the Code. Such U.S. Holders that are corporate shareholders should consult their own tax advisors as to the applicability of Section 245A of the Code in their particular circumstances.</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B.U.S. Holders That Own Less Than 10 Percent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and constructively) public shares with a fair market value of $50,000 or more, but is not a U.S. Shareholder, will recognize gain (but not loss) with respect to the Domestication or, in the alternative, may elect to recognize the “all earnings and profits” amount attributable to such U.S. Holder as described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a U.S. Holder makes the “all earnings and profits” election as described below, such U.S. Holder generally must recognize gain (but not loss) with respect to shares of New Nautilus Common Stock received in the Domestication in an amount equal to the excess of the fair market value of such shares of New Nautilus Common Stock over the U.S. Holder’s adjusted tax basis in the public shares deemed surrendered in exchange therefor.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lieu of recognizing any gain as described in the preceding paragraph, a U.S. Holder may elect to include in income the “all earnings and profits amount” attributable to its public shares under Section 367(b)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however, strict conditions for making this election. This election must comply with applicable Treasury Regulations and generally must include, among other things: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(i)a statement that the Domestication is a Section 367(b) exchange (within the meaning of the applicable Treasury Regulations);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(ii)a complete description of the Domestication;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(iii)a description of any stock, securities or other consideration transferred or received in the Domestication;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(iv)a statement describing the amounts required to be taken into account for U.S. federal income tax purposes;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(v)a statement that the U.S. Holder is making the election including (A) a copy of the information that the U.S. Holder received from ARYA establishing and substantiating the U.S. Holder’s “all earnings and profits amount” with respect to the U.S. Holder’s public shares and (B) a representation that the U.S. Holder has notified ARYA (or New Nautilus) that the U.S. Holder is making the election;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(vi)certain other information required to be furnished with the U.S. Holder’s tax return or otherwise furnished pursuant to the Code or the Treasury Regulations.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election must be attached by an electing U.S. Holder to such U.S. Holder’s timely filed U.S. federal income tax return for the year of the Domestication, and the U.S. Holder must send notice of making the election to New Nautilus no later than the date such tax return is filed. In connection with this election, we intend to provide each U.S. Holder eligible to make such an election with information regarding ARYA’s earnings and profits upon written request.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 does not expect to have significant cumulative earnings and profits through the date of the Domestication. However, as noted above, if it were determined that ARYA had positive earnings and profits through </w:t>
      </w:r>
    </w:p>
    <w:p>
      <w:pPr>
        <w:pStyle w:val="HorizontalLine"/>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date of the Domestication, a U.S. Holder that makes the election described herein could have an “all earnings and profits amount” with respect to its public shares, and thus could be required to include that amount in income as a deemed dividend under applicable Treasury Regulations as a result of the Domestication.</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EACH U.S. HOLDER IS URGED TO CONSULT ITS TAX ADVISOR REGARDING THE CONSEQUENCES TO IT OF MAKING THE ELECTION DESCRIBED HEREIN AND THE APPROPRIATE FILING REQUIREMENTS WITH RESPECT TO SUCH ELECTION.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C.U.S. Holders that Own Public Shares with a Fair Market Value of Less Than $50,000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and constructively) public shares with a fair market value less than $50,000 generally should not be required to recognize any gain or loss under Section 367(b) of the Code in connection with the Domestication, and generally should not be required to include any part of the “all earnings and profits amount” in income.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WITH RESPECT TO THE EFFECT OF SECTION 367(b) OF THE CODE TO THEIR PARTICULAR CIRCUMSTANCES.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PFIC Considerations</w:t>
      </w:r>
    </w:p>
    <w:p>
      <w:pPr>
        <w:pStyle w:val="TextBody"/>
        <w:spacing w:lineRule="auto" w:line="288" w:before="0" w:after="180"/>
        <w:ind w:left="0" w:right="0" w:firstLine="360"/>
        <w:rPr/>
      </w:pPr>
      <w:r>
        <w:rPr>
          <w:rFonts w:ascii="Times New Roman;sans-serif" w:hAnsi="Times New Roman;sans-serif"/>
          <w:b w:val="false"/>
          <w:color w:val="000000"/>
          <w:sz w:val="20"/>
        </w:rPr>
        <w:t>In addition to the discussion under “</w:t>
      </w:r>
      <w:r>
        <w:rPr>
          <w:color w:val="000000"/>
        </w:rPr>
        <w:t>—</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 the Domestication could be a taxable event to U.S. Holders under the PFIC provisions of the Code.</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A.Definition of a PFIC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which may apply to ARYA prior to the Domestication, interest income earned by ARYA would be considered passive income and cash held by ARYA would be considered a passive asset.</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B.PFIC Status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ARYA is a blank check company with no current active business, based upon the composition of its income and assets, and upon a review of its financial statements, ARYA believes that it likely was a PFIC for its most recent taxable year ended on December 31, 2020 and will likely be considered a PFIC for its current taxable year which ends as a result of the Domestication.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C.Effects of PFIC Rules on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to U.S. Holders of public shares upon the Domestication if (i) ARYA were classified as a PFIC at any time during such U.S. Holder’s holding period for such public shares and (ii) the U.S. Holder had not timely made (a) a QEF Election (as described below) for the first taxable year in which the U.S. Holder owned such public shares or in which ARYA was a PFIC, whichever is later, or (b) a mark-to-market election (as described below) with respect to such public shares. The tax on any such recognized gain would be imposed based on a complex set of computational rules.</w:t>
      </w:r>
    </w:p>
    <w:p>
      <w:pPr>
        <w:pStyle w:val="HorizontalLine"/>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these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U.S. Holder’s gain will be allocated ratably over the U.S. Holder’s holding period for such U.S. Holder’s public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 of gain allocated to the U.S. Holder’s taxable year in which the U.S. Holder recognized the gain, or to the period in the U.S. Holder’s holding period before the first day of the first taxable year in which ARYA was a PFIC, will be taxed as ordinary income;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 of gain allocated to other taxable years (or portions thereof) of the U.S. Holder and included in such U.S. Holder’s holding period would be taxed at the highest tax rate in effect for that year and applicable to the U.S. Holder;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additional tax equal to the interest charge generally applicable to underpayments of tax will be imposed on the U.S. Holder in respect of the tax attributable to each such other taxable year of such U.S. Holder.</w:t>
      </w:r>
    </w:p>
    <w:p>
      <w:pPr>
        <w:pStyle w:val="TextBody"/>
        <w:spacing w:lineRule="auto" w:line="288" w:before="0" w:after="180"/>
        <w:ind w:left="0" w:right="0" w:firstLine="360"/>
        <w:rPr/>
      </w:pPr>
      <w:r>
        <w:rPr>
          <w:rFonts w:ascii="Times New Roman;sans-serif" w:hAnsi="Times New Roman;sans-serif"/>
          <w:b w:val="false"/>
          <w:color w:val="000000"/>
          <w:sz w:val="20"/>
        </w:rPr>
        <w:t>In addition, the proposed Treasury Regulations provide coordinating rules with Section 367(b) of the Code, whereby, if the gain recognition rule of the proposed Treasury Regulations under Section 1291(f) of the Code applies to a disposition of PFIC stock that results from a transfer with respect to which Section 367(b) of the Code requires the shareholder to recognize gain or include an amount in income as discussed under the “</w:t>
      </w:r>
      <w:r>
        <w:rPr>
          <w:color w:val="000000"/>
        </w:rPr>
        <w:t>—</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 the gain realized on the transfer is taxable under the PFIC rules discussed above, and the excess, if any, of the amount to be included in income under Section 367(b) of the Code over the gain realized under Section 1291 of the Code is taxable as provided under Section 367(b)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difficult to predict whether, in what form and with what effective date, final Treasury Regulations under Section 1291(f) of the Code will be adopted. Therefore, U.S. Holders of public shares that have not made a timely QEF Election or a mark-to-market election (both as defined and described below) may, pursuant to the proposed Treasury Regulations, be subject to taxation on the Domestication to the extent their public shares have a fair market value in excess of their tax basis therein. An Electing Shareholder (as defined below) generally would not be subject to the adverse PFIC rules discussed above with respect to its public shares but rather would include annually in gross income its pro rata share of the ordinary earnings and net capital gain of ARYA, whether or not such amounts are actually distributed to such shareholders in any taxable year.</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D.QEF Election and Mark-to-Market Election</w:t>
      </w:r>
    </w:p>
    <w:p>
      <w:pPr>
        <w:pStyle w:val="TextBody"/>
        <w:spacing w:lineRule="auto" w:line="288" w:before="0" w:after="180"/>
        <w:ind w:left="0" w:right="0" w:firstLine="360"/>
        <w:rPr/>
      </w:pPr>
      <w:r>
        <w:rPr>
          <w:rFonts w:ascii="Times New Roman;sans-serif" w:hAnsi="Times New Roman;sans-serif"/>
          <w:b w:val="false"/>
          <w:color w:val="000000"/>
          <w:sz w:val="20"/>
        </w:rPr>
        <w:t>The impact of the PFIC rules on a U.S. Holder of public shares will depend on whether the U.S. Holder makes a timely and effective election to treat ARYA as a “qualified electing fund” under Section 1295 of the Code for the taxable year that is the first year in the U.S. Holder’s holding period of public shares during which ARYA qualified as a PFIC (a “QEF Election”). 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A U.S. Holder’s ability to make a QEF Election with respect to ARYA is contingent upon, among other things, the provision by ARYA of a “PFIC Annual Information Statement” to such U.S. Holder. Upon written request, we will endeavor to provide to a U.S. Holder such information as the IRS may require, including a PFIC Annual Information Statement, in order to enable the U.S. Holder to make and maintain a QEF Election. There is no assurance, however, that we would timely provide such required information. A U.S. Holder that makes a QEF Election may be referred to as an “Electing Shareholder” and a U.S. Holder that does not make a QEF Election may be referred to as a “Non-Electing Shareholder.” An Electing Shareholder generally would not be subject to the adverse PFIC rules discussed above with respect to their public shares. As a result, such a U.S. Holder should not recognize gain or loss as a result of the Domestication except to the extent described under “—</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 PFIC rules on a U.S. Holder of public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public shares.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CONCERNING THE CONSEQUENCES TO THEM OF THE PFIC RULES AND WHETHER A QEF ELECTION, A MARK-TO-MARKET ELECTION OR ANY OTHER ELECTION IS AVAILABLE AND THE CONSEQUENCES TO THEM OF ANY SUCH ELECTION.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to U.S. Holders of Exercising Redemption Rights</w:t>
      </w:r>
    </w:p>
    <w:p>
      <w:pPr>
        <w:pStyle w:val="TextBody"/>
        <w:spacing w:lineRule="auto" w:line="288" w:before="0" w:after="180"/>
        <w:ind w:left="0" w:right="0" w:firstLine="360"/>
        <w:rPr/>
      </w:pPr>
      <w:r>
        <w:rPr>
          <w:rFonts w:ascii="Times New Roman;sans-serif" w:hAnsi="Times New Roman;sans-serif"/>
          <w:b w:val="false"/>
          <w:color w:val="000000"/>
          <w:sz w:val="20"/>
        </w:rPr>
        <w:t>The U.S. federal income tax consequences to a U.S. Holder of public shares (which will be exchanged for shares of New Nautilus Common Stock in the Domestication) that exercises its redemption rights to receive cash from the trust account in exchange for all or a portion of its shares of New Nautilus Common Stock will depend on whether the redemption qualifies as a sale of the shares of New Nautilus Common Stock redeemed under Section 302 of the Code or is treated as a distribution under Section 301 of the Code. If the redemption qualifies as a sale of such U.S. Holder’s shares of New Nautilus Common Stock redeemed, such U.S. Holder will generally be treated in the same manner as described under “—</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redemption of shares of New Nautilus Common Stock generally will qualify as a sale of the shares of New Nautilus Common Stock redeemed if such redemption either (i) is “substantially disproportionate” with respect to the redeeming U.S. Holder, (ii) results in a “complete termination” of such U.S. Holder’s interest in New Nautilus or (iii) is “not essentially equivalent to a dividend” with respect to such U.S. Holder. These tests are explained more fully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such tests, a U.S. Holder takes into account not only shares of New Nautilus Common Stock actually owned by such U.S. Holder, but also shares of New Nautilus Common Stock that are constructively owned by such U.S. Holder. A redeeming U.S. Holder may constructively own, in addition to shares of New Nautilus Common Stock owned directly, shares of New Nautilus Common Stock owned by certain related individuals and entities in which such U.S. Holder has an interest or that have an interest in such U.S. Holder, as well as any shares of New Nautilus Common Stock such U.S. Holder has a right to acquire by exercise of an option.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redemption of shares of New Nautilus Common Stock generally will be “substantially disproportionate” with respect to a redeeming U.S. Holder if the percentage of New Nautilus’ outstanding voting shares that such U.S. Holder actually or constructively owns immediately after the redemption is less than 80 percent of the percentage of New Nautilus’ outstanding voting shares that such U.S. Holder actually or constructively owned immediately before the redemption, and such U.S. Holder immediately after the redemption actually and constructively owned less than 50 percent of the total combined voting power of New Nautilus Common Stock. There will be a complete termination of such U.S. Holder’s interest if either (i) all of the shares of New Nautilus Common Stock actually or constructively owned by such U.S. Holder are redeemed or (ii) all of the shares of New Nautilus Common Stock actually owned by such U.S. Holder are redeemed and such U.S. Holder is eligible to waive, and effectively waives in accordance with specific rules, the attribution of the shares of New Nautilus Common Stock owned by certain family members and such U.S. Holder does not constructively own any other shares of New Nautilus Common Stock. The redemption of shares of New Nautilus Common Stock will not be essentially equivalent to a dividend if it results in a “meaningful reduction” of such U.S. Holder’s proportionate interest in New Nautilus. Whether the redemption will result in a “meaningful reduction” in such U.S. Holder’s proportionate interest will depend on the particular facts and circumstances applicable to it. The IRS has indicated in a published ruling that even a small </w:t>
      </w: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reduction in the proportionate interest of a small minority shareholder in a publicly held corporation who exercises no control over corporate affairs may constitute such a “meaningful reduction.”</w:t>
      </w:r>
    </w:p>
    <w:p>
      <w:pPr>
        <w:pStyle w:val="TextBody"/>
        <w:spacing w:lineRule="auto" w:line="288" w:before="0" w:after="180"/>
        <w:ind w:left="0" w:right="0" w:firstLine="360"/>
        <w:rPr/>
      </w:pPr>
      <w:r>
        <w:rPr>
          <w:rFonts w:ascii="Times New Roman;sans-serif" w:hAnsi="Times New Roman;sans-serif"/>
          <w:b w:val="false"/>
          <w:color w:val="000000"/>
          <w:sz w:val="20"/>
        </w:rPr>
        <w:t>If none of the above tests is satisfied, a redemption will be treated as a distribution with respect to the shares of New Nautilus Common Stock, the U.S. federal income tax consequences of which are described above under “</w:t>
      </w:r>
      <w:r>
        <w:rPr>
          <w:color w:val="000000"/>
        </w:rPr>
        <w:t xml:space="preserve">— </w:t>
      </w:r>
      <w:r>
        <w:rPr>
          <w:rFonts w:ascii="Times New Roman;sans-serif" w:hAnsi="Times New Roman;sans-serif"/>
          <w:b w:val="false"/>
          <w:i/>
          <w:color w:val="000000"/>
          <w:sz w:val="20"/>
        </w:rPr>
        <w:t>Distributions on Shares of New Nautilus Common Stock</w:t>
      </w:r>
      <w:r>
        <w:rPr>
          <w:color w:val="000000"/>
        </w:rPr>
        <w:t xml:space="preserve">” </w:t>
      </w:r>
      <w:r>
        <w:rPr>
          <w:rFonts w:ascii="Times New Roman;sans-serif" w:hAnsi="Times New Roman;sans-serif"/>
          <w:b w:val="false"/>
          <w:color w:val="000000"/>
          <w:sz w:val="20"/>
        </w:rPr>
        <w:t>below. After the application of those rules, any remaining tax basis of the U.S. Holder in the redeemed New Nautilus Common Stock will be added to the U.S. Holder’s adjusted tax basis in its remaining shares, or, if it has none, to the U.S. Holder’s adjusted tax basis possibly in other shares constructively owned by it.</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AS TO THE TAX CONSEQUENCES TO THEM OF A REDEMPTION OF ALL OR A PORTION OF THEIR SHARES OF NEW NAUTILUS COMMON STOCK PURSUANT TO AN EXERCISE OF REDEMPTION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the Domestication will occur immediately prior to the redemption of U.S. Holders that exercise redemption rights, U.S. Holders exercising redemption rights will take into account the potential tax consequences of Section 367(b) of the Code as a result of the Domestication (discussed further above).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Distributions on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A U.S. Holder generally will be required to include in gross income as dividends the amount of any cash distribution paid with respect to shares of New Nautilus Common Stock, to the extent the distribution is paid out of New Nautilus’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New Nautilus Common Stock. Any remaining excess will be treated as gain realized on the sale or other disposition of the shares of New Nautilus Common Stock and will be treated as described under “</w:t>
      </w:r>
      <w:r>
        <w:rPr>
          <w:color w:val="000000"/>
        </w:rPr>
        <w:t>—</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Dividends that New Nautilus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New Nautilus pays to a non-corporate U.S. Holder may be taxed as “qualified dividend income” at the preferential tax rate accorded to long-term capital gains. It is unclear whether the redemption rights described herein with respect to the shares of New Nautilus Common Stock may have suspended the running of the applicable holding period for these purposes.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Sale, Exchange or Other Disposition of Shares of New Nautilus Common Stock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a sale or other taxable disposition of shares of New Nautilus Common Stock which, in general, would include a redemption of shares of New Nautilus Common Stock that is treated as a sale of such securities as described above and below, a U.S. Holder generally will recognize capital gain or loss. Any such capital gain or loss generally will be long-term capital gain or loss if the U.S. Holder’s holding period for the shares of New Nautilus Common Stock so disposed of exceeds one year. It is unclear, however, whether the redemption rights described herein with respect to the shares of New Nautilus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pStyle w:val="TextBody"/>
        <w:spacing w:lineRule="auto" w:line="288" w:before="0" w:after="180"/>
        <w:ind w:left="0" w:right="0" w:firstLine="360"/>
        <w:rPr/>
      </w:pPr>
      <w:r>
        <w:rPr>
          <w:rFonts w:ascii="Times New Roman;sans-serif" w:hAnsi="Times New Roman;sans-serif"/>
          <w:b w:val="false"/>
          <w:color w:val="000000"/>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New Nautilus Common Stock so disposed of. See “</w:t>
      </w:r>
      <w:r>
        <w:rPr>
          <w:color w:val="000000"/>
        </w:rPr>
        <w:t>—</w:t>
      </w:r>
      <w:r>
        <w:rPr>
          <w:rFonts w:ascii="Times New Roman;sans-serif" w:hAnsi="Times New Roman;sans-serif"/>
          <w:b w:val="false"/>
          <w:i/>
          <w:color w:val="000000"/>
          <w:sz w:val="20"/>
        </w:rPr>
        <w:t>Effects of Domestication on U.S. Holders</w:t>
      </w:r>
      <w:r>
        <w:rPr>
          <w:color w:val="000000"/>
        </w:rPr>
        <w:t xml:space="preserve">” </w:t>
      </w:r>
      <w:r>
        <w:rPr>
          <w:rFonts w:ascii="Times New Roman;sans-serif" w:hAnsi="Times New Roman;sans-serif"/>
          <w:b w:val="false"/>
          <w:color w:val="000000"/>
          <w:sz w:val="20"/>
        </w:rPr>
        <w:t>above for discussion of a U.S. Holder’s adjusted tax basis in its shares of New Nautilus Common Stock following the Domestication.</w:t>
      </w:r>
    </w:p>
    <w:p>
      <w:pPr>
        <w:pStyle w:val="HorizontalLine"/>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used herein, a “non-U.S. Holder” is a beneficial owner (other than a partnership or entity treated as a partnership for U.S. federal income tax purposes) of public shares or New Nautilus Common Stock that is not a U.S. 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describes U.S. federal income tax considerations relating to the Domestication, (ii) exercise of redemption rights and (iii) ownership and disposition of shares of New Nautilus Common Stock by a non-U.S. Holder after the Domestication.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the Domestication on Non-U.S.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does not expect the Domestication to result in any U.S. federal income tax consequences to non-U.S. Holders of public shares.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to Non-U.S. Holders of Exercising Redemption Rights</w:t>
      </w:r>
    </w:p>
    <w:p>
      <w:pPr>
        <w:pStyle w:val="TextBody"/>
        <w:spacing w:lineRule="auto" w:line="288" w:before="0" w:after="180"/>
        <w:ind w:left="0" w:right="0" w:firstLine="360"/>
        <w:rPr/>
      </w:pPr>
      <w:r>
        <w:rPr>
          <w:rFonts w:ascii="Times New Roman;sans-serif" w:hAnsi="Times New Roman;sans-serif"/>
          <w:b w:val="false"/>
          <w:color w:val="000000"/>
          <w:sz w:val="20"/>
        </w:rPr>
        <w:t>Because the Domestication will occur immediately prior to the redemption of non-U.S. Holders that exercise redemption rights with respect to our public shares, the U.S. federal income tax consequences to a non-U.S. Holder of shares of New Nautilus Common Stock that exercises its redemption rights to receive cash from the trust account in exchange for all or a portion of its shares of New Nautilus Common Stock will depend on whether the redemption qualifies as a sale of the shares of New Nautilus Common Stock redeemed, as described above under “</w:t>
      </w:r>
      <w:r>
        <w:rPr>
          <w:color w:val="000000"/>
        </w:rPr>
        <w:t>—</w:t>
      </w:r>
      <w:r>
        <w:rPr>
          <w:rFonts w:ascii="Times New Roman;sans-serif" w:hAnsi="Times New Roman;sans-serif"/>
          <w:b w:val="false"/>
          <w:i/>
          <w:color w:val="000000"/>
          <w:sz w:val="20"/>
        </w:rPr>
        <w:t>U.S. Holders—Effects to U.S. Holders of Exercising Redemption Rights</w:t>
      </w:r>
      <w:r>
        <w:rPr>
          <w:rFonts w:ascii="Times New Roman;sans-serif" w:hAnsi="Times New Roman;sans-serif"/>
          <w:b w:val="false"/>
          <w:color w:val="000000"/>
          <w:sz w:val="20"/>
        </w:rPr>
        <w:t>.” If such a redemption qualifies as a sale of shares of New Nautilus Common Stock, the U.S. federal income tax consequences to the non-U.S. Holder will be as described below under “</w:t>
      </w:r>
      <w:r>
        <w:rPr>
          <w:color w:val="000000"/>
        </w:rPr>
        <w:t>—</w:t>
      </w:r>
      <w:r>
        <w:rPr>
          <w:rFonts w:ascii="Times New Roman;sans-serif" w:hAnsi="Times New Roman;sans-serif"/>
          <w:b w:val="false"/>
          <w:i/>
          <w:color w:val="000000"/>
          <w:sz w:val="20"/>
        </w:rPr>
        <w:t>U.S. Holders—Sale, Exchange or Other Disposition of Shares of New Nautilus Common Stock</w:t>
      </w:r>
      <w:r>
        <w:rPr>
          <w:rFonts w:ascii="Times New Roman;sans-serif" w:hAnsi="Times New Roman;sans-serif"/>
          <w:b w:val="false"/>
          <w:color w:val="000000"/>
          <w:sz w:val="20"/>
        </w:rPr>
        <w:t>.” If such a redemption does not qualify as a sale of shares of New Nautilus Common Stock, the non-U.S. Holder will be treated as receiving a distribution, the U.S. federal income tax consequences of which are described below under “</w:t>
      </w:r>
      <w:r>
        <w:rPr>
          <w:color w:val="000000"/>
        </w:rPr>
        <w:t>—</w:t>
      </w:r>
      <w:r>
        <w:rPr>
          <w:rFonts w:ascii="Times New Roman;sans-serif" w:hAnsi="Times New Roman;sans-serif"/>
          <w:b w:val="false"/>
          <w:i/>
          <w:color w:val="000000"/>
          <w:sz w:val="20"/>
        </w:rPr>
        <w:t>Non-U.S. Holders— Distributions on Shares of New Nautilus Common Stock</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Distributions on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In general, any distributions made to a non-U.S. Holder with respect to shares of New Nautilus Common Stock, to the extent paid out of New Nautilus’ current or accumulated earnings and profits (as determined under U.S. federal income tax principles), will constitute dividends for U.S. federal income tax purposes and, provided such dividends are not effectively connected with such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New Nautilus Common Stock and then, to the extent such distribution exceeds the non-U.S. Holder’s adjusted tax basis, as gain realized from the sale or other disposition of such shares of New Nautilus Common Stock, which will be treated as described under “</w:t>
      </w:r>
      <w:r>
        <w:rPr>
          <w:color w:val="000000"/>
        </w:rPr>
        <w:t>—</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Dividends paid by New Nautilus to a non-U.S. Holder that are effectively connected with such non-U.S. Holder’s conduct of a trade or business within the United States (and if an income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w:t>
      </w:r>
    </w:p>
    <w:p>
      <w:pPr>
        <w:pStyle w:val="HorizontalLine"/>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Sale, Exchange or Other Disposition of Shares of New Nautilus Common Stock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non-U.S. Holder will generally not be subject to U.S. federal income tax on gain realized on a sale or other disposition of shares of New Nautilus Common Stock unless: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(i)such non-U.S. Holder is an individual who was present in the United States for 183 days or more in the taxable year of such disposition (subject to certain exceptions as a result of the COVID pandemic) and certain other requirements are met, in which case any gain realized will generally be subject to a flat 30% U.S. federal income tax;</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(ii)the gain is effectively connected with a trade or business of such non-U.S. Holder in the United States (and if an income tax treaty applies, is attributable to a U.S. permanent establishment or fixed base maintained by such non-U.S. Holder), in which case such gain will be subject to U.S. federal income tax, net of certain deductions, at the same graduated individual or corporate rates applicable to U.S. Holders, and, if the non-U.S. Holder is a corporation, an additional “branch profits tax” may also apply;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(iii)New Nautilus is or has been a “U.S. real property holding corporation” at any time during the shorter of the five-year period preceding such disposition and such non-U.S. Holder’s holding period and either (A) the shares of New Nautilus Common Stock has ceased to be regularly traded on an established securities market or (B) such non-U.S. Holder has owned or is deemed to have owned, at any time during the shorter of the five-year period preceding such disposition and such non-U.S. Holder’s holding period more than 5% of outstanding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paragraph (iii) above applies to a non-U.S. Holder, gain recognized by such non-U.S. Holder on the sale, exchange or other disposition of shares of New Nautilus Common Stock will be subject to tax at generally applicable U.S. federal income tax rates. In addition, a buyer of such shares of New Nautilus Common Stock from a non-U.S. Holder may be required to withhold U.S. income tax at a rate of 15% of the amount realized upon such disposition. New Nautilus will be classified as a “U.S. real property holding corporation”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We do not expect New Nautilus to be classified as a “U.S. real property holding corporation” following the Business Combination. However, such determination is factual and in nature and subject to change and no assurance can be provided as to whether New Nautilus will be a U.S. real property holding corporation with respect to a non-U.S. Holder following the Business Combination or at any future time.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Information Reporting Requirements and Backup Withholding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Information returns will be filed with the IRS in connection with payments of dividends on and the proceeds from a sale or other disposition of shares of New Nautilus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Foreign Account Tax Compliance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public shares and shares of New Nautilus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w:t>
      </w:r>
    </w:p>
    <w:p>
      <w:pPr>
        <w:pStyle w:val="HorizontalLine"/>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public shares and shares of New Nautilus Common Stock are held will affect the determination of whether such withholding is required. Similarly, dividends in respect of, and (subject to the proposed Treasury Regulations discussed below) gross proceeds from the sale or other disposition of, public shares and shares of New Nautilus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applicable Treasury Regulations and administrative guidance, withholding under FATCA generally applies to payments of dividends in respect of our securities. While withholding under FATCA generally would also apply to payments of gross proceeds from the sale or other disposition of securities (including shares of New Nautilus Common Stock),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public shares or shares of New Nautilus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FINANCIAL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balance sheet of New Nautilus as of December 31, 2020 and the unaudited pro forma combined statement of operations of New Nautilus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balance sheet as of December 31, 2020 combines the historical balance sheet of ARYA and the historical balance sheet of Nautilus as of December 31, 2020 on a pro forma basis as if the Business Combination and the PIPE Financing had been consummated on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statement of operations for the year ended December 31, 2020 combines the historical statement of operations of ARYA for the period from March 27, 2020 (inception) through December 31, 2020 and the historical statement of operations of Nautilus for the year ended December 31, 2020, giving effect to the transaction as if the Business Combination and the PIPE Financing had been consummated on January 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 </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unaudited pro forma combined information contained herein assumes that the ARYA’s shareholders approve the Business Combination. ARYA’s public shareholders may elect to redeem their public shares for cash even if they approve the Business Combination. ARYA cannot predict how many of its public shareholders will exercise their right to have their Class A ordinary shares redeemed for cash. As a result, New Nautilus has elected to provide the unaudited pro forma combined financial information under two different redemption scenarios, which produce different allocations of total New Nautilus equity between holders of the ordinary shares. As described in greater detail in Note 2,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xml:space="preserve">, of the unaudited pro forma combined financial information, the first scenario, or “no redemption scenario,” assumes that none of ARYA’s public shareholders will exercise their right to have their ARYA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two scenarios. However, there can be no assurance regarding which scenario will be closest to the actual results. Under both scenarios, Nautilus is considered the accounting acquirer, as further discussed in Note 2,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of the unaudited pro forma combined financial information.</w:t>
      </w:r>
    </w:p>
    <w:p>
      <w:pPr>
        <w:pStyle w:val="TextBody"/>
        <w:spacing w:lineRule="auto" w:line="288" w:before="0" w:after="180"/>
        <w:ind w:left="0" w:right="0" w:firstLine="360"/>
        <w:rPr/>
      </w:pPr>
      <w:r>
        <w:rPr>
          <w:rFonts w:ascii="Times New Roman;sans-serif" w:hAnsi="Times New Roman;sans-serif"/>
          <w:b w:val="false"/>
          <w:color w:val="000000"/>
          <w:sz w:val="20"/>
        </w:rPr>
        <w:t>The unaudited pro forma combined financial information is based on and should be read in conjunction with the audited historical financial statements of each of ARYA and Nautilus and the notes thereto, as well as the disclosures contained in the sections titled “</w:t>
      </w:r>
      <w:r>
        <w:rPr>
          <w:rFonts w:ascii="Times New Roman;sans-serif" w:hAnsi="Times New Roman;sans-serif"/>
          <w:b w:val="false"/>
          <w:i/>
          <w:color w:val="000000"/>
          <w:sz w:val="20"/>
        </w:rPr>
        <w:t>ARYA’s Management’s Discussion and Analysis of Financial Condition and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Nautilus’ Management’s Discussion and Analysis of Financial Condition and Results of Operations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v:rect>
            </w:pict>
          </mc:Fallback>
        </mc:AlternateContent>
      </w:r>
    </w:p>
    <w:p>
      <w:pPr>
        <w:pStyle w:val="TextBody"/>
        <w:spacing w:before="0" w:after="180"/>
        <w:ind w:left="0" w:right="0" w:firstLine="360"/>
        <w:rPr/>
      </w:pPr>
      <w:r>
        <w:rPr/>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Balance Sheet</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As of December 31, 2020</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605" w:type="dxa"/>
        <w:jc w:val="left"/>
        <w:tblInd w:w="0" w:type="dxa"/>
        <w:tblCellMar>
          <w:top w:w="28" w:type="dxa"/>
          <w:left w:w="28" w:type="dxa"/>
          <w:bottom w:w="28" w:type="dxa"/>
          <w:right w:w="28" w:type="dxa"/>
        </w:tblCellMar>
      </w:tblPr>
      <w:tblGrid>
        <w:gridCol w:w="610"/>
        <w:gridCol w:w="293"/>
        <w:gridCol w:w="208"/>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25"/>
        <w:gridCol w:w="125"/>
        <w:gridCol w:w="126"/>
        <w:gridCol w:w="109"/>
        <w:gridCol w:w="109"/>
        <w:gridCol w:w="109"/>
        <w:gridCol w:w="109"/>
        <w:gridCol w:w="109"/>
        <w:gridCol w:w="109"/>
        <w:gridCol w:w="196"/>
        <w:gridCol w:w="736"/>
        <w:gridCol w:w="109"/>
        <w:gridCol w:w="109"/>
        <w:gridCol w:w="109"/>
        <w:gridCol w:w="109"/>
        <w:gridCol w:w="196"/>
        <w:gridCol w:w="661"/>
        <w:gridCol w:w="109"/>
        <w:gridCol w:w="109"/>
        <w:gridCol w:w="109"/>
        <w:gridCol w:w="109"/>
        <w:gridCol w:w="125"/>
        <w:gridCol w:w="125"/>
        <w:gridCol w:w="126"/>
        <w:gridCol w:w="109"/>
        <w:gridCol w:w="109"/>
        <w:gridCol w:w="109"/>
        <w:gridCol w:w="196"/>
        <w:gridCol w:w="736"/>
        <w:gridCol w:w="154"/>
      </w:tblGrid>
      <w:tr>
        <w:trPr/>
        <w:tc>
          <w:tcPr>
            <w:tcW w:w="61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9"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held in Trust Account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 term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underwriting commissions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convertible preferred stock:</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Seed redeemable convertible preferred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redeemable convertible preferred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B redeemable convertible preferred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redeemable convertible preferred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subject to possible redemption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 (deficit):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tbl>
      <w:tblPr>
        <w:tblW w:w="10567" w:type="dxa"/>
        <w:jc w:val="left"/>
        <w:tblInd w:w="0" w:type="dxa"/>
        <w:tblCellMar>
          <w:top w:w="28" w:type="dxa"/>
          <w:left w:w="28" w:type="dxa"/>
          <w:bottom w:w="28" w:type="dxa"/>
          <w:right w:w="28" w:type="dxa"/>
        </w:tblCellMar>
      </w:tblPr>
      <w:tblGrid>
        <w:gridCol w:w="683"/>
        <w:gridCol w:w="252"/>
        <w:gridCol w:w="236"/>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96"/>
        <w:gridCol w:w="736"/>
        <w:gridCol w:w="109"/>
        <w:gridCol w:w="109"/>
        <w:gridCol w:w="109"/>
        <w:gridCol w:w="109"/>
        <w:gridCol w:w="196"/>
        <w:gridCol w:w="661"/>
        <w:gridCol w:w="109"/>
        <w:gridCol w:w="109"/>
        <w:gridCol w:w="109"/>
        <w:gridCol w:w="109"/>
        <w:gridCol w:w="109"/>
        <w:gridCol w:w="109"/>
        <w:gridCol w:w="109"/>
        <w:gridCol w:w="109"/>
        <w:gridCol w:w="109"/>
        <w:gridCol w:w="109"/>
        <w:gridCol w:w="196"/>
        <w:gridCol w:w="736"/>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Nautilus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Preference shares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redeemable convertible preferred stock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UNAUDITED PRO FORMA</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COMBINED STATEMENT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49" w:type="dxa"/>
        <w:jc w:val="left"/>
        <w:tblInd w:w="0" w:type="dxa"/>
        <w:tblCellMar>
          <w:top w:w="28" w:type="dxa"/>
          <w:left w:w="28" w:type="dxa"/>
          <w:bottom w:w="28" w:type="dxa"/>
          <w:right w:w="28" w:type="dxa"/>
        </w:tblCellMar>
      </w:tblPr>
      <w:tblGrid>
        <w:gridCol w:w="584"/>
        <w:gridCol w:w="263"/>
        <w:gridCol w:w="264"/>
        <w:gridCol w:w="278"/>
        <w:gridCol w:w="683"/>
        <w:gridCol w:w="109"/>
        <w:gridCol w:w="109"/>
        <w:gridCol w:w="109"/>
        <w:gridCol w:w="109"/>
        <w:gridCol w:w="196"/>
        <w:gridCol w:w="675"/>
        <w:gridCol w:w="109"/>
        <w:gridCol w:w="109"/>
        <w:gridCol w:w="109"/>
        <w:gridCol w:w="109"/>
        <w:gridCol w:w="231"/>
        <w:gridCol w:w="480"/>
        <w:gridCol w:w="130"/>
        <w:gridCol w:w="109"/>
        <w:gridCol w:w="109"/>
        <w:gridCol w:w="109"/>
        <w:gridCol w:w="125"/>
        <w:gridCol w:w="125"/>
        <w:gridCol w:w="126"/>
        <w:gridCol w:w="109"/>
        <w:gridCol w:w="109"/>
        <w:gridCol w:w="109"/>
        <w:gridCol w:w="260"/>
        <w:gridCol w:w="791"/>
        <w:gridCol w:w="109"/>
        <w:gridCol w:w="109"/>
        <w:gridCol w:w="109"/>
        <w:gridCol w:w="109"/>
        <w:gridCol w:w="231"/>
        <w:gridCol w:w="480"/>
        <w:gridCol w:w="130"/>
        <w:gridCol w:w="109"/>
        <w:gridCol w:w="109"/>
        <w:gridCol w:w="109"/>
        <w:gridCol w:w="125"/>
        <w:gridCol w:w="125"/>
        <w:gridCol w:w="126"/>
        <w:gridCol w:w="109"/>
        <w:gridCol w:w="109"/>
        <w:gridCol w:w="109"/>
        <w:gridCol w:w="258"/>
        <w:gridCol w:w="793"/>
        <w:gridCol w:w="154"/>
      </w:tblGrid>
      <w:tr>
        <w:trPr/>
        <w:tc>
          <w:tcPr>
            <w:tcW w:w="5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6"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Common Stock</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124,482,062 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115,729,962 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 Common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 Class A</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B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3,764,852 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 Class B</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8,017,976 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1—Description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entered into the Business Combination Agreement with Nautilus. ARYA will change its jurisdiction of incorporation by deregistering as an exempted company in the Cayman Islands and continuing and domesticating as a corporation incorporated under the laws of the State of Delaware (the “Domestication”), upon which ARYA will change its name to “Nautilus Biotechnology, Inc.” (“New Nautilus”). Immediately after the Domestication, Mako Merger Sub, Inc. will merge with and into Nautilus, with Nautilus as the surviving company in the Merger and, after giving effect to such Merger, Nautilus shall be a wholly-owned subsidiary of New Nautilus. After giving effect to the Business Combination, New Nautilus will own, directly or indirectly, all of the issued and outstanding equity interests of Nautilus and the Nautilus equity holders will hold a portion of the common stock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of the Business Combination Agreement, the consideration to be received by the Nautilus equity holders in connection with the Business Combination will be an aggregate number of shares of New Nautilus Common Stock equal to (i) $900.0 million plus $24.9 million, which reflects the estimated aggregate exercise price of all options (whether vested or unvested) of Nautilus at the consummation of the Business Combination if such options were exercised in full (in each case, subject to certain downward adjustments set forth in the Business Combination Agreement), divided by (ii) $10.00. In addition, immediately prior to the completion of the Business Combination, certain investors have agreed to subscribe for and purchase an aggregate of $200.0 million of common stock of New Nautilus (the “PIPE Financing”).</w:t>
      </w:r>
    </w:p>
    <w:p>
      <w:pPr>
        <w:pStyle w:val="HorizontalLine"/>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number of New Nautilus Common Stock outstanding following the consummation of the Business Combination and the PIPE Financing under the two scenarios, based on the estimated aggregate exercise price of all options (whether vested or unvested) of Nautilus at the consummation of the Business Combination excluding the potential dilutive effect of the exercise or vesting of stock options:</w:t>
      </w:r>
    </w:p>
    <w:tbl>
      <w:tblPr>
        <w:tblW w:w="9810" w:type="dxa"/>
        <w:jc w:val="left"/>
        <w:tblInd w:w="0" w:type="dxa"/>
        <w:tblCellMar>
          <w:top w:w="28" w:type="dxa"/>
          <w:left w:w="28" w:type="dxa"/>
          <w:bottom w:w="28" w:type="dxa"/>
          <w:right w:w="28" w:type="dxa"/>
        </w:tblCellMar>
      </w:tblPr>
      <w:tblGrid>
        <w:gridCol w:w="1159"/>
        <w:gridCol w:w="1019"/>
        <w:gridCol w:w="1031"/>
        <w:gridCol w:w="592"/>
        <w:gridCol w:w="594"/>
        <w:gridCol w:w="196"/>
        <w:gridCol w:w="174"/>
        <w:gridCol w:w="174"/>
        <w:gridCol w:w="174"/>
        <w:gridCol w:w="307"/>
        <w:gridCol w:w="309"/>
        <w:gridCol w:w="434"/>
        <w:gridCol w:w="109"/>
        <w:gridCol w:w="109"/>
        <w:gridCol w:w="109"/>
        <w:gridCol w:w="592"/>
        <w:gridCol w:w="594"/>
        <w:gridCol w:w="220"/>
        <w:gridCol w:w="220"/>
        <w:gridCol w:w="220"/>
        <w:gridCol w:w="220"/>
        <w:gridCol w:w="332"/>
        <w:gridCol w:w="284"/>
        <w:gridCol w:w="638"/>
      </w:tblGrid>
      <w:tr>
        <w:trPr/>
        <w:tc>
          <w:tcPr>
            <w:tcW w:w="115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 scenario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redemption scenario</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w:t>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6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A Shareholders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6,696,900 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B Sponsor Shares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3,737,500 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PIPE Investor</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 Investors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14,500,000 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Nautilus Shareholders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85,295,562 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85,295,562 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124,482,062 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115,729,962 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pro forma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the Business Combination to be accounted for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 holders of Nautilus will hold the majority of voting rights in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 holders of Nautilus will have the right to appoint the majority of the directors on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Senior management of Nautilus will comprise the senior management of New Nautilus;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Operations of Nautilus will comprise the ongoing operations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reverse recapitalization model, the Business Combination will be treated as Nautilus issuing equity for the net assets of ARYA, with no goodwill or intangible assets recorded.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has been prepared using the assumptions below with respect to the potential redemption of ARYA’s Class A ordinary shares into cash:</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Assuming No Redemption</w:t>
      </w:r>
      <w:r>
        <w:rPr>
          <w:rFonts w:ascii="Times New Roman;sans-serif" w:hAnsi="Times New Roman;sans-serif"/>
          <w:b w:val="false"/>
          <w:color w:val="000000"/>
          <w:sz w:val="20"/>
        </w:rPr>
        <w:t>: 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Assuming Maximum Redemption</w:t>
      </w:r>
      <w:r>
        <w:rPr>
          <w:rFonts w:ascii="Times New Roman;sans-serif" w:hAnsi="Times New Roman;sans-serif"/>
          <w:b w:val="false"/>
          <w:color w:val="000000"/>
          <w:sz w:val="20"/>
        </w:rPr>
        <w:t xml:space="preserve">: This presentation assumes that 8,752,100 ARYA’s public shareholders exercise redemption rights with respect to their Class A ordinary shares. This scenario assumes that 8,752,100 Class A ordinary shares are redeemed for an aggregate redemption payment of approximately $87.5 million at an assumed redemption price of approximately $10.0 per share. This maximum redemption scenario is based on the maximum number of redemptions which may occur but which would still provide the minimum aggregate Business Combination and PIPE Financing proceeds of </w:t>
      </w:r>
    </w:p>
    <w:p>
      <w:pPr>
        <w:pStyle w:val="HorizontalLine"/>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$250.0 million, consisting of ARYA trust account funds and PIPE Financing proceeds less ARYA’s unpaid expenses, to be delivered at Closing of the Business Combination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actual facts are different than these assumptions, then the amounts and shares outstanding in the unaudited pro forma combined financial information will be different.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expects to assume outstanding and unexercised equity awards for employees and convert them into New Nautilus equity awards upon the consummation of the Business Combination. The terms of these new equity awards have not been finalized and remain subject to change. Accordingly, no effect has been given to the unaudited pro forma combined financial information for the new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 – Pro Forma Adjustments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Adjustments to the Unaudited Pro Forma Combined Balance Sheet as of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adjustments included in the unaudited pro forma combined balance sheet as of December 31, 2020 are as follows: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Reflects the liquidation and reclassification of $149.6 million of investments held in the Trust Account to cash and cash equivalents that becomes available for general use by New Nautilus following the Closing, assuming no redemption.</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Reflects the payment of $5.2 million of deferred underwriters’ fees incurred during ARYA’s IPO due upon the Closing.</w:t>
      </w:r>
    </w:p>
    <w:p>
      <w:pPr>
        <w:pStyle w:val="TextBody"/>
        <w:spacing w:lineRule="auto" w:line="288" w:before="0" w:after="180"/>
        <w:ind w:left="0" w:right="0" w:firstLine="36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Represents preliminary estimated direct and incremental transaction costs of $9.0 million incurred by Nautilus prior to, or concurrent with, the Closing. As of December 31, 2020, Nautilus had deferred transaction costs incurred of $0.2 million, of which $0.2 million was unpaid.</w: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val="false"/>
          <w:color w:val="000000"/>
          <w:sz w:val="20"/>
        </w:rPr>
        <w:t>Represents preliminary estimated direct and incremental transaction costs of $7.8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val="false"/>
          <w:color w:val="000000"/>
          <w:sz w:val="20"/>
        </w:rPr>
        <w:t>Reflects the proceeds of $200.0 million from the issuance and sale of 20.0 million shares of New Nautilus Common Stock at $10.00 per share pursuant to the Subscription Agreements entered into with New PIPE Investors in connection with the PIPE Financing.</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val="false"/>
          <w:color w:val="000000"/>
          <w:sz w:val="20"/>
        </w:rPr>
        <w:t>Reflects the reclassification of Class A Common Stock subject to possible redemption to permanent equity immediately prior to the Closing.</w:t>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val="false"/>
          <w:color w:val="000000"/>
          <w:sz w:val="20"/>
        </w:rPr>
        <w:t>Reflects the conversion of Nautilus redeemable convertible preferred stock into New Nautilus Common Stock pursuant to the conversion rate effective immediately prior to the Effective Time.</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val="false"/>
          <w:color w:val="000000"/>
          <w:sz w:val="20"/>
        </w:rPr>
        <w:t>Reflects the conversion of 3,737,500 ARYA shares of Class B Common Stock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w:t>
      </w:r>
      <w:r>
        <w:rPr>
          <w:rFonts w:ascii="Times New Roman;sans-serif" w:hAnsi="Times New Roman;sans-serif"/>
          <w:b w:val="false"/>
          <w:color w:val="000000"/>
          <w:sz w:val="20"/>
        </w:rPr>
        <w:t>Reflects net share settlement of Nautilus common stock warrants upon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J.</w:t>
      </w:r>
      <w:r>
        <w:rPr>
          <w:rFonts w:ascii="Times New Roman;sans-serif" w:hAnsi="Times New Roman;sans-serif"/>
          <w:b w:val="false"/>
          <w:color w:val="000000"/>
          <w:sz w:val="20"/>
        </w:rPr>
        <w:t>Represents the recapitalization of common shares between Nautilus Common Stock, New Nautilus Common Stock and additional paid-in capital.</w:t>
      </w:r>
    </w:p>
    <w:p>
      <w:pPr>
        <w:pStyle w:val="TextBody"/>
        <w:spacing w:lineRule="auto" w:line="288" w:before="0" w:after="180"/>
        <w:ind w:left="0" w:right="0" w:firstLine="360"/>
        <w:rPr/>
      </w:pPr>
      <w:r>
        <w:rPr>
          <w:rFonts w:ascii="Times New Roman;sans-serif" w:hAnsi="Times New Roman;sans-serif"/>
          <w:b w:val="false"/>
          <w:color w:val="000000"/>
          <w:sz w:val="20"/>
        </w:rPr>
        <w:t>K.</w:t>
      </w:r>
      <w:r>
        <w:rPr>
          <w:rFonts w:ascii="Times New Roman;sans-serif" w:hAnsi="Times New Roman;sans-serif"/>
          <w:b w:val="false"/>
          <w:color w:val="000000"/>
          <w:sz w:val="20"/>
        </w:rPr>
        <w:t>Reflects the elimination of ARYA’s historical accumulated deficit.</w:t>
      </w:r>
    </w:p>
    <w:p>
      <w:pPr>
        <w:pStyle w:val="HorizontalLine"/>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L.</w:t>
      </w:r>
      <w:r>
        <w:rPr>
          <w:rFonts w:ascii="Times New Roman;sans-serif" w:hAnsi="Times New Roman;sans-serif"/>
          <w:b w:val="false"/>
          <w:color w:val="000000"/>
          <w:sz w:val="20"/>
        </w:rPr>
        <w:t>Represents the maximum redemption scenario in which 8,752,100 shares of Class A Common Stock are redeemed for $87.5 million allocated to common stock and additional paid-in capital, using a par value of $0.0001 per share at a redemption price of $10.00 per share.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Adjustments to the Unaudited Pro Forma Combined Statement of Operations for the Year Ended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adjustments included in the unaudited pro forma combined statement of operations for the year ended December 31, 2020 are as follows: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AA. Represents the elimination of investment income related to the investments held in the ARYA Trust Account.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 Net Loss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 Under the maximum redemption scenario, the shares of Class A Common Stock assumed to be redeemed by ARYA public stockholders are eliminated as of January 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has been prepared assuming the no redemption and maximum redemption scenarios:</w:t>
      </w:r>
    </w:p>
    <w:tbl>
      <w:tblPr>
        <w:tblW w:w="8291" w:type="dxa"/>
        <w:jc w:val="left"/>
        <w:tblInd w:w="0" w:type="dxa"/>
        <w:tblCellMar>
          <w:top w:w="28" w:type="dxa"/>
          <w:left w:w="28" w:type="dxa"/>
          <w:bottom w:w="28" w:type="dxa"/>
          <w:right w:w="28" w:type="dxa"/>
        </w:tblCellMar>
      </w:tblPr>
      <w:tblGrid>
        <w:gridCol w:w="1758"/>
        <w:gridCol w:w="1543"/>
        <w:gridCol w:w="1558"/>
        <w:gridCol w:w="264"/>
        <w:gridCol w:w="922"/>
        <w:gridCol w:w="120"/>
        <w:gridCol w:w="109"/>
        <w:gridCol w:w="109"/>
        <w:gridCol w:w="109"/>
        <w:gridCol w:w="327"/>
        <w:gridCol w:w="1234"/>
        <w:gridCol w:w="238"/>
      </w:tblGrid>
      <w:tr>
        <w:trPr/>
        <w:tc>
          <w:tcPr>
            <w:tcW w:w="1758"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w:t>
              <w:br/>
              <w:t>December 31, 2020</w:t>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Redemption</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124,482,062 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115,729,962 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 per share - Basic and Diluted</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 - basic and diluted</w:t>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A shareholders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15,449,000 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6,696,900 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B Sponsor Shares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3,737,500 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PIPE Investor</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 Investors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14,500,000 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14,500,000 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Nautilus Shareholders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85,295,562 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85,295,562 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124,482,062 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115,729,962 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ABOUT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the issuance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 On August 11, 2020, we consummated an initial public offering of 14,950,000 Class A ordinary shares at an offering price of $10.00 per share, and a private placement with Sponsor of 499,000 private placement shares at an offering price of $10.00 per share.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our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 2021, funds in the trust account totaled approximately $          and were held in money market funds. These funds will remain in the trust account, except for the withdrawal of interest to pay taxes, if any, until the earliest of (i) the completion of our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subject to applicable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ARYA’s public shares are currently listed on Nasdaq under the symbol “ARYA”.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Financial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August 11, 2020, we had approximately $149.5 million held in the trust account, not taking into account payment of $5,232,500 of deferred underwriting fees.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ARYA’s cash, debt or equity securities, or a combination of the foregoing, we have the flexibility to use the most efficient combination that will allow us to tailor the consideration to be paid to the target business to fit its needs and desires.</w:t>
      </w:r>
    </w:p>
    <w:p>
      <w:pPr>
        <w:pStyle w:val="HorizontalLine"/>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Effecting Our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Fair Market Value of Target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Nasdaq Listing Rules require that our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board of directors determined that this test was met in connection with the proposed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Lack of Business Diversification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us to negative economic, competitive and regulatory developments, any or all of which may have a substantial adverse impact on the particular industry in which we operate after our initial business combination;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cause us to depend on the marketing and sale of a single product or limited number of products or services.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Redemption Rights for Public Shareholders upon Completion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providing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was approximately $          per public share as of          , 2021. The per share amount we will distribute to shareholders who properly redeem their shares will not be reduced by the deferred underwriting commissions that we will pay to the underwriters of our initial public offering, but will be payable only to the extent there are funds legally available therefor. The redemption rights include the requirement that a beneficial holder must identify itself in writing as a beneficial holders and provide its legal name, phone number and address to the Transfer Agent in order to validly redeem its shares. Further, we will not proceed with redeeming our public shares, even if a public shareholder has properly elected to redeem its shares, if the Business Combination does not close. The Redemptions referred to herein shall take effect as repurchases under the Existing Governing Documents.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Limitations on Redemption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the Existing Governing Documents provide that in no event will we redeem our public shares in an amount that would cause our net tangible assets to be less than $5,000,001 (so that we do not then become subject to the SEC’s “penny stock” rules).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Redemption of Public Shares and Liquidation if No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until August 11, 2022 to complete a business combination. If we are unable to consummate an initial business combination by August 11,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w:t>
      </w:r>
    </w:p>
    <w:p>
      <w:pPr>
        <w:pStyle w:val="HorizontalLine"/>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by August 11, 2022 (although they will be entitled to liquidating distributions from the trust account with respect to any public shares they hold if we fail to complete our initial business combination by August 11, 2022).</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Sponsor, executive officers and directors have agreed, pursuant to a written agreement with us, that they will not propose any amendment to the Existing Governing Documents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that all costs and expenses associated with implementing our plan of dissolution, as well as payments to any creditors, will be funded from amounts remaining out of the proceeds of our initial public offering held outside the trust account plus up to $100,000 of funds from the trust account available to us to pay dissolution expenses, although we cannot assure you that there will be sufficient funds for such purpose.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w:t>
      </w:r>
    </w:p>
    <w:p>
      <w:pPr>
        <w:pStyle w:val="HorizontalLine"/>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11"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be significantly superior to those of other consultants that would agree to execute a waiver or in cases where management is unable to find a service provider willing to execute a waiver.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August 11, 2020, we had access to up to $149.5 million from the proceeds of the initial public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pStyle w:val="HorizontalLine"/>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12"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See </w:t>
      </w:r>
      <w:r>
        <w:rPr>
          <w:color w:val="000000"/>
        </w:rPr>
        <w:t>“</w:t>
      </w:r>
      <w:r>
        <w:rPr>
          <w:rFonts w:ascii="Times New Roman;sans-serif" w:hAnsi="Times New Roman;sans-serif"/>
          <w:b w:val="false"/>
          <w:i/>
          <w:color w:val="000000"/>
          <w:sz w:val="20"/>
        </w:rPr>
        <w:t>Risk Factors—Risks Related to the Business Combination and ARYA—If,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Directors and Executive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and directors are as follows:</w:t>
      </w:r>
    </w:p>
    <w:tbl>
      <w:tblPr>
        <w:tblW w:w="6010" w:type="dxa"/>
        <w:jc w:val="left"/>
        <w:tblInd w:w="0" w:type="dxa"/>
        <w:tblCellMar>
          <w:top w:w="28" w:type="dxa"/>
          <w:left w:w="28" w:type="dxa"/>
          <w:bottom w:w="28" w:type="dxa"/>
          <w:right w:w="28" w:type="dxa"/>
        </w:tblCellMar>
      </w:tblPr>
      <w:tblGrid>
        <w:gridCol w:w="667"/>
        <w:gridCol w:w="586"/>
        <w:gridCol w:w="592"/>
        <w:gridCol w:w="109"/>
        <w:gridCol w:w="109"/>
        <w:gridCol w:w="109"/>
        <w:gridCol w:w="130"/>
        <w:gridCol w:w="130"/>
        <w:gridCol w:w="131"/>
        <w:gridCol w:w="109"/>
        <w:gridCol w:w="109"/>
        <w:gridCol w:w="109"/>
        <w:gridCol w:w="908"/>
        <w:gridCol w:w="908"/>
        <w:gridCol w:w="1304"/>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Director</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180"/>
        <w:ind w:left="0" w:right="0" w:firstLine="360"/>
        <w:rPr/>
      </w:pPr>
      <w:r>
        <w:rPr>
          <w:rFonts w:ascii="Times New Roman;sans-serif" w:hAnsi="Times New Roman;sans-serif"/>
          <w:b/>
          <w:i/>
          <w:color w:val="000000"/>
          <w:sz w:val="20"/>
        </w:rPr>
        <w:t>Joseph Edelman</w:t>
      </w:r>
      <w:r>
        <w:rPr>
          <w:color w:val="000000"/>
        </w:rPr>
        <w:t xml:space="preserve"> </w:t>
      </w:r>
      <w:r>
        <w:rPr>
          <w:rFonts w:ascii="Times New Roman;sans-serif" w:hAnsi="Times New Roman;sans-serif"/>
          <w:b w:val="false"/>
          <w:color w:val="000000"/>
          <w:sz w:val="20"/>
        </w:rPr>
        <w:t>serves as</w:t>
      </w:r>
      <w:r>
        <w:rPr>
          <w:color w:val="000000"/>
          <w:highlight w:val="white"/>
        </w:rPr>
        <w:t xml:space="preserve"> </w:t>
      </w:r>
      <w:r>
        <w:rPr>
          <w:rFonts w:ascii="Times New Roman;sans-serif" w:hAnsi="Times New Roman;sans-serif"/>
          <w:b w:val="false"/>
          <w:color w:val="000000"/>
          <w:sz w:val="20"/>
          <w:highlight w:val="white"/>
        </w:rPr>
        <w:t>the Chairman of our board of directors. Mr. Edelman is Founder, Chief Executive Officer and Portfolio Manager of 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Edelman’s broad operational and transactional experience make him well qualified to serve as the Chairman of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Adam Stone</w:t>
      </w:r>
      <w:r>
        <w:rPr>
          <w:color w:val="000000"/>
          <w:highlight w:val="white"/>
        </w:rPr>
        <w:t xml:space="preserve"> </w:t>
      </w:r>
      <w:r>
        <w:rPr>
          <w:rFonts w:ascii="Times New Roman;sans-serif" w:hAnsi="Times New Roman;sans-serif"/>
          <w:b w:val="false"/>
          <w:color w:val="000000"/>
          <w:sz w:val="20"/>
          <w:highlight w:val="white"/>
        </w:rPr>
        <w:t xml:space="preserve">serves as our Chief Executive Officer and is a member of our board of directors. Mr. Stone joined Perceptive Advisors in 2006 and has 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w:t>
      </w:r>
    </w:p>
    <w:p>
      <w:pPr>
        <w:pStyle w:val="HorizontalLine"/>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13"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pharmaceuticals. During Mr. Stone’s tenure at Ursus Capital, Mr. Stone focused on biotech and specialty pharmaceuticals. Mr. Stone graduated with honors from Princeton University with a BA in molecular biology.</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Stone’s broad operational and transactional experience, and his position as Chief Executive Officer,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Michael Altman</w:t>
      </w:r>
      <w:r>
        <w:rPr>
          <w:rFonts w:ascii="Times New Roman;sans-serif" w:hAnsi="Times New Roman;sans-serif"/>
          <w:b w:val="false"/>
          <w:color w:val="000000"/>
          <w:sz w:val="20"/>
          <w:highlight w:val="white"/>
        </w:rPr>
        <w:t>, CFA, our Chief Financial Officer and a member of our board of directors,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Altman’s broad operational and transactional experience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Konstantin Poukalov</w:t>
      </w:r>
      <w:r>
        <w:rPr>
          <w:rFonts w:ascii="Times New Roman;sans-serif" w:hAnsi="Times New Roman;sans-serif"/>
          <w:b w:val="false"/>
          <w:color w:val="000000"/>
          <w:sz w:val="20"/>
          <w:highlight w:val="white"/>
        </w:rPr>
        <w:t>, our Chief Business Officer, joined Perceptive Advisors in 2019 and is a Managing Director at Perceptive Advisors focused on 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pStyle w:val="TextBody"/>
        <w:spacing w:lineRule="auto" w:line="288" w:before="0" w:after="180"/>
        <w:ind w:left="0" w:right="0" w:firstLine="360"/>
        <w:rPr/>
      </w:pPr>
      <w:r>
        <w:rPr>
          <w:rFonts w:ascii="Times New Roman;sans-serif" w:hAnsi="Times New Roman;sans-serif"/>
          <w:b/>
          <w:i/>
          <w:color w:val="000000"/>
          <w:sz w:val="20"/>
          <w:highlight w:val="white"/>
        </w:rPr>
        <w:t>Todd Wider</w:t>
      </w:r>
      <w:r>
        <w:rPr>
          <w:color w:val="000000"/>
          <w:highlight w:val="white"/>
        </w:rPr>
        <w:t xml:space="preserve"> </w:t>
      </w:r>
      <w:r>
        <w:rPr>
          <w:rFonts w:ascii="Times New Roman;sans-serif" w:hAnsi="Times New Roman;sans-serif"/>
          <w:b w:val="false"/>
          <w:color w:val="000000"/>
          <w:sz w:val="20"/>
          <w:highlight w:val="white"/>
        </w:rPr>
        <w:t xml:space="preserve">has served on our board of directors since August 2020. Dr. Wider is the Executive Chairman and Chief Medical Officer of Emendo 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w:t>
      </w:r>
      <w:r>
        <w:rPr>
          <w:rFonts w:ascii="Times New Roman;sans-serif" w:hAnsi="Times New Roman;sans-serif"/>
          <w:b w:val="false"/>
          <w:color w:val="000000"/>
          <w:sz w:val="20"/>
        </w:rPr>
        <w:t>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Dr. Wider’s experience in the healthcare and life sciences industries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rPr>
        <w:t>Bradley L. Campbell</w:t>
      </w:r>
      <w:r>
        <w:rPr>
          <w:color w:val="000000"/>
        </w:rPr>
        <w:t xml:space="preserve"> </w:t>
      </w:r>
      <w:r>
        <w:rPr>
          <w:rFonts w:ascii="Times New Roman;sans-serif" w:hAnsi="Times New Roman;sans-serif"/>
          <w:b w:val="false"/>
          <w:color w:val="000000"/>
          <w:sz w:val="20"/>
        </w:rPr>
        <w:t xml:space="preserve">has served on our board of directors since August 2020. He has nearly 20 years of experience in the 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 </w:t>
      </w:r>
    </w:p>
    <w:p>
      <w:pPr>
        <w:pStyle w:val="HorizontalLine"/>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14"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Mr. Campbell’s experience in the healthcare and life sciences industries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rPr>
        <w:t>Saqib Islam</w:t>
      </w:r>
      <w:r>
        <w:rPr>
          <w:color w:val="000000"/>
        </w:rPr>
        <w:t xml:space="preserve"> </w:t>
      </w:r>
      <w:r>
        <w:rPr>
          <w:rFonts w:ascii="Times New Roman;sans-serif" w:hAnsi="Times New Roman;sans-serif"/>
          <w:b w:val="false"/>
          <w:color w:val="000000"/>
          <w:sz w:val="20"/>
        </w:rPr>
        <w:t>has served on our board of directors since August 2020. Mr. Islam has also served as the Chief Executive Officer and 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Mr. Islam’s experience in the healthcare and life sciences industries make him well qualified to serve on our board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Number and Terms of Office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(Class I, II and III). Only one class of directors will be elected in each year, and each class (except for those directors appointed prior to our first annual general meeting of shareholders) will serve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an agreement to be entered into prior to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are appointed by the board of directors and serve at the discretion of the board of directors, rather than for specific terms of office. Our board of directors is authorized to appoint persons to the offices set forth in the Existing Governing Documents as it deems appropriate. The Existing Governing Documents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pStyle w:val="HorizontalLine"/>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15"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an audit committee of the board of directors. Todd Wider, Bradley L. Campbell and Saqib Islam serve as members of our audit committee. Our board of directors has determined that each of Todd Wider, Bradley L. Campbell and Saqib Islam are independent. Todd Wider serves as the 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meeting with our independent registered public accounting firm regarding, among other issues, audits, and adequacy of our accounting and control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monitoring the independence of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verifying the rotation of the lead (or coordinating) audit partner having primary responsibility for the audit and the audit partner responsible for reviewing the audit as required by law;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inquiring and discussing with management our compliance with applicable laws and regulations;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pre-approving all audit services and permitted non-audit services to be performed by our independent registered public accounting firm, including the fees and terms of the services to be performed;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appointing or replacing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Nominating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 nominating committee of our board of directors. The members of our nominating committee are Todd Wider, Bradley L. Campbell and Saqib Islam, and Chad Robins serves as chairman of the nominating committee. Our board of directors has determined that each of Todd Wider, Bradley L. Campbell and Saqib Islam are independent.</w:t>
      </w:r>
    </w:p>
    <w:p>
      <w:pPr>
        <w:pStyle w:val="HorizontalLine"/>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16"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is responsible for overseeing the selection of persons to be nominated to serve on our board of directors. The nominating committee considers persons identified by its members, management, shareholders, investment bankers and others.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Guidelines for Selecting Director Nominees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guidelines for selecting nominees, which are specified in a charter adopted by us, generally provide that persons to be nominated: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have demonstrated notable or significant achievements in business, education or public service;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possess the requisite intelligence, education and experience to make a significant contribution to the board of directors and bring a range of skills, diverse perspectives and backgrounds to its deliberations;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have the highest ethical standards, a strong sense of professionalism and intense dedication to serving the interests of the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 compensation committee of our board of directors. The members of our compensation committee are Todd Wider, Bradley L. Campbell and Saqib Islam, and Jake Bauer serves as chairman of the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each of Todd Wider, Bradley L. Campbell and Saqib Islam are independent. We adopted a compensation committee charter, which details the principal functions of the compensation committee,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the compensation of all of our other Section 16 executive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our executive compensation policies and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implementing and administering our incentive compensation equity-based remuneration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assisting management in complying with our proxy statement and annual report disclosure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approving all special perquisites, special cash payments and other special compensation and benefit arrangements for our executive officers and employees;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producing a report on executive compensation to be included in our annual proxy statement;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evaluating and recommending changes, if appropriate, to the remuneration for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w:t>
      </w:r>
    </w:p>
    <w:p>
      <w:pPr>
        <w:pStyle w:val="HorizontalLine"/>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17" name="Frame2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advice from a compensation consultant, external legal counsel or any other adviser, the compensation committee will consider the independence of each such adviser, including the factors required by Nasdaq and the SEC.</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 Interlocks and Insider Participation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our executive officers currently serves, and in the past year has not served, as a member of the compensation committee of any entity that has one or more executive officers serving on our board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Section 16(a) Beneficial Ownership Reporting Compliance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Conflicts of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directors and officers of a Cayman Islands company owe certain duties to the company, including, but not limited to, the following fiduciary duties: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act in good faith in what the director or officer believes to be in the best interests of the company as a whole;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exercise powers for the purposes for which those powers were conferred and not for a collateral purpose;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directors should not improperly fetter the exercise of future discretion;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not to put themselves in a position in which there is a conflict between their duty to the company and their personal interests;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exercise independent judgment.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HorizontalLine"/>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18" name="Frame2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Below is a table summarizing the entities to which our executive officers and directors currently have fiduciary duties, contractual obligations or other material management relationships:</w:t>
      </w:r>
    </w:p>
    <w:tbl>
      <w:tblPr>
        <w:tblW w:w="10205" w:type="dxa"/>
        <w:jc w:val="left"/>
        <w:tblInd w:w="0" w:type="dxa"/>
        <w:tblCellMar>
          <w:top w:w="28" w:type="dxa"/>
          <w:left w:w="28" w:type="dxa"/>
          <w:bottom w:w="28" w:type="dxa"/>
          <w:right w:w="28" w:type="dxa"/>
        </w:tblCellMar>
      </w:tblPr>
      <w:tblGrid>
        <w:gridCol w:w="537"/>
        <w:gridCol w:w="471"/>
        <w:gridCol w:w="473"/>
        <w:gridCol w:w="109"/>
        <w:gridCol w:w="109"/>
        <w:gridCol w:w="109"/>
        <w:gridCol w:w="977"/>
        <w:gridCol w:w="758"/>
        <w:gridCol w:w="767"/>
        <w:gridCol w:w="109"/>
        <w:gridCol w:w="109"/>
        <w:gridCol w:w="109"/>
        <w:gridCol w:w="1164"/>
        <w:gridCol w:w="764"/>
        <w:gridCol w:w="727"/>
        <w:gridCol w:w="109"/>
        <w:gridCol w:w="109"/>
        <w:gridCol w:w="109"/>
        <w:gridCol w:w="756"/>
        <w:gridCol w:w="756"/>
        <w:gridCol w:w="1074"/>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INDIVIDUAL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ENTITY’S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AFFILIATION</w:t>
            </w:r>
          </w:p>
        </w:tc>
      </w:tr>
      <w:tr>
        <w:trPr/>
        <w:tc>
          <w:tcPr>
            <w:tcW w:w="1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Portfolio Manager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Investment Officer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Biosciences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Renovia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Xontogeny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Immatics N.V.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Vitruvius 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Lyra 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Lyra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Landos Biopharma,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LianBio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Abeona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Emendo Biotherapeutics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Amicus Therapeutics,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Alliance for Regenerative Medicine (ARM)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and Cell Therapy Trade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SpringWorks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Passage Bio,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Biopharmanceuticals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Silverback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Potential investors should also be aware of the following other potential conflicts of interest: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 </w:t>
      </w:r>
    </w:p>
    <w:p>
      <w:pPr>
        <w:pStyle w:val="HorizontalLine"/>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19" name="Frame2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the Existing Governing Documents (A) that would modify the substance or timing of our obligation to provide holders of our public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or private placement shares directly or indirectly, they may have a conflict of interest in determining whether a particular target business is an appropriate business with which to effectuate our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of the above mentioned conflicts will be resolved in our favor.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since the consummation of our initial public offering, we reimburse an affiliate of our Sponsor for office space, secretarial and administrative services provided to us in the amount of $10,000 per month.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of the above mentioned conflicts will be resolved in our favor.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we submit our initial business combination to our public shareholders for a vote, our Sponsor has agreed to vote its founder shares, and it and the members of our management team have agreed to vote any shares purchased during or after the offering, in favor of our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Limitation on Liability and Indemnification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t>
      </w:r>
    </w:p>
    <w:p>
      <w:pPr>
        <w:pStyle w:val="HorizontalLine"/>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20" name="Frame2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willful neglect, civil fraud or the consequences of committing a crime. The Existing Governing Documents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these provisions, the insurance and the indemnity agreements are necessary to attract and retain talented and experienced officers and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Compensation and Director Compensation and Other Interests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July 2020, our Sponsor transferred 30,000 Class B ordinary shares to each of Messrs. Wider, Campbell and Islam. None of our executive officers or directors have received any cash compensation for services rendered to us. Since the consummation of our initial public offering and until the earlier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Sponsor, executive officers and directors, or any of their respective affiliates, prior to completion of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After the completion of our initial business combination, directors or members of our management team who remain with us may be paid consulting or management fees from New Nautilus.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New Nautilus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pStyle w:val="HorizontalLine"/>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21"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Nasdaq listing standards require that a majority of our board of directors be independent. An “independent director” is defined generally as a person other than an officer or employee of ARYA or its subsidiaries or any other individual having a relationship with ARYA which in the opinion of the ARYA Board,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have regularly scheduled meetings at which only independent directors are present.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is no material litigation, arbitration or governmental proceeding currently pending or to our knowledge, threatened against us or any members of our management team in their capacity as such.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 Upon consummation of the Business Combination, the principal executive offices of New Nautilus will be located at 425 Pontius Ave N, Ste 202, Seattle, WA 98109.</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Periodic Reporting and Audited Financial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registered its securities under the Exchange Act and has reporting obligations, including the requirement to file annual and quarterly reports with the SEC. In accordance with the requirements of the Exchange Act, ARYA’s annual reports contain financial statements audited and reported on by ARYA’s independent registered public accounting firm.</w:t>
      </w:r>
    </w:p>
    <w:p>
      <w:pPr>
        <w:pStyle w:val="HorizontalLine"/>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22"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required to evaluate our internal control procedures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Cayman Islands exempted company. Exempted companies are Cayman Islands companies conducting business mainly outside the Cayman Islands and, as such, are exempted from complying with certain provisions of the Cayman Islands Companies Act. As an exempted company, we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earlier of (i)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23"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ARYA’S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in this section to the “Company,” “ARYA,” “we,” “us” or “our” refer to ARYA prior to the consummation of the Business Combination. The following discussion and analysis of ARYA’s financial condition and results of operations should be read in conjunction with ARYA’s consolidated financial statements and notes to those statements included in this proxy statement/prospectus.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blank check company incorporated on March 27, 2020 as a Cayman Islands exempted company and formed for the purpose of effecting a merger, share exchange, asset acquisition, share purchase, reorganization or similar business combination with one or more businesses. Our sponsor is ARYA Sciences Holdings III, a Cayman Islands exempted limited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we consummated the private placement (the “private placement”) of 499,000 private placement shares, at a price of $10.00 per private placement share to our sponsor, generating gross proceeds of approximately $5.0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of the initial public offering and the private placement, $149.5 million ($10.00 per Unit) of the net proceeds of the initial public offering and certain of the proceeds of the private placement were placed in a trust account, located in the United States at J.P. Morgan Chase Bank, N.A., with Continental Stock Transfer &amp; Trust Company acting as trustee, and are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reviewed a number of opportunities to enter into a business combination with an operating business, and entered into the Business Combination Agreement on February 7, 2021. We intend to finance the Business Combination through a combination of (i) shares of New Nautilus Common Stock issued to the equityholders of </w:t>
      </w:r>
    </w:p>
    <w:p>
      <w:pPr>
        <w:pStyle w:val="HorizontalLine"/>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24" name="Frame2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(ii) cash held in the trust account net of redemptions and deferred underwriting discounts and (iii) gross proceeds from the PIPE Financing.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issuance of additional shares in a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subordinate the rights of holders of Class A ordinary shares if preference shares are issued with rights senior to those afforded our Class A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have the effect of delaying or preventing a change of control of us by diluting the share ownership or voting rights of a person seeking to obtain control of us;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may adversely affect prevailing market prices for our Class A ordinary shares.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Similarly, if we issue debt or otherwise incur significant debt, it could result in: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default and foreclosure on our assets if our operating revenues after an initial business combination are insufficient to repay our debt obligations;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immediate payment of all principal and accrued interest, if any, if the debt is payable on demand;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inability to obtain necessary additional financing if the debt contains covenants restricting our ability to obtain such financing while the debt security is outstanding;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inability to pay dividends on our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limitations on our flexibility in planning for and reacting to changes in our business and in the industry in which we operate;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increased vulnerability to adverse changes in general economic, industry and competitive conditions and adverse changes in government regulation;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approximately $1.0 million in cash held outside of the trust account, approximately $149.6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pStyle w:val="HorizontalLine"/>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25" name="Frame2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we had a net loss of approximately $523,000, which consisted of approximately $576,000 in general and administrative expenses partially offset by approximately $53,000 of net gains, dividends and interest on investments held in trust account.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Going Concern Consideration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December 31, 2020, we had approximately $1.0 million in our operating bank account, and working capital of approximately $916,000.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continue to evaluate the impact of the COVID-19 pandemic and have concluded that the specific impact is not readily determinable as of the date of the balance sheet included in our financial statements included elsewhere in this proxy statement/prospectus. Our financial statements do not include any adjustments that might result from the outcome of this uncertainty.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Founder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of our initial public offering, so that the founder shares would represent 20.0% of our issued and outstanding ordinary shares (excluding the private placement shares) after our initial public offering. The underwriters of our initial public offering fully exercised the over-allotment option on August 11, 2020; thus, these 487,500 founder shares were no longer subject to forfeiture.</w:t>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26" name="Frame2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our founder shares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Private Placement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our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our initial business combination. A portion of the proceeds from the private placement shares was added to the proceeds from our initial public offering held in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sponsor and our officers and directors agreed, subject to limited exceptions, not to transfer, assign or sell any of their private placement shares until 30 days after the completion of the initial business combination.</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Related Party Loans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Administrative Support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approximately $48,000 for these services and are included in general and administrative expenses in the accompanying statement of operations for the period from March 27, 2020 (inception) through December 31, 2020.</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Other Contractual Obligations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do not have any long-term debt obligations, capital lease obligations, operating lease obligations, purchase obligations or long-term liabilities, other than for an agreement to pay our sponsor fees of $10,000 per month for administrative support services and as described above.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Registration and Shareholder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founder shares, private placement shares, and securities that may be issued upon conversion of working capital loans, if any, are entitled to registration rights pursuant to a registration and shareholder rights </w:t>
      </w:r>
    </w:p>
    <w:p>
      <w:pPr>
        <w:pStyle w:val="HorizontalLine"/>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27" name="Frame2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Underwriting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granted the underwriters of our initial public offering a 45-day option from the final prospectus relating to our initial public offering to purchase up to 1,950,000 additional public shares to cover over-allotments at the initial public offering price less the underwriting discounts and commissions. The underwriters fully exercised the over-allotment option on August 11,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net proceeds of the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Investment Securities Held in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of the Initial Public Offering and the private placement, we were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w:t>
      </w:r>
    </w:p>
    <w:p>
      <w:pPr>
        <w:pStyle w:val="HorizontalLine"/>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28" name="Frame2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net asset values (“NAV”), in which case the Company uses NAV as a practical expedient to fair value. The NAV on these investments is typically held constant at $1.00 per unit.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Class A Ordinary Shares Subject to Possible Redemption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Net Income (Loss) Per Ordinary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is computed by dividing net income by the weighted-average number of ordinary shares outstanding during the periods. Our statement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1, defined as observable inputs such as quoted prices (unadjusted) for identical instruments in active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pStyle w:val="HorizontalLine"/>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29" name="Frame2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does not believe that any recently issued, but not yet effective, accounting standards if currently adopted would have a material effect on the accompanying financial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Off-Balance Sheet Arrangements; Commitments and Contractual Obligations; Quarterly Results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JOBS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executive officer compensation to median employee compensation. These exemptions will apply for a period of five years following the completion of our initial public offering or until we are no longer an “emerging growth company,” whichever is earlier.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30" name="Frame2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ABOUT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Business Summary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Business Summary to “Nautilus,” “we,” “us,” “our” and other similar terms refer to Nautilus prior to the Business Combination and to New Nautilus and its consolidated subsidiaries after giving effect to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w:t>
      </w:r>
    </w:p>
    <w:p>
      <w:pPr>
        <w:pStyle w:val="HorizontalLine"/>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31" name="Frame2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detecting and quantifying the human proteome were as simple and easy as detecting an entire human genome, we believe a new set of questions could be asked: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Down to the very low frequencies of expressed proteins, how are healthy tissue cells different from diseased cells?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will a comprehensive map of nearly all proteins by organ tissue type tell us about our biology?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Which versions and patterns of modified proteins are present in disease, and why?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happens to our proteome when we get sick, and how does it change with treatment?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organization is driven by the pursuit of deep, hard science, and our Scientific Advisory Board is comprised of world-renowned scientific leaders that support our vision.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Highly disruptive proteomics technology.</w:t>
      </w:r>
      <w:r>
        <w:rPr>
          <w:color w:val="000000"/>
        </w:rPr>
        <w:t xml:space="preserve"> </w:t>
      </w:r>
      <w:r>
        <w:rPr>
          <w:rFonts w:ascii="Times New Roman;sans-serif" w:hAnsi="Times New Roman;sans-serif"/>
          <w:b w:val="false"/>
          <w:color w:val="000000"/>
          <w:sz w:val="20"/>
        </w:rPr>
        <w:t xml:space="preserve">Our Nautilus Platform is designed to be a disruptive, single-molecule analysis 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w:t>
      </w:r>
    </w:p>
    <w:p>
      <w:pPr>
        <w:pStyle w:val="HorizontalLine"/>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32" name="Frame2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Novel end-to-end proteomics detection platform of extreme sensitivity. </w:t>
      </w:r>
      <w:r>
        <w:rPr>
          <w:rFonts w:ascii="Times New Roman;sans-serif" w:hAnsi="Times New Roman;sans-serif"/>
          <w:b w:val="false"/>
          <w:color w:val="000000"/>
          <w:sz w:val="20"/>
        </w:rPr>
        <w:t>We aim to be the first commercially available proteomics detection 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Immense data production capacity coupled with machine learning can unlock new proteomic insights.</w:t>
      </w:r>
      <w:r>
        <w:rPr>
          <w:color w:val="000000"/>
        </w:rPr>
        <w:t xml:space="preserve"> </w:t>
      </w:r>
      <w:r>
        <w:rPr>
          <w:rFonts w:ascii="Times New Roman;sans-serif" w:hAnsi="Times New Roman;sans-serif"/>
          <w:b w:val="false"/>
          <w:color w:val="000000"/>
          <w:sz w:val="20"/>
        </w:rPr>
        <w:t xml:space="preserve">We have designed the Nautilus Platform 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Commercial model with clear market entry point, designed to support a wide variety of customers and applications.</w:t>
      </w:r>
      <w:r>
        <w:rPr>
          <w:color w:val="000000"/>
        </w:rPr>
        <w:t xml:space="preserve"> </w:t>
      </w:r>
      <w:r>
        <w:rPr>
          <w:rFonts w:ascii="Times New Roman;sans-serif" w:hAnsi="Times New Roman;sans-serif"/>
          <w:b w:val="false"/>
          <w:color w:val="000000"/>
          <w:sz w:val="20"/>
        </w:rPr>
        <w:t xml:space="preserve">Many successful life 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w:t>
      </w:r>
      <w:r>
        <w:rPr>
          <w:rFonts w:ascii="Times New Roman;sans-serif" w:hAnsi="Times New Roman;sans-serif"/>
          <w:b w:val="false"/>
          <w:color w:val="000000"/>
          <w:sz w:val="20"/>
          <w:highlight w:val="white"/>
        </w:rPr>
        <w:t xml:space="preserve">These customer segments are estimated to spend approximately $195 billion in 2021 in R&amp;D activities </w:t>
      </w:r>
      <w:r>
        <w:rPr>
          <w:rFonts w:ascii="Times New Roman;sans-serif" w:hAnsi="Times New Roman;sans-serif"/>
          <w:b w:val="false"/>
          <w:color w:val="000000"/>
          <w:sz w:val="20"/>
        </w:rPr>
        <w:t>across a variety of settings, from basic sciences to translational and clinical research.</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Our Nautilus Platform technology could position us as a leader in a large initial life sciences research market and provide a path to the clinical diagnostics.</w:t>
      </w:r>
      <w:r>
        <w:rPr>
          <w:color w:val="000000"/>
        </w:rPr>
        <w:t xml:space="preserve"> </w:t>
      </w:r>
      <w:r>
        <w:rPr>
          <w:rFonts w:ascii="Times New Roman;sans-serif" w:hAnsi="Times New Roman;sans-serif"/>
          <w:b w:val="false"/>
          <w:color w:val="000000"/>
          <w:sz w:val="20"/>
        </w:rPr>
        <w:t>The global proteomics market is estimated to be approximately $25 billion annually as of 2021 and is expected to grow at an 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Our experienced, multidisciplinary team brings together a group of individuals with diverse backgrounds to disrupt the field of proteomics.</w:t>
      </w:r>
      <w:r>
        <w:rPr>
          <w:color w:val="000000"/>
        </w:rPr>
        <w:t xml:space="preserve"> </w:t>
      </w:r>
      <w:r>
        <w:rPr>
          <w:rFonts w:ascii="Times New Roman;sans-serif" w:hAnsi="Times New Roman;sans-serif"/>
          <w:b w:val="false"/>
          <w:color w:val="000000"/>
          <w:sz w:val="20"/>
        </w:rPr>
        <w:t xml:space="preserve">Nautilus’ leadership team represents a unique and valuable hybrid of technology and biotech experience. Several members of the executive team and board of directors held </w:t>
      </w:r>
    </w:p>
    <w:p>
      <w:pPr>
        <w:pStyle w:val="HorizontalLine"/>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33" name="Frame2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Drive adoption of our Nautilus Platform by providing the life sciences industry with access to the proteome.</w:t>
      </w:r>
      <w:r>
        <w:rPr>
          <w:color w:val="000000"/>
        </w:rPr>
        <w:t xml:space="preserve"> </w:t>
      </w:r>
      <w:r>
        <w:rPr>
          <w:rFonts w:ascii="Times New Roman;sans-serif" w:hAnsi="Times New Roman;sans-serif"/>
          <w:b w:val="false"/>
          <w:color w:val="000000"/>
          <w:sz w:val="20"/>
        </w:rPr>
        <w:t xml:space="preserve">We believe our 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Continuously innovate and scale our Nautilus Platform’s capabilities to enable further advancement of proteomic research.</w:t>
      </w:r>
      <w:r>
        <w:rPr>
          <w:color w:val="000000"/>
        </w:rPr>
        <w:t xml:space="preserve"> </w:t>
      </w:r>
      <w:r>
        <w:rPr>
          <w:rFonts w:ascii="Times New Roman;sans-serif" w:hAnsi="Times New Roman;sans-serif"/>
          <w:b w:val="false"/>
          <w:color w:val="000000"/>
          <w:sz w:val="20"/>
        </w:rPr>
        <w:t>Through both 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Multiple pathways to build and expand our manufacturing capacity to support our commercial launch and the sustained growth of our business. </w:t>
      </w:r>
      <w:r>
        <w:rPr>
          <w:rFonts w:ascii="Times New Roman;sans-serif" w:hAnsi="Times New Roman;sans-serif"/>
          <w:b w:val="false"/>
          <w:color w:val="000000"/>
          <w:sz w:val="20"/>
        </w:rPr>
        <w:t>Our technology is comprised of many readily available component parts that help to create efficient sourcing and manufacturing processes.</w:t>
      </w:r>
      <w:r>
        <w:rPr>
          <w:color w:val="000000"/>
        </w:rPr>
        <w:t xml:space="preserve"> </w:t>
      </w:r>
      <w:r>
        <w:rPr>
          <w:rFonts w:ascii="Times New Roman;sans-serif" w:hAnsi="Times New Roman;sans-serif"/>
          <w:b w:val="false"/>
          <w:color w:val="000000"/>
          <w:sz w:val="20"/>
        </w:rPr>
        <w:t xml:space="preserve">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Build long-term value by leveraging the open design of our Nautilus Platform to create an ecosystem of products and services based on our core technology. </w:t>
      </w:r>
      <w:r>
        <w:rPr>
          <w:rFonts w:ascii="Times New Roman;sans-serif" w:hAnsi="Times New Roman;sans-serif"/>
          <w:b w:val="false"/>
          <w:color w:val="000000"/>
          <w:sz w:val="20"/>
        </w:rPr>
        <w:t xml:space="preserve">Our Nautilus Platform is compatible with a wide variety of protein affinity binding reagents, which we believe will allow us to create a broad menu of applications compatible with our technology. Our Nautilus Platform is also </w:t>
      </w:r>
      <w:r>
        <w:rPr>
          <w:rFonts w:ascii="Times New Roman;sans-serif" w:hAnsi="Times New Roman;sans-serif"/>
          <w:b w:val="false"/>
          <w:color w:val="000000"/>
          <w:sz w:val="20"/>
          <w:highlight w:val="white"/>
        </w:rPr>
        <w:t>designed</w:t>
      </w:r>
      <w:r>
        <w:rPr>
          <w:color w:val="000000"/>
        </w:rPr>
        <w:t xml:space="preserve"> </w:t>
      </w:r>
      <w:r>
        <w:rPr>
          <w:rFonts w:ascii="Times New Roman;sans-serif" w:hAnsi="Times New Roman;sans-serif"/>
          <w:b w:val="false"/>
          <w:color w:val="000000"/>
          <w:sz w:val="20"/>
        </w:rPr>
        <w:t xml:space="preserve">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Expand adoption of our Nautilus Platform into new markets. </w:t>
      </w:r>
      <w:r>
        <w:rPr>
          <w:rFonts w:ascii="Times New Roman;sans-serif" w:hAnsi="Times New Roman;sans-serif"/>
          <w:b w:val="false"/>
          <w:color w:val="000000"/>
          <w:sz w:val="20"/>
        </w:rPr>
        <w:t xml:space="preserve">Our market entry strategy involves identifying markets that are constrained by their inability to access fulsome proteomic information, which we believe can be addressed by our Nautilus Platform. We recognize that these opportunities extend into ancillary markets across life sciences, including clinical and translational research, and clinical diagnostics, </w:t>
      </w:r>
    </w:p>
    <w:p>
      <w:pPr>
        <w:pStyle w:val="HorizontalLine"/>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34" name="Frame2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 PRIMER ON PROTEOMICS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Better understanding of biology.</w:t>
      </w:r>
      <w:r>
        <w:rPr>
          <w:color w:val="000000"/>
        </w:rPr>
        <w:t xml:space="preserve"> </w:t>
      </w:r>
      <w:r>
        <w:rPr>
          <w:rFonts w:ascii="Times New Roman;sans-serif" w:hAnsi="Times New Roman;sans-serif"/>
          <w:b w:val="false"/>
          <w:color w:val="000000"/>
          <w:sz w:val="20"/>
        </w:rPr>
        <w:t>Protein research contributes to a better understanding of how molecular information controls and influences an individual’s physiology.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Identification of novel drug targets.</w:t>
      </w:r>
      <w:r>
        <w:rPr>
          <w:color w:val="000000"/>
        </w:rPr>
        <w:t xml:space="preserve"> </w:t>
      </w:r>
      <w:r>
        <w:rPr>
          <w:rFonts w:ascii="Times New Roman;sans-serif" w:hAnsi="Times New Roman;sans-serif"/>
          <w:b w:val="false"/>
          <w:color w:val="000000"/>
          <w:sz w:val="20"/>
        </w:rPr>
        <w:t>Cellular function and dysfunction is driven by our proteins; increasing our ability to directly measure even the rarest proteins involved in disease may increase the likelihood of identifying new drug targets.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Patient stratification. </w:t>
      </w:r>
      <w:r>
        <w:rPr>
          <w:rFonts w:ascii="Times New Roman;sans-serif" w:hAnsi="Times New Roman;sans-serif"/>
          <w:b w:val="false"/>
          <w:color w:val="000000"/>
          <w:sz w:val="20"/>
        </w:rPr>
        <w:t>The separation of patients into groups with similar molecular features that may be more likely to respond to specific therapeutic treatments.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Prediction of disease and treatment outcome.</w:t>
      </w:r>
      <w:r>
        <w:rPr>
          <w:color w:val="000000"/>
        </w:rPr>
        <w:t xml:space="preserve"> </w:t>
      </w:r>
      <w:r>
        <w:rPr>
          <w:rFonts w:ascii="Times New Roman;sans-serif" w:hAnsi="Times New Roman;sans-serif"/>
          <w:b w:val="false"/>
          <w:color w:val="000000"/>
          <w:sz w:val="20"/>
        </w:rPr>
        <w:t>The identification of biomarkers that can assist in the early diagnosis of diseases, inform prognosis or monitor the efficacy and safety of ongoing treatments.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Wellness: from health to disease. </w:t>
      </w:r>
      <w:r>
        <w:rPr>
          <w:rFonts w:ascii="Times New Roman;sans-serif" w:hAnsi="Times New Roman;sans-serif"/>
          <w:b w:val="false"/>
          <w:color w:val="000000"/>
          <w:sz w:val="20"/>
        </w:rPr>
        <w:t>Biomarkers can monitor and guide individuals to tailor lifestyle choices to maximize health and avoid the onset of diseases before they develop.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Market Environment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Nautilus, we recognize the need for a radical breakthrough in proteomics. </w:t>
      </w:r>
    </w:p>
    <w:p>
      <w:pPr>
        <w:pStyle w:val="HorizontalLine"/>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35" name="Frame2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highlight w:val="white"/>
        </w:rPr>
        <w:t>Since 2002, global R&amp;D expenditure has increased close to three-fold an</w:t>
      </w:r>
      <w:r>
        <w:rPr>
          <w:rFonts w:ascii="Times New Roman;sans-serif" w:hAnsi="Times New Roman;sans-serif"/>
          <w:b w:val="false"/>
          <w:color w:val="000000"/>
          <w:sz w:val="20"/>
        </w:rPr>
        <w:t>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report by the Deloitte Center for Health Solutions.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approximately 95% of FDA-approved drug targets are proteins, and most other drugs interact with, or are influenced by signal transduction cascades mediated by proteins. As such, an understanding of the proteome is paramount to understanding pharmacology.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Missing Piece: The Proteome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pStyle w:val="HorizontalLine"/>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36" name="Frame2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Post-Translational Modifications Create Multiple Forms of Proteins That Are Estimated to Contain Over 100 Times More Information Complexity Than the Coding Genes in the Genome</w:t>
      </w:r>
    </w:p>
    <w:p>
      <w:pPr>
        <w:pStyle w:val="TextBody"/>
        <w:spacing w:before="0" w:after="180"/>
        <w:jc w:val="center"/>
        <w:rPr/>
      </w:pPr>
      <w:r>
        <w:rPr/>
        <w:drawing>
          <wp:inline distT="0" distB="63500" distL="0" distR="0">
            <wp:extent cx="5943600" cy="3152775"/>
            <wp:effectExtent l="0" t="0" r="0" b="0"/>
            <wp:docPr id="2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 descr=""/>
                    <pic:cNvPicPr>
                      <a:picLocks noChangeAspect="1" noChangeArrowheads="1"/>
                    </pic:cNvPicPr>
                  </pic:nvPicPr>
                  <pic:blipFill>
                    <a:blip r:embed="rId2"/>
                    <a:stretch>
                      <a:fillRect/>
                    </a:stretch>
                  </pic:blipFill>
                  <pic:spPr bwMode="auto">
                    <a:xfrm>
                      <a:off x="0" y="0"/>
                      <a:ext cx="5943600" cy="31527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an significant growth phase. We are of the firm belief that every scientist should have access to the proteome, including proteoforms, in the same way that access to the genome has been made broadly available over recent years.</w:t>
      </w:r>
    </w:p>
    <w:p>
      <w:pPr>
        <w:pStyle w:val="HorizontalLine"/>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38" name="Frame2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Current Technologies are Unable to Routinely Access the Full Proteome or Detect Proteoforms</w:t>
      </w:r>
    </w:p>
    <w:p>
      <w:pPr>
        <w:pStyle w:val="TextBody"/>
        <w:spacing w:before="0" w:after="180"/>
        <w:jc w:val="center"/>
        <w:rPr/>
      </w:pPr>
      <w:r>
        <w:rPr/>
        <w:drawing>
          <wp:inline distT="0" distB="63500" distL="0" distR="0">
            <wp:extent cx="5943600" cy="2667000"/>
            <wp:effectExtent l="0" t="0" r="0" b="0"/>
            <wp:docPr id="2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 descr=""/>
                    <pic:cNvPicPr>
                      <a:picLocks noChangeAspect="1" noChangeArrowheads="1"/>
                    </pic:cNvPicPr>
                  </pic:nvPicPr>
                  <pic:blipFill>
                    <a:blip r:embed="rId3"/>
                    <a:stretch>
                      <a:fillRect/>
                    </a:stretch>
                  </pic:blipFill>
                  <pic:spPr bwMode="auto">
                    <a:xfrm>
                      <a:off x="0" y="0"/>
                      <a:ext cx="5943600" cy="26670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pStyle w:val="HorizontalLine"/>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40" name="Frame2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v:textbox>
              </v:rect>
            </w:pict>
          </mc:Fallback>
        </mc:AlternateContent>
      </w:r>
    </w:p>
    <w:p>
      <w:pPr>
        <w:pStyle w:val="TextBody"/>
        <w:spacing w:before="0" w:after="180"/>
        <w:ind w:left="0" w:right="0" w:firstLine="360"/>
        <w:rPr/>
      </w:pPr>
      <w:r>
        <w:rPr/>
      </w:r>
    </w:p>
    <w:p>
      <w:pPr>
        <w:pStyle w:val="TextBody"/>
        <w:spacing w:before="0" w:after="180"/>
        <w:jc w:val="center"/>
        <w:rPr/>
      </w:pPr>
      <w:r>
        <w:rPr/>
        <w:drawing>
          <wp:inline distT="0" distB="63500" distL="0" distR="0">
            <wp:extent cx="5943600" cy="3076575"/>
            <wp:effectExtent l="0" t="0" r="0" b="0"/>
            <wp:docPr id="2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3" descr=""/>
                    <pic:cNvPicPr>
                      <a:picLocks noChangeAspect="1" noChangeArrowheads="1"/>
                    </pic:cNvPicPr>
                  </pic:nvPicPr>
                  <pic:blipFill>
                    <a:blip r:embed="rId4"/>
                    <a:stretch>
                      <a:fillRect/>
                    </a:stretch>
                  </pic:blipFill>
                  <pic:spPr bwMode="auto">
                    <a:xfrm>
                      <a:off x="0" y="0"/>
                      <a:ext cx="5943600" cy="30765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Existing Proteomics Technologies and Shortfalls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Mass Spectrometry-based Approaches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w:t>
      </w:r>
    </w:p>
    <w:p>
      <w:pPr>
        <w:pStyle w:val="HorizontalLine"/>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42" name="Frame2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its importance in biology and drug development, and the proteomics research marketplace is estimated to have over 16,000 installed mass spectrometry systems today.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Limitations with Affinity-based Approaches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NAUTILUS APPROACH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Guiding Principles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Nautilus Platform Design Criteria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w:t>
      </w:r>
    </w:p>
    <w:p>
      <w:pPr>
        <w:pStyle w:val="HorizontalLine"/>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43" name="Frame2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proteoforms. As such, we designed the Nautilus Platform – from the ground up – to accomplish the following objectives:</w:t>
      </w:r>
    </w:p>
    <w:tbl>
      <w:tblPr>
        <w:tblW w:w="5352" w:type="dxa"/>
        <w:jc w:val="center"/>
        <w:tblInd w:w="0" w:type="dxa"/>
        <w:tblCellMar>
          <w:top w:w="28" w:type="dxa"/>
          <w:left w:w="28" w:type="dxa"/>
          <w:bottom w:w="28" w:type="dxa"/>
          <w:right w:w="28" w:type="dxa"/>
        </w:tblCellMar>
      </w:tblPr>
      <w:tblGrid>
        <w:gridCol w:w="890"/>
        <w:gridCol w:w="782"/>
        <w:gridCol w:w="788"/>
        <w:gridCol w:w="109"/>
        <w:gridCol w:w="109"/>
        <w:gridCol w:w="109"/>
        <w:gridCol w:w="750"/>
        <w:gridCol w:w="750"/>
        <w:gridCol w:w="1065"/>
      </w:tblGrid>
      <w:tr>
        <w:trPr/>
        <w:tc>
          <w:tcPr>
            <w:tcW w:w="89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Nautilus Platform Attribute: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Nautilus Platform Benefit: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Easy-to-Use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Any Lab Can Run It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Ultra-sensitive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Single-Molecule Sensitivity</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Reproducible and Robust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Path to the Clinic</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Complete Data Generation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No Missing Data Run-to-Run</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Rapid Run Time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Days Not Weeks</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Integrated System</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Sample to Insight Solution</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core design criterion was that the Nautilus Platform needed to be sufficiently easy-to-use so that virtually any lab could benefit from using it, not just labs that are explicitly focused on proteomics or analytical chemistry.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process needed to be reproducible and robust, maximizing the chance that the results derived in one experiment are the same as the results derived in subsequent experiments.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It must also be complete. One of the largest challenges with existing “shotgun” proteomics technologies is that replicate analyses are likely to sample different subsets of the proteome.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Importantly, the Nautilus Platform needed to be fast and able to analyze tens of thousands of samples in a reasonable time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also needed to be integrated, allowing a biologist to put a sample in the instrument and get data out without additional intervention.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Single-Molecule Protein Flow Cell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Proteomic Analysis System: An Integrated Multi-cycle Optical and Fluidics Instrument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Novel Class of Affinity Reagents for Efficient Whole Proteome Analysis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Machine Learning Protein Decoding Analytics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Key Innovations</w:t>
      </w:r>
    </w:p>
    <w:p>
      <w:pPr>
        <w:pStyle w:val="TextBody"/>
        <w:spacing w:lineRule="auto" w:line="288" w:before="0" w:after="180"/>
        <w:ind w:left="0" w:right="0" w:firstLine="360"/>
        <w:rPr/>
      </w:pPr>
      <w:r>
        <w:rPr>
          <w:rFonts w:ascii="Times New Roman;sans-serif" w:hAnsi="Times New Roman;sans-serif"/>
          <w:b/>
          <w:i/>
          <w:color w:val="000000"/>
          <w:sz w:val="20"/>
        </w:rPr>
        <w:t>1.</w:t>
      </w:r>
      <w:r>
        <w:rPr>
          <w:rFonts w:ascii="Times New Roman;sans-serif" w:hAnsi="Times New Roman;sans-serif"/>
          <w:b/>
          <w:i/>
          <w:color w:val="000000"/>
          <w:sz w:val="20"/>
        </w:rPr>
        <w:t>Single-Molecule Protein Flow Cell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w:t>
      </w:r>
    </w:p>
    <w:p>
      <w:pPr>
        <w:pStyle w:val="HorizontalLine"/>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44" name="Frame2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 </w:t>
      </w:r>
    </w:p>
    <w:p>
      <w:pPr>
        <w:pStyle w:val="TextBody"/>
        <w:spacing w:before="0" w:after="180"/>
        <w:jc w:val="center"/>
        <w:rPr/>
      </w:pPr>
      <w:r>
        <w:rPr/>
        <w:drawing>
          <wp:inline distT="0" distB="63500" distL="0" distR="0">
            <wp:extent cx="5943600" cy="2219325"/>
            <wp:effectExtent l="0" t="0" r="0" b="0"/>
            <wp:docPr id="2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4" descr=""/>
                    <pic:cNvPicPr>
                      <a:picLocks noChangeAspect="1" noChangeArrowheads="1"/>
                    </pic:cNvPicPr>
                  </pic:nvPicPr>
                  <pic:blipFill>
                    <a:blip r:embed="rId5"/>
                    <a:stretch>
                      <a:fillRect/>
                    </a:stretch>
                  </pic:blipFill>
                  <pic:spPr bwMode="auto">
                    <a:xfrm>
                      <a:off x="0" y="0"/>
                      <a:ext cx="5943600" cy="2219325"/>
                    </a:xfrm>
                    <a:prstGeom prst="rect">
                      <a:avLst/>
                    </a:prstGeom>
                  </pic:spPr>
                </pic:pic>
              </a:graphicData>
            </a:graphic>
          </wp:inline>
        </w:drawing>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pStyle w:val="HorizontalLine"/>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46" name="Frame2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Single-Molecule Flow Cell Designed to Capture One Individual Scaffold-Protein Complex per Landing Pad</w:t>
      </w:r>
    </w:p>
    <w:p>
      <w:pPr>
        <w:pStyle w:val="TextBody"/>
        <w:spacing w:before="0" w:after="180"/>
        <w:jc w:val="center"/>
        <w:rPr/>
      </w:pPr>
      <w:r>
        <w:rPr/>
        <w:drawing>
          <wp:inline distT="0" distB="63500" distL="0" distR="0">
            <wp:extent cx="5943600" cy="2809875"/>
            <wp:effectExtent l="0" t="0" r="0" b="0"/>
            <wp:docPr id="2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5" descr=""/>
                    <pic:cNvPicPr>
                      <a:picLocks noChangeAspect="1" noChangeArrowheads="1"/>
                    </pic:cNvPicPr>
                  </pic:nvPicPr>
                  <pic:blipFill>
                    <a:blip r:embed="rId6"/>
                    <a:stretch>
                      <a:fillRect/>
                    </a:stretch>
                  </pic:blipFill>
                  <pic:spPr bwMode="auto">
                    <a:xfrm>
                      <a:off x="0" y="0"/>
                      <a:ext cx="5943600" cy="28098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Single-Molecule Protein Flow Cell is Designed at Nanometer-Scale to Cover the Information Density Needed to Measure Approximately 95% of the Human Proteome</w:t>
      </w:r>
    </w:p>
    <w:p>
      <w:pPr>
        <w:pStyle w:val="TextBody"/>
        <w:spacing w:before="0" w:after="180"/>
        <w:jc w:val="center"/>
        <w:rPr/>
      </w:pPr>
      <w:r>
        <w:rPr/>
        <w:drawing>
          <wp:inline distT="0" distB="63500" distL="0" distR="0">
            <wp:extent cx="3810000" cy="2971800"/>
            <wp:effectExtent l="0" t="0" r="0" b="0"/>
            <wp:docPr id="2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6" descr=""/>
                    <pic:cNvPicPr>
                      <a:picLocks noChangeAspect="1" noChangeArrowheads="1"/>
                    </pic:cNvPicPr>
                  </pic:nvPicPr>
                  <pic:blipFill>
                    <a:blip r:embed="rId7"/>
                    <a:stretch>
                      <a:fillRect/>
                    </a:stretch>
                  </pic:blipFill>
                  <pic:spPr bwMode="auto">
                    <a:xfrm>
                      <a:off x="0" y="0"/>
                      <a:ext cx="3810000" cy="29718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49" name="Frame2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i/>
          <w:color w:val="000000"/>
          <w:sz w:val="20"/>
        </w:rPr>
        <w:t>2.</w:t>
      </w:r>
      <w:r>
        <w:rPr>
          <w:rFonts w:ascii="Times New Roman;sans-serif" w:hAnsi="Times New Roman;sans-serif"/>
          <w:b/>
          <w:i/>
          <w:color w:val="000000"/>
          <w:sz w:val="20"/>
        </w:rPr>
        <w:t>Our Proteomic Analysis System: An Integrated Multi-cycle Optical and Fluidics Instrument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Multi-Cycle Affinity Reagent Probing, Imaging, Washing, and Re-Probing</w:t>
      </w:r>
    </w:p>
    <w:p>
      <w:pPr>
        <w:pStyle w:val="TextBody"/>
        <w:spacing w:before="0" w:after="180"/>
        <w:jc w:val="center"/>
        <w:rPr/>
      </w:pPr>
      <w:r>
        <w:rPr/>
      </w:r>
    </w:p>
    <w:p>
      <w:pPr>
        <w:pStyle w:val="TextBody"/>
        <w:spacing w:before="0" w:after="180"/>
        <w:jc w:val="center"/>
        <w:rPr/>
      </w:pPr>
      <w:r>
        <w:rPr/>
        <w:drawing>
          <wp:inline distT="0" distB="63500" distL="0" distR="0">
            <wp:extent cx="5943600" cy="3457575"/>
            <wp:effectExtent l="0" t="0" r="0" b="0"/>
            <wp:docPr id="2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7" descr=""/>
                    <pic:cNvPicPr>
                      <a:picLocks noChangeAspect="1" noChangeArrowheads="1"/>
                    </pic:cNvPicPr>
                  </pic:nvPicPr>
                  <pic:blipFill>
                    <a:blip r:embed="rId8"/>
                    <a:stretch>
                      <a:fillRect/>
                    </a:stretch>
                  </pic:blipFill>
                  <pic:spPr bwMode="auto">
                    <a:xfrm>
                      <a:off x="0" y="0"/>
                      <a:ext cx="5943600" cy="34575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pStyle w:val="TextBody"/>
        <w:spacing w:lineRule="auto" w:line="288" w:before="0" w:after="180"/>
        <w:ind w:left="0" w:right="0" w:firstLine="360"/>
        <w:rPr/>
      </w:pPr>
      <w:r>
        <w:rPr>
          <w:rFonts w:ascii="Times New Roman;sans-serif" w:hAnsi="Times New Roman;sans-serif"/>
          <w:b/>
          <w:i/>
          <w:color w:val="000000"/>
          <w:sz w:val="20"/>
        </w:rPr>
        <w:t>3.</w:t>
      </w:r>
      <w:r>
        <w:rPr>
          <w:rFonts w:ascii="Times New Roman;sans-serif" w:hAnsi="Times New Roman;sans-serif"/>
          <w:b/>
          <w:i/>
          <w:color w:val="000000"/>
          <w:sz w:val="20"/>
        </w:rPr>
        <w:t>A Novel Class of Affinity Reagents for Efficient Whole Proteome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Nautilus Platform technology is designed with fundamentally different principles of how to use and exploit the properties of affinity binding reagents compared to prior methods. Historically, affinity binding reagents have </w:t>
      </w:r>
    </w:p>
    <w:p>
      <w:pPr>
        <w:pStyle w:val="HorizontalLine"/>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51" name="Frame2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pStyle w:val="TextBody"/>
        <w:spacing w:lineRule="auto" w:line="288" w:before="0" w:after="180"/>
        <w:ind w:left="0" w:right="0" w:firstLine="360"/>
        <w:rPr/>
      </w:pPr>
      <w:r>
        <w:rPr>
          <w:rFonts w:ascii="Times New Roman;sans-serif" w:hAnsi="Times New Roman;sans-serif"/>
          <w:b/>
          <w:i/>
          <w:color w:val="000000"/>
          <w:sz w:val="20"/>
        </w:rPr>
        <w:t>4.</w:t>
      </w:r>
      <w:r>
        <w:rPr>
          <w:rFonts w:ascii="Times New Roman;sans-serif" w:hAnsi="Times New Roman;sans-serif"/>
          <w:b/>
          <w:i/>
          <w:color w:val="000000"/>
          <w:sz w:val="20"/>
        </w:rPr>
        <w:t>Machine Learning Protein Identification Software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pStyle w:val="HorizontalLine"/>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52" name="Frame2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Technology Can Identify a Protein by Analyzing Data from Multiple Cycles of Multi-Affinity Reagent Probing with High Probability</w:t>
      </w:r>
    </w:p>
    <w:p>
      <w:pPr>
        <w:pStyle w:val="TextBody"/>
        <w:spacing w:before="0" w:after="180"/>
        <w:jc w:val="center"/>
        <w:rPr/>
      </w:pPr>
      <w:r>
        <w:rPr/>
        <w:drawing>
          <wp:inline distT="0" distB="63500" distL="0" distR="0">
            <wp:extent cx="5943600" cy="3152775"/>
            <wp:effectExtent l="0" t="0" r="0" b="0"/>
            <wp:docPr id="2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 descr=""/>
                    <pic:cNvPicPr>
                      <a:picLocks noChangeAspect="1" noChangeArrowheads="1"/>
                    </pic:cNvPicPr>
                  </pic:nvPicPr>
                  <pic:blipFill>
                    <a:blip r:embed="rId9"/>
                    <a:stretch>
                      <a:fillRect/>
                    </a:stretch>
                  </pic:blipFill>
                  <pic:spPr bwMode="auto">
                    <a:xfrm>
                      <a:off x="0" y="0"/>
                      <a:ext cx="5943600" cy="3152775"/>
                    </a:xfrm>
                    <a:prstGeom prst="rect">
                      <a:avLst/>
                    </a:prstGeom>
                  </pic:spPr>
                </pic:pic>
              </a:graphicData>
            </a:graphic>
          </wp:inline>
        </w:drawing>
      </w:r>
    </w:p>
    <w:p>
      <w:pPr>
        <w:pStyle w:val="TextBody"/>
        <w:spacing w:lineRule="auto" w:line="288" w:before="0" w:after="180"/>
        <w:rPr>
          <w:rFonts w:ascii="Times New Roman;sans-serif" w:hAnsi="Times New Roman;sans-serif"/>
          <w:b w:val="false"/>
          <w:i/>
          <w:color w:val="000000"/>
          <w:sz w:val="16"/>
        </w:rPr>
      </w:pPr>
      <w:r>
        <w:rPr>
          <w:rFonts w:ascii="Times New Roman;sans-serif" w:hAnsi="Times New Roman;sans-serif"/>
          <w:b w:val="false"/>
          <w:i/>
          <w:color w:val="000000"/>
          <w:sz w:val="16"/>
        </w:rPr>
        <w:t>Source: Internal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Technology Workflow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workflow is designed to consist of five major steps, beginning with sample preparation and concluding with the machine learning analytics that yields high-value proteomic data.</w:t>
      </w:r>
    </w:p>
    <w:p>
      <w:pPr>
        <w:pStyle w:val="TextBody"/>
        <w:spacing w:before="0" w:after="180"/>
        <w:jc w:val="center"/>
        <w:rPr/>
      </w:pPr>
      <w:r>
        <w:rPr/>
        <w:drawing>
          <wp:inline distT="0" distB="63500" distL="0" distR="0">
            <wp:extent cx="5943600" cy="790575"/>
            <wp:effectExtent l="0" t="0" r="0" b="0"/>
            <wp:docPr id="2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 descr=""/>
                    <pic:cNvPicPr>
                      <a:picLocks noChangeAspect="1" noChangeArrowheads="1"/>
                    </pic:cNvPicPr>
                  </pic:nvPicPr>
                  <pic:blipFill>
                    <a:blip r:embed="rId10"/>
                    <a:stretch>
                      <a:fillRect/>
                    </a:stretch>
                  </pic:blipFill>
                  <pic:spPr bwMode="auto">
                    <a:xfrm>
                      <a:off x="0" y="0"/>
                      <a:ext cx="5943600" cy="790575"/>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55" name="Frame2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1 – Sample Preparation</w:t>
      </w:r>
      <w:r>
        <w:rPr>
          <w:rFonts w:ascii="Times New Roman;sans-serif" w:hAnsi="Times New Roman;sans-serif"/>
          <w:b w:val="false"/>
          <w:color w:val="000000"/>
          <w:sz w:val="20"/>
        </w:rPr>
        <w:b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2 – Sample Deposition onto the Flow Cell</w:t>
      </w:r>
      <w:r>
        <w:rPr>
          <w:rFonts w:ascii="Times New Roman;sans-serif" w:hAnsi="Times New Roman;sans-serif"/>
          <w:b w:val="false"/>
          <w:color w:val="000000"/>
          <w:sz w:val="20"/>
        </w:rPr>
        <w:br/>
        <w:t xml:space="preserve">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3 – Integrated Imaging and Fluidics System using Multi-Cycle Affinity Reagents</w:t>
      </w:r>
      <w:r>
        <w:rPr>
          <w:rFonts w:ascii="Times New Roman;sans-serif" w:hAnsi="Times New Roman;sans-serif"/>
          <w:b w:val="false"/>
          <w:color w:val="000000"/>
          <w:sz w:val="20"/>
        </w:rPr>
        <w:b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4 – Processing of Digitalized Proteomic Data</w:t>
      </w:r>
      <w:r>
        <w:rPr>
          <w:rFonts w:ascii="Times New Roman;sans-serif" w:hAnsi="Times New Roman;sans-serif"/>
          <w:b w:val="false"/>
          <w:color w:val="000000"/>
          <w:sz w:val="20"/>
        </w:rPr>
        <w:b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5 – Machine Learning Analytics - Decoding, Protein Identification, and Quantity</w:t>
      </w:r>
      <w:r>
        <w:rPr>
          <w:rFonts w:ascii="Times New Roman;sans-serif" w:hAnsi="Times New Roman;sans-serif"/>
          <w:b w:val="false"/>
          <w:color w:val="000000"/>
          <w:sz w:val="20"/>
        </w:rPr>
        <w:b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Platform Technology Performance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Simple and Robust Sample Handling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p>
    <w:p>
      <w:pPr>
        <w:pStyle w:val="HorizontalLine"/>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56" name="Frame2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v:textbox>
              </v:rect>
            </w:pict>
          </mc:Fallback>
        </mc:AlternateContent>
      </w:r>
    </w:p>
    <w:p>
      <w:pPr>
        <w:pStyle w:val="TextBody"/>
        <w:spacing w:before="0" w:after="180"/>
        <w:ind w:left="0" w:right="0" w:firstLine="360"/>
        <w:rPr/>
      </w:pPr>
      <w:r>
        <w:rPr/>
      </w:r>
    </w:p>
    <w:p>
      <w:pPr>
        <w:pStyle w:val="TextBody"/>
        <w:spacing w:before="0" w:after="180"/>
        <w:jc w:val="center"/>
        <w:rPr/>
      </w:pPr>
      <w:r>
        <w:rPr/>
        <w:drawing>
          <wp:inline distT="0" distB="63500" distL="0" distR="0">
            <wp:extent cx="2381250" cy="2400300"/>
            <wp:effectExtent l="0" t="0" r="0" b="0"/>
            <wp:docPr id="2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 descr=""/>
                    <pic:cNvPicPr>
                      <a:picLocks noChangeAspect="1" noChangeArrowheads="1"/>
                    </pic:cNvPicPr>
                  </pic:nvPicPr>
                  <pic:blipFill>
                    <a:blip r:embed="rId11"/>
                    <a:stretch>
                      <a:fillRect/>
                    </a:stretch>
                  </pic:blipFill>
                  <pic:spPr bwMode="auto">
                    <a:xfrm>
                      <a:off x="0" y="0"/>
                      <a:ext cx="2381250" cy="24003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Flow Cell Loading Demonstrates Approximately 97% of Flow Cell is Occupied with Protein Library</w:t>
      </w:r>
    </w:p>
    <w:p>
      <w:pPr>
        <w:pStyle w:val="TextBody"/>
        <w:spacing w:before="0" w:after="180"/>
        <w:jc w:val="center"/>
        <w:rPr/>
      </w:pPr>
      <w:r>
        <w:rPr/>
        <w:drawing>
          <wp:inline distT="0" distB="63500" distL="0" distR="0">
            <wp:extent cx="4762500" cy="3009900"/>
            <wp:effectExtent l="0" t="0" r="0" b="0"/>
            <wp:docPr id="2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1" descr=""/>
                    <pic:cNvPicPr>
                      <a:picLocks noChangeAspect="1" noChangeArrowheads="1"/>
                    </pic:cNvPicPr>
                  </pic:nvPicPr>
                  <pic:blipFill>
                    <a:blip r:embed="rId12"/>
                    <a:stretch>
                      <a:fillRect/>
                    </a:stretch>
                  </pic:blipFill>
                  <pic:spPr bwMode="auto">
                    <a:xfrm>
                      <a:off x="0" y="0"/>
                      <a:ext cx="4762500" cy="30099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Platform Stability in Multi-Cycle Experiments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w:t>
      </w:r>
    </w:p>
    <w:p>
      <w:pPr>
        <w:pStyle w:val="HorizontalLine"/>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59" name="Frame2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Protein Library Remains Bound to Flow Cell During Repetitive Probe Binding and Wash Cycles</w:t>
      </w:r>
    </w:p>
    <w:p>
      <w:pPr>
        <w:pStyle w:val="TextBody"/>
        <w:spacing w:before="0" w:after="180"/>
        <w:jc w:val="center"/>
        <w:rPr/>
      </w:pPr>
      <w:r>
        <w:rPr/>
        <w:drawing>
          <wp:inline distT="0" distB="63500" distL="0" distR="0">
            <wp:extent cx="5943600" cy="2495550"/>
            <wp:effectExtent l="0" t="0" r="0" b="0"/>
            <wp:docPr id="2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2" descr=""/>
                    <pic:cNvPicPr>
                      <a:picLocks noChangeAspect="1" noChangeArrowheads="1"/>
                    </pic:cNvPicPr>
                  </pic:nvPicPr>
                  <pic:blipFill>
                    <a:blip r:embed="rId13"/>
                    <a:stretch>
                      <a:fillRect/>
                    </a:stretch>
                  </pic:blipFill>
                  <pic:spPr bwMode="auto">
                    <a:xfrm>
                      <a:off x="0" y="0"/>
                      <a:ext cx="5943600" cy="24955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Nautilus Platform Sensitivity </w:t>
      </w:r>
    </w:p>
    <w:p>
      <w:pPr>
        <w:pStyle w:val="TextBody"/>
        <w:spacing w:lineRule="auto" w:line="288" w:before="0" w:after="180"/>
        <w:ind w:left="0" w:right="0" w:firstLine="360"/>
        <w:rPr/>
      </w:pPr>
      <w:r>
        <w:rPr>
          <w:rFonts w:ascii="Times New Roman;sans-serif" w:hAnsi="Times New Roman;sans-serif"/>
          <w:b w:val="false"/>
          <w:color w:val="000000"/>
          <w:sz w:val="20"/>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w:t>
      </w:r>
      <w:r>
        <w:rPr>
          <w:color w:val="000000"/>
          <w:highlight w:val="white"/>
        </w:rPr>
        <w:t xml:space="preserve"> </w:t>
      </w:r>
      <w:r>
        <w:rPr>
          <w:rFonts w:ascii="Times New Roman;sans-serif" w:hAnsi="Times New Roman;sans-serif"/>
          <w:b w:val="false"/>
          <w:color w:val="000000"/>
          <w:sz w:val="20"/>
          <w:highlight w:val="white"/>
        </w:rPr>
        <w:t xml:space="preserve">On our Nautilus Platform, we project we will be able to reach sensitivity down to 1 molecule out of 10 billion. </w:t>
      </w:r>
      <w:r>
        <w:rPr>
          <w:rFonts w:ascii="Times New Roman;sans-serif" w:hAnsi="Times New Roman;sans-serif"/>
          <w:b w:val="false"/>
          <w:color w:val="000000"/>
          <w:sz w:val="20"/>
        </w:rPr>
        <w:t>The figure below shows a limit of detection experiment performed on the Nautilus Platform, approaching attomolar sensitivity (1 out of 10</w:t>
      </w:r>
      <w:r>
        <w:rPr>
          <w:rFonts w:ascii="Times New Roman;sans-serif" w:hAnsi="Times New Roman;sans-serif"/>
          <w:b w:val="false"/>
          <w:color w:val="000000"/>
          <w:sz w:val="13"/>
        </w:rPr>
        <w:t>16</w:t>
      </w:r>
      <w:r>
        <w:rPr>
          <w:rFonts w:ascii="Times New Roman;sans-serif" w:hAnsi="Times New Roman;sans-serif"/>
          <w:b w:val="false"/>
          <w:color w:val="000000"/>
          <w:sz w:val="20"/>
        </w:rPr>
        <w:t xml:space="preserve">). We are also able to use this sensitivity in flexible way, for example we can perform an extremely deep analysis of a single protein library sample across all lanes of a flow </w:t>
      </w:r>
    </w:p>
    <w:p>
      <w:pPr>
        <w:pStyle w:val="HorizontalLine"/>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61" name="Frame2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cell, or we can perform a multiplexed analysis by processing a batch of samples together (each sample protein library individually barcoded) during one Proteomic Analysis System run.</w:t>
      </w:r>
    </w:p>
    <w:p>
      <w:pPr>
        <w:pStyle w:val="TextBody"/>
        <w:spacing w:lineRule="auto" w:line="288" w:before="0" w:after="180"/>
        <w:ind w:left="0" w:right="0" w:firstLine="360"/>
        <w:rPr/>
      </w:pPr>
      <w:r>
        <w:rPr>
          <w:rFonts w:ascii="Times New Roman;sans-serif" w:hAnsi="Times New Roman;sans-serif"/>
          <w:b w:val="false"/>
          <w:color w:val="000000"/>
          <w:sz w:val="20"/>
        </w:rPr>
        <w:t>Extreme Sensitivity Quantified by 10</w:t>
      </w:r>
      <w:r>
        <w:rPr>
          <w:rFonts w:ascii="Times New Roman;sans-serif" w:hAnsi="Times New Roman;sans-serif"/>
          <w:b w:val="false"/>
          <w:color w:val="000000"/>
          <w:sz w:val="13"/>
        </w:rPr>
        <w:t>-16</w:t>
      </w:r>
      <w:r>
        <w:rPr>
          <w:color w:val="000000"/>
        </w:rPr>
        <w:t xml:space="preserve"> </w:t>
      </w:r>
      <w:r>
        <w:rPr>
          <w:rFonts w:ascii="Times New Roman;sans-serif" w:hAnsi="Times New Roman;sans-serif"/>
          <w:b w:val="false"/>
          <w:color w:val="000000"/>
          <w:sz w:val="20"/>
        </w:rPr>
        <w:t xml:space="preserve">LOD (Limit of Detection) </w:t>
      </w:r>
    </w:p>
    <w:p>
      <w:pPr>
        <w:pStyle w:val="TextBody"/>
        <w:spacing w:before="0" w:after="180"/>
        <w:jc w:val="center"/>
        <w:rPr/>
      </w:pPr>
      <w:r>
        <w:rPr/>
        <w:drawing>
          <wp:inline distT="0" distB="63500" distL="0" distR="0">
            <wp:extent cx="2381250" cy="2381250"/>
            <wp:effectExtent l="0" t="0" r="0" b="0"/>
            <wp:docPr id="2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3" descr=""/>
                    <pic:cNvPicPr>
                      <a:picLocks noChangeAspect="1" noChangeArrowheads="1"/>
                    </pic:cNvPicPr>
                  </pic:nvPicPr>
                  <pic:blipFill>
                    <a:blip r:embed="rId14"/>
                    <a:stretch>
                      <a:fillRect/>
                    </a:stretch>
                  </pic:blipFill>
                  <pic:spPr bwMode="auto">
                    <a:xfrm>
                      <a:off x="0" y="0"/>
                      <a:ext cx="2381250" cy="23812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Mapping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Nautilus Platform Detection of Proteoform Patterns </w:t>
      </w:r>
    </w:p>
    <w:p>
      <w:pPr>
        <w:pStyle w:val="TextBody"/>
        <w:spacing w:before="0" w:after="180"/>
        <w:jc w:val="center"/>
        <w:rPr/>
      </w:pPr>
      <w:r>
        <w:rPr/>
        <w:drawing>
          <wp:inline distT="0" distB="63500" distL="0" distR="0">
            <wp:extent cx="5943600" cy="2447925"/>
            <wp:effectExtent l="0" t="0" r="0" b="0"/>
            <wp:docPr id="2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4" descr=""/>
                    <pic:cNvPicPr>
                      <a:picLocks noChangeAspect="1" noChangeArrowheads="1"/>
                    </pic:cNvPicPr>
                  </pic:nvPicPr>
                  <pic:blipFill>
                    <a:blip r:embed="rId15"/>
                    <a:stretch>
                      <a:fillRect/>
                    </a:stretch>
                  </pic:blipFill>
                  <pic:spPr bwMode="auto">
                    <a:xfrm>
                      <a:off x="0" y="0"/>
                      <a:ext cx="5943600" cy="244792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our Nautilus Platform, we are able to use existing commercially available affinity reagents to perform detailed mapping of proteoform patterns at the single-molecule level. We do this by measuring individual proteins at each specific post-translational modification site over multiple cycles, each cycle targeting a different specific site or </w:t>
      </w:r>
    </w:p>
    <w:p>
      <w:pPr>
        <w:pStyle w:val="HorizontalLine"/>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64" name="Frame2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w:t>
      </w:r>
      <w:r>
        <w:rPr>
          <w:color w:val="000000"/>
        </w:rPr>
        <w:t xml:space="preserve"> </w:t>
      </w:r>
      <w:r>
        <w:rPr>
          <w:rFonts w:ascii="Times New Roman;sans-serif" w:hAnsi="Times New Roman;sans-serif"/>
          <w:b w:val="false"/>
          <w:color w:val="000000"/>
          <w:sz w:val="20"/>
        </w:rPr>
        <w:t>cycles, our technology is potentially able to distinguish up to 16</w:t>
      </w:r>
      <w:r>
        <w:rPr>
          <w:color w:val="000000"/>
          <w:u w:val="single"/>
        </w:rPr>
        <w:t xml:space="preserve"> </w:t>
      </w:r>
      <w:r>
        <w:rPr>
          <w:rFonts w:ascii="Times New Roman;sans-serif" w:hAnsi="Times New Roman;sans-serif"/>
          <w:b w:val="false"/>
          <w:color w:val="000000"/>
          <w:sz w:val="20"/>
        </w:rPr>
        <w:t>different proteoforms (in this case, different phosphorylated patterns) of the same EGFR protein and the quantity of each proteoform in a sample.</w:t>
      </w:r>
    </w:p>
    <w:p>
      <w:pPr>
        <w:pStyle w:val="TextBody"/>
        <w:spacing w:before="0" w:after="180"/>
        <w:jc w:val="center"/>
        <w:rPr/>
      </w:pPr>
      <w:r>
        <w:rPr/>
        <w:drawing>
          <wp:inline distT="0" distB="63500" distL="0" distR="0">
            <wp:extent cx="5943600" cy="1495425"/>
            <wp:effectExtent l="0" t="0" r="0" b="0"/>
            <wp:docPr id="26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 descr=""/>
                    <pic:cNvPicPr>
                      <a:picLocks noChangeAspect="1" noChangeArrowheads="1"/>
                    </pic:cNvPicPr>
                  </pic:nvPicPr>
                  <pic:blipFill>
                    <a:blip r:embed="rId16"/>
                    <a:stretch>
                      <a:fillRect/>
                    </a:stretch>
                  </pic:blipFill>
                  <pic:spPr bwMode="auto">
                    <a:xfrm>
                      <a:off x="0" y="0"/>
                      <a:ext cx="5943600" cy="149542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Proteoform Pattern Detection and Quantitation</w:t>
      </w:r>
    </w:p>
    <w:p>
      <w:pPr>
        <w:pStyle w:val="TextBody"/>
        <w:spacing w:before="0" w:after="180"/>
        <w:jc w:val="center"/>
        <w:rPr/>
      </w:pPr>
      <w:r>
        <w:rPr/>
        <w:drawing>
          <wp:inline distT="0" distB="63500" distL="0" distR="0">
            <wp:extent cx="2857500" cy="1971675"/>
            <wp:effectExtent l="0" t="0" r="0" b="0"/>
            <wp:docPr id="2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 descr=""/>
                    <pic:cNvPicPr>
                      <a:picLocks noChangeAspect="1" noChangeArrowheads="1"/>
                    </pic:cNvPicPr>
                  </pic:nvPicPr>
                  <pic:blipFill>
                    <a:blip r:embed="rId17"/>
                    <a:stretch>
                      <a:fillRect/>
                    </a:stretch>
                  </pic:blipFill>
                  <pic:spPr bwMode="auto">
                    <a:xfrm>
                      <a:off x="0" y="0"/>
                      <a:ext cx="2857500" cy="19716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Nautilus Platform Development Plan Key Areas of Focus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 </w:t>
      </w:r>
    </w:p>
    <w:p>
      <w:pPr>
        <w:pStyle w:val="HorizontalLine"/>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67" name="Frame2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APPLICATIONS OF OUR TECHNOLOGY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Nautilus Platform technology is an open platform that is designed to leverage a wide variety of reagents to read and quantify the proteome and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pStyle w:val="TextBody"/>
        <w:spacing w:before="0" w:after="180"/>
        <w:jc w:val="center"/>
        <w:rPr/>
      </w:pPr>
      <w:r>
        <w:rPr/>
        <w:drawing>
          <wp:inline distT="0" distB="63500" distL="0" distR="0">
            <wp:extent cx="5943600" cy="2590800"/>
            <wp:effectExtent l="0" t="0" r="0" b="0"/>
            <wp:docPr id="26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 descr=""/>
                    <pic:cNvPicPr>
                      <a:picLocks noChangeAspect="1" noChangeArrowheads="1"/>
                    </pic:cNvPicPr>
                  </pic:nvPicPr>
                  <pic:blipFill>
                    <a:blip r:embed="rId18"/>
                    <a:stretch>
                      <a:fillRect/>
                    </a:stretch>
                  </pic:blipFill>
                  <pic:spPr bwMode="auto">
                    <a:xfrm>
                      <a:off x="0" y="0"/>
                      <a:ext cx="5943600" cy="25908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w:t>
      </w:r>
    </w:p>
    <w:p>
      <w:pPr>
        <w:pStyle w:val="HorizontalLine"/>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69" name="Frame2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creation of new and unforeseen applications, in a similar market expansion and innovation trend that was experienced in the years following the launch of open and flexible NGS platform technologies.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Basic Research and Discovery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Discovery Potential of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 </w:t>
      </w:r>
    </w:p>
    <w:p>
      <w:pPr>
        <w:pStyle w:val="TextBody"/>
        <w:spacing w:lineRule="auto" w:line="288" w:before="0" w:after="180"/>
        <w:ind w:left="0" w:right="0" w:firstLine="360"/>
        <w:rPr/>
      </w:pPr>
      <w:r>
        <w:rPr>
          <w:rFonts w:ascii="Times New Roman;sans-serif" w:hAnsi="Times New Roman;sans-serif"/>
          <w:b w:val="false"/>
          <w:color w:val="000000"/>
          <w:sz w:val="20"/>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r>
        <w:rPr>
          <w:color w:val="000000"/>
        </w:rPr>
        <w:t xml:space="preserve">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Multi-Omic Systems Biology and Proteogenomics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pStyle w:val="HorizontalLine"/>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0" name="Frame2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Translational Research and Discovery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Biomarker Discovery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Proteoform Patterns as Biomarkers and Mechanism of Action Studies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Longitudinal Monitoring of Proteome Dynamics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Diagnostics, Clinical Research and Drug Development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Transitioning from Discovery into Clinical Application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w:t>
      </w:r>
    </w:p>
    <w:p>
      <w:pPr>
        <w:pStyle w:val="HorizontalLine"/>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1" name="Frame2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Precision Medicine Development &amp; Clinical Trial Support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 </w:t>
      </w:r>
    </w:p>
    <w:p>
      <w:pPr>
        <w:pStyle w:val="HorizontalLine"/>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2" name="Frame2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proteins, and followed by sophisticated machine learning software architecture for the analysis of our data via, or SaaS, in the cloud.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Proteomic Analysis System &amp; Reagents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Sample Preparation Kits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Software &amp;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SALES &amp; MARKETING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Commercial Strategy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single-molecule quantitation, sensitivity, and reproducibility.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w:t>
      </w:r>
    </w:p>
    <w:p>
      <w:pPr>
        <w:pStyle w:val="HorizontalLine"/>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73" name="Frame2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Proteomic Analysis System launch.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Go-To-Market Strategy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planned go-to-market strategy is organized into 3 phases: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1)Collaborations &amp; Partnerships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2)Early Access &amp; POC (Proof of Concept) Programs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3)Proteomic Analysis System Launch &amp; Commercial Scale Up.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pStyle w:val="HorizontalLine"/>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74" name="Frame2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Aligning Go-to-Market Strategy with Research and Development Milestones</w:t>
      </w:r>
    </w:p>
    <w:p>
      <w:pPr>
        <w:pStyle w:val="TextBody"/>
        <w:spacing w:before="0" w:after="180"/>
        <w:jc w:val="center"/>
        <w:rPr/>
      </w:pPr>
      <w:r>
        <w:rPr/>
        <w:drawing>
          <wp:inline distT="0" distB="63500" distL="0" distR="0">
            <wp:extent cx="5943600" cy="2152650"/>
            <wp:effectExtent l="0" t="0" r="0" b="0"/>
            <wp:docPr id="2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8" descr=""/>
                    <pic:cNvPicPr>
                      <a:picLocks noChangeAspect="1" noChangeArrowheads="1"/>
                    </pic:cNvPicPr>
                  </pic:nvPicPr>
                  <pic:blipFill>
                    <a:blip r:embed="rId19"/>
                    <a:stretch>
                      <a:fillRect/>
                    </a:stretch>
                  </pic:blipFill>
                  <pic:spPr bwMode="auto">
                    <a:xfrm>
                      <a:off x="0" y="0"/>
                      <a:ext cx="5943600" cy="21526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Collaborations &amp; Partnerships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Early Access and Proof of Concept (POC) Programs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Proteomic Analysis System Launch and Commercial Scale Up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 </w:t>
      </w:r>
    </w:p>
    <w:p>
      <w:pPr>
        <w:pStyle w:val="HorizontalLine"/>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76" name="Frame2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Being first to market with a novel protein and proteoform detection platform;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Demonstrating the ability to unlock new sources of primary biological information with proteoform mapping and rare protein detection;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Providing immense data production capacity, driving discovery by enabling large scale studies and building our database to become a strategic asset;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Implementing a proven commercial model with an efficient direct salesforce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Expanding our impact into clinical applications, precision medicine and diagnostics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Genentech Partnership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Commercial Organization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Reagent and Flow Cell Consumables</w:t>
      </w:r>
    </w:p>
    <w:p>
      <w:pPr>
        <w:pStyle w:val="TextBody"/>
        <w:spacing w:lineRule="auto" w:line="288" w:before="0" w:after="180"/>
        <w:ind w:left="0" w:right="0" w:firstLine="360"/>
        <w:rPr/>
      </w:pPr>
      <w:r>
        <w:rPr>
          <w:rFonts w:ascii="Times New Roman;sans-serif" w:hAnsi="Times New Roman;sans-serif"/>
          <w:b w:val="false"/>
          <w:color w:val="000000"/>
          <w:sz w:val="20"/>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Risks Related to Nautilus’ Business Following the Business Combination</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77" name="Frame2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Instrumentation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2013, the FDA issued a final guidance on products labeled RUO, which, among other things, reaffirmed that a company may not make any clinical or diagnostic claims about an RUO product, stating that </w:t>
      </w:r>
    </w:p>
    <w:p>
      <w:pPr>
        <w:pStyle w:val="HorizontalLine"/>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78" name="Frame2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w:t>
      </w:r>
    </w:p>
    <w:p>
      <w:pPr>
        <w:pStyle w:val="HorizontalLine"/>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79" name="Frame2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w:t>
      </w:r>
    </w:p>
    <w:p>
      <w:pPr>
        <w:pStyle w:val="HorizontalLine"/>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0" name="Frame2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spacing w:lineRule="auto" w:line="288" w:before="0" w:after="180"/>
        <w:ind w:left="0" w:right="0" w:firstLine="360"/>
        <w:rPr/>
      </w:pPr>
      <w:r>
        <w:rPr>
          <w:rFonts w:ascii="Times New Roman;sans-serif" w:hAnsi="Times New Roman;sans-serif"/>
          <w:b w:val="false"/>
          <w:color w:val="000000"/>
          <w:sz w:val="20"/>
        </w:rPr>
        <w:t>For further discussion of the risks we face relating to regulation, see the section titled “</w:t>
      </w:r>
      <w:r>
        <w:rPr>
          <w:rFonts w:ascii="Times New Roman;sans-serif" w:hAnsi="Times New Roman;sans-serif"/>
          <w:b w:val="false"/>
          <w:i/>
          <w:color w:val="000000"/>
          <w:sz w:val="20"/>
        </w:rPr>
        <w:t>Risk factors— Risks Related to Nautilus’ Business Following the Business Combination— Risks Related to Regulatory and Legal Compliance Matters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w:t>
      </w:r>
    </w:p>
    <w:p>
      <w:pPr>
        <w:pStyle w:val="HorizontalLine"/>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1" name="Frame2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pStyle w:val="TextBody"/>
        <w:spacing w:lineRule="auto" w:line="288" w:before="0" w:after="180"/>
        <w:ind w:left="0" w:right="0" w:firstLine="360"/>
        <w:rPr/>
      </w:pPr>
      <w:r>
        <w:rPr>
          <w:rFonts w:ascii="Times New Roman;sans-serif" w:hAnsi="Times New Roman;sans-serif"/>
          <w:b w:val="false"/>
          <w:color w:val="000000"/>
          <w:sz w:val="20"/>
        </w:rPr>
        <w:t xml:space="preserve">For further discussion of the risks we face relating to regulation, see the section titled </w:t>
      </w:r>
      <w:r>
        <w:rPr>
          <w:color w:val="000000"/>
        </w:rPr>
        <w:t>“</w:t>
      </w:r>
      <w:r>
        <w:rPr>
          <w:rFonts w:ascii="Times New Roman;sans-serif" w:hAnsi="Times New Roman;sans-serif"/>
          <w:b w:val="false"/>
          <w:i/>
          <w:color w:val="000000"/>
          <w:sz w:val="20"/>
        </w:rPr>
        <w:t>Risk factors— Risks Related to Nautilus’ Business Following the Business Combination— Risks Related to Regulatory and Legal Compliance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obtain and maintain intellectual protection for our products and technology by using a variety of intellectual protection strategies, such as patents, trademarks, trade secrets and other methods of protecting proprietary information.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own one issued U.S. patent, one allowed U.S. patent, more than six pending U.S. non-provisional patent applications, more than three pending U.S. provisional patent applications, and more than thirty pending foreign patent applications, including three international patent applications filed under the Patent Cooperation Treaty (PCT application). Our owned patents and patent applications, if issued, are expected to expire between 2037 and 2041, in each case absent any patent term adjustments or extensions and assuming payment of all appropriate maintenance, renewal, annuity, or other governmental fees.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Trade Secrets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 </w:t>
      </w:r>
    </w:p>
    <w:p>
      <w:pPr>
        <w:pStyle w:val="HorizontalLine"/>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2" name="Frame2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Trademarks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own approximately four registered trademarks in China and Europe. In addition, we have five pending trademark applications directed to different classes in China. Further, we have two pending trademark applications in U.S. and Canada.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Collaboration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Scientific Advisory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assembled a highly qualified scientific advisory board composed of advisors who have deep expertise in the fields of proteomics, medicine, regulatory compliance and data science. Our scientific advisory board is composed of:</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Ruedi Aebersold,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Lee Hartwell,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Hartwell is the President and Director Emeritus of the Fred Hutchinson Cancer Research Center. He is a 2001 Co-recipient Nobel Prize in Physiology and Medicine for his discovery of the protein molecules that control the division of cells.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Joshua LaBaer, MD,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Employees and Human Capital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57 employees, all based in the United States, many of whom hold doctorate degrees. Of these employees, 45 were engaged in research and development activities, and 12 were engaged in general and administrative activities. None of our employees are represented by a labor union or covered under a collective bargaining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research and development facilities, and manufacturing and distribution centers are located at 425 Pontius Ave N, Ste 202, Seattle, Washington. The facility is approximately 2,542 square feet and is compliant with all relevant state and federal requirements. Our lease on this facility runs through April 30, 2021. We also lease approximately 25,879 square feet of additional office and research space at 201 Industrial Road, San </w:t>
      </w:r>
    </w:p>
    <w:p>
      <w:pPr>
        <w:pStyle w:val="HorizontalLine"/>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3" name="Frame2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Carlos, California and approximately 45,338 square feet of additional office and research space at 835 Industrial Road, San Carlos, California. This space is currently under construction and has a target commencement date of October 1, 2021. Finally, we leased 10,142 square feet of office and research space at 75 Shoreway Road, San Carlos, California. The license for use of this facility is expected to terminate 30 days after the commencement date for the lease at 835 Industrial Road, San Carlos, California. We do not own any real property and believe that our current facilities are sufficient to meet our ongoing needs and that, if we require additional space, we will be able to obtain additional facilities on commercially reasonable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84" name="Frame2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Nautilus’ financial condition and results of operations together with the section entitled “Selected Historical Financial Information of Nautilus” and Nautilus’ audited financial statements and notes thereto. Certain of the information contained in this discussion and analysis or set forth elsewhere in this proxy statement/prospectus, including information with respect to plans and strategy for Nautilus’ business, includes forward-looking statements that involve risks and uncertainties. As a result of many factors, including those factors set forth in the section entitled “Risk Factors,” Nautilus’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Nautilus’ forward-looking statements. Please also see the section entitled “Cautionary Note Regarding Forward-Looking Statements.”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Nautilus Management’s Discussion and Analysis of Financial Condition and Results of Operations section to “Nautilus,” “we,” “us,” “our” and other similar terms refer to Nautilus prior to the Business Combination and to New Nautilus and its consolidated subsidiaries after giving effect to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w:t>
      </w:r>
    </w:p>
    <w:p>
      <w:pPr>
        <w:pStyle w:val="HorizontalLine"/>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85" name="Frame2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consumable production capacity internally or find one or more suitable manufacturing or production partners, or both, to meet the volume and quality requirements necessary to be successful in the proteomics market.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private placements of convertible preferred stock. Through December 31, 2020, we had raised aggregate net proceeds of $108.4 million from these private placements and as of December 31, 2020, we had cash, cash equivalents and short term investments of $76.7 million. In April and May 2020, we issued 6,109,232 shares of Series B convertible preferred stock for $12.45 per share, resulting in net proceeds of $75.9 million. Based on our current operating plan, we believe that our existing cash, cash equivalents, and short-term investments will enable us to fund our planned operating expenses and capital expenditures through at least at least the next 12 months.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losses were $15.6 million in 2020, and we expect to continue to incur significant losses for the foreseeable future as we continue our research and development activities and planned commercialization of our proteomics platform. As of December 31, 2020, we had an accumulated deficit of $30.3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p>
    <w:p>
      <w:pPr>
        <w:pStyle w:val="HorizontalLine"/>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86" name="Frame2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Impact of COVID-19 Pandemic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87" name="Frame2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Proposed Business Combination Transaction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we executed a definitive business combination agreement between us and ARYA. As a result of the proposed business combination, ARYA will be renamed to Nautilus Biotechnology, Inc., or New Nautilus, and Nautilus will become a wholly owned subsidiary of New Nautilus. Upon the completion of the proposed business combination transaction, the stockholders of Nautilus will exchange their interests in Nautilus for shares of common stock of New Nautilus and awards issued under Nautilus’ existing equity incentive plans will be exchanged for awards issued under a new equity incentive plan to be adopted by New Nautilus. In addition, immediately after the completion of the Business Combination, certain investors have agreed to subscribe for and purchase an aggregate of $200 million of common stock of New Nautilus. The combined company is expected to receive gross proceeds of approximately $350 million at the closing of the transaction (assuming no redemptions are effected by shareholders of ARYA) and will continue to operate under the Nautilus management team. The boards of directors of both ARYA and Nautilus have approved the proposed transaction. Completion of the transaction, which is expected in the second quarter of 2021, is subject to approval of ARYA’s shareholders and the satisfaction or waiver of certain other customary closing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pStyle w:val="HorizontalLine"/>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88" name="Frame2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interest income on our cash, cash equivalents and short-term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statements of operations for the periods indicated:</w:t>
      </w:r>
    </w:p>
    <w:tbl>
      <w:tblPr>
        <w:tblW w:w="7709" w:type="dxa"/>
        <w:jc w:val="left"/>
        <w:tblInd w:w="0" w:type="dxa"/>
        <w:tblCellMar>
          <w:top w:w="28" w:type="dxa"/>
          <w:left w:w="28" w:type="dxa"/>
          <w:bottom w:w="28" w:type="dxa"/>
          <w:right w:w="28" w:type="dxa"/>
        </w:tblCellMar>
      </w:tblPr>
      <w:tblGrid>
        <w:gridCol w:w="863"/>
        <w:gridCol w:w="759"/>
        <w:gridCol w:w="762"/>
        <w:gridCol w:w="211"/>
        <w:gridCol w:w="796"/>
        <w:gridCol w:w="109"/>
        <w:gridCol w:w="109"/>
        <w:gridCol w:w="109"/>
        <w:gridCol w:w="109"/>
        <w:gridCol w:w="211"/>
        <w:gridCol w:w="691"/>
        <w:gridCol w:w="109"/>
        <w:gridCol w:w="109"/>
        <w:gridCol w:w="109"/>
        <w:gridCol w:w="109"/>
        <w:gridCol w:w="222"/>
        <w:gridCol w:w="728"/>
        <w:gridCol w:w="114"/>
        <w:gridCol w:w="109"/>
        <w:gridCol w:w="109"/>
        <w:gridCol w:w="109"/>
        <w:gridCol w:w="270"/>
        <w:gridCol w:w="226"/>
        <w:gridCol w:w="657"/>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2019</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Our net loss was $15.6 million for the year ended December 31, 2020. As of December 31, 2020, we had an accumulated deficit of $30.3 million. We have funded our operations to date primarily with proceeds from the sale of convertible preferred stock. As of December 31, 2020, we had raised net proceeds of $108.4 million from these private placements of our convertible preferred stock and had cash, cash equivalents and short term investments of $76.7 million. In April and May 2020, we issued 6,109,232 shares of Series B convertible preferred stock for $12.45 per share, resulting in net proceeds of $75.9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HorizontalLine"/>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89" name="Frame2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HorizontalLine"/>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0" name="Frame2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2020 and 2019:</w:t>
      </w:r>
    </w:p>
    <w:tbl>
      <w:tblPr>
        <w:tblW w:w="8063" w:type="dxa"/>
        <w:jc w:val="left"/>
        <w:tblInd w:w="0" w:type="dxa"/>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691"/>
        <w:gridCol w:w="154"/>
      </w:tblGrid>
      <w:tr>
        <w:trPr/>
        <w:tc>
          <w:tcPr>
            <w:tcW w:w="2013"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provided by financing activities was $75.9 million, primarily from proceeds from issuance of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provided by financing activities was less than $0.1 million in net proceeds from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December 31, 2020 and the effects that such obligations are expected to have on our liquidity and cash flows in future periods:</w:t>
      </w:r>
    </w:p>
    <w:tbl>
      <w:tblPr>
        <w:tblW w:w="9476" w:type="dxa"/>
        <w:jc w:val="left"/>
        <w:tblInd w:w="0" w:type="dxa"/>
        <w:tblCellMar>
          <w:top w:w="28" w:type="dxa"/>
          <w:left w:w="28" w:type="dxa"/>
          <w:bottom w:w="28" w:type="dxa"/>
          <w:right w:w="28" w:type="dxa"/>
        </w:tblCellMar>
      </w:tblPr>
      <w:tblGrid>
        <w:gridCol w:w="972"/>
        <w:gridCol w:w="855"/>
        <w:gridCol w:w="857"/>
        <w:gridCol w:w="211"/>
        <w:gridCol w:w="616"/>
        <w:gridCol w:w="109"/>
        <w:gridCol w:w="109"/>
        <w:gridCol w:w="109"/>
        <w:gridCol w:w="109"/>
        <w:gridCol w:w="297"/>
        <w:gridCol w:w="869"/>
        <w:gridCol w:w="153"/>
        <w:gridCol w:w="109"/>
        <w:gridCol w:w="109"/>
        <w:gridCol w:w="109"/>
        <w:gridCol w:w="211"/>
        <w:gridCol w:w="616"/>
        <w:gridCol w:w="109"/>
        <w:gridCol w:w="109"/>
        <w:gridCol w:w="109"/>
        <w:gridCol w:w="109"/>
        <w:gridCol w:w="235"/>
        <w:gridCol w:w="453"/>
        <w:gridCol w:w="121"/>
        <w:gridCol w:w="109"/>
        <w:gridCol w:w="109"/>
        <w:gridCol w:w="109"/>
        <w:gridCol w:w="406"/>
        <w:gridCol w:w="782"/>
        <w:gridCol w:w="296"/>
      </w:tblGrid>
      <w:tr>
        <w:trPr/>
        <w:tc>
          <w:tcPr>
            <w:tcW w:w="97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2"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obligations</w:t>
            </w:r>
            <w:r>
              <w:rPr>
                <w:rFonts w:ascii="Times New Roman;sans-serif" w:hAnsi="Times New Roman;sans-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1" name="Frame2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v:textbox>
              </v:rect>
            </w:pict>
          </mc:Fallback>
        </mc:AlternateContent>
      </w:r>
    </w:p>
    <w:p>
      <w:pPr>
        <w:pStyle w:val="TextBody"/>
        <w:spacing w:before="0" w:after="180"/>
        <w:ind w:left="0" w:right="0" w:firstLine="36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lineRule="auto" w:line="288" w:before="0" w:after="0"/>
        <w:ind w:left="0" w:right="0" w:hanging="360"/>
        <w:rPr/>
      </w:pPr>
      <w:r>
        <w:rPr>
          <w:rFonts w:ascii="Times New Roman;sans-serif" w:hAnsi="Times New Roman;sans-serif"/>
          <w:b w:val="false"/>
          <w:color w:val="000000"/>
          <w:sz w:val="16"/>
        </w:rPr>
        <w:t>(1)Reflects minimum payments d</w:t>
      </w:r>
      <w:r>
        <w:rPr>
          <w:rFonts w:ascii="Times New Roman;sans-serif" w:hAnsi="Times New Roman;sans-serif"/>
          <w:b w:val="false"/>
          <w:color w:val="000000"/>
          <w:sz w:val="16"/>
          <w:highlight w:val="white"/>
        </w:rPr>
        <w:t>ue for office space and laboratory space under our leases in Seattle, Washington and San Carlos, California.</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have not commenced and therefore are not included in the operating lease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and did not have during the periods presented, any off-balance sheet arrangements, as defined in the rules and regulations of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 We base our estimates on past experience and other assumptions that we believe are reasonable under the circumstances, and we evaluate these estimates on an ongoing basis. Actual results may differ from those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Research and Development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pStyle w:val="TextBody"/>
        <w:spacing w:lineRule="auto" w:line="288" w:before="0" w:after="180"/>
        <w:ind w:left="0" w:right="0" w:firstLine="360"/>
        <w:rPr/>
      </w:pPr>
      <w:r>
        <w:rPr>
          <w:rFonts w:ascii="Times New Roman;sans-serif" w:hAnsi="Times New Roman;sans-serif"/>
          <w:b w:val="false"/>
          <w:color w:val="000000"/>
          <w:sz w:val="20"/>
        </w:rPr>
        <w:t>As part of the process of preparing its financial statements, we estimate our accrued expenses</w:t>
      </w:r>
      <w:r>
        <w:rPr>
          <w:rFonts w:ascii="Times New Roman;sans-serif" w:hAnsi="Times New Roman;sans-serif"/>
          <w:b/>
          <w:i/>
          <w:color w:val="000000"/>
          <w:sz w:val="20"/>
        </w:rPr>
        <w:t xml:space="preserve">. </w:t>
      </w:r>
      <w:r>
        <w:rPr>
          <w:rFonts w:ascii="Times New Roman;sans-serif" w:hAnsi="Times New Roman;sans-serif"/>
          <w:b w:val="false"/>
          <w:color w:val="000000"/>
          <w:sz w:val="20"/>
        </w:rPr>
        <w:t>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pStyle w:val="HorizontalLine"/>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2" name="Frame2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Black-Scholes option pricing model utilizes inputs which are highly subjective assumptions and generally require significant judgment. These assumptions include:</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See the subsection titled “—Common Stock Valuations” below.</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risk-free interest rate is based on the U.S. Treasury zero coupon issues in effect at the time of grant for periods corresponding with the expected term of the option.</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Because we have been privately held and do not have any trading history for 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 xml:space="preserve">Expected Term. </w:t>
      </w:r>
      <w:r>
        <w:rPr>
          <w:rFonts w:ascii="Times New Roman;sans-serif" w:hAnsi="Times New Roman;sans-serif"/>
          <w:b w:val="false"/>
          <w:color w:val="000000"/>
          <w:sz w:val="20"/>
        </w:rPr>
        <w:t>The expected term represents the period that the stock-based awards are expected to be outstanding and is determined using the simplified method (based on the mid-point between the vesting date and the end of the contractual term), as we do not have sufficient historical data to use any other method to estimate expected term.</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We have never paid dividends on our common stock and have no plans to pay dividends on our common stock. Therefore, we used an expected dividend yield of zero.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Times New Roman;sans-serif" w:hAnsi="Times New Roman;sans-serif"/>
          <w:b w:val="false"/>
          <w:i/>
          <w:color w:val="000000"/>
          <w:sz w:val="20"/>
        </w:rPr>
        <w:t>Valuation of Privately-Held-Company Equity Securities Issued as Compensation</w:t>
      </w:r>
      <w:r>
        <w:rPr>
          <w:rFonts w:ascii="Times New Roman;sans-serif" w:hAnsi="Times New Roman;sans-serif"/>
          <w:b w:val="false"/>
          <w:color w:val="000000"/>
          <w:sz w:val="20"/>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results of operations and financial position, including our levels of available capital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stage of development and material risks related to our business;</w:t>
      </w:r>
    </w:p>
    <w:p>
      <w:pPr>
        <w:pStyle w:val="HorizontalLine"/>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3" name="Frame2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progress of our research and development activities;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business conditions and projections;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lack of marketability of our common stock as a private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prices at which we sold shares of our convertible preferred stock to outside investors in arms-length transactions and the terms and prices of other arm’s length transactions involving the sale or transfer of our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rights, preferences, and privileges of our convertible preferred stock relative to those of our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likelihood of achieving a liquidity event for our securityholders, such as an initial public offering or a sale of our company, given prevailing market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hiring of key personnel and the experience of management;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trends and developments in our industry;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external market conditions affecting the life sciences and biotechnology industry sectors.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Option Pricing Method</w:t>
      </w:r>
      <w:r>
        <w:rPr>
          <w:rFonts w:ascii="Times New Roman;sans-serif" w:hAnsi="Times New Roman;sans-serif"/>
          <w:b w:val="false"/>
          <w:color w:val="000000"/>
          <w:sz w:val="20"/>
        </w:rPr>
        <w:t>.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Probability-Weighted Expected Return Method</w:t>
      </w:r>
      <w:r>
        <w:rPr>
          <w:rFonts w:ascii="Times New Roman;sans-serif" w:hAnsi="Times New Roman;sans-serif"/>
          <w:b w:val="false"/>
          <w:color w:val="000000"/>
          <w:sz w:val="20"/>
        </w:rPr>
        <w:t>.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valuations performed in December 2020, we used a hybrid method utilizing a combination of the OPM and the PWERM. We utilized two different scenarios: (a) a transaction with a SPAC and (b) an acquisition by </w:t>
      </w:r>
    </w:p>
    <w:p>
      <w:pPr>
        <w:pStyle w:val="HorizontalLine"/>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294" name="Frame2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Business Combination, the New Nautilus Board will determine the fair market value of New Nautilus common stock based on its closing price as reported on the date of grant on the Nasdaq Stock Exchange.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Note 2 to our audited financial statements included elsewhere in this prospectus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Quantitative and Qualitative Disclosures About Market Risk</w:t>
      </w:r>
      <w:r>
        <w:rPr>
          <w:color w:val="000000"/>
        </w:rPr>
        <w:t xml:space="preserve">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had cash, cash equivalents and short-term investments of $76.7 million and $16.7 million as of December 31, 2020 and December 31, 2019,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December 31, 2020 and December 31, 2019. If overall interest rates had increased or decreased by 1.00% (100 basis points), neither our interest expense nor our interest income would have been materially affected during the years ended December 31, 2020 or December 31, 2019.</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research and development contracts. We do not believe that inflation has had a material effect on our financial results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pStyle w:val="HorizontalLine"/>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295" name="Frame2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296" name="Frame2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EXECUTIVE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Nautilus’ goals, Nautilus has designed, and intends to modify as necessary, its compensation and benefits program to attract, retain, incentivize and reward deeply talented and qualified executives who share its philosophy and desire to work towards achieving these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believes its compensation program should promote the success of the company and align executive incentives with the long-term interests of its stockholders. As Nautilus’ needs evolve, Nautilus intends to continue to evaluate its philosophy and compensation programs as circumstances require.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section provides an overview of Nautilus’ executive compensation programs, including a narrative description of the material factors necessary to understand the information disclosed in the summary compensation table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Nautilus’ named executive officers were: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Sujal Patel, Chief Executive Officer, President, and Secretary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Anna Mowry, Chief Financial Officer and Treasurer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Subra Sankar, Senior Vice President, Product Development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Compensation Table for the Fiscal Year Ended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compensation earned by Nautilus’ named executive officers for the fiscal year ended December 31, 2020.</w:t>
      </w:r>
    </w:p>
    <w:tbl>
      <w:tblPr>
        <w:tblW w:w="11609" w:type="dxa"/>
        <w:jc w:val="left"/>
        <w:tblInd w:w="0" w:type="dxa"/>
        <w:tblCellMar>
          <w:top w:w="28" w:type="dxa"/>
          <w:left w:w="28" w:type="dxa"/>
          <w:bottom w:w="28" w:type="dxa"/>
          <w:right w:w="28" w:type="dxa"/>
        </w:tblCellMar>
      </w:tblPr>
      <w:tblGrid>
        <w:gridCol w:w="697"/>
        <w:gridCol w:w="244"/>
        <w:gridCol w:w="245"/>
        <w:gridCol w:w="109"/>
        <w:gridCol w:w="109"/>
        <w:gridCol w:w="109"/>
        <w:gridCol w:w="174"/>
        <w:gridCol w:w="174"/>
        <w:gridCol w:w="178"/>
        <w:gridCol w:w="109"/>
        <w:gridCol w:w="109"/>
        <w:gridCol w:w="109"/>
        <w:gridCol w:w="413"/>
        <w:gridCol w:w="413"/>
        <w:gridCol w:w="109"/>
        <w:gridCol w:w="109"/>
        <w:gridCol w:w="109"/>
        <w:gridCol w:w="109"/>
        <w:gridCol w:w="109"/>
        <w:gridCol w:w="109"/>
        <w:gridCol w:w="109"/>
        <w:gridCol w:w="360"/>
        <w:gridCol w:w="361"/>
        <w:gridCol w:w="109"/>
        <w:gridCol w:w="109"/>
        <w:gridCol w:w="109"/>
        <w:gridCol w:w="109"/>
        <w:gridCol w:w="109"/>
        <w:gridCol w:w="109"/>
        <w:gridCol w:w="109"/>
        <w:gridCol w:w="488"/>
        <w:gridCol w:w="488"/>
        <w:gridCol w:w="211"/>
        <w:gridCol w:w="109"/>
        <w:gridCol w:w="109"/>
        <w:gridCol w:w="109"/>
        <w:gridCol w:w="498"/>
        <w:gridCol w:w="223"/>
        <w:gridCol w:w="182"/>
        <w:gridCol w:w="182"/>
        <w:gridCol w:w="182"/>
        <w:gridCol w:w="186"/>
        <w:gridCol w:w="109"/>
        <w:gridCol w:w="109"/>
        <w:gridCol w:w="109"/>
        <w:gridCol w:w="308"/>
        <w:gridCol w:w="308"/>
        <w:gridCol w:w="182"/>
        <w:gridCol w:w="182"/>
        <w:gridCol w:w="182"/>
        <w:gridCol w:w="186"/>
        <w:gridCol w:w="109"/>
        <w:gridCol w:w="109"/>
        <w:gridCol w:w="109"/>
        <w:gridCol w:w="488"/>
        <w:gridCol w:w="488"/>
        <w:gridCol w:w="225"/>
      </w:tblGrid>
      <w:tr>
        <w:trPr/>
        <w:tc>
          <w:tcPr>
            <w:tcW w:w="69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compensation</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251,450 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Anna Mowry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1,945,200 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1,948,219 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Product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3,280,473 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(2)These amounts represent performance-based cash bonuses earned under our 2020 annual bonus program based upon the achievement of objectives for the year ended December 31, 2020, which were paid in 2021. Nautilus’ bonus plan is more fully described below under the section titled “—Non-Equity Incentive Plan Compensation.”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amounts reported represent (i) $1,200 in parking benefits and (ii) $250 for expenses associated with working from home.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(4)Ms. Mowry.joined Nautilus as,Chief Financial Officer and Treasurer in December 2020, and therefore the compensation set forth in the table above reflects the amount earned for the portion of 2020 in which she was employed by Nautilus.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(5)The amounts reported reflect (i) $2,000 in pre-employment consulting services and (ii) $250 for expenses associated with working from home.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(6)Dr. Sankar joined Nautilus as Senior Vice President, Product Development, in December 2020, and therefore the compensation set forth in the table above reflects the amount earned for the portion of 2020 in which he was employed by Nautilus.</w:t>
      </w:r>
    </w:p>
    <w:p>
      <w:pPr>
        <w:pStyle w:val="HorizontalLine"/>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297" name="Frame2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v:textbox>
              </v:rect>
            </w:pict>
          </mc:Fallback>
        </mc:AlternateContent>
      </w:r>
    </w:p>
    <w:p>
      <w:pPr>
        <w:pStyle w:val="TextBody"/>
        <w:spacing w:before="0" w:after="180"/>
        <w:ind w:left="0" w:right="0" w:firstLine="36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(7)The amount reported reflects a signing bonus paid to Dr. Sankar in connection with his joining Nautilus.</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Non-Equity Incentive Plan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beginning of 2020,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Nautilus’ board of directors had the discretion to increase, reduce or eliminate any bonus award and, unless determined otherwise by Nautilus’ board of directors, a participant must be employed by Nautilus or its affiliates on the date the bonus is paid in order to receive such payment under such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2020 bonus opportunities for Nautilus’ executives was based on the assessment of Nautilus’ board of directors of the achievement of company objectives that were established by Nautilus’ board of directors at the beginning of the year as well as any other factors or achievements (e.g., individual performance, as applicable), that Nautilus’ board of directors determined to be relevant in such assessment. Corporate objectives under the Nautilus Employee Bonus Plan consisted of corporate development and product development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Nautilus’ performance against the company objectives in 2020, Nautilus’ board of directors determined to fund the Nautilus Employee Bonus Plan at 100% of the target level for corporate performance objectives for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amounts in the Summary Compensation Table under the column “Non-equity incentive plan compensation” are based on the named executive officer’s target bonus amount multiplied by the achievement percentage set by Nautilus’ board of directors consistent with its determinations under the Nautilus Employee Bonus Plan. For 2020, Mr. Patel’s target cash incentive bonus was $50,000 and was 100% based on corporate goals. Because Ms. Mowry and Dr. Sankar joined Nautilus at the end of 2020, they were not eligible to participate in the Nautilus Employee Bonus Plan for 2020.</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Outstanding Equity Awards at Fiscal Year-End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equity awards granted to Nautilus’ named executive officers that remain outstanding as of December 31, 2020:</w:t>
      </w:r>
    </w:p>
    <w:tbl>
      <w:tblPr>
        <w:tblW w:w="10205" w:type="dxa"/>
        <w:jc w:val="left"/>
        <w:tblInd w:w="0" w:type="dxa"/>
        <w:tblCellMar>
          <w:top w:w="28" w:type="dxa"/>
          <w:left w:w="28" w:type="dxa"/>
          <w:bottom w:w="28" w:type="dxa"/>
          <w:right w:w="28" w:type="dxa"/>
        </w:tblCellMar>
      </w:tblPr>
      <w:tblGrid>
        <w:gridCol w:w="306"/>
        <w:gridCol w:w="183"/>
        <w:gridCol w:w="158"/>
        <w:gridCol w:w="109"/>
        <w:gridCol w:w="109"/>
        <w:gridCol w:w="109"/>
        <w:gridCol w:w="253"/>
        <w:gridCol w:w="160"/>
        <w:gridCol w:w="161"/>
        <w:gridCol w:w="109"/>
        <w:gridCol w:w="109"/>
        <w:gridCol w:w="109"/>
        <w:gridCol w:w="354"/>
        <w:gridCol w:w="354"/>
        <w:gridCol w:w="355"/>
        <w:gridCol w:w="109"/>
        <w:gridCol w:w="109"/>
        <w:gridCol w:w="109"/>
        <w:gridCol w:w="535"/>
        <w:gridCol w:w="214"/>
        <w:gridCol w:w="200"/>
        <w:gridCol w:w="200"/>
        <w:gridCol w:w="200"/>
        <w:gridCol w:w="205"/>
        <w:gridCol w:w="109"/>
        <w:gridCol w:w="109"/>
        <w:gridCol w:w="109"/>
        <w:gridCol w:w="278"/>
        <w:gridCol w:w="205"/>
        <w:gridCol w:w="206"/>
        <w:gridCol w:w="109"/>
        <w:gridCol w:w="109"/>
        <w:gridCol w:w="109"/>
        <w:gridCol w:w="254"/>
        <w:gridCol w:w="254"/>
        <w:gridCol w:w="255"/>
        <w:gridCol w:w="109"/>
        <w:gridCol w:w="109"/>
        <w:gridCol w:w="109"/>
        <w:gridCol w:w="537"/>
        <w:gridCol w:w="126"/>
        <w:gridCol w:w="126"/>
        <w:gridCol w:w="126"/>
        <w:gridCol w:w="126"/>
        <w:gridCol w:w="126"/>
        <w:gridCol w:w="109"/>
        <w:gridCol w:w="109"/>
        <w:gridCol w:w="109"/>
        <w:gridCol w:w="577"/>
        <w:gridCol w:w="305"/>
        <w:gridCol w:w="127"/>
        <w:gridCol w:w="127"/>
        <w:gridCol w:w="127"/>
        <w:gridCol w:w="196"/>
      </w:tblGrid>
      <w:tr>
        <w:trPr/>
        <w:tc>
          <w:tcPr>
            <w:tcW w:w="30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1" w:type="dxa"/>
            <w:gridSpan w:val="30"/>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Option Awards</w:t>
            </w:r>
            <w:r>
              <w:rPr>
                <w:rFonts w:ascii="Times New Roman;sans-serif" w:hAnsi="Times New Roman;sans-serif"/>
                <w:b/>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3"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r>
      <w:tr>
        <w:trPr/>
        <w:tc>
          <w:tcPr>
            <w:tcW w:w="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w:t>
              <w:br/>
              <w:t>(#) 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w:t>
              <w:br/>
              <w:t>(#) 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Option exercise price</w:t>
            </w:r>
          </w:p>
          <w:p>
            <w:pPr>
              <w:pStyle w:val="TableContents"/>
              <w:spacing w:lineRule="auto" w:line="240" w:before="0" w:after="0"/>
              <w:jc w:val="center"/>
              <w:rPr/>
            </w:pPr>
            <w:r>
              <w:rPr>
                <w:rFonts w:ascii="Times New Roman;sans-serif" w:hAnsi="Times New Roman;sans-serif"/>
                <w:b/>
                <w:color w:val="000000"/>
                <w:sz w:val="14"/>
              </w:rPr>
              <w:t>($)</w:t>
            </w:r>
            <w:r>
              <w:rPr>
                <w:rFonts w:ascii="Times New Roman;sans-serif" w:hAnsi="Times New Roman;sans-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w:t>
              <w:b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of units of stock that have not vested</w:t>
              <w:br/>
              <w:t>($)</w:t>
            </w:r>
          </w:p>
        </w:tc>
      </w:tr>
      <w:tr>
        <w:trPr/>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65,625 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1,799,438 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r>
      <w:tr>
        <w:trPr/>
        <w:tc>
          <w:tcPr>
            <w:tcW w:w="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Anna Mowry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pPr>
      <w:r>
        <w:rPr>
          <w:rFonts w:ascii="Times New Roman;sans-serif" w:hAnsi="Times New Roman;sans-serif"/>
          <w:b w:val="false"/>
          <w:color w:val="000000"/>
          <w:sz w:val="16"/>
        </w:rPr>
        <w:t>(1)All of the outstanding stock option awards were granted under and subject to the terms of the 2017 Plan (as defined below), described below under “</w:t>
      </w:r>
      <w:r>
        <w:rPr>
          <w:color w:val="000000"/>
        </w:rPr>
        <w:t xml:space="preserve">— </w:t>
      </w:r>
      <w:r>
        <w:rPr>
          <w:rFonts w:ascii="Times New Roman;sans-serif" w:hAnsi="Times New Roman;sans-serif"/>
          <w:b w:val="false"/>
          <w:i/>
          <w:color w:val="000000"/>
          <w:sz w:val="16"/>
        </w:rPr>
        <w:t>Nautilus 2017 Equity Incentive Plan</w:t>
      </w:r>
      <w:r>
        <w:rPr>
          <w:color w:val="000000"/>
        </w:rPr>
        <w:t>”</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stock option awards were granted with a per share exercise price equal to the fair market value of one share of Nautilus Common Stock on the date of grant, as determined in good faith by Nautilus’ board of directors.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unvested shares of common stock purchased pursuant to a restricted stock purchase agreement between the Company and Mr. Patel in January 2017. These shares fully vested as of January 12, 2021.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(4)This amount reflects the fair market value of our common stock of $27.42 as of December 31, 2020 (based on the determination of the fair market value by Nautilus’ board of directors as of the most proximate date) multiplied by the amount shown in the column for the number of shares or units of stock that have not vested.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(5)13/49ths of the shares subject to this option shall vest on January 3, 2022, and one forty-ninth (1/49th) of the shares subject to the option shall vest each month thereafter, subject to Ms. Mowry continuing to be a service provider to Nautilus through each such date.</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(6)13/49ths of the shares subject to this option shall vest on January 3, 2022, and one forty-ninth (1/49th) of the shares subject to the option shall vest each month thereafter, subject to Dr. Sankar continuing to be a service provider to Nautilus through each such date.</w:t>
      </w:r>
    </w:p>
    <w:p>
      <w:pPr>
        <w:pStyle w:val="HorizontalLine"/>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298" name="Frame2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Employment Arrangements with Named Executive Officers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Sujal Patel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Mr. Patel, its Chief Executive Officer. The confirmatory employment letter will have no specific term and will provide that Mr. Patel is an at</w:t>
        <w:noBreakHyphen/>
        <w:t>will employee. The confirmatory employment letter will supersede all existing agreements and understandings that Mr. Patel may have entered into concerning his employment relationship with Nautilus. Mr. Patel’s current annual base salary is $350,000 and he is eligible for a target annual cash bonus opportunity of $150,000. In 2020, Mr. Patel’s annual base salary was $200,000 and he was eligible for a target annual cash bonus opportunity of $50,000. Provided Mr. Patel remains employed with Nautilus through the closing date of the Merger, as of such date, his annual base salary will be increased to $500,000. Under his confirmatory employment letter, Mr. Patel will be eligible for a target annual cash bonus opportunity equal to 50.0% of his annual base salary for fiscal year 2021.</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Anna Mowry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Ms. Mowry, its Chief Financial Officer. The confirmatory employment letter will have no specific term and will provide that Ms. Mowry is an at</w:t>
        <w:noBreakHyphen/>
        <w:t>will employee. The confirmatory employment letter will supersede all existing agreements and understandings that Ms. Mowry may have entered into concerning her employment relationship with Nautilus. Ms. Mowry’s current annual base salary is $200,000 and she is eligible for an annual target cash bonus opportunity equal to 25%% of her base salary. Provided Ms. Mowry remains employed with Nautilus through the closing date of the Merger, as of such date, her annual base salary will be increased to $340,000. Under her confirmatory employment letter, Ms. Mowry will be eligible for a target annual cash bonus opportunity equal to 40.0% of her annual base salary for fiscal year 2021.</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Subra Sankar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Dr. Sankar, its Senior Vice President of Product Development. The confirmatory employment letter will have no specific term and will provide that Dr. Sankar is an at</w:t>
        <w:noBreakHyphen/>
        <w:t>will employee. The confirmatory employment letter will supersede all existing agreements and understandings that Dr. Sankar may have entered into concerning his employment relationship with Nautilus. Dr. Sankar’s current annual base salary is $318,000 and he is eligible for an annual target cash bonus opportunity equal to 32% of his base salary. Provided Dr. Sankar remains employed with Nautilus through the closing date of the Merger, as of such date, his annual base salary will remain $318,000. Under his confirmatory employment letter, Dr. Sankar will be eligible for a target annual cash bonus opportunity equal to 35.0% of his annual base salary for fiscal year 2021.</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Based Incentive Awards</w:t>
      </w:r>
    </w:p>
    <w:p>
      <w:pPr>
        <w:pStyle w:val="TextBody"/>
        <w:spacing w:lineRule="auto" w:line="288" w:before="0" w:after="180"/>
        <w:ind w:left="0" w:right="0" w:firstLine="360"/>
        <w:rPr/>
      </w:pPr>
      <w:r>
        <w:rPr>
          <w:rFonts w:ascii="Times New Roman;sans-serif" w:hAnsi="Times New Roman;sans-serif"/>
          <w:b w:val="false"/>
          <w:color w:val="000000"/>
          <w:sz w:val="20"/>
        </w:rPr>
        <w:t xml:space="preserve">Nautilus’ equity-based incentive awards are designed to more closely align Nautilus’ interests and those of Nautilus’ stockholders with those of Nautilus’ employees and consultants, including Nautilus’ named executive officers. The Nautilus Board is responsible for approving equity grants to Nautilus’ employees and consultants, including Nautilus’ named executive officers. In 2020, stock option awards were the only form of equity awards Nautilus granted to its named executive officers. Nautilus has granted equity incentive awards under the terms of Nautilus’ 2017 Equity Incentive Plan (the “2017 Plan”). The terms of the 2017 Plan are described below under </w:t>
      </w:r>
      <w:r>
        <w:rPr>
          <w:color w:val="000000"/>
        </w:rPr>
        <w:t>“—</w:t>
      </w:r>
      <w:r>
        <w:rPr>
          <w:rFonts w:ascii="Times New Roman;sans-serif" w:hAnsi="Times New Roman;sans-serif"/>
          <w:b w:val="false"/>
          <w:i/>
          <w:color w:val="000000"/>
          <w:sz w:val="20"/>
        </w:rPr>
        <w:t>Nautilus 2017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 xml:space="preserve">All options are granted with an exercise price per share that is no less than the fair market value of a share of Nautilus Common Stock on the date of grant of such award. Nautilus’ stock option awards generally vest over a four-year period and may be subject to acceleration of vesting and exercisability under certain termination and change in control events. See </w:t>
      </w:r>
      <w:r>
        <w:rPr>
          <w:color w:val="000000"/>
        </w:rPr>
        <w:t>“—</w:t>
      </w:r>
      <w:r>
        <w:rPr>
          <w:rFonts w:ascii="Times New Roman;sans-serif" w:hAnsi="Times New Roman;sans-serif"/>
          <w:b w:val="false"/>
          <w:i/>
          <w:color w:val="000000"/>
          <w:sz w:val="20"/>
        </w:rPr>
        <w:t>Outstanding Equity Awards at Fiscal Year-End.”</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 Grants</w:t>
      </w:r>
    </w:p>
    <w:p>
      <w:pPr>
        <w:pStyle w:val="HorizontalLine"/>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299" name="Frame2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2021, Nautilus’ board of directors granted Mr. Patel an option to purchase 217,425 shares of Nautilus common stock. The option was granted under the 2017 Plan and the form of option agreement thereunder and has a per share exercise price of $36.28, the fair market value of one share of Nautilus common stock on the date of grant, as determined in good faith by Nautilus’ board of directors. Twenty-five percent (25%) of the shares subject to the option shall vest on January 31, 2022, and one thirty-sixth (1/36th) of the remaining shares subject to the option shall vest each month thereafter, subject to Mr. Patel continuing to be a service provider to Nautilus through each such date.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manner in which a named executive officer’s service terminates, that named executive officer is entitled to receive amounts earned during his or her term of service, including unpaid salary and unused vacation, as applicable. </w:t>
      </w:r>
    </w:p>
    <w:p>
      <w:pPr>
        <w:pStyle w:val="TextBody"/>
        <w:spacing w:lineRule="auto" w:line="288" w:before="0" w:after="180"/>
        <w:ind w:left="0" w:right="0" w:firstLine="360"/>
        <w:rPr/>
      </w:pPr>
      <w:r>
        <w:rPr>
          <w:rFonts w:ascii="Times New Roman;sans-serif" w:hAnsi="Times New Roman;sans-serif"/>
          <w:b w:val="false"/>
          <w:color w:val="000000"/>
          <w:sz w:val="20"/>
        </w:rPr>
        <w:t xml:space="preserve">Each named executive officer holds stock options granted subject to the general terms of the 2017 Plan. A description of the termination and change in control provisions in the 2017 Plan and applicable to the stock options granted to Nautilus’ named executive officers is provided below under </w:t>
      </w:r>
      <w:r>
        <w:rPr>
          <w:color w:val="000000"/>
        </w:rPr>
        <w:t>“—</w:t>
      </w:r>
      <w:r>
        <w:rPr>
          <w:rFonts w:ascii="Times New Roman;sans-serif" w:hAnsi="Times New Roman;sans-serif"/>
          <w:b w:val="false"/>
          <w:i/>
          <w:color w:val="000000"/>
          <w:sz w:val="20"/>
        </w:rPr>
        <w:t xml:space="preserve">Executive Incentive Compensation Plan” </w:t>
      </w:r>
      <w:r>
        <w:rPr>
          <w:rFonts w:ascii="Times New Roman;sans-serif" w:hAnsi="Times New Roman;sans-serif"/>
          <w:b w:val="false"/>
          <w:color w:val="000000"/>
          <w:sz w:val="20"/>
        </w:rPr>
        <w:t xml:space="preserve">and above under </w:t>
      </w:r>
      <w:r>
        <w:rPr>
          <w:color w:val="000000"/>
        </w:rPr>
        <w:t>“—</w:t>
      </w:r>
      <w:r>
        <w:rPr>
          <w:rFonts w:ascii="Times New Roman;sans-serif" w:hAnsi="Times New Roman;sans-serif"/>
          <w:b w:val="false"/>
          <w:i/>
          <w:color w:val="000000"/>
          <w:sz w:val="20"/>
        </w:rPr>
        <w:t>Outstanding Equity Awards at Fiscal Year-End”.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Merger, Nautilus expects to enter into a change in control and severance agreement (each, a “CIC Agreement”) with each of Mr. Patel, Ms. Mowry and Dr. Sankar, which would provide for certain severance and change in control benefits as summarized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CIC Agreement will supersede any prior agreement or arrangement that the named executive officer may have had with Nautilus that provides for severance or change in control payments and benefits.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CIC Agreement will have an initial term of three years commencing on the business day immediately prior to the closing of the Merger.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CIC Agreements will provide that if, other than during the period beginning three months before a change in control through the one-year anniversary of a change in control, or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Nautilus’ favor: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100% for Mr. Patel, or 50% for Ms. Mowry and Dr. Sankar, of the named executive officer’s base salary as in effect immediately before such termination;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Company payment of the employer portion of the premiums required for continued coverage pursuant to COBRA under the Company’s group health, dental and vision care plans for the named executive officer and his or her eligible dependents for up to twelve months for Mr. Patel, or six months for Ms. Mowry and Dr. Sankar.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during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Nautilus’ favor:</w:t>
      </w:r>
    </w:p>
    <w:p>
      <w:pPr>
        <w:pStyle w:val="HorizontalLine"/>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0" name="Frame2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Company payment of the premiums required for continued coverage pursuant to COBRA under the Company’s group health, dental and vision care plans for the named executive officer and his or her eligible dependents for up to eighteen months for Mr. Patel, or twelve months for Ms. Mowry and Dr. Sankar;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100% accelerated vesting and exercisability of the outstanding and unvested Company equity awards (other than Company equity awards subject to performance-based vesting criteria) granted to the named executive officer.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CIC Agreement will provide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will not provide for any tax gross-ups in connection with a change in control.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Incentive Compensation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Merger, Nautilus expects to adopt the New Nautilus Executive Incentive Compensation Plan (the “Incentive Plan”). The Incentive Plan will be administered by the compensation committee of the New Nautilus Board. The Incentive Plan will allow New Nautilus to grant incentive awards, generally payable in cash, to employees selected by the administrator, including New Nautilus named executive officers, based upon any performance goals that may be established by the administrator. The below is a summary of the terms of the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Incentive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pStyle w:val="HorizontalLine"/>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1" name="Frame2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Actual awards generally will be paid in cash (or its equivalent) only after they are earned, and, unless otherwise determined by the administrator, a participant must be employed with New Nautilus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Awards under the Incentive Plan are subject to any clawback policy New Nautilus or New Nautilus’ parent or subsidiary corporations may establish or amend from time to time to comply with applicable laws, including without limitation, the listing standards of any national securities exchange or association on which New Nautilus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New Nautilus for certain amounts paid under an award under the Incentive Plan in connection with certain accounting restatements New Nautilus may be required to prepare due to New Nautilus’ material noncompliance with any financial reporting requirements under applicable securities laws, as a result of misconduct.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will have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provides benefits to its named executive officers on the same basis as provided to all of its employees, including health, dental and vision insurance; life insurance; accidental death and dismemberment insurance; short-and long-term disability insurance; a flexible spending account; and a tax-qualified Section 401(k) plan for which no match is provided by Nautilus. Nautilus does not maintain any executive-specific benefit or perquisite programs.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Retirement Benefits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maintains a 401(k) retirement savings plan, for the benefit of employees, including its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Nautilus does not provide a match for participants’ elective contributions to the 401(k) plan, nor does Nautilus provide to employees, including its named executive officers, any other retirement benefits, including without limitation any tax-qualified defined benefit plans, supplemental executive retirement plans and nonqualified defined contribution plans.</w:t>
      </w:r>
    </w:p>
    <w:p>
      <w:pPr>
        <w:pStyle w:val="HorizontalLine"/>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2" name="Frame2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Nautilus 2017 Equity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2017 Equity Incentive Plan allows Nautilus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Nautilus and any parent or subsidiary of Nautilus. It is expected that as of one business day prior to the Closing, the 2017 Plan will be terminated and Nautilus will not grant any additional awards under the 2017 Plan thereafter. However, the 2017 Plan will continue to govern the terms and conditions of the outstanding awards previously granted under the 2017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stock options covering 1,418,267 shares of Nautilus Common Stock were outstanding under the 2017 Plan.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Purposes of the 2017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purposes of the 2017 Plan are to attract and retain personnel for positions with Nautilus, any parent or subsidiary; to provide additional incentive to employees, directors, and consultants; and to promote the success of the Nautilus business. These incentives are provided through the grant of equity awards, including stock options, as the administrator of the 2017 Plan determines.</w:t>
      </w:r>
    </w:p>
    <w:p>
      <w:pPr>
        <w:pStyle w:val="TextBody"/>
        <w:spacing w:lineRule="auto" w:line="288" w:before="0" w:after="180"/>
        <w:ind w:left="0" w:right="0" w:firstLine="360"/>
        <w:rPr/>
      </w:pPr>
      <w:r>
        <w:rPr>
          <w:rFonts w:ascii="Times New Roman;sans-serif" w:hAnsi="Times New Roman;sans-serif"/>
          <w:b w:val="false"/>
          <w:i/>
          <w:color w:val="000000"/>
          <w:sz w:val="20"/>
        </w:rPr>
        <w:t>Eligibility.</w:t>
      </w:r>
      <w:r>
        <w:rPr>
          <w:color w:val="000000"/>
        </w:rPr>
        <w:t xml:space="preserve"> </w:t>
      </w:r>
      <w:r>
        <w:rPr>
          <w:rFonts w:ascii="Times New Roman;sans-serif" w:hAnsi="Times New Roman;sans-serif"/>
          <w:b w:val="false"/>
          <w:color w:val="000000"/>
          <w:sz w:val="20"/>
        </w:rPr>
        <w:t xml:space="preserve">The 2017 Plan provides for the grant of incentive stock options, within the meaning of Section 422 of the Code, to Nautilus’ employees and any of its parent and subsidiary corporations’ employees, and for the grant of nonstatutory stock options, restricted stock, restricted stock units, and stock appreciation rights to employees, directors and consultants of Nautilus and any of its parents or subsidiaries. </w:t>
      </w:r>
    </w:p>
    <w:p>
      <w:pPr>
        <w:pStyle w:val="TextBody"/>
        <w:spacing w:lineRule="auto" w:line="288" w:before="0" w:after="180"/>
        <w:ind w:left="0" w:right="0" w:firstLine="360"/>
        <w:rPr/>
      </w:pPr>
      <w:r>
        <w:rPr>
          <w:rFonts w:ascii="Times New Roman;sans-serif" w:hAnsi="Times New Roman;sans-serif"/>
          <w:b w:val="false"/>
          <w:i/>
          <w:color w:val="000000"/>
          <w:sz w:val="20"/>
        </w:rPr>
        <w:t>Plan Administration.</w:t>
      </w:r>
      <w:r>
        <w:rPr>
          <w:color w:val="000000"/>
        </w:rPr>
        <w:t xml:space="preserve"> </w:t>
      </w:r>
      <w:r>
        <w:rPr>
          <w:rFonts w:ascii="Times New Roman;sans-serif" w:hAnsi="Times New Roman;sans-serif"/>
          <w:b w:val="false"/>
          <w:color w:val="000000"/>
          <w:sz w:val="20"/>
        </w:rPr>
        <w:t>The 2017 Plan is administered by the Nautilus Board or one or more of its committees. Different committees may administer the 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 </w:t>
      </w:r>
    </w:p>
    <w:p>
      <w:pPr>
        <w:pStyle w:val="TextBody"/>
        <w:spacing w:lineRule="auto" w:line="288" w:before="0" w:after="180"/>
        <w:ind w:left="0" w:right="0" w:firstLine="360"/>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Stock options have been granted under the 2017 Plan. The exercise price of options granted under the 2017 Plan generally must be equal to at least 100% of the fair market value of a share of Nautilus Common Stock on the date of grant. The term of an option may not exceed ten years. With respect to any participant who owns more than 10% of the voting power of all classes of Nautilus’ (or any of its parent’s or subsidiary’s) outstanding stock, the term of an incentive stock option granted to such participant must not exceed five years and the per share exercise price must equal at least 110% of the fair market value of a share of Nautilus Common Stock on the grant date. The administrator determines the methods of payment of the exercise price of an option, which may include cash, certain shares of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w:t>
      </w:r>
    </w:p>
    <w:p>
      <w:pPr>
        <w:pStyle w:val="HorizontalLine"/>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3" name="Frame2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cases, for at least 30 days, following the cessation of service. An option, however, may not be exercised later than the expiration of its term. Subject to the provisions of the 2017 Plan, the administrator determines the terms of options.</w:t>
      </w:r>
    </w:p>
    <w:p>
      <w:pPr>
        <w:pStyle w:val="TextBody"/>
        <w:spacing w:lineRule="auto" w:line="288" w:before="0" w:after="180"/>
        <w:ind w:left="0" w:right="0" w:firstLine="360"/>
        <w:rPr/>
      </w:pPr>
      <w:r>
        <w:rPr>
          <w:rFonts w:ascii="Times New Roman;sans-serif" w:hAnsi="Times New Roman;sans-serif"/>
          <w:b w:val="false"/>
          <w:i/>
          <w:color w:val="000000"/>
          <w:sz w:val="20"/>
        </w:rPr>
        <w:t>Non-Transferability of Awards.</w:t>
      </w:r>
      <w:r>
        <w:rPr>
          <w:color w:val="000000"/>
        </w:rPr>
        <w:t xml:space="preserve"> </w:t>
      </w:r>
      <w:r>
        <w:rPr>
          <w:rFonts w:ascii="Times New Roman;sans-serif" w:hAnsi="Times New Roman;sans-serif"/>
          <w:b w:val="false"/>
          <w:color w:val="000000"/>
          <w:sz w:val="20"/>
        </w:rPr>
        <w:t>Unless the administrator provides otherwise, the 2017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pStyle w:val="TextBody"/>
        <w:spacing w:lineRule="auto" w:line="288" w:before="0" w:after="180"/>
        <w:ind w:left="0" w:right="0" w:firstLine="360"/>
        <w:rPr/>
      </w:pPr>
      <w:r>
        <w:rPr>
          <w:rFonts w:ascii="Times New Roman;sans-serif" w:hAnsi="Times New Roman;sans-serif"/>
          <w:b w:val="false"/>
          <w:i/>
          <w:color w:val="000000"/>
          <w:sz w:val="20"/>
        </w:rPr>
        <w:t>Certain Adjustments.</w:t>
      </w:r>
      <w:r>
        <w:rPr>
          <w:color w:val="000000"/>
        </w:rPr>
        <w:t xml:space="preserve"> </w:t>
      </w:r>
      <w:r>
        <w:rPr>
          <w:rFonts w:ascii="Times New Roman;sans-serif" w:hAnsi="Times New Roman;sans-serif"/>
          <w:b w:val="false"/>
          <w:color w:val="000000"/>
          <w:sz w:val="20"/>
        </w:rPr>
        <w:t>If any dividend or other distribution (whether in cash, shares, other securities, or other property), recapitalization, stock split, reverse stock split, reorganization, merger, consolidation, split-up, spin-off, combination,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pStyle w:val="TextBody"/>
        <w:spacing w:lineRule="auto" w:line="288" w:before="0" w:after="180"/>
        <w:ind w:left="0" w:right="0" w:firstLine="360"/>
        <w:rPr/>
      </w:pPr>
      <w:r>
        <w:rPr>
          <w:rFonts w:ascii="Times New Roman;sans-serif" w:hAnsi="Times New Roman;sans-serif"/>
          <w:b w:val="false"/>
          <w:i/>
          <w:color w:val="000000"/>
          <w:sz w:val="20"/>
        </w:rPr>
        <w:t>Dissolution or Liquidation.</w:t>
      </w:r>
      <w:r>
        <w:rPr>
          <w:color w:val="000000"/>
        </w:rPr>
        <w:t xml:space="preserve"> </w:t>
      </w:r>
      <w:r>
        <w:rPr>
          <w:rFonts w:ascii="Times New Roman;sans-serif" w:hAnsi="Times New Roman;sans-serif"/>
          <w:b w:val="false"/>
          <w:color w:val="000000"/>
          <w:sz w:val="20"/>
        </w:rPr>
        <w:t>If there is a proposed liquidation or dissolution of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spacing w:lineRule="auto" w:line="288" w:before="0" w:after="180"/>
        <w:ind w:left="0" w:right="0" w:firstLine="360"/>
        <w:rPr/>
      </w:pPr>
      <w:r>
        <w:rPr>
          <w:rFonts w:ascii="Times New Roman;sans-serif" w:hAnsi="Times New Roman;sans-serif"/>
          <w:b w:val="false"/>
          <w:i/>
          <w:color w:val="000000"/>
          <w:sz w:val="20"/>
        </w:rPr>
        <w:t>Merger or Change or Control.</w:t>
      </w:r>
      <w:r>
        <w:rPr>
          <w:color w:val="000000"/>
        </w:rPr>
        <w:t xml:space="preserve"> </w:t>
      </w:r>
      <w:r>
        <w:rPr>
          <w:rFonts w:ascii="Times New Roman;sans-serif" w:hAnsi="Times New Roman;sans-serif"/>
          <w:b w:val="false"/>
          <w:color w:val="000000"/>
          <w:sz w:val="20"/>
        </w:rPr>
        <w:t>The 2017 Plan provides that in the event of Nautilus’ merger or change in control, as defined in the 2017 Plan, each 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spacing w:lineRule="auto" w:line="288" w:before="0" w:after="180"/>
        <w:ind w:left="0" w:right="0" w:firstLine="360"/>
        <w:rPr/>
      </w:pPr>
      <w:r>
        <w:rPr>
          <w:rFonts w:ascii="Times New Roman;sans-serif" w:hAnsi="Times New Roman;sans-serif"/>
          <w:b w:val="false"/>
          <w:i/>
          <w:color w:val="000000"/>
          <w:sz w:val="20"/>
        </w:rPr>
        <w:t>Amendment and Termination.</w:t>
      </w:r>
      <w:r>
        <w:rPr>
          <w:color w:val="000000"/>
        </w:rPr>
        <w:t xml:space="preserve"> </w:t>
      </w:r>
      <w:r>
        <w:rPr>
          <w:rFonts w:ascii="Times New Roman;sans-serif" w:hAnsi="Times New Roman;sans-serif"/>
          <w:b w:val="false"/>
          <w:color w:val="000000"/>
          <w:sz w:val="20"/>
        </w:rPr>
        <w:t>The Nautilus Board may, at any time, terminate, amend, alter or suspend the 2017 Plan. To the extent necessary and desirable to comply with applicable laws, Nautilus will obtain stockholder approval of any amendment to the 2017 Plan. No amendment or alteration of the 2017 Plan will impair the rights of a participant, unless mutually agreed otherwise between the participant and the administrator in writing. As noted above, it is expected that as of the day immediately prior to the date of the Closing, the 2017 Plan will be terminated and Nautilus will not grant any additional awards under the 2017 Plan thereafter.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New Nautilus 2021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For more information about the New Nautilus 2021 Equity Incentive Plan, see the section entitled “</w:t>
      </w:r>
      <w:r>
        <w:rPr>
          <w:rFonts w:ascii="Times New Roman;sans-serif" w:hAnsi="Times New Roman;sans-serif"/>
          <w:b w:val="false"/>
          <w:i/>
          <w:color w:val="000000"/>
          <w:sz w:val="20"/>
        </w:rPr>
        <w:t>Proposal No. 9: The Incentive Award Plan Proposal.</w:t>
      </w:r>
      <w:r>
        <w:rPr>
          <w:color w:val="000000"/>
        </w:rPr>
        <w:t>”</w:t>
      </w:r>
    </w:p>
    <w:p>
      <w:pPr>
        <w:pStyle w:val="HorizontalLine"/>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4" name="Frame2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New Nautilus 2021 Employee Stock Purchase Plan </w:t>
      </w:r>
    </w:p>
    <w:p>
      <w:pPr>
        <w:pStyle w:val="TextBody"/>
        <w:spacing w:lineRule="auto" w:line="288" w:before="0" w:after="180"/>
        <w:ind w:left="0" w:right="0" w:firstLine="360"/>
        <w:rPr/>
      </w:pPr>
      <w:r>
        <w:rPr>
          <w:rFonts w:ascii="Times New Roman;sans-serif" w:hAnsi="Times New Roman;sans-serif"/>
          <w:b w:val="false"/>
          <w:color w:val="000000"/>
          <w:sz w:val="20"/>
        </w:rPr>
        <w:t>For more information about the New Nautilus 2021 Employee Stock Purchase Plan, see the section entitled “</w:t>
      </w:r>
      <w:r>
        <w:rPr>
          <w:rFonts w:ascii="Times New Roman;sans-serif" w:hAnsi="Times New Roman;sans-serif"/>
          <w:b w:val="false"/>
          <w:i/>
          <w:color w:val="000000"/>
          <w:sz w:val="20"/>
        </w:rPr>
        <w:t>Proposal No. 10: The Employee Stock Purchase Plan Proposal</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05" name="Frame2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DIRECTOR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currently has no formal policy under which non-employee directors receive compensation for their service on the Nautilus board of directors or its committees. Nautilus’ policy is to reimburse non-employee directors for reasonable and necessary out-of-pocket expenses incurred in connection with attending board and committee meetings or performing other services in their capacities as non-employee directors, and Nautilus occasionally grants stock options to non-employee directors.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compensation of each person serving as a Nautilus non-employee director for the year ended December 31, 2020. Sujal Patel, Nautilus’ Chief Executive Officer, did not receive any additional compensation for his service as a director in 2020. The compensation of Mr. Patel as a named executive officer is set forth above in this section in the Summary Compensation Table.</w:t>
      </w:r>
    </w:p>
    <w:tbl>
      <w:tblPr>
        <w:tblW w:w="10205" w:type="dxa"/>
        <w:jc w:val="left"/>
        <w:tblInd w:w="0" w:type="dxa"/>
        <w:tblCellMar>
          <w:top w:w="28" w:type="dxa"/>
          <w:left w:w="28" w:type="dxa"/>
          <w:bottom w:w="28" w:type="dxa"/>
          <w:right w:w="28" w:type="dxa"/>
        </w:tblCellMar>
      </w:tblPr>
      <w:tblGrid>
        <w:gridCol w:w="591"/>
        <w:gridCol w:w="460"/>
        <w:gridCol w:w="462"/>
        <w:gridCol w:w="482"/>
        <w:gridCol w:w="479"/>
        <w:gridCol w:w="481"/>
        <w:gridCol w:w="109"/>
        <w:gridCol w:w="109"/>
        <w:gridCol w:w="109"/>
        <w:gridCol w:w="360"/>
        <w:gridCol w:w="360"/>
        <w:gridCol w:w="362"/>
        <w:gridCol w:w="109"/>
        <w:gridCol w:w="109"/>
        <w:gridCol w:w="109"/>
        <w:gridCol w:w="715"/>
        <w:gridCol w:w="715"/>
        <w:gridCol w:w="717"/>
        <w:gridCol w:w="109"/>
        <w:gridCol w:w="109"/>
        <w:gridCol w:w="109"/>
        <w:gridCol w:w="567"/>
        <w:gridCol w:w="517"/>
        <w:gridCol w:w="519"/>
        <w:gridCol w:w="109"/>
        <w:gridCol w:w="109"/>
        <w:gridCol w:w="109"/>
        <w:gridCol w:w="472"/>
        <w:gridCol w:w="354"/>
        <w:gridCol w:w="284"/>
      </w:tblGrid>
      <w:tr>
        <w:trPr/>
        <w:tc>
          <w:tcPr>
            <w:tcW w:w="59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15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250,250 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Nagae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 The grant date fair value of the stock option award granted to Mr. Posard during 2020 is not calculable through the latest practicable date and will be included in a subsequent filing once determined.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(2)This amount represents a performance-based cash bonus earned by Dr. Mallick under our 2020 annual bonus program based upon the achievement of objectives for the year ended December 31, 2020, which was paid in 2021. Nautilus’ bonus plan is more fully described above under the section titled “—Non-Equity Incentive Plan Compensation.”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(i) $200,000 in consulting fees received by Dr. Mallick for his services as our Chief Scientist and (ii) $250 for expenses associated with working from home.</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fees paid to Mr. Posard for consulting services.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Recent Stock Option Grants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Nautilus’ board of directors granted options to purchase 10,000 shares of Nautilus common stock to each of Mr. McIlwain, Mr. Nazem, Dr. Pande and Mr. Posard, and an option to purchase 20,000 shares of Nautilus common stock to Ms. Epperly. Each option was granted under the 2017 Plan and the form of option agreement thereunder and has a per share exercise price of $36.28, the fair market value of one share of Nautilus common stock on the date of grant, as determined in good faith by Nautilus’ board of directors. Subject to the applicable individual continuing to be a service provider to Nautilus through such date, 100% of the shares subject to each such option shall vest on the earlier of (a) January 31, 2022 and (b) the day immediately before the date of the next annual meeting of New Nautilus’ stockholders following the closing of the Business Combination.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January 2021, Nautilus’ board of directors granted Dr. Mallick an option to purchase 127,897 shares of Nautilus common stock. The option was granted under the 2017 Plan and the form of option agreement thereunder and has a per share exercise price of $36.28, the fair market value of one share of Nautilus common stock on the date of grant, as determined in good faith by the Nautilus board of directors. Twenty-five percent (25%) of the </w:t>
      </w:r>
    </w:p>
    <w:p>
      <w:pPr>
        <w:pStyle w:val="HorizontalLine"/>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06" name="Frame2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shares subject to the option shall vest on January 31, 2022, and one thirty-sixth (1/36th) of the remaining shares subject to the option shall vest each month thereafter, subject to Dr. Mallick continuing to be a service provider to Nautilus through each such date.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Mallick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Dr. Mallick, its Chief Scientist and a member of the board of directors. The confirmatory employment letter will have no specific term and will provide that Dr. Mallick is an at</w:t>
        <w:noBreakHyphen/>
        <w:t>will employee. The confirmatory employment letter will supersede all existing agreements and understandings that Dr. Mallick may have entered into concerning his relationship as a service provider to Nautilus. Dr. Mallick’s current annual base salary is $350,000. In 2020, Dr. Mallick’s annual base salary was $200,000 and he was eligible for a target annual cash bonus opportunity of $50,000. Provided Dr. Mallick continues providing services to Nautilus through the closing date of the Merger, as of such date his annual base salary will be increased to $400,000. Under the confirmatory employment letter, Dr. Mallick will be eligible for a target annual cash bonus opportunity equal to fifty percent (50%) of his annual base salary for fiscal year 2021.</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connection with the Merger, Nautilus intends to enter into a change in control and severance agreement (the “Mallick CIC Agreement”) with Dr. Mallick, which will provide for certain severance and change in control benefits as summarized below and supersedes any prior agreement or arrangement that Dr. Mallick may have had with Nautilus that provides for severance or change in control payments and benefits.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Mallick CIC Agreement will have an initial term of three years commencing on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Mallick CIC Agreement will provide that if, other than during the period beginning three months before a change in control through the one-year anniversary of a change in control (the “CIC Period”), Dr. Mallick’s employment with Nautilus is terminated either (x) by Nautilus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Nautilus’ favor: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50% of his base salary as in effect immediately before such termination;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payment of premiums for group health, dental and vision coverage under COBRA for Dr. Mallick and his eligible dependents for up to six months.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during the CIC Period, Dr. Mallick’s employment with Nautilus is terminated either (x) by Nautilus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100% of his base salary as in effect immediately before such termination or if greater, the base salary in effect immediately before the change in control;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lump sum cash payment equal to 100% of Dr. Mallick’s target bonus opportunity as in effect immediately before such termination or if greater, the target bonus opportunity in effect immediately before the change in control;</w:t>
      </w:r>
    </w:p>
    <w:p>
      <w:pPr>
        <w:pStyle w:val="HorizontalLine"/>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07" name="Frame2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payment of premiums for group health, dental and vision coverage under COBRA for Dr. Mallick and his eligible dependents for up to twelve months;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100% accelerated vesting and exercisability of Dr. Mallick’s outstanding and unvested equity awards (other than equity awards subject to performance-based vesting criteria).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Director Compensation Policy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expects to review director compensation periodically to ensure that director compensation remains competitive such that New Nautilus is able to recruit and retain qualified directors. In 2020, the compensation committee of the Nautilus board of directors retained Compensia, a third-party compensation consultant, to provide the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the Nautilus board of directors adopted an Outside Director Compensation Policy that provides for certain compensation to New Nautilus non-employee directors. The Outside Director Compensation Policy will become effective as of the day immediately prior to the Closing.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Cash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Outside Director Compensation Policy will provide for the following cash compensation program for New Nautilus non-employee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$40,000 per year for service as a non-employee director;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$40,000 per year for service as non-employee chair of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$20,000 per year for service as chair of the New Nautilus audit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$10,000 per year for service as a member of the New Nautilus audit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$14,000 per year for service as chair of the New Nautilus compensation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$7,000 per year for service as a member of the New Nautilus compensation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$10,000 per year for service as chair of the New Nautilus nominating and corporate governance committee;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$5,000 per year for service as a member of the New Nautilus nominating and corporate governance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non-employee director who serves as a committee chair of the New Nautilus Board will receive the cash retainer fee as the chair of the committee but not the cash retainer fee as a member of that committee, provided that the non-employee director who serves as the non-employee chair of the New Nautilus Board will receive the annual retainer fees for such role as well as the annual retainer fee for service as a non-employee director. These fees to New Nautilus non-employee directors will be paid quarterly in arrears on a prorated basis. The above-listed fees for service as non-employee chair of the New Nautilus Board or a chair or member of any committee are payable in addition to the non-employee director retainer. Under the New Nautilus Outside Director Compensation Policy, New </w:t>
      </w:r>
    </w:p>
    <w:p>
      <w:pPr>
        <w:pStyle w:val="HorizontalLine"/>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08" name="Frame2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also will reimburse its non-employee directors for reasonable travel expenses to attend meetings of the New Nautilus Board and its committees.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Equity Compensation</w:t>
      </w:r>
    </w:p>
    <w:p>
      <w:pPr>
        <w:pStyle w:val="TextBody"/>
        <w:spacing w:lineRule="auto" w:line="288" w:before="0" w:after="180"/>
        <w:ind w:left="0" w:right="0" w:firstLine="360"/>
        <w:rPr/>
      </w:pPr>
      <w:r>
        <w:rPr>
          <w:rFonts w:ascii="Times New Roman;sans-serif" w:hAnsi="Times New Roman;sans-serif"/>
          <w:b w:val="false"/>
          <w:i/>
          <w:color w:val="000000"/>
          <w:sz w:val="20"/>
        </w:rPr>
        <w:t>Initial Award</w:t>
      </w:r>
      <w:r>
        <w:rPr>
          <w:rFonts w:ascii="Times New Roman;sans-serif" w:hAnsi="Times New Roman;sans-serif"/>
          <w:b w:val="false"/>
          <w:color w:val="000000"/>
          <w:sz w:val="20"/>
        </w:rPr>
        <w:t>. Pursuant to the New Nautilus Outside Director Compensation Policy, each person who first becomes a non-employee director after the effective date of such policy will receive, on the first trading day on or after the date that the person first becomes a non-employee director, an initial award of stock options to purchase shares of New Nautilus common stock (the “</w:t>
      </w:r>
      <w:r>
        <w:rPr>
          <w:rFonts w:ascii="Times New Roman;sans-serif" w:hAnsi="Times New Roman;sans-serif"/>
          <w:b w:val="false"/>
          <w:color w:val="000000"/>
          <w:sz w:val="20"/>
          <w:u w:val="single"/>
        </w:rPr>
        <w:t>Initial Award</w:t>
      </w:r>
      <w:r>
        <w:rPr>
          <w:color w:val="000000"/>
        </w:rPr>
        <w:t>”</w:t>
      </w:r>
      <w:r>
        <w:rPr>
          <w:rFonts w:ascii="Times New Roman;sans-serif" w:hAnsi="Times New Roman;sans-serif"/>
          <w:b w:val="false"/>
          <w:color w:val="000000"/>
          <w:sz w:val="20"/>
        </w:rPr>
        <w:t>). The Initial Award will have an aggregate grant date fair value (determined in accordance with U.S. GAAP) of $370,000. The Initial Award will be scheduled to vest in equal installments as to 1/36th of the shares of New Nautilus common stock subject to the Initial Award on a monthly basis following the Initial Award’s grant date, on the same day of the month as the grant date, subject to continued services to New Nautilus through the applicable vesting dates. If the person was a member of the New Nautilus Board and also an employee, then becoming a non-employee director due to termination of employment will not entitle the person to an Initial Award.</w:t>
      </w:r>
    </w:p>
    <w:p>
      <w:pPr>
        <w:pStyle w:val="TextBody"/>
        <w:spacing w:lineRule="auto" w:line="288" w:before="0" w:after="180"/>
        <w:ind w:left="0" w:right="0" w:firstLine="360"/>
        <w:rPr/>
      </w:pPr>
      <w:r>
        <w:rPr>
          <w:rFonts w:ascii="Times New Roman;sans-serif" w:hAnsi="Times New Roman;sans-serif"/>
          <w:b w:val="false"/>
          <w:i/>
          <w:color w:val="000000"/>
          <w:sz w:val="20"/>
        </w:rPr>
        <w:t>Annual Award</w:t>
      </w:r>
      <w:r>
        <w:rPr>
          <w:rFonts w:ascii="Times New Roman;sans-serif" w:hAnsi="Times New Roman;sans-serif"/>
          <w:b w:val="false"/>
          <w:color w:val="000000"/>
          <w:sz w:val="20"/>
        </w:rPr>
        <w:t>. Each non-employee director automatically will receive, on the first trading day immediately after the date of each annual meeting of the New Nautilus stockholders (an Annual Meeting) that occurs following the effective date of the New Nautilus Outside Director Compensation Policy, an annual award of stock options to purchase shares of New Nautilus common stock (the “</w:t>
      </w:r>
      <w:r>
        <w:rPr>
          <w:rFonts w:ascii="Times New Roman;sans-serif" w:hAnsi="Times New Roman;sans-serif"/>
          <w:b w:val="false"/>
          <w:color w:val="000000"/>
          <w:sz w:val="20"/>
          <w:u w:val="single"/>
        </w:rPr>
        <w:t>Annual Award</w:t>
      </w:r>
      <w:r>
        <w:rPr>
          <w:color w:val="000000"/>
        </w:rPr>
        <w:t>”</w:t>
      </w:r>
      <w:r>
        <w:rPr>
          <w:rFonts w:ascii="Times New Roman;sans-serif" w:hAnsi="Times New Roman;sans-serif"/>
          <w:b w:val="false"/>
          <w:color w:val="000000"/>
          <w:sz w:val="20"/>
        </w:rPr>
        <w:t>).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shares of New Nautilus common stock subject to such award on a monthly basis following the Annual Award’s grant date, on the same day of the month as the grant date, subject to continued services to New Nautilus through the applicable vesting dates.</w:t>
      </w:r>
    </w:p>
    <w:p>
      <w:pPr>
        <w:pStyle w:val="TextBody"/>
        <w:spacing w:lineRule="auto" w:line="288" w:before="0" w:after="180"/>
        <w:ind w:left="0" w:right="0" w:firstLine="360"/>
        <w:rPr/>
      </w:pPr>
      <w:r>
        <w:rPr>
          <w:rFonts w:ascii="Times New Roman;sans-serif" w:hAnsi="Times New Roman;sans-serif"/>
          <w:b w:val="false"/>
          <w:i/>
          <w:color w:val="000000"/>
          <w:sz w:val="20"/>
        </w:rPr>
        <w:t>Change in Control</w:t>
      </w:r>
      <w:r>
        <w:rPr>
          <w:rFonts w:ascii="Times New Roman;sans-serif" w:hAnsi="Times New Roman;sans-serif"/>
          <w:b w:val="false"/>
          <w:color w:val="000000"/>
          <w:sz w:val="20"/>
        </w:rPr>
        <w:t>. In the event of New Nautilus’ change in control, as defined in the 2021 Plan, each non-employee director’s then outstanding equity awards covering shares of New Nautilus common stock that were granted to him or her while a non-employee director will accelerate vesting in full, provided that he or she remains a non-employee director through the date of such change in control.</w:t>
      </w:r>
    </w:p>
    <w:p>
      <w:pPr>
        <w:pStyle w:val="TextBody"/>
        <w:spacing w:lineRule="auto" w:line="288" w:before="0" w:after="180"/>
        <w:ind w:left="0" w:right="0" w:firstLine="360"/>
        <w:rPr/>
      </w:pPr>
      <w:r>
        <w:rPr>
          <w:rFonts w:ascii="Times New Roman;sans-serif" w:hAnsi="Times New Roman;sans-serif"/>
          <w:b w:val="false"/>
          <w:i/>
          <w:color w:val="000000"/>
          <w:sz w:val="20"/>
        </w:rPr>
        <w:t>Other Award Terms</w:t>
      </w:r>
      <w:r>
        <w:rPr>
          <w:rFonts w:ascii="Times New Roman;sans-serif" w:hAnsi="Times New Roman;sans-serif"/>
          <w:b w:val="false"/>
          <w:color w:val="000000"/>
          <w:sz w:val="20"/>
        </w:rPr>
        <w:t>. Each Initial Award and Annual Award will be granted under the 2021 Plan (or its successor plan, as applicable) and form of award agreement under such plan. These awards will have a maximum term to expiration of ten years from their grant and a per share exercise price equal to 100% of the fair market value of a share of New Nautilus common stock on the award’s grant date.</w:t>
      </w:r>
    </w:p>
    <w:p>
      <w:pPr>
        <w:pStyle w:val="TextBody"/>
        <w:spacing w:lineRule="auto" w:line="288" w:before="0" w:after="180"/>
        <w:ind w:left="0" w:right="0" w:firstLine="360"/>
        <w:rPr/>
      </w:pPr>
      <w:r>
        <w:rPr>
          <w:rFonts w:ascii="Times New Roman;sans-serif" w:hAnsi="Times New Roman;sans-serif"/>
          <w:b w:val="false"/>
          <w:i/>
          <w:color w:val="000000"/>
          <w:sz w:val="20"/>
        </w:rPr>
        <w:t>Director Compensation Limits</w:t>
      </w:r>
      <w:r>
        <w:rPr>
          <w:rFonts w:ascii="Times New Roman;sans-serif" w:hAnsi="Times New Roman;sans-serif"/>
          <w:b w:val="false"/>
          <w:color w:val="000000"/>
          <w:sz w:val="20"/>
        </w:rPr>
        <w:t>. The New Nautilus Outside Director Compensation Policy will provide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will not count toward this annual limit.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09" name="Frame2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MANAGEMENT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certain information, as of the date of this proxy statement/prospectus, concerning the persons who are expected to serve as directors and executive officers of New Nautilus following the consummation of the Business Combination.</w:t>
      </w:r>
    </w:p>
    <w:tbl>
      <w:tblPr>
        <w:tblW w:w="8950" w:type="dxa"/>
        <w:jc w:val="left"/>
        <w:tblInd w:w="0" w:type="dxa"/>
        <w:tblCellMar>
          <w:top w:w="28" w:type="dxa"/>
          <w:left w:w="28" w:type="dxa"/>
          <w:bottom w:w="28" w:type="dxa"/>
          <w:right w:w="28" w:type="dxa"/>
        </w:tblCellMar>
      </w:tblPr>
      <w:tblGrid>
        <w:gridCol w:w="781"/>
        <w:gridCol w:w="685"/>
        <w:gridCol w:w="694"/>
        <w:gridCol w:w="109"/>
        <w:gridCol w:w="109"/>
        <w:gridCol w:w="109"/>
        <w:gridCol w:w="130"/>
        <w:gridCol w:w="130"/>
        <w:gridCol w:w="131"/>
        <w:gridCol w:w="109"/>
        <w:gridCol w:w="109"/>
        <w:gridCol w:w="109"/>
        <w:gridCol w:w="1678"/>
        <w:gridCol w:w="1678"/>
        <w:gridCol w:w="2389"/>
      </w:tblGrid>
      <w:tr>
        <w:trPr/>
        <w:tc>
          <w:tcPr>
            <w:tcW w:w="781"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Secretary, and 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Scientist, 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 Nelson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 Senior Vice President, Business Development</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Subra Sankar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Product Development</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Matthew L. Posard</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(1)Expected to be a member of the audit committee, effective upon the Closing.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(2)Expected to be a member of the compensation committee, effective upon the Closing.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(3)Expected to be a member of the nominating and corporate governance committee, effective upon the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0" w:after="180"/>
        <w:ind w:left="0" w:right="0" w:firstLine="360"/>
        <w:rPr/>
      </w:pPr>
      <w:r>
        <w:rPr>
          <w:rFonts w:ascii="Times New Roman;sans-serif" w:hAnsi="Times New Roman;sans-serif"/>
          <w:b/>
          <w:i/>
          <w:color w:val="000000"/>
          <w:sz w:val="20"/>
        </w:rPr>
        <w:t>Sujal Patel</w:t>
      </w:r>
      <w:r>
        <w:rPr>
          <w:color w:val="000000"/>
        </w:rPr>
        <w:t xml:space="preserve"> </w:t>
      </w:r>
      <w:r>
        <w:rPr>
          <w:rFonts w:ascii="Times New Roman;sans-serif" w:hAnsi="Times New Roman;sans-serif"/>
          <w:b w:val="false"/>
          <w:color w:val="000000"/>
          <w:sz w:val="20"/>
        </w:rPr>
        <w:t>co-founded Nautilus and has served as its Chief Executive Officer and a member of its board of directors since January 2017.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Patel is qualified to serve on the New Nautilus Board because of his deep knowledge of Nautilus’ business, and strategy, and his extensive executive leadership and operational experience.</w:t>
      </w:r>
    </w:p>
    <w:p>
      <w:pPr>
        <w:pStyle w:val="TextBody"/>
        <w:spacing w:lineRule="auto" w:line="288" w:before="0" w:after="180"/>
        <w:ind w:left="0" w:right="0" w:firstLine="360"/>
        <w:rPr/>
      </w:pPr>
      <w:r>
        <w:rPr>
          <w:rFonts w:ascii="Times New Roman;sans-serif" w:hAnsi="Times New Roman;sans-serif"/>
          <w:b/>
          <w:i/>
          <w:color w:val="000000"/>
          <w:sz w:val="20"/>
        </w:rPr>
        <w:t>Parag Mallick</w:t>
      </w:r>
      <w:r>
        <w:rPr>
          <w:color w:val="000000"/>
        </w:rPr>
        <w:t xml:space="preserve"> </w:t>
      </w:r>
      <w:r>
        <w:rPr>
          <w:rFonts w:ascii="Times New Roman;sans-serif" w:hAnsi="Times New Roman;sans-serif"/>
          <w:b w:val="false"/>
          <w:color w:val="000000"/>
          <w:sz w:val="20"/>
        </w:rPr>
        <w:t>co-founded Nautilus and has served as its Chief Scientist and a member of its board of directors since December 2016.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Dr. Mallick is qualified to serve on the New Nautilus Board because of his scientific expertise and his deep understanding of Nautilus’ business, operations and strategy.</w:t>
      </w:r>
    </w:p>
    <w:p>
      <w:pPr>
        <w:pStyle w:val="HorizontalLine"/>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0" name="Frame2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i/>
          <w:color w:val="000000"/>
          <w:sz w:val="20"/>
        </w:rPr>
        <w:t>Anna Mowry</w:t>
      </w:r>
      <w:r>
        <w:rPr>
          <w:color w:val="000000"/>
        </w:rPr>
        <w:t xml:space="preserve"> </w:t>
      </w:r>
      <w:r>
        <w:rPr>
          <w:rFonts w:ascii="Times New Roman;sans-serif" w:hAnsi="Times New Roman;sans-serif"/>
          <w:b w:val="false"/>
          <w:color w:val="000000"/>
          <w:sz w:val="20"/>
        </w:rPr>
        <w:t>has served as Nautilus’ Chief Financial Officer and Treasurer since January 2021.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pStyle w:val="TextBody"/>
        <w:spacing w:lineRule="auto" w:line="288" w:before="0" w:after="180"/>
        <w:ind w:left="0" w:right="0" w:firstLine="360"/>
        <w:rPr/>
      </w:pPr>
      <w:r>
        <w:rPr>
          <w:rFonts w:ascii="Times New Roman;sans-serif" w:hAnsi="Times New Roman;sans-serif"/>
          <w:b/>
          <w:i/>
          <w:color w:val="000000"/>
          <w:sz w:val="20"/>
        </w:rPr>
        <w:t>Nick Nelson</w:t>
      </w:r>
      <w:r>
        <w:rPr>
          <w:color w:val="000000"/>
        </w:rPr>
        <w:t xml:space="preserve"> </w:t>
      </w:r>
      <w:r>
        <w:rPr>
          <w:rFonts w:ascii="Times New Roman;sans-serif" w:hAnsi="Times New Roman;sans-serif"/>
          <w:b w:val="false"/>
          <w:color w:val="000000"/>
          <w:sz w:val="20"/>
        </w:rPr>
        <w:t>has served as Nautilus’ Chief Business Officer and Senior Vice President, Business Development since October 2020.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pStyle w:val="TextBody"/>
        <w:spacing w:lineRule="auto" w:line="288" w:before="0" w:after="180"/>
        <w:ind w:left="0" w:right="0" w:firstLine="360"/>
        <w:rPr/>
      </w:pPr>
      <w:r>
        <w:rPr>
          <w:rFonts w:ascii="Times New Roman;sans-serif" w:hAnsi="Times New Roman;sans-serif"/>
          <w:b/>
          <w:i/>
          <w:color w:val="000000"/>
          <w:sz w:val="20"/>
        </w:rPr>
        <w:t>Subra Sankar</w:t>
      </w:r>
      <w:r>
        <w:rPr>
          <w:color w:val="000000"/>
        </w:rPr>
        <w:t xml:space="preserve"> </w:t>
      </w:r>
      <w:r>
        <w:rPr>
          <w:rFonts w:ascii="Times New Roman;sans-serif" w:hAnsi="Times New Roman;sans-serif"/>
          <w:b w:val="false"/>
          <w:color w:val="000000"/>
          <w:sz w:val="20"/>
        </w:rPr>
        <w:t>has served as Nautilus’ Senior Vice President, Product Development since December 2020.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Non-Employee Directors</w:t>
      </w:r>
    </w:p>
    <w:p>
      <w:pPr>
        <w:pStyle w:val="TextBody"/>
        <w:spacing w:lineRule="auto" w:line="288" w:before="0" w:after="180"/>
        <w:ind w:left="0" w:right="0" w:firstLine="360"/>
        <w:rPr/>
      </w:pPr>
      <w:r>
        <w:rPr>
          <w:rFonts w:ascii="Times New Roman;sans-serif" w:hAnsi="Times New Roman;sans-serif"/>
          <w:b/>
          <w:i/>
          <w:color w:val="000000"/>
          <w:sz w:val="20"/>
        </w:rPr>
        <w:t>Michael Altman</w:t>
      </w:r>
      <w:r>
        <w:rPr>
          <w:rFonts w:ascii="Times New Roman;sans-serif" w:hAnsi="Times New Roman;sans-serif"/>
          <w:b w:val="false"/>
          <w:color w:val="000000"/>
          <w:sz w:val="20"/>
        </w:rPr>
        <w:t xml:space="preserve">, CFA, the current Chief Financial Officer of ARYA and a member of the ARYA Board,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w:t>
      </w:r>
      <w:r>
        <w:rPr>
          <w:rFonts w:ascii="Times New Roman;sans-serif" w:hAnsi="Times New Roman;sans-serif"/>
          <w:b w:val="false"/>
          <w:color w:val="000000"/>
          <w:sz w:val="20"/>
          <w:highlight w:val="white"/>
        </w:rPr>
        <w:t>Mr. Altman has also been a non-voting observer of Nautilus’s board of directors since May 2020.</w:t>
      </w:r>
      <w:r>
        <w:rPr>
          <w:color w:val="000000"/>
        </w:rPr>
        <w:t xml:space="preserve"> </w:t>
      </w:r>
      <w:r>
        <w:rPr>
          <w:rFonts w:ascii="Times New Roman;sans-serif" w:hAnsi="Times New Roman;sans-serif"/>
          <w:b w:val="false"/>
          <w:color w:val="000000"/>
          <w:sz w:val="20"/>
        </w:rPr>
        <w:t>Mr. Altman graduated from the University of Vermont with a BS in Business 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Altman is qualified to serve on the New Nautilus Board because of his broad operational and transactional experience.</w:t>
      </w:r>
    </w:p>
    <w:p>
      <w:pPr>
        <w:pStyle w:val="TextBody"/>
        <w:spacing w:lineRule="auto" w:line="288" w:before="0" w:after="180"/>
        <w:ind w:left="0" w:right="0" w:firstLine="360"/>
        <w:rPr/>
      </w:pPr>
      <w:r>
        <w:rPr>
          <w:rFonts w:ascii="Times New Roman;sans-serif" w:hAnsi="Times New Roman;sans-serif"/>
          <w:b/>
          <w:i/>
          <w:color w:val="000000"/>
          <w:sz w:val="20"/>
        </w:rPr>
        <w:t>Melissa Epperly</w:t>
      </w:r>
      <w:r>
        <w:rPr>
          <w:color w:val="000000"/>
        </w:rPr>
        <w:t xml:space="preserve"> </w:t>
      </w:r>
      <w:r>
        <w:rPr>
          <w:rFonts w:ascii="Times New Roman;sans-serif" w:hAnsi="Times New Roman;sans-serif"/>
          <w:b w:val="false"/>
          <w:color w:val="000000"/>
          <w:sz w:val="20"/>
        </w:rPr>
        <w:t xml:space="preserve">has served as Chief Financial Officer of Zentalis Pharmaceuticals, Inc. (NASDAQ: ZNTL), a clinical-stage cancer company,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w:t>
      </w:r>
    </w:p>
    <w:p>
      <w:pPr>
        <w:pStyle w:val="HorizontalLine"/>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1" name="Frame2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Ms. Epperly is qualified to serve on the New Nautilus Board because of her extensive experience as a senior financing executive in the life sciences industry.</w:t>
      </w:r>
    </w:p>
    <w:p>
      <w:pPr>
        <w:pStyle w:val="TextBody"/>
        <w:spacing w:lineRule="auto" w:line="288" w:before="0" w:after="180"/>
        <w:ind w:left="0" w:right="0" w:firstLine="360"/>
        <w:rPr/>
      </w:pPr>
      <w:r>
        <w:rPr>
          <w:rFonts w:ascii="Times New Roman;sans-serif" w:hAnsi="Times New Roman;sans-serif"/>
          <w:b/>
          <w:i/>
          <w:color w:val="000000"/>
          <w:sz w:val="20"/>
        </w:rPr>
        <w:t>Matthew McIlwain</w:t>
      </w:r>
      <w:r>
        <w:rPr>
          <w:color w:val="000000"/>
        </w:rPr>
        <w:t xml:space="preserve"> </w:t>
      </w:r>
      <w:r>
        <w:rPr>
          <w:rFonts w:ascii="Times New Roman;sans-serif" w:hAnsi="Times New Roman;sans-serif"/>
          <w:b w:val="false"/>
          <w:color w:val="000000"/>
          <w:sz w:val="20"/>
        </w:rPr>
        <w:t>has served as a Managing Director at Madrona Venture Group, a venture capital firm,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McIlwain is qualified to serve on the New Nautilus Board due to his extensive industry background and experience investing in the technology and life sciences industry.</w:t>
      </w:r>
    </w:p>
    <w:p>
      <w:pPr>
        <w:pStyle w:val="TextBody"/>
        <w:spacing w:lineRule="auto" w:line="288" w:before="0" w:after="180"/>
        <w:ind w:left="0" w:right="0" w:firstLine="360"/>
        <w:rPr/>
      </w:pPr>
      <w:r>
        <w:rPr>
          <w:rFonts w:ascii="Times New Roman;sans-serif" w:hAnsi="Times New Roman;sans-serif"/>
          <w:b/>
          <w:i/>
          <w:color w:val="000000"/>
          <w:sz w:val="20"/>
        </w:rPr>
        <w:t xml:space="preserve">Farzad Nazem </w:t>
      </w:r>
      <w:r>
        <w:rPr>
          <w:rFonts w:ascii="Times New Roman;sans-serif" w:hAnsi="Times New Roman;sans-serif"/>
          <w:b w:val="false"/>
          <w:color w:val="000000"/>
          <w:sz w:val="20"/>
        </w:rPr>
        <w:t>has served on Nautilus’ board of directors since June 2017.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Nazem is qualified to serve on the New Nautilus Board because of his technical expertise, extensive industry background and management experience.</w:t>
      </w:r>
    </w:p>
    <w:p>
      <w:pPr>
        <w:pStyle w:val="TextBody"/>
        <w:spacing w:lineRule="auto" w:line="288" w:before="0" w:after="180"/>
        <w:ind w:left="0" w:right="0" w:firstLine="360"/>
        <w:rPr/>
      </w:pPr>
      <w:r>
        <w:rPr>
          <w:rFonts w:ascii="Times New Roman;sans-serif" w:hAnsi="Times New Roman;sans-serif"/>
          <w:b/>
          <w:i/>
          <w:color w:val="000000"/>
          <w:sz w:val="20"/>
        </w:rPr>
        <w:t xml:space="preserve">Vijay Pande </w:t>
      </w:r>
      <w:r>
        <w:rPr>
          <w:rFonts w:ascii="Times New Roman;sans-serif" w:hAnsi="Times New Roman;sans-serif"/>
          <w:b w:val="false"/>
          <w:color w:val="000000"/>
          <w:sz w:val="20"/>
        </w:rPr>
        <w:t>has served on Nautilus’ board of directors since May 2018.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Dr. Pande is qualified to serve on the New Nautilus Board because of his extensive industry experience and board experience with healthcare companies.</w:t>
      </w:r>
    </w:p>
    <w:p>
      <w:pPr>
        <w:pStyle w:val="TextBody"/>
        <w:spacing w:lineRule="auto" w:line="288" w:before="0" w:after="180"/>
        <w:ind w:left="0" w:right="0" w:firstLine="360"/>
        <w:rPr/>
      </w:pPr>
      <w:r>
        <w:rPr>
          <w:rFonts w:ascii="Times New Roman;sans-serif" w:hAnsi="Times New Roman;sans-serif"/>
          <w:b/>
          <w:i/>
          <w:color w:val="000000"/>
          <w:sz w:val="20"/>
        </w:rPr>
        <w:t>Matthew L. Posard</w:t>
      </w:r>
      <w:r>
        <w:rPr>
          <w:color w:val="000000"/>
        </w:rPr>
        <w:t xml:space="preserve"> </w:t>
      </w:r>
      <w:r>
        <w:rPr>
          <w:rFonts w:ascii="Times New Roman;sans-serif" w:hAnsi="Times New Roman;sans-serif"/>
          <w:b w:val="false"/>
          <w:color w:val="000000"/>
          <w:sz w:val="20"/>
        </w:rPr>
        <w:t>has served on Nautilus’ board of directors since February 2019.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Posard is qualified to serve on the New Nautilus Board because of his extensive experience as an executive and serving on various boards of directors of companies in the life sciences industry.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the expected directors and executive officers of New Nautilus.</w:t>
      </w:r>
    </w:p>
    <w:p>
      <w:pPr>
        <w:pStyle w:val="HorizontalLine"/>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2" name="Frame2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Composition of the Board of Directors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Proposed Certificate of Incorporation and Proposed Bylaws, the New Nautilus Board will be divided into three staggered classes of directors and each director will be assigned to one of the three classes. At each annual meeting of the stockholders, a class of directors will be elected for a 3-year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Sujal Patel, Vijay Pande, and Michael Altman will be Class I directors, Parag Mallick, Farzad Nazem, and Matthew McIlwain will be Class II directors and Melissa Epperly, Matthew Posard, and                    will be Class III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Nasdaq listing standards, a majority of the members of the New Nautilus Board must qualify as “independent,” as affirmatively determined by the New Nautilus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It is anticipated that each individual expected to serve on the New Nautilus Board upon consummation of the Business Combination other than Sujal Patel and Parag Mallick will qualify as an independent director under Nasdaq listing standards.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Role of the New Nautilus Board of Directors in Risk Oversight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one of the key functions of the New Nautilus Board will be informed oversight of the risk management process. The New Nautilus Board does not anticipate having a standing risk management committee, but rather anticipates administering this oversight function directly through the New Nautilus Board as a whole, as well as through various standing committees of the New Nautilus Board that address risks inherent in their respective areas of oversight. In particular, the New Nautilus Board will be responsible for monitoring and assessing strategic risk exposure and the New Nautilus audit committee will have the responsibility to consider and discuss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New Nautilus compensation committee will be responsible for overseeing the management of risks relating to executive compensation plans and arrangements. The compensation committee will also assess and monitor whether compensation plans, policies and programs comply with applicable legal and regulatory requirements.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it is anticipated that the New Nautilus Board will have three standing committees: an audit committee, a compensation committee, and a nominating and corporate governance committee.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it is anticipated that the members of the New Nautilus audit committee will be Matthew McIlwain, Matthew Posard, and Melissa Epperly and Ms. Epperly is expected to serve as the chairperson of the audit committee. Under the Nasdaq listing rules and applicable SEC rules, we are required to have at least three members of the audit committee. The rules of the Nasdaq and Rule 10A-3 of the Exchange Act require that the audit committee of a listed company be composed solely of independent directors for audit committee purposes, and it is anticipated that each member will qualify as an independent director for audit committee purposes under applicable rules. Each of Matthew McIlwain, Matthew Posard, and Melissa Epperly is financially literate and it is anticipated that each of Matthew McIlwain and Melissa Epperly will qualify as an “audit committee financial expert” as defined in applicable SEC rules.</w:t>
      </w:r>
    </w:p>
    <w:p>
      <w:pPr>
        <w:pStyle w:val="HorizontalLine"/>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3" name="Frame2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the audit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select, retain, compensate, evaluate, oversee and, where appropriate, terminate New Nautilus’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approve the scope and plans for the audits and the audit fees and approve all non-audit and tax services to be performed by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evaluate the independence and qualifications of New Nautilus’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the New Nautilus financial statements, and discuss with management and New Nautilus’ independent registered public accounting firm the results of the annual audit and the quarterly reviews;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the quality and adequacy of New Nautilus’ internal controls and New Nautilus’ disclosure controls and procedures;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discuss with management New Nautilus’ procedures regarding the presentation of New Nautilus’ financial information, and review earnings press releases and guidance;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the design, implementation and performance of New Nautilus’ internal audit function,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set hiring policies with regard to the hiring of employees and former employees of New Nautilus’ independent registered public accounting firm and oversee compliance with such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approve and monitor related party transactions;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monitor compliance with New Nautilus’ Code of Business Conduct and Ethics and consider questions of actual or possible conflicts of interest of New Nautilus’ directors and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and oversee procedures to address complaints regarding accounting, internal accounting controls and auditing matters, including confidential, anonymous submissions by New Nautilus’ employees of concerns regarding questionable accounting or auditing matters;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the adequacy and effectiveness of New Nautilus’ legal, regulatory and ethical compliance programs;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New Nautilus’ guidelines and policies to identify, monitor and address enterprise risks.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audit committee will operate under a written charter, to be effective upon the consummation of the Business Combination, that satisfies the applicable rules and regulations of the SEC and the listing standards of Nasdaq.</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New Nautilus compensation committee will consist of at least three members of the New Nautilus Board, all of which will be independent directors. The members of the compensation committee are expected to be Michael Altman, Farzad Nazem, and Matthew Posard and Mr. Posard is expected to serve as the chairperson of the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consummation of the Business Combination, the New Nautilus compensation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approve or recommend to the New Nautilus Board for approval the compensation for the New Nautilus executive officers, including the New Nautilus chief executive officer;</w:t>
      </w:r>
    </w:p>
    <w:p>
      <w:pPr>
        <w:pStyle w:val="HorizontalLine"/>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14" name="Frame2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approve and administer the New Nautilus employee benefit and equity incentive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advise the New Nautilus Board on stockholder proposals related to executive compensation matters;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 and review the compensation plans and programs of New Nautilus’ employees, and ensure that they are consistent with New Nautilus’ general compensation strategy;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oversee the management of risks relating to executive compensation plans and arrangements;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 compliance with any stock ownership guidelines;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approve the creation or revision of any clawback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approve or recommend to the New Nautilus Board for approval non-employee director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executive compensation disclosure in New Nautilus’ SEC filings and prepare the compensation committee report required to included in New Nautilus’ annual proxy statement.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compensation committee will operate under a written charter, to be effective upon the consummation of the Business Combination, that satisfies the applicable rules and regulations of the SEC and the listing standards of Nasdaq.</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New Nautilus nominating and corporate governance committee will consist of at least three members of the New Nautilus Board, all of which will be independent directors. The members of the nominating and corporate governance committee are expected to be Matthew McIlwain, Vijay Pande, and                    , and Mr. McIlwain is expected to serve as the chairperson of the nominating and corporate governance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consummation of the Business Combination, the New Nautilus nominating and corporate governance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assess and make recommendations to the New Nautilus Board regarding desired qualifications, expertise and characteristics sought of board members;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identify, evaluate, select or make recommendations to the New Nautilus Board regarding nominees for election to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 policies and procedures for considering stockholder nominees for election to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New Nautilus’ succession planning process for the New Nautilus chief executive officer and any other members of the New Nautilus executive management team;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make recommendations to the New Nautilus Board regarding the composition, organization and governance the New Nautilus Board and its committees;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make recommendations to the New Nautilus Board regarding the New Nautilus corporate governance guidelines and corporate governance framework;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director orientation for new directors and continuing education for the New Nautilus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New Nautilus’ Environmental, Social and Governance (“ESG”) programs and related disclosures and communications;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the evaluation of the performance of the New Nautilus Board and its committees; and</w:t>
      </w:r>
    </w:p>
    <w:p>
      <w:pPr>
        <w:pStyle w:val="HorizontalLine"/>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15" name="Frame2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v:textbox>
              </v:rect>
            </w:pict>
          </mc:Fallback>
        </mc:AlternateContent>
      </w:r>
    </w:p>
    <w:p>
      <w:pPr>
        <w:pStyle w:val="TextBody"/>
        <w:spacing w:before="0" w:after="180"/>
        <w:ind w:left="0" w:right="0" w:firstLine="360"/>
        <w:rPr/>
      </w:pPr>
      <w:r>
        <w:rPr/>
      </w:r>
    </w:p>
    <w:p>
      <w:pPr>
        <w:pStyle w:val="TextBody"/>
        <w:spacing w:before="0" w:after="180"/>
        <w:ind w:left="0" w:right="0" w:hanging="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administer policies and procedures for communications with the non-management members of the New Nautilus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nominating and corporate governance committee will operate under a written charter, to be effective upon the consummation of the Business Combination, that satisfies the applicable rules and regulations of the SEC and the listing standards of Nasdaq.</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the New Nautilus compensation committee will determine the annual compensation to be paid to the members of the New Nautilus Board following the completion of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Closing, New Nautilus intends to develop an executive compensation program that is designed to align compensation with New Nautilus’ business objectives and the creation of stockholder value, while enabling New Nautilus to attract, motivate and retain individuals who contribute to the long-term success of New Nautilus.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Decisions on the executive compensation program will be made by the New Nautilus compensation committee of the New Nautilus Board.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16" name="Frame2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BENEFICIAL OWNERSHIP OF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ARYA ordinary shares as of the record date and of New Nautilus Common Stock immediately following consummation of the Business Combination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known by ARYA to be the beneficial owner of more than 5% of ARYA’s outstanding ordinary shares on the record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known by ARYA who may become the beneficial owner of more than 5% of New Nautilus’ outstanding Common Stock immediately following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of ARYA’s current executive officers and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who is currently expected to become an executive officer or a director of New Nautilus upon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all of ARYA’s current executive officers and directors as a group;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all of New Nautilus’ currently expected executive officers and directors as a group after the consummation of the Business Combination.</w:t>
      </w:r>
    </w:p>
    <w:p>
      <w:pPr>
        <w:pStyle w:val="HorizontalLine"/>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17" name="Frame2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w:t>
      </w:r>
    </w:p>
    <w:tbl>
      <w:tblPr>
        <w:tblW w:w="10205" w:type="dxa"/>
        <w:jc w:val="left"/>
        <w:tblInd w:w="0" w:type="dxa"/>
        <w:tblCellMar>
          <w:top w:w="28" w:type="dxa"/>
          <w:left w:w="28" w:type="dxa"/>
          <w:bottom w:w="28" w:type="dxa"/>
          <w:right w:w="28" w:type="dxa"/>
        </w:tblCellMar>
      </w:tblPr>
      <w:tblGrid>
        <w:gridCol w:w="1061"/>
        <w:gridCol w:w="824"/>
        <w:gridCol w:w="827"/>
        <w:gridCol w:w="109"/>
        <w:gridCol w:w="109"/>
        <w:gridCol w:w="109"/>
        <w:gridCol w:w="407"/>
        <w:gridCol w:w="321"/>
        <w:gridCol w:w="306"/>
        <w:gridCol w:w="155"/>
        <w:gridCol w:w="155"/>
        <w:gridCol w:w="155"/>
        <w:gridCol w:w="238"/>
        <w:gridCol w:w="231"/>
        <w:gridCol w:w="343"/>
        <w:gridCol w:w="109"/>
        <w:gridCol w:w="109"/>
        <w:gridCol w:w="109"/>
        <w:gridCol w:w="407"/>
        <w:gridCol w:w="321"/>
        <w:gridCol w:w="308"/>
        <w:gridCol w:w="160"/>
        <w:gridCol w:w="160"/>
        <w:gridCol w:w="160"/>
        <w:gridCol w:w="160"/>
        <w:gridCol w:w="160"/>
        <w:gridCol w:w="166"/>
        <w:gridCol w:w="109"/>
        <w:gridCol w:w="109"/>
        <w:gridCol w:w="109"/>
        <w:gridCol w:w="439"/>
        <w:gridCol w:w="351"/>
        <w:gridCol w:w="244"/>
        <w:gridCol w:w="179"/>
        <w:gridCol w:w="179"/>
        <w:gridCol w:w="179"/>
        <w:gridCol w:w="179"/>
        <w:gridCol w:w="179"/>
        <w:gridCol w:w="270"/>
      </w:tblGrid>
      <w:tr>
        <w:trPr/>
        <w:tc>
          <w:tcPr>
            <w:tcW w:w="1061"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 Business Combination</w:t>
            </w:r>
          </w:p>
        </w:tc>
      </w:tr>
      <w:tr>
        <w:trPr/>
        <w:tc>
          <w:tcPr>
            <w:tcW w:w="2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Prior to Business Combination</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Assuming No Redemptions</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Assuming Maximum Redemptions</w:t>
            </w:r>
            <w:r>
              <w:rPr>
                <w:rFonts w:ascii="Times New Roman;sans-serif" w:hAnsi="Times New Roman;sans-serif"/>
                <w:b/>
                <w:color w:val="000000"/>
                <w:sz w:val="10"/>
              </w:rPr>
              <w:t>(4)</w:t>
            </w:r>
          </w:p>
        </w:tc>
      </w:tr>
      <w:tr>
        <w:trPr/>
        <w:tc>
          <w:tcPr>
            <w:tcW w:w="2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Name and Address of Beneficial Owners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Directors and officers Prior to the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Joseph Edelman</w:t>
            </w:r>
            <w:r>
              <w:rPr>
                <w:rFonts w:ascii="Times New Roman;sans-serif" w:hAnsi="Times New Roman;sans-serif"/>
                <w:b w:val="false"/>
                <w:color w:val="000000"/>
                <w:sz w:val="10"/>
              </w:rPr>
              <w:t>(5)(10)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Adam Stone</w:t>
            </w: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Michael Altman</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Konstantin Poukalov</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Todd Wider</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Bradley L. Campbell</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Saqib Islam</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left"/>
              <w:rPr>
                <w:rFonts w:ascii="Times New Roman;sans-serif" w:hAnsi="Times New Roman;sans-serif"/>
                <w:b w:val="false"/>
                <w:i/>
                <w:color w:val="000000"/>
                <w:sz w:val="16"/>
              </w:rPr>
            </w:pPr>
            <w:r>
              <w:rPr>
                <w:rFonts w:ascii="Times New Roman;sans-serif" w:hAnsi="Times New Roman;sans-serif"/>
                <w:b w:val="false"/>
                <w:i/>
                <w:color w:val="000000"/>
                <w:sz w:val="16"/>
              </w:rPr>
              <w:t>All directors and officers prior to the Business Combination (seven persons)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left"/>
              <w:rPr>
                <w:rFonts w:ascii="Times New Roman;sans-serif" w:hAnsi="Times New Roman;sans-serif"/>
                <w:b w:val="false"/>
                <w:i/>
                <w:color w:val="000000"/>
                <w:sz w:val="16"/>
              </w:rPr>
            </w:pPr>
            <w:r>
              <w:rPr>
                <w:rFonts w:ascii="Times New Roman;sans-serif" w:hAnsi="Times New Roman;sans-serif"/>
                <w:b w:val="false"/>
                <w:i/>
                <w:color w:val="000000"/>
                <w:sz w:val="16"/>
              </w:rPr>
              <w:t>Directors and officers after the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Anna Mowry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Nick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Melissa Epperly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Matthew McIlwain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Farzad Nazem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Vijay Pande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Matthew L. Posard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All directors and officers after the Business Combination as a group (11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ARYA Sciences Holdings III</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Bain Capital Life Sciences Fund II, L.P.</w:t>
            </w:r>
            <w:r>
              <w:rPr>
                <w:rFonts w:ascii="Times New Roman;sans-serif" w:hAnsi="Times New Roman;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Perceptive Life Sciences Master Fund Ltd.</w:t>
            </w:r>
            <w:r>
              <w:rPr>
                <w:rFonts w:ascii="Times New Roman;sans-serif" w:hAnsi="Times New Roman;sans-serif"/>
                <w:b w:val="false"/>
                <w:color w:val="000000"/>
                <w:sz w:val="10"/>
              </w:rPr>
              <w:t>(10)</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8,413,000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8,413,000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Andreessen Horowitz.</w:t>
            </w:r>
            <w:r>
              <w:rPr>
                <w:rFonts w:ascii="Times New Roman;sans-serif" w:hAnsi="Times New Roman;sans-serif"/>
                <w:b w:val="false"/>
                <w:color w:val="000000"/>
                <w:sz w:val="10"/>
              </w:rPr>
              <w:t>(11)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Vulcan Capital.</w:t>
            </w:r>
            <w:r>
              <w:rPr>
                <w:rFonts w:ascii="Times New Roman;sans-serif" w:hAnsi="Times New Roman;sans-serif"/>
                <w:b w:val="false"/>
                <w:color w:val="000000"/>
                <w:sz w:val="10"/>
              </w:rPr>
              <w:t>(12)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(1)Unless otherwise noted, the business address of each of the following entities or individuals is 51 Astor Place, 10th Floor, New York, NY 10003.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(2)Prior to the Business Combination, the percentage of beneficial ownership of ARYA on the record date is calculated based on (i) 15,449,000 Class A ordinary shares and (ii) 3,737,500 Class B ordinary shares, in each case, outstanding as of such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expected beneficial ownership of New Nautilus immediately upon consummation of the Business Combination, assuming no holders of public shares exercise their redemption rights in connection therewith and the Closing occurs on          , 2021, is based on                     shares of New Nautilus Common Stock outstanding as of such date, and consists of (i) 15,449,000 Class A ordinary shares that will convert into a like number of shares of New Nautilus Common Stock, (ii) 3,737,500 Class B ordinary shares that will convert into a like number of shares of New Nautilus Common Stock, (iii)                    shares of New Nautilus Common Stock that will be issued to the holders of shares of common stock and preferred stock of Nautilus, and (iv) 20,000,000 shares of New Nautilus Common Stock that will be issued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(4)The expected beneficial ownership of New Nautilus immediately upon consummation of the Business Combination, assuming all holders of ARYA’s public shares exercise their redemption rights in connection therewith and the Closing occurs on                    , 2021, is based on          shares of New Nautilus Common Stock outstanding as of such date, and consists of (i) 499,000 Class A ordinary shares that will convert into a like number of shares of New Nautilus Common Stock, (ii) 3,737,500 Class B ordinary shares that will convert into a like number of shares of New Nautilus Common Stock, (iii)          shares of New Nautilus Common Stock that will be issued to the holders of </w:t>
      </w:r>
    </w:p>
    <w:p>
      <w:pPr>
        <w:pStyle w:val="HorizontalLine"/>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18" name="Frame3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263</w:t>
                      </w:r>
                    </w:p>
                  </w:txbxContent>
                </v:textbox>
              </v:rect>
            </w:pict>
          </mc:Fallback>
        </mc:AlternateContent>
      </w:r>
    </w:p>
    <w:p>
      <w:pPr>
        <w:pStyle w:val="TextBody"/>
        <w:spacing w:before="0" w:after="180"/>
        <w:ind w:left="0" w:right="0" w:firstLine="360"/>
        <w:rPr/>
      </w:pPr>
      <w:r>
        <w:rPr/>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shares of common stock and preferred stock of Nautilus, and (iv) 20,000,000 shares of New Nautilus Common Stock that will be issued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(5)Does not include any shares indirectly owned by this individual because of his ownership interest in ARYA’s Sponsor.</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(6)The shares reported are held in the name of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(7)Prior to the Business Combination, includes 30,000 Class B ordinary shares. Immediately upon consummation of the Business Combination, includes 30,000 shares of New Nautilus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(8)Prior to the Business Combination, includes (i) 3,647,500 Class B ordinary shares and (ii) 499,000 Class A ordinary shares.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(9)Prior to the Business Combination, 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p>
      <w:pPr>
        <w:pStyle w:val="TextBody"/>
        <w:spacing w:lineRule="auto" w:line="288" w:before="0" w:after="0"/>
        <w:ind w:left="0" w:right="0" w:hanging="360"/>
        <w:rPr/>
      </w:pPr>
      <w:r>
        <w:rPr>
          <w:rFonts w:ascii="Times New Roman;sans-serif" w:hAnsi="Times New Roman;sans-serif"/>
          <w:b w:val="false"/>
          <w:color w:val="000000"/>
          <w:sz w:val="16"/>
        </w:rPr>
        <w:t>(10)</w:t>
      </w:r>
      <w:r>
        <w:rPr>
          <w:color w:val="000000"/>
        </w:rPr>
        <w:t xml:space="preserve"> </w:t>
      </w:r>
      <w:r>
        <w:rPr>
          <w:rFonts w:ascii="Times New Roman;sans-serif" w:hAnsi="Times New Roman;sans-serif"/>
          <w:b w:val="false"/>
          <w:color w:val="000000"/>
          <w:sz w:val="16"/>
        </w:rPr>
        <w:t>Upon consummation of the Business Combination, includes (1) 2,913,000 shares of New Nautilus Common Stock received as an equityholder of Nautilus and (2) 5,500,000 shares of New Nautilus Common Stock which Perceptive Life Sciences Master Fund Ltd. (the “Master Fund”) will be purchasing in connection with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(11)Upon consummation of the Business Combination, includes (i)               shares of New Nautilus Common Stock received by AH Bio Fund II, L.P., for itself and as nominee for AH Bio Fund II-B, L.P. (collectively, the “AH Bio Fund II Entities”), as an equityholder of Nautilus, (ii)               shares of New Nautilus Common Stock received by Andreessen Horowitz LSV Fund II, L.P., for itself and as nominee for Andreessen Horowitz LSV Fund II-B, L.P. and Andreessen Horowitz LSV Fund II-Q, L.P. (collectively, the “AH LSV Fund II Entities”), as an equityholder of Nautilus, and (iii) 1,085,656 shares of New Nautilus Common Stock that the AH LSV Fund II Entities are purchasing in connection with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the Nautilus board of directors and the New Nautilus Board, following in-kind distributions of shares by these entities. The address for the persons and entities set forth herein is 2865 Sand Hill Road, Suite 101, Menlo Park, CA 94025.</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(12)Upon consummation of the Business Combination, includes (i) shares of New Nautilus Common Stock received by Vulcan Capital Holdings Columbia LLC (“VCHC”) as an equityholder of Nautilus, (ii) 624,057 shares of New Nautilus Common Stock which Vulcan Capital is purchasing in connection with the PIPE Financing, (ii) shares of New Nautilus Common Stock received by VCVC V LLC (“VCVC”) as an equityholder of Nautilus, and (iv) 624,056 shares of New Nautilus Common Stock which VCVC is purchasing in connection with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19" name="Frame3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Described below are any transactions occurring since January 1, 2019 and any currently proposed transactions to which either ARYA or Nautilus was a party and in which: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amounts involved exceeded or will exceed the lesser of $120,000 or 1% of the average of ARYA or Nautilus’ total assets, as applicable, at year-end for the last two completed fiscal years;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director, executive officer, holder of more than 5% of the outstanding capital stock of ARYA or Nautilus, or any member of such person’s immediate family had or will have a direct or indirect material interest.</w:t>
      </w:r>
    </w:p>
    <w:p>
      <w:pPr>
        <w:pStyle w:val="TextBody"/>
        <w:spacing w:lineRule="auto" w:line="288" w:before="0" w:after="180"/>
        <w:ind w:left="0" w:right="0" w:firstLine="360"/>
        <w:rPr/>
      </w:pPr>
      <w:r>
        <w:rPr>
          <w:rFonts w:ascii="Times New Roman;sans-serif" w:hAnsi="Times New Roman;sans-serif"/>
          <w:b w:val="false"/>
          <w:color w:val="000000"/>
          <w:sz w:val="20"/>
        </w:rPr>
        <w:t>In addition to the transactions described below, please see the compensation agreements and other arrangements described under the sections titled “</w:t>
      </w:r>
      <w:r>
        <w:rPr>
          <w:rFonts w:ascii="Times New Roman;sans-serif" w:hAnsi="Times New Roman;sans-serif"/>
          <w:b w:val="false"/>
          <w:i/>
          <w:color w:val="000000"/>
          <w:sz w:val="20"/>
        </w:rPr>
        <w:t>The Business Combination—Interests of ARYA’s Directors and Executive Officers in the Business Combination</w:t>
      </w:r>
      <w:r>
        <w:rPr>
          <w:color w:val="000000"/>
        </w:rPr>
        <w:t xml:space="preserve">” </w:t>
      </w:r>
      <w:r>
        <w:rPr>
          <w:rFonts w:ascii="Times New Roman;sans-serif" w:hAnsi="Times New Roman;sans-serif"/>
          <w:b w:val="false"/>
          <w:color w:val="000000"/>
          <w:sz w:val="20"/>
        </w:rPr>
        <w:t>beginning on page 115 of this proxy statement/prospectus/information statement, “</w:t>
      </w:r>
      <w:r>
        <w:rPr>
          <w:rFonts w:ascii="Times New Roman;sans-serif" w:hAnsi="Times New Roman;sans-serif"/>
          <w:b w:val="false"/>
          <w:i/>
          <w:color w:val="000000"/>
          <w:sz w:val="20"/>
        </w:rPr>
        <w:t>Information About ARYA—Executive Compensation and Director Compensation and Other Interests</w:t>
      </w:r>
      <w:r>
        <w:rPr>
          <w:color w:val="000000"/>
        </w:rPr>
        <w:t xml:space="preserve">” </w:t>
      </w:r>
      <w:r>
        <w:rPr>
          <w:rFonts w:ascii="Times New Roman;sans-serif" w:hAnsi="Times New Roman;sans-serif"/>
          <w:b w:val="false"/>
          <w:color w:val="000000"/>
          <w:sz w:val="20"/>
        </w:rPr>
        <w:t>beginning on page 184 of this proxy statement/prospectus/information statement,</w:t>
      </w:r>
      <w:r>
        <w:rPr>
          <w:color w:val="000000"/>
        </w:rPr>
        <w:t xml:space="preserve"> “</w:t>
      </w:r>
      <w:r>
        <w:rPr>
          <w:rFonts w:ascii="Times New Roman;sans-serif" w:hAnsi="Times New Roman;sans-serif"/>
          <w:b w:val="false"/>
          <w:i/>
          <w:color w:val="000000"/>
          <w:sz w:val="20"/>
        </w:rPr>
        <w:t>Nautilus Executive Compensation</w:t>
      </w:r>
      <w:r>
        <w:rPr>
          <w:color w:val="000000"/>
        </w:rPr>
        <w:t xml:space="preserve">” </w:t>
      </w:r>
      <w:r>
        <w:rPr>
          <w:rFonts w:ascii="Times New Roman;sans-serif" w:hAnsi="Times New Roman;sans-serif"/>
          <w:b w:val="false"/>
          <w:color w:val="000000"/>
          <w:sz w:val="20"/>
        </w:rPr>
        <w:t>beginning on page 242 of this proxy statement/prospectus/information statement, and “</w:t>
      </w:r>
      <w:r>
        <w:rPr>
          <w:rFonts w:ascii="Times New Roman;sans-serif" w:hAnsi="Times New Roman;sans-serif"/>
          <w:b w:val="false"/>
          <w:i/>
          <w:color w:val="000000"/>
          <w:sz w:val="20"/>
        </w:rPr>
        <w:t>Nautilus Director Compensation</w:t>
      </w:r>
      <w:r>
        <w:rPr>
          <w:color w:val="000000"/>
        </w:rPr>
        <w:t xml:space="preserve">” </w:t>
      </w:r>
      <w:r>
        <w:rPr>
          <w:rFonts w:ascii="Times New Roman;sans-serif" w:hAnsi="Times New Roman;sans-serif"/>
          <w:b w:val="false"/>
          <w:color w:val="000000"/>
          <w:sz w:val="20"/>
        </w:rPr>
        <w:t>beginning on page 251 of this proxy statement/prospectus/information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Transactions—ARYA</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Class B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2, 2020, the Sponsor paid $25,000 to cover certain offering costs of ARYA in consideration of 3,593,750 Class B ordinary shares. On August 6, 2020, ARYA effected share capitalization resulting in the initial shareholders holding 3,737,500 Class B ordinary shares. All shares and the associated amounts have been retroactively restated to reflect the share capitalization. The Sponsor has agreed to forfeit up to 487,500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Class B ordinary shares were no longer subject to forfeiture.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agreed, subject to limited exceptions, not to transfer, assign or sell any of their Class B ordinary shares until the earlier to occur of: (A) one year after the completion of an initial business combination and (B) subsequent to the initial business combination, (x) if the closing price of ARYA’s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ARYA completes a liquidation, merger, share exchange, reorganization or other similar transaction that results in all of the Public Shareholders having the right to exchange their ordinary shares for cash, securities or other property.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Private Placement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the Sponsor purchased an aggregate of 499,000 private placement shares at a price of $10.00 per private placement unit in a private placement, generating gross proceeds of approximately $5.0 million. A portion of these proceeds were added to the proceeds from the IPO.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private placement shares are subject to the lock-up period described in the Amended and Restated Registration Rights and Lock-Up Agreement that was executed by the Sponsor in connection with the execution of the Business Combination Agreement.</w:t>
      </w:r>
    </w:p>
    <w:p>
      <w:pPr>
        <w:pStyle w:val="HorizontalLine"/>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0" name="Frame3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Related Party Loans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Sponsor agreed to loan ARYA an aggregate of up to $300,000 to cover expenses related to ARYA’s IPO pursuant to a promissory note (the “Note”). This loan was non-interest bearing and payable on the earlier of December 31, 2020 or the completion of the IPO. Sponsor paid an aggregate of approximately $200,000 to cover for expenses on ARYA’s behalf under the Note. On August 11, 2020, ARYA repaid the Note in full.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order to finance transaction costs in connection with an intended initial business combination, Sponsor or an affiliate of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These shares would be identical to the private placement shares. To date, ARYA had no outstanding borrowings under this arrangement.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Administrative Services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Effective August 11, 2020, ARYA entered into an agreement to pay monthly expenses of $10,000 for office space, administrative services and support services to Sponsor. The agreement terminates upon the earlier of the completion of a business combination or the liquidation of ARYA. ARYA incurred approximately $48,000 in general and administrative expenses for the period from March 27, 2020 (inception) through December 31, 2020.</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ARYA, the Perceptive Shareholders, certain holders of Class B ordinary shares and certain Nautilus shareholders entered into the A&amp;R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previously entered into a registration and shareholder rights agreement, dated August 11, 2020 (the “ARYA Registration and Shareholder Rights Agreement”), pursuant to which its initial shareholders and their permitted transferees, if any, are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pStyle w:val="TextBody"/>
        <w:spacing w:lineRule="auto" w:line="288" w:before="0" w:after="180"/>
        <w:ind w:left="0" w:right="0" w:firstLine="360"/>
        <w:rPr/>
      </w:pPr>
      <w:r>
        <w:rPr>
          <w:rFonts w:ascii="Times New Roman;sans-serif" w:hAnsi="Times New Roman;sans-serif"/>
          <w:b w:val="false"/>
          <w:color w:val="000000"/>
          <w:sz w:val="20"/>
        </w:rPr>
        <w:t>For additional information, see “</w:t>
      </w:r>
      <w:r>
        <w:rPr>
          <w:rFonts w:ascii="Times New Roman;sans-serif" w:hAnsi="Times New Roman;sans-serif"/>
          <w:b w:val="false"/>
          <w:i/>
          <w:color w:val="000000"/>
          <w:sz w:val="20"/>
        </w:rPr>
        <w:t>Business Combination Proposal—Related Agreements—Amended and Restated Registration Rights and Lock-Up Agreement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w:t>
      </w:r>
    </w:p>
    <w:p>
      <w:pPr>
        <w:pStyle w:val="HorizontalLine"/>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1" name="Frame3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the conditions set forth in the Sponsor Letter Agreement. For additional information, see “</w:t>
      </w:r>
      <w:r>
        <w:rPr>
          <w:rFonts w:ascii="Times New Roman;sans-serif" w:hAnsi="Times New Roman;sans-serif"/>
          <w:b w:val="false"/>
          <w:i/>
          <w:color w:val="000000"/>
          <w:sz w:val="20"/>
        </w:rPr>
        <w:t>Business Combination Proposal—Related Agreements—Sponsor Letter Agreement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Financing</w:t>
      </w:r>
    </w:p>
    <w:p>
      <w:pPr>
        <w:pStyle w:val="TextBody"/>
        <w:spacing w:lineRule="auto" w:line="288" w:before="0" w:after="180"/>
        <w:ind w:left="0" w:right="0" w:firstLine="360"/>
        <w:rPr/>
      </w:pPr>
      <w:r>
        <w:rPr>
          <w:rFonts w:ascii="Times New Roman;sans-serif" w:hAnsi="Times New Roman;sans-serif"/>
          <w:b w:val="false"/>
          <w:color w:val="000000"/>
          <w:sz w:val="20"/>
        </w:rPr>
        <w:t>At Closing, the Perceptive PIPE Investor will purchase $55,000,000 of New Nautilus Common Stock in a private placement in connection with the PIPE Financing. In addition, at closing, funds affiliated with Bain Capital Life Sciences, LP will purchase $10,000,000 of New Nautilus Common Stock in a private placement in connection with the PIPE Financing. The funds from the PIPE Financing will be used as part of the consideration to New Nautilus’ equity holders in connection with the Business Combination, and any excess funds from such private placement would be used for working capital in New Nautilus. For additional information, see “</w:t>
      </w:r>
      <w:r>
        <w:rPr>
          <w:rFonts w:ascii="Times New Roman;sans-serif" w:hAnsi="Times New Roman;sans-serif"/>
          <w:b w:val="false"/>
          <w:i/>
          <w:color w:val="000000"/>
          <w:sz w:val="20"/>
        </w:rPr>
        <w:t>Business Combination Proposal—Related Agreements—PIPE Financing</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Person Transactions—Nautilus Biotechnology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B Preferred Stock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and May 2020, Nautilus issued and sold an aggregate of 6,109,232 shares of its Series B preferred stock at a purchase price of $12.45 per share for an aggregate purchase price of $76.1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Purchasers of Nautilus’ Series B preferred stock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tbl>
      <w:tblPr>
        <w:tblW w:w="9203" w:type="dxa"/>
        <w:jc w:val="left"/>
        <w:tblInd w:w="0" w:type="dxa"/>
        <w:tblCellMar>
          <w:top w:w="28" w:type="dxa"/>
          <w:left w:w="28" w:type="dxa"/>
          <w:bottom w:w="28" w:type="dxa"/>
          <w:right w:w="28" w:type="dxa"/>
        </w:tblCellMar>
      </w:tblPr>
      <w:tblGrid>
        <w:gridCol w:w="1456"/>
        <w:gridCol w:w="1277"/>
        <w:gridCol w:w="1301"/>
        <w:gridCol w:w="109"/>
        <w:gridCol w:w="109"/>
        <w:gridCol w:w="109"/>
        <w:gridCol w:w="864"/>
        <w:gridCol w:w="864"/>
        <w:gridCol w:w="867"/>
        <w:gridCol w:w="109"/>
        <w:gridCol w:w="109"/>
        <w:gridCol w:w="109"/>
        <w:gridCol w:w="561"/>
        <w:gridCol w:w="561"/>
        <w:gridCol w:w="798"/>
      </w:tblGrid>
      <w:tr>
        <w:trPr/>
        <w:tc>
          <w:tcPr>
            <w:tcW w:w="145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Series B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1,606,426 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20,000,004 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963,855 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11,999,995 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AH Bio Fund II, L.P.</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803,212 </w:t>
            </w:r>
          </w:p>
        </w:tc>
        <w:tc>
          <w:tcPr>
            <w:tcW w:w="8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9,999,989 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PFV I,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299,995 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24,096 </w:t>
            </w:r>
          </w:p>
        </w:tc>
        <w:tc>
          <w:tcPr>
            <w:tcW w:w="8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299,995 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(1)Stuart Nagae, a member of Nautilus’ board of directors, is an affiliate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(2)Matthew McIlwain, a member of Nautilus’ board of directors, is an affiliate of Madrona Venture Fund.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(3)Vijay Pande, a member of Nautilus’ board of directors, is an affiliate of Andreessen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(4)Sujal Patel, a member of Nautilus’ board of directors, is the manager of PFV I, LLC.</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(5)Farzad Nazem, a member of Nautilus’ board of directors, is the manager of HAND Capital, LLC.</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Registration Rights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party to an amended and restated registration rights agreement with certain holders of its capital stock, including, among others, AH Bio Fund II, L.P., entities affiliated with Vulcan Capital, entities affiliated with Madrona Venture Fund, PFV I, LLC (an affiliate of Sujal Patel, Chief Executive Officer, President and a director of Nautilus) and HAND Capital, LLC (an affiliate of Farzad Nazem, a director of Nautilus). Under Nautilus’ amended and restated registration rights agreement certain holders of Nautilus’ capital stock have the right to demand that Nautilus file a registration statement or request that their shares of capital stock be covered by a registration statement that Nautilus is otherwise filing. Upon the consummation of the Business Combination, Nautilus’ amended and restated registration rights agreement will terminate.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Voting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party to an amended and restated voting agreement, as amended, with certain holders of its capital stock, including, among others, Sujal Patel, Chief Executive Officer, President and a director of Nautilus, Parag Mallick, Chief Scientist and a director of Nautilus, AH Bio Fund II, L.P., entities affiliated with Vulcan Capital, entities affiliated with Madrona Venture Fund, PFV I, LLC (an affiliate of Mr. Patel) and HAND Capital, LLC (an </w:t>
      </w:r>
    </w:p>
    <w:p>
      <w:pPr>
        <w:pStyle w:val="HorizontalLine"/>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2" name="Frame3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affiliate of Farzad Nazem, a director of Nautilus). The parties to the voting agreement have agreed, subject to certain conditions, to vote the shares of Nautilus capital stock held by them so as to maintain the size of the Nautilus board of directors at 9 and to elect the following individuals as directors: (1) one individual designated by a majority-in-interest of the holders of Nautilus’ Series Seed Preferred Stock, currently Farzad Nazem, (2) one individual designated by AH Bio Fund II, L.P., currently Vijay Pande, (3) one individual designated by entities affiliated with Vulcan Capital, currently Stuart Nagae, (4) two individuals designated by a majority-in-interest of certain holders of Nautilus’ common stock, currently Parag Mallick and Sujal Patel, (5) one individual who is an independent outside industry expert approved unanimously by the other members of Nautilus’ board of directors, currently Matthew Posard, and (6) one individual who is an independent outside industry expert approved by the majority of the members of Nautilus’ board of directors, currently Melissa Epperly, and (7) two individuals designated by a majority of the other members of Nautilus’ board of directors, currently Matthew McIlwain and one vacancy.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obligations of the parties to the voting agreement to vote their shares so as to elect these nominees, as well as the other rights and obligations under this agreement, will terminate and none of Nautilus’ stockholders will have any special rights regarding the nomination, election or designation of members of the New Nautilus Board pursuant to such agreement. Nautilus’ existing certificate of incorporation contains provisions regarding election of members of the board of directors that correspond to the amended and restated voting agreement; however, such provisions will be removed in the certificate of incorporation that will be effective following the consummation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has entered into indemnification agreements with its current directors and officers and New Nautilus intends to enter into separate indemnification agreements with its directors and executive officers, in addition to the indemnification provided for in the Proposed Certificate of Incorporation and the Proposed Bylaws. These agreements, among other things, will require New Nautilus to indemnify New Nautilus’s directors and executive officers for certain expenses, including attorneys’ fees, judgments, fines and settlement amounts incurred by a director or executive officer in any action or proceeding arising out of their services as one of New New Nautilus’s directors or executive officers or as a director or executive officer of any other company or enterprise to which the person provides services at New Nautilus’s request.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limitation of liability and indemnification provisions in the Proposed Certificate of Incorporation and the Proposed Bylaws may discourage stockholders from bringing a lawsuit against directors for breach of their fiduciary duties. They may also reduce the likelihood of derivative litigation against directors and officers, even though an action, if successful, might benefit New New Nautilus and its stockholders. A stockholder’s investment may decline in value to the extent we pay the costs of settlement and damage awards against directors and officers pursuant to these indemnification provisions.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Transfer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Nautilus, Parag Mallick, Chief Scientist and a director of Nautilus, and certain holders of Nautilus capital stock or their affiliates entered into a Stock Transfer Agreement pursuant to which Dr. Mallick transferred and sold an aggregate total of 147,275 shares to the purchasers party thereto at a price per share of $33.95 for aggregate gross proceeds of $4,999,986.25. Nautilus did not purchase any of the shares sold by Dr. Mallick pursuant to the agreement and was a party to the agreement solely for the purpose of acknowledging the transfer and waiving certain restrictions on transfer governing the shares set forth in the existing Nautilus shareholder agreements and governing documents. Purchasers in the transaction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pStyle w:val="HorizontalLine"/>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3" name="Frame3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268</w:t>
                      </w:r>
                    </w:p>
                  </w:txbxContent>
                </v:textbox>
              </v:rect>
            </w:pict>
          </mc:Fallback>
        </mc:AlternateContent>
      </w:r>
    </w:p>
    <w:p>
      <w:pPr>
        <w:pStyle w:val="TextBody"/>
        <w:spacing w:before="0" w:after="180"/>
        <w:ind w:left="0" w:right="0" w:firstLine="360"/>
        <w:rPr/>
      </w:pPr>
      <w:r>
        <w:rPr/>
      </w:r>
    </w:p>
    <w:tbl>
      <w:tblPr>
        <w:tblW w:w="9189" w:type="dxa"/>
        <w:jc w:val="left"/>
        <w:tblInd w:w="0" w:type="dxa"/>
        <w:tblCellMar>
          <w:top w:w="28" w:type="dxa"/>
          <w:left w:w="28" w:type="dxa"/>
          <w:bottom w:w="28" w:type="dxa"/>
          <w:right w:w="28" w:type="dxa"/>
        </w:tblCellMar>
      </w:tblPr>
      <w:tblGrid>
        <w:gridCol w:w="1460"/>
        <w:gridCol w:w="1278"/>
        <w:gridCol w:w="1297"/>
        <w:gridCol w:w="109"/>
        <w:gridCol w:w="109"/>
        <w:gridCol w:w="109"/>
        <w:gridCol w:w="859"/>
        <w:gridCol w:w="859"/>
        <w:gridCol w:w="862"/>
        <w:gridCol w:w="109"/>
        <w:gridCol w:w="109"/>
        <w:gridCol w:w="109"/>
        <w:gridCol w:w="561"/>
        <w:gridCol w:w="561"/>
        <w:gridCol w:w="798"/>
      </w:tblGrid>
      <w:tr>
        <w:trPr/>
        <w:tc>
          <w:tcPr>
            <w:tcW w:w="1460"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Nautilus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Andreessen Horowitz LSV Fund II,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74,490 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2,528,936 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23,448 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796,060 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277,134 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a member of Nautilus’ board of directors, is an affiliate of Andreessen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a member of Nautilus’ board of directors, is an affiliate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a member of Nautilus’ board of directors, is an affiliate of Madrona Venture Fund.</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a member of Nautilus’ board of directors, is the manager of HAND Capital, LLC.</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Subscription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Business Combination Agreement, effective as of February 7, 2021, ARYA entered into the Subscription Agreements with the Perceptive PIPE Investor and the Other PIPE Investors, pursuant to which the PIPE Investors have agreed to subscribe for and purchase, and ARYA has agreed to issue and sell to the PIPE Investors, an aggregate of 20,000,000 shares of New Nautilus Common Stock at a price of $10.00 per share, for aggregate gross proceeds of $200 million. The Perceptive PIPE Investor will fund $55 million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The Other PIPE Investors include stockholders that beneficially owned more than 5% of Nautilus’ outstanding capital stock at the time of entering into the applicable Subscription Agreement and/or were represented on Nautilus’ board of directors at such time. The following table presents the number of shares to be purchased and the total purchase price to be paid by these individuals and entities.</w:t>
      </w:r>
    </w:p>
    <w:tbl>
      <w:tblPr>
        <w:tblW w:w="8093" w:type="dxa"/>
        <w:jc w:val="left"/>
        <w:tblInd w:w="0" w:type="dxa"/>
        <w:tblCellMar>
          <w:top w:w="28" w:type="dxa"/>
          <w:left w:w="28" w:type="dxa"/>
          <w:bottom w:w="28" w:type="dxa"/>
          <w:right w:w="28" w:type="dxa"/>
        </w:tblCellMar>
      </w:tblPr>
      <w:tblGrid>
        <w:gridCol w:w="1460"/>
        <w:gridCol w:w="1278"/>
        <w:gridCol w:w="1297"/>
        <w:gridCol w:w="109"/>
        <w:gridCol w:w="109"/>
        <w:gridCol w:w="109"/>
        <w:gridCol w:w="494"/>
        <w:gridCol w:w="494"/>
        <w:gridCol w:w="496"/>
        <w:gridCol w:w="109"/>
        <w:gridCol w:w="109"/>
        <w:gridCol w:w="109"/>
        <w:gridCol w:w="561"/>
        <w:gridCol w:w="561"/>
        <w:gridCol w:w="798"/>
      </w:tblGrid>
      <w:tr>
        <w:trPr/>
        <w:tc>
          <w:tcPr>
            <w:tcW w:w="1460"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to 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Andreessen Horowitz LSV Fund II,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a member of Nautilus’ board of directors, is a representative of Andreessen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a member of Nautilus’ board of directors, is a representative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a member of Nautilus’ board of directors, is a representative of Madrona Venture Fund.</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a member of Nautilus’ board of directors, is the manager of HAND Capital, LLC.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closing of the PIPE Financing is contingent upon, among other customary closing conditions, the substantially concurrent Closing. The purpose of the PIPE Financing is to raise additional capital for use by New Nautilus following the Closing.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Stockholder Support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entered into the Transaction Support Agreements with the Perceptive PIPE Investor and certain other holders of Nautilus’ capital stock, including Sujal Patel, Chief Executive Officer, President and a director of Nautilus, Parag Mallick, Chief Scientist and a director of Nautilus,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pStyle w:val="HorizontalLine"/>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24" name="Frame3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entered into an Amended and Restated Registration Rights and Lock-Up Agreement, which shall be effective at the Closing, with the Perceptive Shareholders, ARYA’s initial shareholders, Nautilus’ directors, and certain holders of Nautilus’ capital stock, including, among others, Sujal Patel, Chief Executive Officer, President and a director of Nautilus, Parag Mallick, Chief Scientist and a director of Nautilus, entities affiliated with Andreessen Horowitz, entities affiliated with Vulcan Capital, entities affiliated with Madrona Venture Fund, PFV I, LLC (an affiliate of Mr. Patel) and HAND Capital, LLC (an affiliate of Farzad Nazem, a director of Nautilus). 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Registration Rights and Lock-Up Agreement further provides for the securities of New Nautilus held by the holders party thereto to be locked-up for a period of time following the Closing, subject to certain exceptions.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Policies for Approval of Related Party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Nautilus’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New Nautilus Policies and Procedures for Related Party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it is anticipated that the New Nautilus Board will adopt a written Related Person Transactions Policy that sets forth New Nautilus’ policies and procedures regarding the identification, review, consideration and oversight of “related person transactions.” For purposes of New Nautilus’ policy only, a “related person transaction” is a transaction, arrangement or relationship (or any series of similar transactions, arrangements or relationships) in which New Nautilus or any of its subsidiaries are participants involving an amount that exceeds $120,000, in which any “related person” has a material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compensation for services provided to New Nautilus as an employee, consultant or director will not be considered related person transactions under this policy. A related person is any executive officer, director, nominee to become a director or a holder of more than 5% of any class of New Nautilus’ voting securities (including New Nautilus Common Stock), including any of their immediate family members and affiliates, including entities owned or controlled by such persons.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policy, the related person in question or, in the case of transactions with a holder of more than 5% of any class of New Nautilus’ voting securities, an officer with knowledge of a proposed transaction, must present information regarding the proposed related person transaction to New Nautilus’ audit committee (or, where review by New Nautilus’ audit committee would be inappropriate, to another independent body of the New Nautilus Board) for review. To identify related person transactions in advance, New Nautilus will rely on information supplied by New Nautilus’ executive officers, directors and certain significant stockholders. In considering related person </w:t>
      </w:r>
    </w:p>
    <w:p>
      <w:pPr>
        <w:pStyle w:val="HorizontalLine"/>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325" name="Frame3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transactions, New Nautilus’ audit committee will take into account the relevant available facts and circumstances, which may include, but are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risks, costs, and benefits to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on a director’s independence in the event the related person is a director, immediate family member of a director or an entity with which a director is affiliated;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the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availability of other sources for comparable services or products;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available to or from, as the case may be, unrelated third parties.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audit committee will approve only those transactions that it determines are fair to New Nautilus and in New Nautilus’ best interests. All of the transactions described above were entered into prior to the adoption of such policy.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326" name="Frame3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COMPARISON OF CORPORATE GOVERNANCE AND SHAREHOLDER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an exempted company incorporated under the Cayman Islands Companies Act. The Cayman Islands Companies Act, Cayman Islands law generally and the Existing Governing Documents govern the rights of its shareholders. The Cayman Islands Companies Act and Cayman Islands law generally differ in some material respects from laws generally applicable to United States corporations and their stockholders. In addition, the Existing Governing Documents differ in certain material respects from the Proposed Governing Documents. As a result, when you become a stockholder of New Nautilus, your rights will differ in some regards as compared to when you were a shareholder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Below is a summary chart outlining important similarities and differences in the corporate governance and stockholder/shareholder rights associated with each of ARYA and New Nautilus according to applicable law and/or the organizational documents of ARYA and New Nautilus. You also should review the Proposed Certificate of Incorporation and the Proposed Bylaws of New Nautilus attached hereto as Annex C and Annex D to this proxy statement/prospectus, respectively, as well as the Delaware corporate law and corporate laws of the Cayman Islands, including the Cayman Islands Companies Act, to understand how these laws apply to ARYA and New Nautilus.</w:t>
      </w:r>
    </w:p>
    <w:tbl>
      <w:tblPr>
        <w:tblW w:w="10205" w:type="dxa"/>
        <w:jc w:val="left"/>
        <w:tblInd w:w="0" w:type="dxa"/>
        <w:tblCellMar>
          <w:top w:w="28" w:type="dxa"/>
          <w:left w:w="28" w:type="dxa"/>
          <w:bottom w:w="28" w:type="dxa"/>
          <w:right w:w="28" w:type="dxa"/>
        </w:tblCellMar>
      </w:tblPr>
      <w:tblGrid>
        <w:gridCol w:w="653"/>
        <w:gridCol w:w="574"/>
        <w:gridCol w:w="576"/>
        <w:gridCol w:w="1487"/>
        <w:gridCol w:w="1487"/>
        <w:gridCol w:w="1500"/>
        <w:gridCol w:w="109"/>
        <w:gridCol w:w="109"/>
        <w:gridCol w:w="109"/>
        <w:gridCol w:w="1066"/>
        <w:gridCol w:w="1066"/>
        <w:gridCol w:w="1469"/>
      </w:tblGrid>
      <w:tr>
        <w:trPr/>
        <w:tc>
          <w:tcPr>
            <w:tcW w:w="65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Cayman Islands</w:t>
            </w:r>
          </w:p>
        </w:tc>
      </w:tr>
      <w:tr>
        <w:trPr/>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Approval of Business Combinations</w:t>
            </w:r>
          </w:p>
        </w:tc>
        <w:tc>
          <w:tcPr>
            <w:tcW w:w="4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generally require approval of a majority of the voting power of all outstanding shares.</w:t>
              <w:br/>
              <w:br/>
              <w:t>Mergers in which less than 20% of the acquirer’s stock is issued do not, in certain circumstances, require acquirer stockholder approval.</w:t>
              <w:br/>
              <w:br/>
              <w:t>Certain mergers in which one entity owns 90% or more of a second corporation may be completed without the vote of the second corporation’s board of directors or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require a special resolution, and any other authorization as may be specified in the relevant articles of association. Parties holding certain security interests in the constituent companies must also consent.</w:t>
              <w:br/>
              <w:br/>
              <w:t>All mergers (other than parent/subsidiary mergers) require shareholder approval—there is no exception for smaller mergers.</w:t>
              <w:br/>
              <w:br/>
              <w:t>Where a bidder has acquired 90% or more of the shares in a Cayman Islands company, it can compel the acquisition of the shares of the remaining shareholders and thereby become the sole shareholder.</w:t>
              <w:br/>
              <w:br/>
              <w:t>A Cayman Islands company may also be acquired through a “scheme of arrangement” sanctioned by a Cayman Islands court and approved by 50%+1 in number and 75% in value of shareholders in attendance and voting at a shareholders’ meeting.</w:t>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Votes for Routine Matters</w:t>
            </w:r>
          </w:p>
        </w:tc>
        <w:tc>
          <w:tcPr>
            <w:tcW w:w="4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unless a corporation’s governing documents provide a different standard, approval of routine corporate matters that are put to a stockholder vote require the affirmative vote of the majority of the voting power of the shares present in person or represented by proxy at the meeting and entitled to vote on the subject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and the Existing Governing Documents, routine corporate matters may be approved by an ordinary resolution (being a resolution passed by a simple majority of the shareholders as being entitled to do so).</w:t>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327" name="Frame3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914"/>
        <w:gridCol w:w="412"/>
        <w:gridCol w:w="413"/>
        <w:gridCol w:w="1400"/>
        <w:gridCol w:w="1400"/>
        <w:gridCol w:w="1414"/>
        <w:gridCol w:w="109"/>
        <w:gridCol w:w="109"/>
        <w:gridCol w:w="109"/>
        <w:gridCol w:w="1281"/>
        <w:gridCol w:w="1137"/>
        <w:gridCol w:w="1507"/>
      </w:tblGrid>
      <w:tr>
        <w:trPr/>
        <w:tc>
          <w:tcPr>
            <w:tcW w:w="91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Cayman Islands</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Appraisal Rights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 stockholder of a publicly traded corporation does not have appraisal rights in connection with a merger if the merger consideration is stock of the surviving entity or a publicly traded entity; stockholders generally will have appraisal rights if the merger consideration is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Minority shareholders that dissent from a Cayman Islands statutory merger are entitled to be paid the fair market value of their shares, which if necessary may ultimately be determined by the court.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Inspection of Books and Records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stockholder may inspect the corporation’s books and records for a proper purpose during the usual hours for business, subject to certain procedural requirements.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generally do not have any rights to inspect or obtain copies of the register of shareholders or other corporate records of a company.</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Lawsuits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stockholder may bring a derivative suit subject to procedural requirements (including complying with exclusive forum provisions as per the Proposed Bylaws).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Fiduciary Duties of Directors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must exercise a duty of care and duty of loyalty (which includes a duty of good faith) to the company and its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director owes fiduciary duties to a company, including to exercise loyalty, honesty and good faith to the company as a whole.</w:t>
              <w:br/>
              <w:br/>
              <w:t>In addition to fiduciary duties, directors owe a duty of care, diligence and skill.</w:t>
              <w:br/>
              <w:br/>
              <w:t>Such duties are owed to the company but may be owed direct to creditors or shareholders in certain limited circumstances.</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Indemnification of Directors and Officers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corporation is generally permitted to indemnify its directors and officers acting in good faith and in a manner the person reasonably believed to be in or not opposed to the best interests of the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Cayman Islands company generally may indemnify its directors or officers except with regard to fraud or willful default.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Limited Liability of Directors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permits limiting or eliminating the monetary liability of a director to a corporation or its stockholders, except with regard to breaches of duty of loyalty, intentional misconduct, certain unlawful repurchases or dividends, or transactions in which a director receives an improper personal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of directors may be unlimited, except with regard to their own fraud or willful default.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328" name="Frame3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NEW NAUTILUS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certain provisions of New Nautilus securities does not purport to be complete and is subject to the Proposed Certificate of Incorporation, the Proposed Bylaws and the provisions of applicable law. Copies of the Proposed Certificate of Incorporation and the Proposed Bylaws are attached to this proxy statement/prospectus as Annex C and Annex D, respectively.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authorized capital stock of New Nautilus will consist of 1,000,000,000 shares of New Nautilus Common Stock, par value $0.0001 per share, and 200,000,000 shares of New Nautilus Preferred Stock, par value $0.0001 per share. New Nautilus expects to have approximately 124,482,062 shares of New Nautilus Common Stock outstanding immediately after the consummation of the Business Combination, assuming that none of ARYA’s outstanding Class A ordinary shares are redeemed in connection with the Business Combination, or approximately 115,729,962 shares of New Nautilus Common Stock outstanding immediately after the consummation of the Business Combination, assuming holders of ARYA public shares have exercised redemption rights with respect to 8,752,100 shares, which is the estimated maximum number of shares that may be redeemed while still enabling the Aggregate Transaction Proceeds Condition to be met.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describes all material provisions of New Nautilus capital stock. You are urged to read the Proposed Certificate of Incorporation and the Proposed Bylaws in their entirety (copies of which are attached to this proxy statement/prospectus as Annex C and Annex D, respectively) as well as the applicable provisions of the DGCL.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New Nautilus Common Stock</w:t>
      </w:r>
    </w:p>
    <w:p>
      <w:pPr>
        <w:pStyle w:val="TextBody"/>
        <w:spacing w:lineRule="auto" w:line="288" w:before="0" w:after="180"/>
        <w:ind w:left="0" w:right="0" w:firstLine="360"/>
        <w:rPr/>
      </w:pPr>
      <w:r>
        <w:rPr>
          <w:rFonts w:ascii="Times New Roman;sans-serif" w:hAnsi="Times New Roman;sans-serif"/>
          <w:b/>
          <w:i/>
          <w:color w:val="000000"/>
          <w:sz w:val="20"/>
        </w:rPr>
        <w:t>Voting rights</w:t>
      </w:r>
      <w:r>
        <w:rPr>
          <w:rFonts w:ascii="Times New Roman;sans-serif" w:hAnsi="Times New Roman;sans-serif"/>
          <w:b w:val="false"/>
          <w:color w:val="000000"/>
          <w:sz w:val="20"/>
        </w:rPr>
        <w:t>. Each share of New Nautilus Common Stock will be entitled to one vote per share on all matters (including the election of directors) submitted to a vote of stockholders, unless otherwise required by law or the New Nautilus certificate of incorporation. The Proposed Certificate of Incorporation and the Proposed Bylaws do not provide for cumulative voting rights. Directors of New Nautilus will be elected by plurality vote of the shares of New Nautilus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spacing w:lineRule="auto" w:line="288" w:before="0" w:after="180"/>
        <w:ind w:left="0" w:right="0" w:firstLine="360"/>
        <w:rPr/>
      </w:pPr>
      <w:r>
        <w:rPr>
          <w:rFonts w:ascii="Times New Roman;sans-serif" w:hAnsi="Times New Roman;sans-serif"/>
          <w:b/>
          <w:i/>
          <w:color w:val="000000"/>
          <w:sz w:val="20"/>
        </w:rPr>
        <w:t>Dividend rights</w:t>
      </w:r>
      <w:r>
        <w:rPr>
          <w:rFonts w:ascii="Times New Roman;sans-serif" w:hAnsi="Times New Roman;sans-serif"/>
          <w:b w:val="false"/>
          <w:color w:val="000000"/>
          <w:sz w:val="20"/>
        </w:rPr>
        <w:t xml:space="preserve">. Subject to preferences that may be applicable to any then-outstanding preferred stock, holders of New Common Stock will be entitled to receive dividends, if any, as may be declared from time to time by our board of directors out of legally available funds. </w:t>
      </w:r>
    </w:p>
    <w:p>
      <w:pPr>
        <w:pStyle w:val="TextBody"/>
        <w:spacing w:lineRule="auto" w:line="288" w:before="0" w:after="180"/>
        <w:ind w:left="0" w:right="0" w:firstLine="360"/>
        <w:rPr/>
      </w:pPr>
      <w:r>
        <w:rPr>
          <w:rFonts w:ascii="Times New Roman;sans-serif" w:hAnsi="Times New Roman;sans-serif"/>
          <w:b/>
          <w:i/>
          <w:color w:val="000000"/>
          <w:sz w:val="20"/>
        </w:rPr>
        <w:t>Rights upon liquidation</w:t>
      </w:r>
      <w:r>
        <w:rPr>
          <w:rFonts w:ascii="Times New Roman;sans-serif" w:hAnsi="Times New Roman;sans-serif"/>
          <w:b w:val="false"/>
          <w:color w:val="000000"/>
          <w:sz w:val="20"/>
        </w:rPr>
        <w:t>. Upon a liquidation event, holders of New Nautilus Common Stock will be entitled to share ratably in the net assets legally available for distribution to stockholders after the payment of all of New Nautilus’ debts and other liabilities and the satisfaction of any liquidation preference granted to the holders of any then-outstanding shares of preferred stock.</w:t>
      </w:r>
    </w:p>
    <w:p>
      <w:pPr>
        <w:pStyle w:val="TextBody"/>
        <w:spacing w:lineRule="auto" w:line="288" w:before="0" w:after="180"/>
        <w:ind w:left="0" w:right="0" w:firstLine="360"/>
        <w:rPr/>
      </w:pPr>
      <w:r>
        <w:rPr>
          <w:rFonts w:ascii="Times New Roman;sans-serif" w:hAnsi="Times New Roman;sans-serif"/>
          <w:b/>
          <w:i/>
          <w:color w:val="000000"/>
          <w:sz w:val="20"/>
        </w:rPr>
        <w:t>Other rights</w:t>
      </w:r>
      <w:r>
        <w:rPr>
          <w:rFonts w:ascii="Times New Roman;sans-serif" w:hAnsi="Times New Roman;sans-serif"/>
          <w:b w:val="false"/>
          <w:color w:val="000000"/>
          <w:sz w:val="20"/>
        </w:rPr>
        <w:t>. Holders of New Nautilus will have no preemptive, conversion, subscription or other rights, and as of the closing of the Business Combination there will be no redemption or sinking fund provisions applicable to the New Nautilus Common Stock. The rights, preferences and privileges of the holders of the New Nautilus Common Stock are subject to, and may be adversely affected by, the rights of the holders of shares of any series of preferred stock that New Nautilus may designate in the future.</w:t>
      </w:r>
    </w:p>
    <w:p>
      <w:pPr>
        <w:pStyle w:val="HorizontalLine"/>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329" name="Frame3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will have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the New Nautilus Common Stock. The issuance of preferred stock could adversely affect the voting power of holders of New Nautilus Common Stock and the likelihood that such holders will receive dividend payments and payments upon liquidation. In addition, the issuance of preferred stock could have the effect of delaying, deferring or preventing a change in control of New Nautilus or other corporate action. Upon closing of the Business Combination, no shares of preferred stock will be outstanding, and New Nautilus has no present plan to issue any shares of preferred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Election of Directors and Vacancies;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any series of Preferred Stock to elect additional directors under specified circumstances, the number of directors of the New Nautilus Board shall be fixed solely and exclusively by resolution duly adopted from time to time by the New Nautilus Board, but shall initially consist of nine (9) directors, which shall be divided into three (3) classes, designated Class I, II and III, with each class consisting of three (3) directors. Under the Proposed Bylaws, at all meetings of stockholders called for the election of directors, directors shall be elected by a plurality of the voting power of the shares present in person or represented by proxy at the meeting and entitled to vote on the election of directors. All directors will be elected to hold office until the expiration of the term for which they are elected and until their successors have been duly elected and qualified or until their earlier resignation or removal.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Except as the DGCL may otherwise require and subject to the rights, if any, of the holders of any series of New Nautilus Preferred Stock, newly created directorships resulting from any increase in the number of directors and any vacancies on the New Nautilus Board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any series of New Nautilus Preferred Stock, any director or the entire New Nautilus Board may be removed from office at any time, but only for cause and only by the affirmative vote of the holders of at least 66 2/3% of the voting power of the issued and outstanding capital stock of New Nautilus entitled to vote in the election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the powers and authority expressly conferred upon them by statute or by the Proposed Certificate of Incorporation or Proposed Bylaws, the directors are empowered to exercise all such powers and do all such acts and things as may be exercised or done by New Nautilus, subject, nevertheless, to the provisions of the DGCL, the Proposed Certificate of Incorporation and the Proposed Bylaws adopted and in effect from time to time; provided, however, that no Bylaw adopted, amended, altered or repealed after the date of the Proposed Bylaws will invalidate any prior act of the directors or officers of New Nautilus which would have been valid if such Bylaw had not been adopted, amended, altered or repealed.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Proposed Certificate of Incorporation or Proposed Bylaws, each as amended from </w:t>
      </w:r>
    </w:p>
    <w:p>
      <w:pPr>
        <w:pStyle w:val="HorizontalLine"/>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0" name="Frame3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Anti-takeover Effects of the Proposed Certificate of Incorporation and the Proposed Bylaws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and the Proposed Bylaws contain provisions that may delay, defer or discourage another party from acquiring control of New Nautilus. We expect that these provisions, which are summarized below, may discourage coercive takeover practices or inadequate takeover bids. These provisions are also designed to encourage persons seeking to acquire control of New Nautilus to first negotiate with the New Nautilus Board, which we believe may result in an improvement of the terms of any such acquisition in favor of New Nautilus’ stockholders. However, they also give the New Nautilus Board the power to discourage acquisitions that some stockholders may favor.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Authorized but Unissued Capital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Delaware law does not require stockholder approval for any issuance of authorized shares. However, the listing requirements of Nasdaq, which would apply if and so long as the New Nautilus Common Stock remains listed on Nasdaq, require stockholder approval of certain issuances equal to or exceeding 20% of the then outstanding voting power or then outstanding number of shares of New Nautilus Common Stock. Additional shares that may be issued in the future may be used for a variety of corporate purposes, including future public offerings, to raise additional capital or to facilitate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One of the effects of the existence of unissued and unreserved common stock may be to enable the New Nautilus Board to issue shares to persons friendly to New Nautilus management, which issuance could render more difficult or discourage an attempt to obtain control of New Nautilus by means of a merger, tender offer, proxy contest or otherwise and thereby protect the continuity of New Nautilus management and possibly deprive stockholders of opportunities to sell their shares of New Nautilus Common Stock at prices higher than prevailing market prices.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Special Meeting, Action by Written Consent and Advance Notice Requirements for Stockholder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required by law, and subject to the rights, if any, of the holders of any series of New Nautilus Preferred Stock, special meetings of the stockholders of New Nautilus may be called only by the Chairperson of the New Nautilus Board, the New Nautilus Chief Executive Officer, the New Nautilus President, or the New Nautilus Board acting pursuant to a resolution adopted by a majority of the New Nautilus Board.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Bylaws also provide that unless otherwise restricted by the Proposed Certificate of Incorporation or the Proposed Bylaws, any action required or permitted to be taken at any meeting of the New Nautilus Board or of any committee thereof may be taken without a meeting, if all members of the New Nautilus Board or of such committee, as the case may be, consent thereto in writing or by electronic transmission.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Proposed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New Nautilus Board, or by a stockholder of record on the record date for the meeting, who is </w:t>
      </w:r>
    </w:p>
    <w:p>
      <w:pPr>
        <w:pStyle w:val="HorizontalLine"/>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1" name="Frame3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entitled to vote at the meeting and who has delivered a timely written notice in proper form to the New Nautilus secretary, of the stockholder’s intention to bring such business before the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provisions could have the effect of delaying until the next stockholder meeting any stockholder actions, even if they are favored by the holders of a majority of New Nautilus’ outstanding voting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 to Certificate of Incorporation and Bylaws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following provisions therein may be amended, altered, repealed or rescinded only by the affirmative vote of the holders of at least 66 2/3% in voting power of all the then outstanding shares of New Nautilus’ stock entitled to vote thereon and the affirmative vote of at least 662/3% of the then outstanding voting securities of the Company, voting together as a single class: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authorizing the New Nautilus Board to issues shares of New Nautilus Preferred Stock, with any rights, preferences or privileges as they may designate;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dividing the New Nautilus Board into three classes, each of which stands for election once every three years;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providing that a director may only be removed from the New Nautilus Board for cause only by the affirmative vote of the holders of at least 66 2/3% of the voting power of the issued and outstanding capital stock of New Nautilus entitled to vote in the election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providing that all vacancies, including newly created directorships, may, except as otherwise required by law, be filled by the affirmative vote of a majority of directors then in office, even if less than a quorum;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prohibiting cumulative voting;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requiring that any action to be taken by New Nautilus’ stockholders must be effected at a duly called annual or special meeting of stockholders and not be taken by written consent;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regarding calling special meetings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regarding notice of stockholder nominations for the election of directors and of business to be brought by stockholders before any meeting of New Nautilus’ stockholders;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 regarding the approval requirements for such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Bylaws may be amended or repealed (A) by the affirmative vote of a majority of the entire New Nautilus Board then in office (subject to any bylaw requiring the affirmative vote of a larger percentage of the members of the New Nautilus Board) or (B) by the New Nautilus stockholders, provided that the affirmative vote of the holders of at least 66 2/3% of the total voting power of outstanding voting securities, voting together as a single class, shall be required for the New Nautilus stockholders to alter, amend or repeal, or adopt certain provisions of the Proposed Bylaws.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Delaware Anti-Takeover Statute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holders of 66 2/3% of the voting power of the outstanding capital stock held by stockholders unaffiliated with the interested stockholder approve the business combination. A business combination includes, among other things, a </w:t>
      </w:r>
    </w:p>
    <w:p>
      <w:pPr>
        <w:pStyle w:val="HorizontalLine"/>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2" name="Frame3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Limitations on Liability and Indemnification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limits the liability of the directors of New Nautilus to the fullest extent permitted by the DGCL, and the Proposed Bylaws provide that New Nautilus will indemnify them to the fullest extent permitted by such law. ARYA has entered into indemnification agreements with its directors and officers and New Nautilus expects to continue to enter into agreements to indemnify its directors, executive officers and other employees as determined by the New Nautilus Board. Under the terms of such indemnification agreements, New Nautilus will be required to indemnify each of its directors and officers, to the fullest extent permitted by the laws of the state of Delaware, if the basis of the indemnitee’s involvement was by reason of the fact that the indemnitee is or was a director or officer of New Nautilus or any of its subsidiaries or was serving at New Nautilus’ request in an official capacity for another entity. Any claims for indemnification by New Nautilus’ directors and officers may reduce New Nautilus’ available funds to satisfy successful third-party claims against it and may reduce the amount of money available to 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Exclusive Jurisdiction of Certain Actions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transfer agent for New Nautilus Common Stock will be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3" name="Frame3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SECURITIES ACT RESTRICTIONS ON RESALE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Rule 144 under the Securities Act (“Rule 144”), a person who has beneficially owned restricted New Nautilus Common Stock for at least six months would be entitled to sell their securities provided that (i) such person is not deemed to have been an affiliate of New Nautilus at the time of, or at any time during the three months preceding, a sale and (ii) New Nautilus is subject to the Exchange Act periodic reporting requirements for at least three months before the sale and have filed all required reports under Section 13 or 15(d) of the Exchange Act during the twelve months (or such shorter period as New Nautilus was required to file reports) preceding the sale.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Persons who have beneficially owned restricted New Nautilus Common Stock shares for at least six months but who are affiliates of New Nautilus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 of the total number of New Nautilus Common Stock then outstanding;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average weekly reported trading volume of the New Nautilus Common Stock during the four calendar weeks preceding the filing of a notice on Form 144 with respect to the sale.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by affiliates of New Nautilus under Rule 144 are also limited by manner of sale provisions and notice requirements and to the availability of current public information about New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Restrictions on the Use of Rule 144 by Shell Companies or Former Shell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that was formerly a shell company has ceased to be a shell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is subject to the reporting requirements of Section 13 or 15(d) of the Exchange Act;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least one year has elapsed from the time that the issuer filed current Form 10 type information with the SEC reflecting its status as an entity that is not a shell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our initial shareholders will be able to sell their Class B ordinary shares and private placement shares, as applicable, pursuant to Rule 144 without registration one year after we have completed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anticipate that following the consummation of the Business Combination, New Nautilus will no longer be a shell company, and so, once the conditions set forth in the exceptions listed above are satisfied, Rule 144 will become available for the resale of the above noted restricted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34" name="Frame3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STOCKHOLDER PROPOSALS AND NOMINATIONS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Proposed Bylaws establish an advance notice procedure for stockholders who wish to present a proposal before an annual meeting of stockholders. New Nautilus’ Proposed Bylaws provide that the only business that may be conducted at an annual meeting of stockholders is business that is (i) specified in the notice of such meeting (or any supplement or amendment thereto) given by or at the direction of the New Nautilus Board, (ii) otherwise properly brought before such meeting by or at the direction of the New Nautilus Board, or (iii) otherwise properly brought before such meeting by a stockholder who is a stockholder of record on the date of giving of the notice and on the record date for determination of stockholders entitled to vote at such meeting who has complied with the notice procedures specified in New Nautilus’ Proposed Bylaws. To be timely for New Nautilus’ annual meeting of stockholders, New Nautilus’ secretary must receive the written notice at New Nautilus’ principal executive offices: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 later than the 90th day;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 earlier than the 120th day before the one-year anniversary of the preceding year’s annual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no annual meeting was held in the previous year (as would be the case for New Nautilus’ 2021 annual meeting) or if the date of the applicable annual meeting has been changed by more than 25 days from the first anniversary of the preceding year’s annual meeting, notice of a stockholder proposal must be received no earlier than 8:00 a.m., local time on the 120th day prior to the scheduled date of such annual meeting and no later than 5:00 p.m., local time, on the 10th day following the day on which public announcement of the date of such meeting is first made. Nominations and proposals also must satisfy other requirements set forth in the bylaws. The Chairperson of the applicable meeting of New Nautilus stockholders may refuse to acknowledge the introduction of any stockholder proposal not made in compliance with the foregoing procedures.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Rule 14a-8 of the Exchange Act, a shareholder proposal to be included in the proxy statement and proxy card for the 2021 annual general meeting pursuant to Rule 14a-8 must be received at our principal office a reasonable time before New Nautilus begins to print and send out its proxy materials for such 2021 annual meeting (and New Nautilus will publicly disclose such date when it is known).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 Director Nominees</w:t>
      </w:r>
    </w:p>
    <w:p>
      <w:pPr>
        <w:pStyle w:val="TextBody"/>
        <w:spacing w:lineRule="auto" w:line="288" w:before="0" w:after="180"/>
        <w:ind w:left="0" w:right="0" w:firstLine="360"/>
        <w:rPr/>
      </w:pPr>
      <w:r>
        <w:rPr>
          <w:rFonts w:ascii="Times New Roman;sans-serif" w:hAnsi="Times New Roman;sans-serif"/>
          <w:b w:val="false"/>
          <w:color w:val="000000"/>
          <w:sz w:val="20"/>
        </w:rPr>
        <w:t xml:space="preserve">New Nautilus’ Proposed Bylaws permit stockholders to nominate directors for election at an annual general meeting of stockholders. To nominate a director, the stockholder must provide the information required by New Nautilus’ Proposed Bylaws. In addition, the stockholder must give timely notice to New Nautilus’ secretary in accordance with New Nautilus’ Proposed Bylaws, which, in general, require that the notice be received by New Nautilus’ secretary within the time periods described above under </w:t>
      </w:r>
      <w:r>
        <w:rPr>
          <w:color w:val="000000"/>
        </w:rPr>
        <w:t>“—</w:t>
      </w:r>
      <w:r>
        <w:rPr>
          <w:rFonts w:ascii="Times New Roman;sans-serif" w:hAnsi="Times New Roman;sans-serif"/>
          <w:b w:val="false"/>
          <w:i/>
          <w:color w:val="000000"/>
          <w:sz w:val="20"/>
        </w:rPr>
        <w:t xml:space="preserve">Stockholder Proposals” </w:t>
      </w:r>
      <w:r>
        <w:rPr>
          <w:rFonts w:ascii="Times New Roman;sans-serif" w:hAnsi="Times New Roman;sans-serif"/>
          <w:b w:val="false"/>
          <w:color w:val="000000"/>
          <w:sz w:val="20"/>
        </w:rPr>
        <w:t>for stockholder proposals.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SHAREHOLDER COMMUNICATIONS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Shareholders and interested parties may communicate with the ARYA Board, any committee chairperson or the non-management directors as a group by writing to the board or committee chairperson in care of ARYA Sciences Acquisition Corp III, 51 Astor Place, 10th Floor, New York, New York 10003. Following the Business Combination, such communications should be sent in care of New Nautilus, 425 Pontius Ave N, Ste 202, Seattle, WA 98109. Each communication will be forwarded, depending on the subject matter, to the board of directors, the appropriate committee chairperson or all non-management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Kirkland &amp; Ellis LLP, New York, NY, has passed upon the validity of the securities of New Nautilus offered by this proxy statement/prospectus and certain other legal matters related to this proxy statement/prospectus.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35" name="Frame3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ARYA Sciences Acquisition Corp III as of December 31, 2020 and for the period from March 27, 2020 (inception) through December 31, 2020 appearing in this proxy statement/prospectus have been audited by WithumSmith+Brown, PC, independent registered public accounting firm, as set forth in their report thereon, appearing elsewhere herein, and are included in reliance upon such report given on the authority of such firm as experts in accounting and auditing.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Nautilus Biotechnology, Inc. as of December 31, 2020 and 2019 and for the years then ended included in this proxy statement/prospectus have been so included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DELIVERY OF DOCUMENTS TO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rules of the SEC, ARYA and services that it employs to deliver communications to its shareholders are permitted to deliver to two or more shareholders sharing the same address a single copy of each of ARYA’s annual report to shareholders and ARYA’s proxy statement. Upon written or oral request, ARYA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ARYA delivers single copies of such documents in the future. Shareholders receiving multiple copies of such documents may request that ARYA delivers single copies of such documents in the future. Shareholders may notify ARYA of their requests by calling or writing ARYA at its principal executive offices at 51 Astor Place, 10th Floor, New York, New York 10003 or (212) 284-2300.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ENFORCEABILITY OF CIVIL LIABILITY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 Cayman Islands exempted company. If ARYA does not change its jurisdiction of incorporation from the Cayman Islands to Delaware by effecting the Domestication, you may have difficulty serving legal process within the United States upon ARYA. You may also have difficulty enforcing, both in and outside the United States, judgments you may obtain in U.S. courts against ARYA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ARYA may be served with process in the United States with respect to actions against ARYA arising out of or in connection with violation of U.S. federal securities laws relating to offers and sales of ARYA’s securities by serving ARYA’s U.S. agent irrevocably appointed for that purpose.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transfer agent for ARYA’s securities is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 INCORPORATION BY REFERENCE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filed a registration statement on Form S-4 to register the issuance of securities described elsewhere in this proxy statement/prospectus. This proxy statement/prospectus is a part of that registration statement.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files reports, proxy statements and other information with the SEC as required by the Exchange Act. You may access information on ARYA at the SEC website containing reports, proxy statements and other information at: http://www.sec.gov. Those filings are also available free of charge to the public on, or accessible through, ARYA’s corporate website at https://www.perceptivelife.com/arya3. ARYA’s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and statements contained in this proxy statement/prospectus or any annex to this proxy statement/prospectus are qualified in all respects by reference to the copy of the relevant contract or other annex filed as an </w:t>
      </w:r>
    </w:p>
    <w:p>
      <w:pPr>
        <w:pStyle w:val="HorizontalLine"/>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36" name="Frame3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exhibit to the registration statement of which this proxy statement/prospectus forms a part, which includes exhibits incorporated by reference from other filings made with the SEC.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information contained in this proxy statement/prospectus relating to ARYA has been supplied by ARYA, and all such information relating to Nautilus has been supplied by Nautilus. Information provided by one another does not constitute any representation, estimate or projection of the other.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would like additional copies of this proxy statement/prospectus or if you have questions about the Business Combination, you should contact via phone or in writing:</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Morrow Sodali LLC</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470 West Avenue</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Individuals call toll-free: (800) 662-5200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collect: (203) 658-9400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ARYA.info@investor.morrowsodali.com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obtain timely delivery of the documents, you must request them no later than five business days before the date of the meetings, or no later than           , 2021.</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information contained in this document relating to ARYA has been supplied by ARYA and all such information relating to Nautilus has been supplied by the Nautilus Shareholders. Information provided by ARYA or Nautilus does not constitute any representation, estimate or projection of the other.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37" name="Frame3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xbxContent>
                </v:textbox>
              </v:rect>
            </w:pict>
          </mc:Fallback>
        </mc:AlternateContent>
      </w:r>
    </w:p>
    <w:p>
      <w:pPr>
        <w:pStyle w:val="TextBody"/>
        <w:spacing w:before="0" w:after="180"/>
        <w:ind w:left="0" w:right="0" w:firstLine="360"/>
        <w:rPr/>
      </w:pPr>
      <w:r>
        <w:rPr/>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Audited Financial Statements for ARYA Sciences Acquisition Corp III:</w:t>
      </w:r>
    </w:p>
    <w:tbl>
      <w:tblPr>
        <w:tblW w:w="10205" w:type="dxa"/>
        <w:jc w:val="left"/>
        <w:tblInd w:w="0" w:type="dxa"/>
        <w:tblCellMar>
          <w:top w:w="28" w:type="dxa"/>
          <w:left w:w="28" w:type="dxa"/>
          <w:bottom w:w="28" w:type="dxa"/>
          <w:right w:w="28" w:type="dxa"/>
        </w:tblCellMar>
      </w:tblPr>
      <w:tblGrid>
        <w:gridCol w:w="3489"/>
        <w:gridCol w:w="3063"/>
        <w:gridCol w:w="3081"/>
        <w:gridCol w:w="167"/>
        <w:gridCol w:w="167"/>
        <w:gridCol w:w="238"/>
      </w:tblGrid>
      <w:tr>
        <w:trPr/>
        <w:tc>
          <w:tcPr>
            <w:tcW w:w="3489" w:type="dxa"/>
            <w:tcBorders/>
            <w:shd w:fill="auto" w:val="clear"/>
            <w:vAlign w:val="center"/>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c>
          <w:tcPr>
            <w:tcW w:w="308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109">
              <w:r>
                <w:rPr>
                  <w:rStyle w:val="InternetLink"/>
                  <w:rFonts w:ascii="Times New Roman;sans-serif" w:hAnsi="Times New Roman;sans-serif"/>
                  <w:b w:val="false"/>
                  <w:color w:val="0000FF"/>
                  <w:sz w:val="20"/>
                  <w:u w:val="single"/>
                </w:rPr>
                <w:t>Report of Independent Registered Public Accounting Firm</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109">
              <w:r>
                <w:rPr>
                  <w:rStyle w:val="InternetLink"/>
                </w:rPr>
                <w:t>F-</w:t>
              </w:r>
            </w:hyperlink>
            <w:hyperlink w:anchor="if2baefd677284383b89cb6f605e45e0e_2109">
              <w:r>
                <w:rPr>
                  <w:rStyle w:val="InternetLink"/>
                </w:rPr>
                <w:t>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200">
              <w:r>
                <w:rPr>
                  <w:rStyle w:val="InternetLink"/>
                  <w:rFonts w:ascii="Times New Roman;sans-serif" w:hAnsi="Times New Roman;sans-serif"/>
                  <w:b w:val="false"/>
                  <w:color w:val="0000FF"/>
                  <w:sz w:val="20"/>
                  <w:u w:val="single"/>
                </w:rPr>
                <w:t>Balance Sheet as of December 31, 2020</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200">
              <w:r>
                <w:rPr>
                  <w:rStyle w:val="InternetLink"/>
                </w:rPr>
                <w:t>F-</w:t>
              </w:r>
            </w:hyperlink>
            <w:hyperlink w:anchor="if2baefd677284383b89cb6f605e45e0e_2200">
              <w:r>
                <w:rPr>
                  <w:rStyle w:val="InternetLink"/>
                </w:rPr>
                <w:t>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190">
              <w:r>
                <w:rPr>
                  <w:rStyle w:val="InternetLink"/>
                  <w:rFonts w:ascii="Times New Roman;sans-serif" w:hAnsi="Times New Roman;sans-serif"/>
                  <w:b w:val="false"/>
                  <w:color w:val="0000FF"/>
                  <w:sz w:val="20"/>
                  <w:u w:val="single"/>
                </w:rPr>
                <w:t>Statement of Operations for the period from March 27, 2020 (inception) through December 31, 2020</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190">
              <w:r>
                <w:rPr>
                  <w:rStyle w:val="InternetLink"/>
                </w:rPr>
                <w:t>F-</w:t>
              </w:r>
            </w:hyperlink>
            <w:hyperlink w:anchor="if2baefd677284383b89cb6f605e45e0e_2190">
              <w:r>
                <w:rPr>
                  <w:rStyle w:val="InternetLink"/>
                </w:rPr>
                <w:t>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185">
              <w:r>
                <w:rPr>
                  <w:rStyle w:val="InternetLink"/>
                  <w:rFonts w:ascii="Times New Roman;sans-serif" w:hAnsi="Times New Roman;sans-serif"/>
                  <w:b w:val="false"/>
                  <w:color w:val="0000FF"/>
                  <w:sz w:val="20"/>
                  <w:u w:val="single"/>
                </w:rPr>
                <w:t>Statement of Changes in Shareholders’ Equity for the period from March 27, 2020 (inception) through December 31, 2020</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185">
              <w:r>
                <w:rPr>
                  <w:rStyle w:val="InternetLink"/>
                </w:rPr>
                <w:t>F-</w:t>
              </w:r>
            </w:hyperlink>
            <w:hyperlink w:anchor="if2baefd677284383b89cb6f605e45e0e_2185">
              <w:r>
                <w:rPr>
                  <w:rStyle w:val="InternetLink"/>
                </w:rPr>
                <w:t>6</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180">
              <w:r>
                <w:rPr>
                  <w:rStyle w:val="InternetLink"/>
                  <w:rFonts w:ascii="Times New Roman;sans-serif" w:hAnsi="Times New Roman;sans-serif"/>
                  <w:b w:val="false"/>
                  <w:color w:val="0000FF"/>
                  <w:sz w:val="20"/>
                  <w:u w:val="single"/>
                </w:rPr>
                <w:t>Statement of Cash Flows for the period from March 27, 2020 (inception) through December 31, 2020</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180">
              <w:r>
                <w:rPr>
                  <w:rStyle w:val="InternetLink"/>
                </w:rPr>
                <w:t>F-</w:t>
              </w:r>
            </w:hyperlink>
            <w:hyperlink w:anchor="if2baefd677284383b89cb6f605e45e0e_2180">
              <w:r>
                <w:rPr>
                  <w:rStyle w:val="InternetLink"/>
                </w:rPr>
                <w:t>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f2baefd677284383b89cb6f605e45e0e_2175">
              <w:r>
                <w:rPr>
                  <w:rStyle w:val="InternetLink"/>
                  <w:rFonts w:ascii="Times New Roman;sans-serif" w:hAnsi="Times New Roman;sans-serif"/>
                  <w:b w:val="false"/>
                  <w:color w:val="0000FF"/>
                  <w:sz w:val="20"/>
                  <w:u w:val="single"/>
                </w:rPr>
                <w:t>Notes to Financial Statements</w:t>
              </w:r>
            </w:hyperlink>
            <w:r>
              <w:rPr>
                <w:color w:val="000000"/>
              </w:rPr>
              <w:t xml:space="preserve"> </w:t>
            </w:r>
          </w:p>
        </w:tc>
        <w:tc>
          <w:tcPr>
            <w:tcW w:w="572" w:type="dxa"/>
            <w:gridSpan w:val="3"/>
            <w:tcBorders/>
            <w:shd w:fill="CCEEFF" w:val="clear"/>
            <w:tcMar>
              <w:top w:w="0" w:type="dxa"/>
              <w:left w:w="0" w:type="dxa"/>
              <w:bottom w:w="0" w:type="dxa"/>
              <w:right w:w="0" w:type="dxa"/>
            </w:tcMar>
            <w:vAlign w:val="center"/>
          </w:tcPr>
          <w:p>
            <w:pPr>
              <w:pStyle w:val="TableContents"/>
              <w:spacing w:lineRule="auto" w:line="276" w:before="0" w:after="0"/>
              <w:jc w:val="center"/>
              <w:rPr/>
            </w:pPr>
            <w:hyperlink w:anchor="if2baefd677284383b89cb6f605e45e0e_2175">
              <w:r>
                <w:rPr>
                  <w:rStyle w:val="InternetLink"/>
                </w:rPr>
                <w:t>F-</w:t>
              </w:r>
            </w:hyperlink>
            <w:hyperlink w:anchor="if2baefd677284383b89cb6f605e45e0e_2175">
              <w:r>
                <w:rPr>
                  <w:rStyle w:val="InternetLink"/>
                </w:rPr>
                <w:t>8</w:t>
              </w:r>
            </w:hyperlink>
          </w:p>
        </w:tc>
      </w:tr>
    </w:tbl>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Financial Statements for Nautilus Biotechnology, Inc. As of and for the Years Ended December 31, 2020 and 2019</w:t>
      </w:r>
    </w:p>
    <w:tbl>
      <w:tblPr>
        <w:tblW w:w="7439" w:type="dxa"/>
        <w:jc w:val="left"/>
        <w:tblInd w:w="0" w:type="dxa"/>
        <w:tblCellMar>
          <w:top w:w="28" w:type="dxa"/>
          <w:left w:w="28" w:type="dxa"/>
          <w:bottom w:w="28" w:type="dxa"/>
          <w:right w:w="28" w:type="dxa"/>
        </w:tblCellMar>
      </w:tblPr>
      <w:tblGrid>
        <w:gridCol w:w="2416"/>
        <w:gridCol w:w="2123"/>
        <w:gridCol w:w="2135"/>
        <w:gridCol w:w="223"/>
        <w:gridCol w:w="223"/>
        <w:gridCol w:w="319"/>
      </w:tblGrid>
      <w:tr>
        <w:trPr/>
        <w:tc>
          <w:tcPr>
            <w:tcW w:w="2416"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Page(s)</w:t>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464">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464">
              <w:r>
                <w:rPr>
                  <w:rStyle w:val="InternetLink"/>
                </w:rPr>
                <w:t>F-</w:t>
              </w:r>
            </w:hyperlink>
            <w:hyperlink w:anchor="if2baefd677284383b89cb6f605e45e0e_464">
              <w:r>
                <w:rPr>
                  <w:rStyle w:val="InternetLink"/>
                </w:rPr>
                <w:t>21</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56">
              <w:r>
                <w:rPr>
                  <w:rStyle w:val="InternetLink"/>
                  <w:rFonts w:ascii="Times New Roman;sans-serif" w:hAnsi="Times New Roman;sans-serif"/>
                  <w:b w:val="false"/>
                  <w:color w:val="0000FF"/>
                  <w:sz w:val="20"/>
                  <w:u w:val="single"/>
                </w:rPr>
                <w:t>Balance Sheet</w:t>
              </w:r>
            </w:hyperlink>
            <w:r>
              <w:rPr>
                <w:rFonts w:ascii="Times New Roman;sans-serif" w:hAnsi="Times New Roman;sans-serif"/>
                <w:b w:val="false"/>
                <w:color w:val="000000"/>
                <w:sz w:val="20"/>
              </w:rPr>
              <w:t>s</w:t>
            </w:r>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56">
              <w:r>
                <w:rPr>
                  <w:rStyle w:val="InternetLink"/>
                </w:rPr>
                <w:t>F-</w:t>
              </w:r>
            </w:hyperlink>
            <w:hyperlink w:anchor="if2baefd677284383b89cb6f605e45e0e_656">
              <w:r>
                <w:rPr>
                  <w:rStyle w:val="InternetLink"/>
                </w:rPr>
                <w:t>22</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91">
              <w:r>
                <w:rPr>
                  <w:rStyle w:val="InternetLink"/>
                </w:rPr>
                <w:t>Statement</w:t>
              </w:r>
            </w:hyperlink>
            <w:hyperlink w:anchor="if2baefd677284383b89cb6f605e45e0e_791">
              <w:r>
                <w:rPr>
                  <w:rStyle w:val="InternetLink"/>
                </w:rPr>
                <w:t>s</w:t>
              </w:r>
            </w:hyperlink>
            <w:hyperlink w:anchor="if2baefd677284383b89cb6f605e45e0e_791">
              <w:r>
                <w:rPr>
                  <w:rStyle w:val="InternetLink"/>
                </w:rPr>
                <w:t xml:space="preserve"> of Operations</w:t>
              </w:r>
            </w:hyperlink>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91">
              <w:r>
                <w:rPr>
                  <w:rStyle w:val="InternetLink"/>
                </w:rPr>
                <w:t>F-</w:t>
              </w:r>
            </w:hyperlink>
            <w:hyperlink w:anchor="if2baefd677284383b89cb6f605e45e0e_791">
              <w:r>
                <w:rPr>
                  <w:rStyle w:val="InternetLink"/>
                </w:rPr>
                <w:t>23</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51">
              <w:r>
                <w:rPr>
                  <w:rStyle w:val="InternetLink"/>
                </w:rPr>
                <w:t>Statement</w:t>
              </w:r>
            </w:hyperlink>
            <w:hyperlink w:anchor="if2baefd677284383b89cb6f605e45e0e_651">
              <w:r>
                <w:rPr>
                  <w:rStyle w:val="InternetLink"/>
                </w:rPr>
                <w:t>s</w:t>
              </w:r>
            </w:hyperlink>
            <w:hyperlink w:anchor="if2baefd677284383b89cb6f605e45e0e_651">
              <w:r>
                <w:rPr>
                  <w:rStyle w:val="InternetLink"/>
                </w:rPr>
                <w:t xml:space="preserve"> of Comprehensive Loss</w:t>
              </w:r>
            </w:hyperlink>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51">
              <w:r>
                <w:rPr>
                  <w:rStyle w:val="InternetLink"/>
                </w:rPr>
                <w:t>F-</w:t>
              </w:r>
            </w:hyperlink>
            <w:hyperlink w:anchor="if2baefd677284383b89cb6f605e45e0e_651">
              <w:r>
                <w:rPr>
                  <w:rStyle w:val="InternetLink"/>
                </w:rPr>
                <w:t>24</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46">
              <w:r>
                <w:rPr>
                  <w:rStyle w:val="InternetLink"/>
                </w:rPr>
                <w:t>Statement</w:t>
              </w:r>
            </w:hyperlink>
            <w:hyperlink w:anchor="if2baefd677284383b89cb6f605e45e0e_646">
              <w:r>
                <w:rPr>
                  <w:rStyle w:val="InternetLink"/>
                </w:rPr>
                <w:t>s</w:t>
              </w:r>
            </w:hyperlink>
            <w:hyperlink w:anchor="if2baefd677284383b89cb6f605e45e0e_646">
              <w:r>
                <w:rPr>
                  <w:rStyle w:val="InternetLink"/>
                </w:rPr>
                <w:t xml:space="preserve"> of Redeemable Convertible Preferred Stock and Stockholders’ Deficit</w:t>
              </w:r>
            </w:hyperlink>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46">
              <w:r>
                <w:rPr>
                  <w:rStyle w:val="InternetLink"/>
                </w:rPr>
                <w:t>F-</w:t>
              </w:r>
            </w:hyperlink>
            <w:hyperlink w:anchor="if2baefd677284383b89cb6f605e45e0e_646">
              <w:r>
                <w:rPr>
                  <w:rStyle w:val="InternetLink"/>
                </w:rPr>
                <w:t>25</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05">
              <w:r>
                <w:rPr>
                  <w:rStyle w:val="InternetLink"/>
                </w:rPr>
                <w:t>Statement</w:t>
              </w:r>
            </w:hyperlink>
            <w:hyperlink w:anchor="if2baefd677284383b89cb6f605e45e0e_705">
              <w:r>
                <w:rPr>
                  <w:rStyle w:val="InternetLink"/>
                </w:rPr>
                <w:t>s</w:t>
              </w:r>
            </w:hyperlink>
            <w:hyperlink w:anchor="if2baefd677284383b89cb6f605e45e0e_705">
              <w:r>
                <w:rPr>
                  <w:rStyle w:val="InternetLink"/>
                </w:rPr>
                <w:t xml:space="preserve"> of Cash Flows</w:t>
              </w:r>
            </w:hyperlink>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05">
              <w:r>
                <w:rPr>
                  <w:rStyle w:val="InternetLink"/>
                </w:rPr>
                <w:t>F-</w:t>
              </w:r>
            </w:hyperlink>
            <w:hyperlink w:anchor="if2baefd677284383b89cb6f605e45e0e_705">
              <w:r>
                <w:rPr>
                  <w:rStyle w:val="InternetLink"/>
                </w:rPr>
                <w:t>26</w:t>
              </w:r>
            </w:hyperlink>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00">
              <w:r>
                <w:rPr>
                  <w:rStyle w:val="InternetLink"/>
                  <w:rFonts w:ascii="Times New Roman;sans-serif" w:hAnsi="Times New Roman;sans-serif"/>
                  <w:b w:val="false"/>
                  <w:color w:val="0000FF"/>
                  <w:sz w:val="20"/>
                  <w:u w:val="single"/>
                </w:rPr>
                <w:t>Notes to Financial Statements</w:t>
              </w:r>
            </w:hyperlink>
          </w:p>
        </w:tc>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00">
              <w:r>
                <w:rPr>
                  <w:rStyle w:val="InternetLink"/>
                </w:rPr>
                <w:t>F-</w:t>
              </w:r>
            </w:hyperlink>
            <w:hyperlink w:anchor="if2baefd677284383b89cb6f605e45e0e_700">
              <w:r>
                <w:rPr>
                  <w:rStyle w:val="InternetLink"/>
                </w:rPr>
                <w:t>27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38" name="Frame3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 WithumSmith+Brown, PC</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26,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39" name="Frame3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2020 </w:t>
      </w:r>
    </w:p>
    <w:tbl>
      <w:tblPr>
        <w:tblW w:w="10205" w:type="dxa"/>
        <w:jc w:val="left"/>
        <w:tblInd w:w="0" w:type="dxa"/>
        <w:tblCellMar>
          <w:top w:w="28" w:type="dxa"/>
          <w:left w:w="28" w:type="dxa"/>
          <w:bottom w:w="28" w:type="dxa"/>
          <w:right w:w="28" w:type="dxa"/>
        </w:tblCellMar>
      </w:tblPr>
      <w:tblGrid>
        <w:gridCol w:w="3273"/>
        <w:gridCol w:w="2668"/>
        <w:gridCol w:w="2696"/>
        <w:gridCol w:w="211"/>
        <w:gridCol w:w="1201"/>
        <w:gridCol w:w="156"/>
      </w:tblGrid>
      <w:tr>
        <w:trPr/>
        <w:tc>
          <w:tcPr>
            <w:tcW w:w="3273"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current assets</w:t>
            </w:r>
            <w:r>
              <w:rPr>
                <w:color w:val="000000"/>
              </w:rPr>
              <w:t xml:space="preserve"> </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held in Trust Account</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149,552,952 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150,857,743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5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388,507 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current liabilities</w:t>
            </w:r>
            <w:r>
              <w:rPr>
                <w:color w:val="000000"/>
              </w:rPr>
              <w:t xml:space="preserve"> </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underwriting commissions</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5,232,500 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w:t>
            </w:r>
            <w:r>
              <w:rPr>
                <w:color w:val="000000"/>
              </w:rPr>
              <w:t xml:space="preserve"> </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5,621,007 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5)</w:t>
            </w:r>
          </w:p>
        </w:tc>
        <w:tc>
          <w:tcPr>
            <w:tcW w:w="156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$0.0001 par value; 14,023,673 shares subject to possible redemption at $10.00 per share</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140,236,730 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5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Preference shares, $0.0001 par value; 1,000,000 shares authorized; none issued and outstanding </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$0.0001 par value; 479,000,000 shares authorized; 1,425,327 shares issued and outstanding (excluding 14,023,673 shares subject to possible redemption)</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ordinary shares, $0.0001 par value; 20,000,000 shares authorized; 3,737,500 shares issued and outstanding</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5,522,572 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(523,083)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shareholders' equity</w:t>
            </w:r>
            <w:r>
              <w:rPr>
                <w:color w:val="000000"/>
              </w:rPr>
              <w:t xml:space="preserve"> </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 and Shareholders' Equity</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150,857,743</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436245"/>
                <wp:effectExtent l="0" t="0" r="0" b="0"/>
                <wp:wrapNone/>
                <wp:docPr id="340" name="Frame32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PERIOD FROM MARCH 27, 2020 (INCEPTION) THROUGH DECEMBER 31, 2020</w:t>
      </w:r>
    </w:p>
    <w:tbl>
      <w:tblPr>
        <w:tblW w:w="10205" w:type="dxa"/>
        <w:jc w:val="center"/>
        <w:tblInd w:w="0" w:type="dxa"/>
        <w:tblCellMar>
          <w:top w:w="28" w:type="dxa"/>
          <w:left w:w="28" w:type="dxa"/>
          <w:bottom w:w="28" w:type="dxa"/>
          <w:right w:w="28" w:type="dxa"/>
        </w:tblCellMar>
      </w:tblPr>
      <w:tblGrid>
        <w:gridCol w:w="3243"/>
        <w:gridCol w:w="2849"/>
        <w:gridCol w:w="2853"/>
        <w:gridCol w:w="211"/>
        <w:gridCol w:w="893"/>
        <w:gridCol w:w="156"/>
      </w:tblGrid>
      <w:tr>
        <w:trPr/>
        <w:tc>
          <w:tcPr>
            <w:tcW w:w="3243" w:type="dxa"/>
            <w:tcBorders/>
            <w:shd w:fill="auto" w:val="clear"/>
            <w:vAlign w:val="center"/>
          </w:tcPr>
          <w:p>
            <w:pPr>
              <w:pStyle w:val="TableContents"/>
              <w:spacing w:before="0" w:after="283"/>
              <w:rPr>
                <w:sz w:val="4"/>
                <w:szCs w:val="4"/>
              </w:rPr>
            </w:pPr>
            <w:r>
              <w:rPr>
                <w:sz w:val="4"/>
                <w:szCs w:val="4"/>
              </w:rPr>
            </w:r>
          </w:p>
        </w:tc>
        <w:tc>
          <w:tcPr>
            <w:tcW w:w="2849" w:type="dxa"/>
            <w:tcBorders/>
            <w:shd w:fill="auto" w:val="clear"/>
            <w:vAlign w:val="center"/>
          </w:tcPr>
          <w:p>
            <w:pPr>
              <w:pStyle w:val="TableContents"/>
              <w:spacing w:before="0" w:after="283"/>
              <w:rPr>
                <w:sz w:val="4"/>
                <w:szCs w:val="4"/>
              </w:rPr>
            </w:pPr>
            <w:r>
              <w:rPr>
                <w:sz w:val="4"/>
                <w:szCs w:val="4"/>
              </w:rPr>
            </w:r>
          </w:p>
        </w:tc>
        <w:tc>
          <w:tcPr>
            <w:tcW w:w="28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dividends and interest on investments held in Trust Account</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loss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weighted average shares outstanding of Class A ordinary shares subject to redemption</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Basic and diluted net income per share, Class A ordinary share subject to redemption</w:t>
            </w:r>
            <w:r>
              <w:rPr>
                <w:color w:val="000000"/>
              </w:rPr>
              <w:t xml:space="preserv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weighted average shares outstanding of Class A ordinary shares not subject to redemption and Class B ordinary shares</w:t>
            </w:r>
          </w:p>
        </w:tc>
        <w:tc>
          <w:tcPr>
            <w:tcW w:w="110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3,764,852 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Basic and diluted net loss per share, Class A ordinary shares subject to redemption and Class B ordinary shares</w:t>
            </w:r>
            <w:r>
              <w:rPr>
                <w:color w:val="000000"/>
              </w:rPr>
              <w:t xml:space="preserv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436245"/>
                <wp:effectExtent l="0" t="0" r="0" b="0"/>
                <wp:wrapNone/>
                <wp:docPr id="341" name="Frame32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CHANGES IN SHAREHOLDERS’ EQUITY</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PERIOD FROM MARCH 27, 2020 (INCEPTION) THROUGH DECEMBER 31, 2020</w:t>
      </w:r>
    </w:p>
    <w:tbl>
      <w:tblPr>
        <w:tblW w:w="10205" w:type="dxa"/>
        <w:jc w:val="center"/>
        <w:tblInd w:w="0" w:type="dxa"/>
        <w:tblCellMar>
          <w:top w:w="28" w:type="dxa"/>
          <w:left w:w="28" w:type="dxa"/>
          <w:bottom w:w="28" w:type="dxa"/>
          <w:right w:w="28" w:type="dxa"/>
        </w:tblCellMar>
      </w:tblPr>
      <w:tblGrid>
        <w:gridCol w:w="450"/>
        <w:gridCol w:w="307"/>
        <w:gridCol w:w="308"/>
        <w:gridCol w:w="487"/>
        <w:gridCol w:w="490"/>
        <w:gridCol w:w="171"/>
        <w:gridCol w:w="109"/>
        <w:gridCol w:w="109"/>
        <w:gridCol w:w="109"/>
        <w:gridCol w:w="196"/>
        <w:gridCol w:w="436"/>
        <w:gridCol w:w="109"/>
        <w:gridCol w:w="109"/>
        <w:gridCol w:w="109"/>
        <w:gridCol w:w="109"/>
        <w:gridCol w:w="442"/>
        <w:gridCol w:w="444"/>
        <w:gridCol w:w="171"/>
        <w:gridCol w:w="109"/>
        <w:gridCol w:w="109"/>
        <w:gridCol w:w="109"/>
        <w:gridCol w:w="196"/>
        <w:gridCol w:w="436"/>
        <w:gridCol w:w="109"/>
        <w:gridCol w:w="109"/>
        <w:gridCol w:w="109"/>
        <w:gridCol w:w="109"/>
        <w:gridCol w:w="196"/>
        <w:gridCol w:w="887"/>
        <w:gridCol w:w="109"/>
        <w:gridCol w:w="109"/>
        <w:gridCol w:w="109"/>
        <w:gridCol w:w="109"/>
        <w:gridCol w:w="196"/>
        <w:gridCol w:w="753"/>
        <w:gridCol w:w="109"/>
        <w:gridCol w:w="109"/>
        <w:gridCol w:w="109"/>
        <w:gridCol w:w="109"/>
        <w:gridCol w:w="196"/>
        <w:gridCol w:w="887"/>
        <w:gridCol w:w="158"/>
      </w:tblGrid>
      <w:tr>
        <w:trPr/>
        <w:tc>
          <w:tcPr>
            <w:tcW w:w="45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06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Ordinary Shares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r>
      <w:tr>
        <w:trPr/>
        <w:tc>
          <w:tcPr>
            <w:tcW w:w="1065" w:type="dxa"/>
            <w:gridSpan w:val="3"/>
            <w:vMerge w:val="continue"/>
            <w:tcBorders/>
            <w:shd w:fill="auto" w:val="clear"/>
            <w:tcMar>
              <w:top w:w="0" w:type="dxa"/>
              <w:left w:w="0" w:type="dxa"/>
              <w:bottom w:w="0" w:type="dxa"/>
              <w:right w:w="0" w:type="dxa"/>
            </w:tcMar>
            <w:vAlign w:val="center"/>
          </w:tcPr>
          <w:p>
            <w:pPr>
              <w:pStyle w:val="Normal"/>
              <w:rPr/>
            </w:pPr>
            <w:r>
              <w:rPr/>
            </w:r>
          </w:p>
        </w:tc>
        <w:tc>
          <w:tcPr>
            <w:tcW w:w="22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65" w:type="dxa"/>
            <w:gridSpan w:val="3"/>
            <w:vMerge w:val="continue"/>
            <w:tcBorders/>
            <w:shd w:fill="auto" w:val="clear"/>
            <w:tcMar>
              <w:top w:w="0" w:type="dxa"/>
              <w:left w:w="0" w:type="dxa"/>
              <w:bottom w:w="0" w:type="dxa"/>
              <w:right w:w="0" w:type="dxa"/>
            </w:tcMar>
            <w:vAlign w:val="center"/>
          </w:tcPr>
          <w:p>
            <w:pPr>
              <w:pStyle w:val="Normal"/>
              <w:rPr/>
            </w:pPr>
            <w:r>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4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Balance - </w:t>
              <w:br/>
              <w:t>March 27, 2020 (inception)</w:t>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B ordinary shares to Sponsor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3,737,500 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units in initial public offering, gross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14,950,000 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149,498,505 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149,500,000 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Offering costs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(8,755,181)</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private placement units to Sponsor in private placement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4,990,000 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subject to possible redemption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(14,023,673)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(140,235,328)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(140,236,730)</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(523,083)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 December 31, 2020</w:t>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1,425,327</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3,737,500</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5,522,572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(523,083)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5,000,006</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436245"/>
                <wp:effectExtent l="0" t="0" r="0" b="0"/>
                <wp:wrapNone/>
                <wp:docPr id="342" name="Frame32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CASH FLOWS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PERIOD FROM MARCH 27, 2020 (INCEPTION) THROUGH DECEMBER 31, 2020 </w:t>
      </w:r>
    </w:p>
    <w:tbl>
      <w:tblPr>
        <w:tblW w:w="9050" w:type="dxa"/>
        <w:jc w:val="center"/>
        <w:tblInd w:w="0" w:type="dxa"/>
        <w:tblCellMar>
          <w:top w:w="28" w:type="dxa"/>
          <w:left w:w="28" w:type="dxa"/>
          <w:bottom w:w="28" w:type="dxa"/>
          <w:right w:w="28" w:type="dxa"/>
        </w:tblCellMar>
      </w:tblPr>
      <w:tblGrid>
        <w:gridCol w:w="2717"/>
        <w:gridCol w:w="2383"/>
        <w:gridCol w:w="2399"/>
        <w:gridCol w:w="211"/>
        <w:gridCol w:w="1186"/>
        <w:gridCol w:w="154"/>
      </w:tblGrid>
      <w:tr>
        <w:trPr/>
        <w:tc>
          <w:tcPr>
            <w:tcW w:w="2717" w:type="dxa"/>
            <w:tcBorders/>
            <w:shd w:fill="auto" w:val="clear"/>
            <w:vAlign w:val="center"/>
          </w:tcPr>
          <w:p>
            <w:pPr>
              <w:pStyle w:val="TableContents"/>
              <w:spacing w:before="0" w:after="283"/>
              <w:rPr>
                <w:sz w:val="4"/>
                <w:szCs w:val="4"/>
              </w:rPr>
            </w:pPr>
            <w:r>
              <w:rPr>
                <w:sz w:val="4"/>
                <w:szCs w:val="4"/>
              </w:rPr>
            </w:r>
          </w:p>
        </w:tc>
        <w:tc>
          <w:tcPr>
            <w:tcW w:w="2383" w:type="dxa"/>
            <w:tcBorders/>
            <w:shd w:fill="auto" w:val="clear"/>
            <w:vAlign w:val="center"/>
          </w:tcPr>
          <w:p>
            <w:pPr>
              <w:pStyle w:val="TableContents"/>
              <w:spacing w:before="0" w:after="283"/>
              <w:rPr>
                <w:sz w:val="4"/>
                <w:szCs w:val="4"/>
              </w:rPr>
            </w:pPr>
            <w:r>
              <w:rPr>
                <w:sz w:val="4"/>
                <w:szCs w:val="4"/>
              </w:rPr>
            </w:r>
          </w:p>
        </w:tc>
        <w:tc>
          <w:tcPr>
            <w:tcW w:w="23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dividends and interest on investments held in Trust Account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paid by related party under note payable</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cash used in operating activities</w:t>
            </w:r>
            <w:r>
              <w:rPr>
                <w:color w:val="000000"/>
              </w:rPr>
              <w:t xml:space="preserve"> </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deposited in Trust Account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cash used in investing activities</w:t>
            </w:r>
            <w:r>
              <w:rPr>
                <w:color w:val="000000"/>
              </w:rPr>
              <w:t xml:space="preserve"> </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 payable to related party</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 payable to related party</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initial public offering, gross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private placement</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Offering costs paid</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(3,375,988)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cash provided by financing activities</w:t>
            </w:r>
            <w:r>
              <w:rPr>
                <w:color w:val="000000"/>
              </w:rPr>
              <w:t xml:space="preserve"> </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151,050,602 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change in cash</w:t>
            </w:r>
            <w:r>
              <w:rPr>
                <w:color w:val="000000"/>
              </w:rPr>
              <w:t xml:space="preserve"> </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Cash - beginning of the period</w:t>
            </w:r>
            <w:r>
              <w:rPr>
                <w:color w:val="000000"/>
              </w:rPr>
              <w:t xml:space="preserve"> </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Cash - end of the period</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1,001,032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paid by Sponsor in exchange for issuance of Class B ordinary shares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Offering costs included in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Offering costs funded with note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underwriting commissions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value of Class A ordinary shares subject to possible redemption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140,714,240 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value of Class A ordinary shares subject to possible redemption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436245"/>
                <wp:effectExtent l="0" t="0" r="0" b="0"/>
                <wp:wrapNone/>
                <wp:docPr id="343" name="Frame32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0" w:after="180"/>
        <w:ind w:left="0" w:right="0" w:firstLine="360"/>
        <w:rPr/>
      </w:pPr>
      <w:r>
        <w:rPr/>
      </w:r>
    </w:p>
    <w:p>
      <w:pPr>
        <w:pStyle w:val="TextBody"/>
        <w:spacing w:lineRule="auto" w:line="288" w:before="0" w:after="0"/>
        <w:jc w:val="center"/>
        <w:rPr>
          <w:rFonts w:ascii="Arial;sans-serif" w:hAnsi="Arial;sans-serif"/>
          <w:b w:val="false"/>
          <w:color w:val="000000"/>
          <w:sz w:val="2"/>
        </w:rPr>
      </w:pPr>
      <w:r>
        <w:rPr>
          <w:rFonts w:ascii="Arial;sans-serif" w:hAnsi="Arial;sans-serif"/>
          <w:b w:val="false"/>
          <w:color w:val="000000"/>
          <w:sz w:val="2"/>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1—Description of Organization and Business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Sponsor and Initial Public Offering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 </w:t>
      </w:r>
    </w:p>
    <w:p>
      <w:pPr>
        <w:pStyle w:val="HorizontalLine"/>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436245"/>
                <wp:effectExtent l="0" t="0" r="0" b="0"/>
                <wp:wrapNone/>
                <wp:docPr id="344" name="Frame32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by the Company or are payable by the Company and, in case the Company does not complete its initial Business Combination within the Combination Period, $100,000 of the interest income may be used to pay dissolution expenses.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 </w:t>
      </w:r>
    </w:p>
    <w:p>
      <w:pPr>
        <w:pStyle w:val="HorizontalLine"/>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436245"/>
                <wp:effectExtent l="0" t="0" r="0" b="0"/>
                <wp:wrapNone/>
                <wp:docPr id="345" name="Frame32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 </w:t>
      </w:r>
    </w:p>
    <w:p>
      <w:pPr>
        <w:pStyle w:val="HorizontalLine"/>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436245"/>
                <wp:effectExtent l="0" t="0" r="0" b="0"/>
                <wp:wrapNone/>
                <wp:docPr id="346" name="Frame32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Proposed Nautilus Business Combination and related Proposed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we entered into a business combination agreement (“Business Combination Agreement”), by and among the Company, Mako Merger Sub, Inc., a Delaware corporation (“Merger Sub”), and Nautilus Biotechnology, Inc., a Delaware corporation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Business Combination is expected to close in the second quarter of 2021, following the receipt of the required approval by our shareholders and the fulfillment of other customary closing conditions.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w:t>
      </w:r>
    </w:p>
    <w:p>
      <w:pPr>
        <w:pStyle w:val="HorizontalLine"/>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436245"/>
                <wp:effectExtent l="0" t="0" r="0" b="0"/>
                <wp:wrapNone/>
                <wp:docPr id="347" name="Frame32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agreements related to the Nautilus Business Combination, including a restriction on transfers with respect to his, her or its shares in Nautilus prior to the closing of the Nautilus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copy of each of the above referenced agreements is filed as exhibits with a Current Report on Form 8-K, filed with the SEC on February 8, 2021.</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Liquidity and Capital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had approximately $1.0 million in its operating bank account and working capital of approximately $916,000.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Risk and Uncertainties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436245"/>
                <wp:effectExtent l="0" t="0" r="0" b="0"/>
                <wp:wrapNone/>
                <wp:docPr id="348" name="Frame33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are presented in U.S. dollars in conformity with accounting principles generally accepted in the United States of America (“U.S. GAAP”) and pursuant to the rules and regulations of the SEC.</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Emerging Growth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short-term investments with an original maturity of three months or less when purchased to be cash equivalents. The Company had $1,926 in cash equivalents as of December 31, 2020 held in the Trust Account.</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of cash accounts in a financial institution, which, at times, may exceed the Federal Depository Insurance Coverage of </w:t>
      </w:r>
    </w:p>
    <w:p>
      <w:pPr>
        <w:pStyle w:val="HorizontalLine"/>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436245"/>
                <wp:effectExtent l="0" t="0" r="0" b="0"/>
                <wp:wrapNone/>
                <wp:docPr id="349" name="Frame33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$250,000, and investments held in Trust Account. At December 31, 2020, the Company has not experienced losses on these accounts and management believes the Company is not exposed to significant risks on such accounts.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Held in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1, defined as observable inputs such as quoted prices (unadjusted) for identical instruments in active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Offering Costs Associated with the Initial Public Offering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Offering costs consisted of underwriters' commissions, legal, accounting, and other costs incurred that were directly related to the Initial Public Offering and that were charged to shareholders’ equity upon the completion of the Initial Public Offering.</w:t>
      </w:r>
    </w:p>
    <w:p>
      <w:pPr>
        <w:pStyle w:val="HorizontalLine"/>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436245"/>
                <wp:effectExtent l="0" t="0" r="0" b="0"/>
                <wp:wrapNone/>
                <wp:docPr id="350" name="Frame33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Class A Ordinary Shares subject to possible redemption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Net Income (Loss) Per Ordinary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180"/>
        <w:ind w:left="0" w:right="0" w:firstLine="360"/>
        <w:rPr/>
      </w:pPr>
      <w:r>
        <w:rPr>
          <w:rFonts w:ascii="Times New Roman;sans-serif" w:hAnsi="Times New Roman;sans-serif"/>
          <w:b w:val="false"/>
          <w:color w:val="000000"/>
          <w:sz w:val="20"/>
        </w:rPr>
        <w:t>The Company follows the asset and liability method of accounting for income taxes under FASB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does not believe that any recently issued, but not yet effective, accounting pronouncements, if currently adopted, would have a material effect on the Company’s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436245"/>
                <wp:effectExtent l="0" t="0" r="0" b="0"/>
                <wp:wrapNone/>
                <wp:docPr id="351" name="Frame33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3—Initial Public Offering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4—Related Party Transactions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Founder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Private Placement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Sponsor and the Company’s officers and directors agreed, subject to limited exceptions, not to transfer, assign or sell any of their Private Placement Shares until 30 days after the completion of the initial Business Combination.</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Related Party Loans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w:t>
      </w:r>
    </w:p>
    <w:p>
      <w:pPr>
        <w:pStyle w:val="HorizontalLine"/>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436245"/>
                <wp:effectExtent l="0" t="0" r="0" b="0"/>
                <wp:wrapNone/>
                <wp:docPr id="352" name="Frame33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Administrative Support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5—Commitments &amp; Contingencies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Underwriting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6—Shareholders’ Equity</w:t>
      </w:r>
    </w:p>
    <w:p>
      <w:pPr>
        <w:pStyle w:val="TextBody"/>
        <w:spacing w:lineRule="auto" w:line="288" w:before="0" w:after="180"/>
        <w:ind w:left="0" w:right="0" w:firstLine="360"/>
        <w:rPr/>
      </w:pPr>
      <w:r>
        <w:rPr>
          <w:rFonts w:ascii="Times New Roman;sans-serif" w:hAnsi="Times New Roman;sans-serif"/>
          <w:b/>
          <w:i/>
          <w:color w:val="000000"/>
          <w:sz w:val="20"/>
        </w:rPr>
        <w:t>Class A Ordinary Shares —</w:t>
      </w:r>
      <w:r>
        <w:rPr>
          <w:color w:val="000000"/>
        </w:rPr>
        <w:t xml:space="preserve"> </w:t>
      </w:r>
      <w:r>
        <w:rPr>
          <w:rFonts w:ascii="Times New Roman;sans-serif" w:hAnsi="Times New Roman;sans-serif"/>
          <w:b w:val="false"/>
          <w:color w:val="000000"/>
          <w:sz w:val="20"/>
        </w:rPr>
        <w:t>The Company is authorized to issue 479,000,000 Class A ordinary shares with a par value of $0.0001 per share. As of December 31, 2020, there were 15,449,000 Class A common shares outstanding, including 14,023,673 Class A ordinary shares common stock subject to possible redemption that were classified as temporary equity in the accompanying balance sheet.</w:t>
      </w:r>
    </w:p>
    <w:p>
      <w:pPr>
        <w:pStyle w:val="TextBody"/>
        <w:spacing w:lineRule="auto" w:line="288" w:before="0" w:after="180"/>
        <w:ind w:left="0" w:right="0" w:firstLine="360"/>
        <w:rPr/>
      </w:pPr>
      <w:r>
        <w:rPr>
          <w:rFonts w:ascii="Times New Roman;sans-serif" w:hAnsi="Times New Roman;sans-serif"/>
          <w:b/>
          <w:i/>
          <w:color w:val="000000"/>
          <w:sz w:val="20"/>
        </w:rPr>
        <w:t>Class B Ordinary Shares —</w:t>
      </w:r>
      <w:r>
        <w:rPr>
          <w:color w:val="000000"/>
        </w:rPr>
        <w:t xml:space="preserve"> </w:t>
      </w:r>
      <w:r>
        <w:rPr>
          <w:rFonts w:ascii="Times New Roman;sans-serif" w:hAnsi="Times New Roman;sans-serif"/>
          <w:b w:val="false"/>
          <w:color w:val="000000"/>
          <w:sz w:val="20"/>
        </w:rPr>
        <w:t xml:space="preserve">The Company is authorized to issue 20,000,000 Class B ordinary shares with a par value of $0.0001 per share. On April 2, 2020, the Company issued 3,593,750 Class B ordinary shares. On August 6, </w:t>
      </w:r>
    </w:p>
    <w:p>
      <w:pPr>
        <w:pStyle w:val="HorizontalLine"/>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436245"/>
                <wp:effectExtent l="0" t="0" r="0" b="0"/>
                <wp:wrapNone/>
                <wp:docPr id="353" name="Frame33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pStyle w:val="TextBody"/>
        <w:spacing w:lineRule="auto" w:line="288" w:before="0" w:after="180"/>
        <w:ind w:left="0" w:right="0" w:firstLine="360"/>
        <w:rPr/>
      </w:pPr>
      <w:r>
        <w:rPr>
          <w:rFonts w:ascii="Times New Roman;sans-serif" w:hAnsi="Times New Roman;sans-serif"/>
          <w:b/>
          <w:i/>
          <w:color w:val="000000"/>
          <w:sz w:val="20"/>
        </w:rPr>
        <w:t>Preference Shares —</w:t>
      </w:r>
      <w:r>
        <w:rPr>
          <w:color w:val="000000"/>
        </w:rPr>
        <w:t xml:space="preserve"> </w:t>
      </w:r>
      <w:r>
        <w:rPr>
          <w:rFonts w:ascii="Times New Roman;sans-serif" w:hAnsi="Times New Roman;sans-serif"/>
          <w:b w:val="false"/>
          <w:color w:val="000000"/>
          <w:sz w:val="20"/>
        </w:rPr>
        <w:t>The Company is authorized to issue 1,000,000 preference shares with a par value of $0.0001 per share and with such designations, voting and other rights and preferences as may be determined from time to time by the Company’s board of directors. As of December 31, 2020, there were no preference shares issued or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7—Fair Value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tbl>
      <w:tblPr>
        <w:tblW w:w="8578" w:type="dxa"/>
        <w:jc w:val="left"/>
        <w:tblInd w:w="0" w:type="dxa"/>
        <w:tblCellMar>
          <w:top w:w="28" w:type="dxa"/>
          <w:left w:w="28" w:type="dxa"/>
          <w:bottom w:w="28" w:type="dxa"/>
          <w:right w:w="28" w:type="dxa"/>
        </w:tblCellMar>
      </w:tblPr>
      <w:tblGrid>
        <w:gridCol w:w="1215"/>
        <w:gridCol w:w="1070"/>
        <w:gridCol w:w="1074"/>
        <w:gridCol w:w="211"/>
        <w:gridCol w:w="1186"/>
        <w:gridCol w:w="109"/>
        <w:gridCol w:w="109"/>
        <w:gridCol w:w="109"/>
        <w:gridCol w:w="109"/>
        <w:gridCol w:w="413"/>
        <w:gridCol w:w="796"/>
        <w:gridCol w:w="215"/>
        <w:gridCol w:w="109"/>
        <w:gridCol w:w="109"/>
        <w:gridCol w:w="109"/>
        <w:gridCol w:w="447"/>
        <w:gridCol w:w="860"/>
        <w:gridCol w:w="328"/>
      </w:tblGrid>
      <w:tr>
        <w:trPr/>
        <w:tc>
          <w:tcPr>
            <w:tcW w:w="121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Unobservable Inputs</w:t>
              <w:br/>
              <w:t>(Level 3)</w:t>
            </w:r>
          </w:p>
        </w:tc>
      </w:tr>
      <w:tr>
        <w:trPr/>
        <w:tc>
          <w:tcPr>
            <w:tcW w:w="335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held in Trust Account:</w:t>
            </w:r>
          </w:p>
        </w:tc>
        <w:tc>
          <w:tcPr>
            <w:tcW w:w="1506"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 money market funds</w:t>
            </w:r>
          </w:p>
        </w:tc>
        <w:tc>
          <w:tcPr>
            <w:tcW w:w="13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149,552,952 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Transfers to/from Levels 1, 2, and 3 are recognized at the end of the reporting period. There were no transfers between levels for the period from March 27, 2020 (inception) through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436245"/>
                <wp:effectExtent l="0" t="0" r="0" b="0"/>
                <wp:wrapNone/>
                <wp:docPr id="354" name="Frame33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8—Subsequent Events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in Note 1, on February 7, 2021, the Company entered into the Business Combination Agreement and a series of other agreements related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436245"/>
                <wp:effectExtent l="0" t="0" r="0" b="0"/>
                <wp:wrapNone/>
                <wp:docPr id="355" name="Frame33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0" w:after="180"/>
        <w:ind w:left="0" w:right="0" w:firstLine="360"/>
        <w:rPr/>
      </w:pPr>
      <w:r>
        <w:rPr/>
      </w:r>
    </w:p>
    <w:p>
      <w:pPr>
        <w:pStyle w:val="TextBody"/>
        <w:spacing w:before="0" w:after="40"/>
        <w:rPr/>
      </w:pPr>
      <w:r>
        <w:rPr/>
      </w:r>
    </w:p>
    <w:p>
      <w:pPr>
        <w:pStyle w:val="TextBody"/>
        <w:spacing w:lineRule="auto" w:line="288" w:before="2400" w:after="283"/>
        <w:rPr>
          <w:rFonts w:ascii="Times New Roman;sans-serif" w:hAnsi="Times New Roman;sans-serif"/>
          <w:b/>
          <w:color w:val="000000"/>
          <w:sz w:val="48"/>
        </w:rPr>
      </w:pPr>
      <w:r>
        <w:rPr>
          <w:rFonts w:ascii="Times New Roman;sans-serif" w:hAnsi="Times New Roman;sans-serif"/>
          <w:b/>
          <w:color w:val="000000"/>
          <w:sz w:val="48"/>
        </w:rPr>
        <w:t>Nautilus Biotechnology, Inc.</w: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Financial Statements</w:t>
      </w:r>
    </w:p>
    <w:p>
      <w:pPr>
        <w:pStyle w:val="TextBody"/>
        <w:spacing w:lineRule="auto" w:line="288" w:before="0" w:after="180"/>
        <w:rPr>
          <w:rFonts w:ascii="Times New Roman;sans-serif" w:hAnsi="Times New Roman;sans-serif"/>
          <w:b/>
          <w:color w:val="000000"/>
          <w:sz w:val="28"/>
        </w:rPr>
      </w:pPr>
      <w:r>
        <w:rPr>
          <w:rFonts w:ascii="Times New Roman;sans-serif" w:hAnsi="Times New Roman;sans-serif"/>
          <w:b/>
          <w:color w:val="000000"/>
          <w:sz w:val="28"/>
        </w:rPr>
        <w:t>As of and for the Years Ended December 31,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436245"/>
                <wp:effectExtent l="0" t="0" r="0" b="0"/>
                <wp:wrapNone/>
                <wp:docPr id="356" name="Frame33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Nautilus Biotechnology, Inc.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financial statements, the Company changed the manner in which it accounts for leases in 2020.</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March 26, 2021</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57" name="Frame3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tbl>
      <w:tblPr>
        <w:tblW w:w="3404" w:type="dxa"/>
        <w:jc w:val="left"/>
        <w:tblInd w:w="0" w:type="dxa"/>
        <w:tblCellMar>
          <w:top w:w="28" w:type="dxa"/>
          <w:left w:w="28" w:type="dxa"/>
          <w:bottom w:w="28" w:type="dxa"/>
          <w:right w:w="28" w:type="dxa"/>
        </w:tblCellMar>
      </w:tblPr>
      <w:tblGrid>
        <w:gridCol w:w="1089"/>
        <w:gridCol w:w="958"/>
        <w:gridCol w:w="1357"/>
      </w:tblGrid>
      <w:tr>
        <w:trPr/>
        <w:tc>
          <w:tcPr>
            <w:tcW w:w="108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Balance Sheets</w:t>
              <w:br/>
              <w:t>At December 31, 2020 and 2019</w:t>
            </w:r>
          </w:p>
        </w:tc>
      </w:tr>
    </w:tbl>
    <w:tbl>
      <w:tblPr>
        <w:tblW w:w="10205" w:type="dxa"/>
        <w:jc w:val="left"/>
        <w:tblInd w:w="0" w:type="dxa"/>
        <w:tblCellMar>
          <w:top w:w="28" w:type="dxa"/>
          <w:left w:w="28" w:type="dxa"/>
          <w:bottom w:w="28" w:type="dxa"/>
          <w:right w:w="28" w:type="dxa"/>
        </w:tblCellMar>
      </w:tblPr>
      <w:tblGrid>
        <w:gridCol w:w="2959"/>
        <w:gridCol w:w="2279"/>
        <w:gridCol w:w="2296"/>
        <w:gridCol w:w="232"/>
        <w:gridCol w:w="795"/>
        <w:gridCol w:w="120"/>
        <w:gridCol w:w="109"/>
        <w:gridCol w:w="109"/>
        <w:gridCol w:w="109"/>
        <w:gridCol w:w="231"/>
        <w:gridCol w:w="792"/>
        <w:gridCol w:w="174"/>
      </w:tblGrid>
      <w:tr>
        <w:trPr/>
        <w:tc>
          <w:tcPr>
            <w:tcW w:w="2959"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7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Deficit</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Seed redeemable convertible preferred stock - par value $0.0001, 3,631,354 shares authorized, issued and outstanding as of December 31, 2020 and 2019 (liquidation preference of $7,263 as of December 31, 2020 and 2019)</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7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convertible preferred stock - par value $0.0001, 4,640,604 and 4,640,608 shares authorized as of December 31, 2020 and 2019, respectively, 4,640,604 shares issued and outstanding as of December 31, 2020 and 2019 (liquidation preference of $27,200 as of December 31, 2020 and 2019)</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7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redeemable convertible preferred stock - par value $0.0001, 6,209,233 and 0 shares authorized as of December 31, 2020 and 2019, respectively, 6,109,232 and 0 shares issued and outstanding as of December 31, 2020 and 2019, respectively (liquidation preference of $76,060 and $0 as of December 31, 2020 and 2019, respectively)</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27,196,999 and 19,189,462 shares authorized as of December 31, 2020 and 2019, respectively; 9,114,904 and 9,077,062 shares issued and outstanding as of December 31, 2020 and 2019, respectively</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(14,509)</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deficit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436880"/>
                <wp:effectExtent l="0" t="0" r="0" b="0"/>
                <wp:wrapNone/>
                <wp:docPr id="358" name="Frame340"/>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tbl>
      <w:tblPr>
        <w:tblW w:w="4484" w:type="dxa"/>
        <w:jc w:val="left"/>
        <w:tblInd w:w="0" w:type="dxa"/>
        <w:tblCellMar>
          <w:top w:w="28" w:type="dxa"/>
          <w:left w:w="28" w:type="dxa"/>
          <w:bottom w:w="28" w:type="dxa"/>
          <w:right w:w="28" w:type="dxa"/>
        </w:tblCellMar>
      </w:tblPr>
      <w:tblGrid>
        <w:gridCol w:w="1435"/>
        <w:gridCol w:w="1262"/>
        <w:gridCol w:w="1787"/>
      </w:tblGrid>
      <w:tr>
        <w:trPr/>
        <w:tc>
          <w:tcPr>
            <w:tcW w:w="143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Statements of Operations</w:t>
              <w:br/>
              <w:t>Years Ended December 31, 2020 and 2019</w:t>
            </w:r>
          </w:p>
        </w:tc>
      </w:tr>
    </w:tbl>
    <w:tbl>
      <w:tblPr>
        <w:tblW w:w="10205" w:type="dxa"/>
        <w:jc w:val="left"/>
        <w:tblInd w:w="0" w:type="dxa"/>
        <w:tblCellMar>
          <w:top w:w="28" w:type="dxa"/>
          <w:left w:w="28" w:type="dxa"/>
          <w:bottom w:w="28" w:type="dxa"/>
          <w:right w:w="28" w:type="dxa"/>
        </w:tblCellMar>
      </w:tblPr>
      <w:tblGrid>
        <w:gridCol w:w="2434"/>
        <w:gridCol w:w="1861"/>
        <w:gridCol w:w="1874"/>
        <w:gridCol w:w="360"/>
        <w:gridCol w:w="1290"/>
        <w:gridCol w:w="179"/>
        <w:gridCol w:w="109"/>
        <w:gridCol w:w="109"/>
        <w:gridCol w:w="109"/>
        <w:gridCol w:w="426"/>
        <w:gridCol w:w="1181"/>
        <w:gridCol w:w="273"/>
      </w:tblGrid>
      <w:tr>
        <w:trPr/>
        <w:tc>
          <w:tcPr>
            <w:tcW w:w="2434"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6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6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6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6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8,017,976 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6,066,928 </w:t>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436880"/>
                <wp:effectExtent l="0" t="0" r="0" b="0"/>
                <wp:wrapNone/>
                <wp:docPr id="359" name="Frame341"/>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tbl>
      <w:tblPr>
        <w:tblW w:w="4485" w:type="dxa"/>
        <w:jc w:val="left"/>
        <w:tblInd w:w="0" w:type="dxa"/>
        <w:tblCellMar>
          <w:top w:w="28" w:type="dxa"/>
          <w:left w:w="28" w:type="dxa"/>
          <w:bottom w:w="28" w:type="dxa"/>
          <w:right w:w="28" w:type="dxa"/>
        </w:tblCellMar>
      </w:tblPr>
      <w:tblGrid>
        <w:gridCol w:w="1435"/>
        <w:gridCol w:w="1262"/>
        <w:gridCol w:w="1788"/>
      </w:tblGrid>
      <w:tr>
        <w:trPr/>
        <w:tc>
          <w:tcPr>
            <w:tcW w:w="143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r>
      <w:tr>
        <w:trPr/>
        <w:tc>
          <w:tcPr>
            <w:tcW w:w="44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Statements of Comprehensive Loss</w:t>
              <w:br/>
              <w:t>Years Ended December 31, 2020 and 2019</w:t>
            </w:r>
          </w:p>
        </w:tc>
      </w:tr>
    </w:tbl>
    <w:tbl>
      <w:tblPr>
        <w:tblW w:w="9579" w:type="dxa"/>
        <w:jc w:val="left"/>
        <w:tblInd w:w="0" w:type="dxa"/>
        <w:tblCellMar>
          <w:top w:w="28" w:type="dxa"/>
          <w:left w:w="28" w:type="dxa"/>
          <w:bottom w:w="28" w:type="dxa"/>
          <w:right w:w="28" w:type="dxa"/>
        </w:tblCellMar>
      </w:tblPr>
      <w:tblGrid>
        <w:gridCol w:w="1596"/>
        <w:gridCol w:w="1403"/>
        <w:gridCol w:w="1410"/>
        <w:gridCol w:w="453"/>
        <w:gridCol w:w="1712"/>
        <w:gridCol w:w="234"/>
        <w:gridCol w:w="109"/>
        <w:gridCol w:w="109"/>
        <w:gridCol w:w="109"/>
        <w:gridCol w:w="488"/>
        <w:gridCol w:w="1600"/>
        <w:gridCol w:w="356"/>
      </w:tblGrid>
      <w:tr>
        <w:trPr/>
        <w:tc>
          <w:tcPr>
            <w:tcW w:w="1596"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securities available-for-sale</w:t>
            </w:r>
          </w:p>
        </w:tc>
        <w:tc>
          <w:tcPr>
            <w:tcW w:w="2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436880"/>
                <wp:effectExtent l="0" t="0" r="0" b="0"/>
                <wp:wrapNone/>
                <wp:docPr id="360" name="Frame342"/>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tbl>
      <w:tblPr>
        <w:tblW w:w="8399" w:type="dxa"/>
        <w:jc w:val="left"/>
        <w:tblInd w:w="0" w:type="dxa"/>
        <w:tblCellMar>
          <w:top w:w="28" w:type="dxa"/>
          <w:left w:w="28" w:type="dxa"/>
          <w:bottom w:w="28" w:type="dxa"/>
          <w:right w:w="28" w:type="dxa"/>
        </w:tblCellMar>
      </w:tblPr>
      <w:tblGrid>
        <w:gridCol w:w="2687"/>
        <w:gridCol w:w="2364"/>
        <w:gridCol w:w="3348"/>
      </w:tblGrid>
      <w:tr>
        <w:trPr/>
        <w:tc>
          <w:tcPr>
            <w:tcW w:w="2687"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3348" w:type="dxa"/>
            <w:tcBorders/>
            <w:shd w:fill="auto" w:val="clear"/>
            <w:vAlign w:val="center"/>
          </w:tcPr>
          <w:p>
            <w:pPr>
              <w:pStyle w:val="TableContents"/>
              <w:spacing w:before="0" w:after="283"/>
              <w:rPr>
                <w:sz w:val="4"/>
                <w:szCs w:val="4"/>
              </w:rPr>
            </w:pPr>
            <w:r>
              <w:rPr>
                <w:sz w:val="4"/>
                <w:szCs w:val="4"/>
              </w:rPr>
            </w:r>
          </w:p>
        </w:tc>
      </w:tr>
      <w:tr>
        <w:trPr/>
        <w:tc>
          <w:tcPr>
            <w:tcW w:w="83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Statements of Redeemable Convertible Preferred Stock and Stockholders’ Deficit</w:t>
              <w:br/>
              <w:t>Years Ended December 31, 2020 and 2019</w:t>
            </w:r>
          </w:p>
        </w:tc>
      </w:tr>
    </w:tbl>
    <w:tbl>
      <w:tblPr>
        <w:tblW w:w="16346" w:type="dxa"/>
        <w:jc w:val="left"/>
        <w:tblInd w:w="0" w:type="dxa"/>
        <w:tblCellMar>
          <w:top w:w="28" w:type="dxa"/>
          <w:left w:w="28" w:type="dxa"/>
          <w:bottom w:w="28" w:type="dxa"/>
          <w:right w:w="28" w:type="dxa"/>
        </w:tblCellMar>
      </w:tblPr>
      <w:tblGrid>
        <w:gridCol w:w="682"/>
        <w:gridCol w:w="244"/>
        <w:gridCol w:w="245"/>
        <w:gridCol w:w="435"/>
        <w:gridCol w:w="436"/>
        <w:gridCol w:w="171"/>
        <w:gridCol w:w="109"/>
        <w:gridCol w:w="109"/>
        <w:gridCol w:w="109"/>
        <w:gridCol w:w="196"/>
        <w:gridCol w:w="556"/>
        <w:gridCol w:w="109"/>
        <w:gridCol w:w="109"/>
        <w:gridCol w:w="109"/>
        <w:gridCol w:w="109"/>
        <w:gridCol w:w="435"/>
        <w:gridCol w:w="436"/>
        <w:gridCol w:w="171"/>
        <w:gridCol w:w="109"/>
        <w:gridCol w:w="109"/>
        <w:gridCol w:w="109"/>
        <w:gridCol w:w="196"/>
        <w:gridCol w:w="646"/>
        <w:gridCol w:w="109"/>
        <w:gridCol w:w="109"/>
        <w:gridCol w:w="109"/>
        <w:gridCol w:w="109"/>
        <w:gridCol w:w="435"/>
        <w:gridCol w:w="436"/>
        <w:gridCol w:w="171"/>
        <w:gridCol w:w="109"/>
        <w:gridCol w:w="109"/>
        <w:gridCol w:w="109"/>
        <w:gridCol w:w="196"/>
        <w:gridCol w:w="646"/>
        <w:gridCol w:w="109"/>
        <w:gridCol w:w="109"/>
        <w:gridCol w:w="109"/>
        <w:gridCol w:w="109"/>
        <w:gridCol w:w="109"/>
        <w:gridCol w:w="109"/>
        <w:gridCol w:w="109"/>
        <w:gridCol w:w="435"/>
        <w:gridCol w:w="436"/>
        <w:gridCol w:w="171"/>
        <w:gridCol w:w="109"/>
        <w:gridCol w:w="109"/>
        <w:gridCol w:w="109"/>
        <w:gridCol w:w="204"/>
        <w:gridCol w:w="252"/>
        <w:gridCol w:w="115"/>
        <w:gridCol w:w="109"/>
        <w:gridCol w:w="109"/>
        <w:gridCol w:w="109"/>
        <w:gridCol w:w="202"/>
        <w:gridCol w:w="435"/>
        <w:gridCol w:w="114"/>
        <w:gridCol w:w="109"/>
        <w:gridCol w:w="109"/>
        <w:gridCol w:w="109"/>
        <w:gridCol w:w="356"/>
        <w:gridCol w:w="465"/>
        <w:gridCol w:w="200"/>
        <w:gridCol w:w="327"/>
        <w:gridCol w:w="196"/>
        <w:gridCol w:w="661"/>
        <w:gridCol w:w="109"/>
        <w:gridCol w:w="327"/>
        <w:gridCol w:w="196"/>
        <w:gridCol w:w="661"/>
        <w:gridCol w:w="154"/>
      </w:tblGrid>
      <w:tr>
        <w:trPr/>
        <w:tc>
          <w:tcPr>
            <w:tcW w:w="68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Seed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 except share amounts)</w:t>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2018</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3,631,354 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4,640,604 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vested stock options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2019</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3,631,354 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4,640,604 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9,077,062 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vested stock options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B redeemable convertible preferred stock</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6,109,232 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2020</w:t>
            </w:r>
          </w:p>
        </w:tc>
        <w:tc>
          <w:tcPr>
            <w:tcW w:w="87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3,631,354 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4,640,604 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6,109,232 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9,114,904 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(30,325)</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(29,721)</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436880"/>
                <wp:effectExtent l="0" t="0" r="0" b="0"/>
                <wp:wrapNone/>
                <wp:docPr id="361" name="Frame343"/>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tbl>
      <w:tblPr>
        <w:tblW w:w="4484" w:type="dxa"/>
        <w:jc w:val="left"/>
        <w:tblInd w:w="0" w:type="dxa"/>
        <w:tblCellMar>
          <w:top w:w="28" w:type="dxa"/>
          <w:left w:w="28" w:type="dxa"/>
          <w:bottom w:w="28" w:type="dxa"/>
          <w:right w:w="28" w:type="dxa"/>
        </w:tblCellMar>
      </w:tblPr>
      <w:tblGrid>
        <w:gridCol w:w="1435"/>
        <w:gridCol w:w="1262"/>
        <w:gridCol w:w="1787"/>
      </w:tblGrid>
      <w:tr>
        <w:trPr/>
        <w:tc>
          <w:tcPr>
            <w:tcW w:w="143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Statements of Cash Flows</w:t>
              <w:br/>
              <w:t>Years Ended December 31, 2020 and 2019</w:t>
            </w:r>
          </w:p>
        </w:tc>
      </w:tr>
    </w:tbl>
    <w:tbl>
      <w:tblPr>
        <w:tblW w:w="10205" w:type="dxa"/>
        <w:jc w:val="left"/>
        <w:tblInd w:w="0" w:type="dxa"/>
        <w:tblCellMar>
          <w:top w:w="28" w:type="dxa"/>
          <w:left w:w="28" w:type="dxa"/>
          <w:bottom w:w="28" w:type="dxa"/>
          <w:right w:w="28" w:type="dxa"/>
        </w:tblCellMar>
      </w:tblPr>
      <w:tblGrid>
        <w:gridCol w:w="2151"/>
        <w:gridCol w:w="1774"/>
        <w:gridCol w:w="1776"/>
        <w:gridCol w:w="395"/>
        <w:gridCol w:w="1478"/>
        <w:gridCol w:w="204"/>
        <w:gridCol w:w="109"/>
        <w:gridCol w:w="109"/>
        <w:gridCol w:w="109"/>
        <w:gridCol w:w="421"/>
        <w:gridCol w:w="1368"/>
        <w:gridCol w:w="311"/>
      </w:tblGrid>
      <w:tr>
        <w:trPr/>
        <w:tc>
          <w:tcPr>
            <w:tcW w:w="2151"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5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0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5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gain on investments, net</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0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(68,359)</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(25,374)</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and maturities of securities </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30,350 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(25,279)</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0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preferred stock, net of issuance costs</w:t>
            </w:r>
          </w:p>
        </w:tc>
        <w:tc>
          <w:tcPr>
            <w:tcW w:w="1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8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8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other cash flow information:</w:t>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in accounts payable and accrued expenses and other liabilities</w:t>
            </w:r>
          </w:p>
        </w:tc>
        <w:tc>
          <w:tcPr>
            <w:tcW w:w="3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cash flow information on non-cash investing activities</w:t>
            </w:r>
          </w:p>
        </w:tc>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 included in accounts payable</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436880"/>
                <wp:effectExtent l="0" t="0" r="0" b="0"/>
                <wp:wrapNone/>
                <wp:docPr id="362" name="Frame344"/>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tbl>
      <w:tblPr>
        <w:tblW w:w="3164" w:type="dxa"/>
        <w:jc w:val="left"/>
        <w:tblInd w:w="0" w:type="dxa"/>
        <w:tblCellMar>
          <w:top w:w="28" w:type="dxa"/>
          <w:left w:w="28" w:type="dxa"/>
          <w:bottom w:w="28" w:type="dxa"/>
          <w:right w:w="28" w:type="dxa"/>
        </w:tblCellMar>
      </w:tblPr>
      <w:tblGrid>
        <w:gridCol w:w="1012"/>
        <w:gridCol w:w="891"/>
        <w:gridCol w:w="1261"/>
      </w:tblGrid>
      <w:tr>
        <w:trPr/>
        <w:tc>
          <w:tcPr>
            <w:tcW w:w="101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Notes to Financial Statements</w:t>
            </w:r>
          </w:p>
        </w:tc>
      </w:tr>
    </w:tbl>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and accompanying notes were prepared in accordance with accounting principles generally accepted in the United States of America (“U.S. GAAP”). The Company’s reporting currency is the U.S. dollar.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pStyle w:val="HorizontalLine"/>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3" name="Frame3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Impact of the COVID-19 Coronavirus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 xml:space="preserve">Significant Accounting Policies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completely to perform as contracted.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w:t>
      </w:r>
    </w:p>
    <w:p>
      <w:pPr>
        <w:pStyle w:val="HorizontalLine"/>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64" name="Frame3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Other-than-temporary Impairment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Offering Costs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assets are retired or otherwise disposed of, the cost and related accumulated depreciation are removed from the accounts, and any resulting gain or loss is recognized as income or loss for the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and repairs are charged to operating expense in the period incurred.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its long-lived assets, including property and equipment, for impairment whenever events or changes in circumstances indicate that the carrying amount of the asset may not be recoverable.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property and equipment subject to depreciation, the Company compares the carrying value of the long-lived assets with the estimated future net undiscounted cash flows expected to result from the use and </w:t>
      </w:r>
    </w:p>
    <w:p>
      <w:pPr>
        <w:pStyle w:val="HorizontalLine"/>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65" name="Frame3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pStyle w:val="HorizontalLine"/>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66" name="Frame3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pPr>
      <w:r>
        <w:rPr>
          <w:rFonts w:ascii="Times New Roman;sans-serif" w:hAnsi="Times New Roman;sans-serif"/>
          <w:b w:val="false"/>
          <w:color w:val="000000"/>
          <w:sz w:val="20"/>
        </w:rPr>
        <w:t>As part of the process of preparing its financial statements, the Company estimates its accrued expenses</w:t>
      </w:r>
      <w:r>
        <w:rPr>
          <w:rFonts w:ascii="Times New Roman;sans-serif" w:hAnsi="Times New Roman;sans-serif"/>
          <w:b/>
          <w:i/>
          <w:color w:val="000000"/>
          <w:sz w:val="20"/>
        </w:rPr>
        <w:t xml:space="preserve">. </w:t>
      </w:r>
      <w:r>
        <w:rPr>
          <w:rFonts w:ascii="Times New Roman;sans-serif" w:hAnsi="Times New Roman;sans-serif"/>
          <w:b w:val="false"/>
          <w:color w:val="000000"/>
          <w:sz w:val="20"/>
        </w:rPr>
        <w:t>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Fair Value of Common Stock </w:t>
      </w:r>
    </w:p>
    <w:p>
      <w:pPr>
        <w:pStyle w:val="TextBody"/>
        <w:spacing w:lineRule="auto" w:line="288" w:before="0" w:after="180"/>
        <w:ind w:left="0" w:right="0" w:firstLine="360"/>
        <w:rPr/>
      </w:pPr>
      <w:r>
        <w:rPr>
          <w:rFonts w:ascii="Times New Roman;sans-serif" w:hAnsi="Times New Roman;sans-serif"/>
          <w:b w:val="false"/>
          <w:color w:val="000000"/>
          <w:sz w:val="20"/>
        </w:rPr>
        <w:t>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Times New Roman;sans-serif" w:hAnsi="Times New Roman;sans-serif"/>
          <w:b w:val="false"/>
          <w:i/>
          <w:color w:val="000000"/>
          <w:sz w:val="20"/>
        </w:rPr>
        <w:t>Valuation of Privately-Held-Company Equity Securities Issued as Compensation.</w:t>
      </w:r>
      <w:r>
        <w:rPr>
          <w:color w:val="000000"/>
        </w:rPr>
        <w:t xml:space="preserve"> </w:t>
      </w:r>
      <w:r>
        <w:rPr>
          <w:rFonts w:ascii="Times New Roman;sans-serif" w:hAnsi="Times New Roman;sans-serif"/>
          <w:b w:val="false"/>
          <w:color w:val="000000"/>
          <w:sz w:val="20"/>
        </w:rPr>
        <w:t>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expected term as the mid-point between the requisite service period and the contractual term of the award.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 of expected volatility on the historical volatility of comparable companies from a representative peer group selected based on industry, financial, and market capitalization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1Inputs are unadjusted quoted prices in active markets for identical assets or liabilities.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2Inputs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3Inputs are unobservable inputs based on the Company’s assumptions and valuation techniques used to measure assets and liabilities at fair value. The inputs require significant management judgment or estimation. </w:t>
      </w:r>
    </w:p>
    <w:p>
      <w:pPr>
        <w:pStyle w:val="HorizontalLine"/>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67" name="Frame3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assessment of the significance of a particular input to the fair value measurement requires judgment and may affect the valuation of fair value assets and liabilities and their placement within the fair value hierarchy levels.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recorded amounts of certain financial instruments, including cash and cash equivalents, prepaid expenses and other assets accounts, accounts payable, and accrued expenses and other liabilities approximate fair value due to their relatively short maturities.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 </w:t>
      </w:r>
    </w:p>
    <w:p>
      <w:pPr>
        <w:pStyle w:val="HorizontalLine"/>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68" name="Frame3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August 2018, the FASB issued ASU 2018-13, </w:t>
      </w:r>
      <w:r>
        <w:rPr>
          <w:rFonts w:ascii="Times New Roman;sans-serif" w:hAnsi="Times New Roman;sans-serif"/>
          <w:b w:val="false"/>
          <w:i/>
          <w:color w:val="000000"/>
          <w:sz w:val="20"/>
        </w:rPr>
        <w:t>Fair Value Measurement (Topic 820), Disclosure Framework- Changes to the Disclosure Requirements for Fair Value Measurement</w:t>
      </w:r>
      <w:r>
        <w:rPr>
          <w:rFonts w:ascii="Times New Roman;sans-serif" w:hAnsi="Times New Roman;sans-serif"/>
          <w:b w:val="false"/>
          <w:color w:val="000000"/>
          <w:sz w:val="20"/>
        </w:rPr>
        <w:t>. This ASU amends the disclosure requirement in ASC 820, Fair Value Measurement, by adding, changing, or removing certain 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Pronouncements Not Yet Adopted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August 2018, the FASB issued ASU No. 2018-15, </w:t>
      </w:r>
      <w:r>
        <w:rPr>
          <w:color w:val="000000"/>
        </w:rPr>
        <w:t>“</w:t>
      </w:r>
      <w:r>
        <w:rPr>
          <w:rFonts w:ascii="Times New Roman;sans-serif" w:hAnsi="Times New Roman;sans-serif"/>
          <w:b w:val="false"/>
          <w:i/>
          <w:color w:val="000000"/>
          <w:sz w:val="20"/>
        </w:rPr>
        <w:t>Intangibles—Goodwill and Other—Internal-Use Software (Subtopic 350-40): Customer’s Accounting for Fees Paid in a Cloud Computing Arrangement,”</w:t>
      </w:r>
      <w:r>
        <w:rPr>
          <w:color w:val="000000"/>
        </w:rPr>
        <w:t xml:space="preserve"> </w:t>
      </w:r>
      <w:r>
        <w:rPr>
          <w:rFonts w:ascii="Times New Roman;sans-serif" w:hAnsi="Times New Roman;sans-serif"/>
          <w:b w:val="false"/>
          <w:color w:val="000000"/>
          <w:sz w:val="20"/>
        </w:rPr>
        <w:t>to help entities evaluate the accounting for fees paid by a customer in a cloud computing 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December 2019, the FASB issued ASU 2019-12, </w:t>
      </w:r>
      <w:r>
        <w:rPr>
          <w:color w:val="000000"/>
        </w:rPr>
        <w:t>“</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March 2020, the FASB issued ASU No. 2020-04, </w:t>
      </w:r>
      <w:r>
        <w:rPr>
          <w:color w:val="000000"/>
        </w:rPr>
        <w:t>“</w:t>
      </w:r>
      <w:r>
        <w:rPr>
          <w:rFonts w:ascii="Times New Roman;sans-serif" w:hAnsi="Times New Roman;sans-serif"/>
          <w:b w:val="false"/>
          <w:i/>
          <w:color w:val="000000"/>
          <w:sz w:val="20"/>
        </w:rPr>
        <w:t>Reference Rate Reform (Topic 848).”</w:t>
      </w:r>
      <w:r>
        <w:rPr>
          <w:color w:val="000000"/>
        </w:rPr>
        <w:t xml:space="preserve"> </w:t>
      </w:r>
      <w:r>
        <w:rPr>
          <w:rFonts w:ascii="Times New Roman;sans-serif" w:hAnsi="Times New Roman;sans-serif"/>
          <w:b w:val="false"/>
          <w:color w:val="000000"/>
          <w:sz w:val="20"/>
        </w:rPr>
        <w:t xml:space="preserve">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 </w:t>
      </w:r>
    </w:p>
    <w:p>
      <w:pPr>
        <w:pStyle w:val="HorizontalLine"/>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69" name="Frame3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statements and related disclosures and does not anticipate adoption to have a material impact on its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Fair Value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December 31, 2020 and 2019:</w:t>
      </w:r>
    </w:p>
    <w:tbl>
      <w:tblPr>
        <w:tblW w:w="10205" w:type="dxa"/>
        <w:jc w:val="left"/>
        <w:tblInd w:w="0" w:type="dxa"/>
        <w:tblCellMar>
          <w:top w:w="28" w:type="dxa"/>
          <w:left w:w="28" w:type="dxa"/>
          <w:bottom w:w="28" w:type="dxa"/>
          <w:right w:w="28" w:type="dxa"/>
        </w:tblCellMar>
      </w:tblPr>
      <w:tblGrid>
        <w:gridCol w:w="476"/>
        <w:gridCol w:w="415"/>
        <w:gridCol w:w="416"/>
        <w:gridCol w:w="109"/>
        <w:gridCol w:w="109"/>
        <w:gridCol w:w="109"/>
        <w:gridCol w:w="238"/>
        <w:gridCol w:w="814"/>
        <w:gridCol w:w="122"/>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339"/>
        <w:gridCol w:w="1160"/>
        <w:gridCol w:w="174"/>
        <w:gridCol w:w="109"/>
        <w:gridCol w:w="109"/>
        <w:gridCol w:w="109"/>
        <w:gridCol w:w="308"/>
        <w:gridCol w:w="1056"/>
        <w:gridCol w:w="232"/>
      </w:tblGrid>
      <w:tr>
        <w:trPr/>
        <w:tc>
          <w:tcPr>
            <w:tcW w:w="47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3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480"/>
        <w:gridCol w:w="418"/>
        <w:gridCol w:w="420"/>
        <w:gridCol w:w="109"/>
        <w:gridCol w:w="109"/>
        <w:gridCol w:w="109"/>
        <w:gridCol w:w="238"/>
        <w:gridCol w:w="816"/>
        <w:gridCol w:w="123"/>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440"/>
        <w:gridCol w:w="978"/>
        <w:gridCol w:w="230"/>
        <w:gridCol w:w="109"/>
        <w:gridCol w:w="109"/>
        <w:gridCol w:w="109"/>
        <w:gridCol w:w="311"/>
        <w:gridCol w:w="1063"/>
        <w:gridCol w:w="233"/>
      </w:tblGrid>
      <w:tr>
        <w:trPr/>
        <w:tc>
          <w:tcPr>
            <w:tcW w:w="480"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3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contractual maturities at the date of purchase are due in one year or less.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Composition of Certain Financial Statement Line Items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6714" w:type="dxa"/>
        <w:jc w:val="left"/>
        <w:tblInd w:w="0" w:type="dxa"/>
        <w:tblCellMar>
          <w:top w:w="28" w:type="dxa"/>
          <w:left w:w="28" w:type="dxa"/>
          <w:bottom w:w="28" w:type="dxa"/>
          <w:right w:w="28" w:type="dxa"/>
        </w:tblCellMar>
      </w:tblPr>
      <w:tblGrid>
        <w:gridCol w:w="1211"/>
        <w:gridCol w:w="1064"/>
        <w:gridCol w:w="1069"/>
        <w:gridCol w:w="338"/>
        <w:gridCol w:w="987"/>
        <w:gridCol w:w="174"/>
        <w:gridCol w:w="109"/>
        <w:gridCol w:w="109"/>
        <w:gridCol w:w="109"/>
        <w:gridCol w:w="332"/>
        <w:gridCol w:w="970"/>
        <w:gridCol w:w="242"/>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$0.7 million and $0.5 million of depreciation expense for the year ended December 31, 2020 and 2019, respectively, which was primarily allocated to research and development expense. </w:t>
      </w:r>
    </w:p>
    <w:p>
      <w:pPr>
        <w:pStyle w:val="HorizontalLine"/>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370" name="Frame3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Long Term Assets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long term assets consisted of the following:</w:t>
      </w:r>
    </w:p>
    <w:tbl>
      <w:tblPr>
        <w:tblW w:w="5320" w:type="dxa"/>
        <w:jc w:val="left"/>
        <w:tblInd w:w="0" w:type="dxa"/>
        <w:tblCellMar>
          <w:top w:w="28" w:type="dxa"/>
          <w:left w:w="28" w:type="dxa"/>
          <w:bottom w:w="28" w:type="dxa"/>
          <w:right w:w="28" w:type="dxa"/>
        </w:tblCellMar>
      </w:tblPr>
      <w:tblGrid>
        <w:gridCol w:w="706"/>
        <w:gridCol w:w="621"/>
        <w:gridCol w:w="622"/>
        <w:gridCol w:w="338"/>
        <w:gridCol w:w="987"/>
        <w:gridCol w:w="174"/>
        <w:gridCol w:w="109"/>
        <w:gridCol w:w="109"/>
        <w:gridCol w:w="109"/>
        <w:gridCol w:w="392"/>
        <w:gridCol w:w="866"/>
        <w:gridCol w:w="287"/>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6821" w:type="dxa"/>
        <w:jc w:val="left"/>
        <w:tblInd w:w="0" w:type="dxa"/>
        <w:tblCellMar>
          <w:top w:w="28" w:type="dxa"/>
          <w:left w:w="28" w:type="dxa"/>
          <w:bottom w:w="28" w:type="dxa"/>
          <w:right w:w="28" w:type="dxa"/>
        </w:tblCellMar>
      </w:tblPr>
      <w:tblGrid>
        <w:gridCol w:w="1248"/>
        <w:gridCol w:w="1097"/>
        <w:gridCol w:w="1105"/>
        <w:gridCol w:w="338"/>
        <w:gridCol w:w="987"/>
        <w:gridCol w:w="174"/>
        <w:gridCol w:w="109"/>
        <w:gridCol w:w="109"/>
        <w:gridCol w:w="109"/>
        <w:gridCol w:w="392"/>
        <w:gridCol w:w="866"/>
        <w:gridCol w:w="287"/>
      </w:tblGrid>
      <w:tr>
        <w:trPr/>
        <w:tc>
          <w:tcPr>
            <w:tcW w:w="12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and consulting fees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tax</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w:t>
      </w:r>
    </w:p>
    <w:tbl>
      <w:tblPr>
        <w:tblW w:w="7496" w:type="dxa"/>
        <w:jc w:val="left"/>
        <w:tblInd w:w="0" w:type="dxa"/>
        <w:tblCellMar>
          <w:top w:w="28" w:type="dxa"/>
          <w:left w:w="28" w:type="dxa"/>
          <w:bottom w:w="28" w:type="dxa"/>
          <w:right w:w="28" w:type="dxa"/>
        </w:tblCellMar>
      </w:tblPr>
      <w:tblGrid>
        <w:gridCol w:w="1494"/>
        <w:gridCol w:w="1313"/>
        <w:gridCol w:w="1317"/>
        <w:gridCol w:w="304"/>
        <w:gridCol w:w="1039"/>
        <w:gridCol w:w="157"/>
        <w:gridCol w:w="109"/>
        <w:gridCol w:w="109"/>
        <w:gridCol w:w="109"/>
        <w:gridCol w:w="392"/>
        <w:gridCol w:w="866"/>
        <w:gridCol w:w="287"/>
      </w:tblGrid>
      <w:tr>
        <w:trPr/>
        <w:tc>
          <w:tcPr>
            <w:tcW w:w="149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 term assets</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5.</w:t>
      </w:r>
      <w:r>
        <w:rPr>
          <w:rFonts w:ascii="Times New Roman;sans-serif" w:hAnsi="Times New Roman;sans-serif"/>
          <w:b/>
          <w:color w:val="000000"/>
          <w:sz w:val="20"/>
        </w:rPr>
        <w:t xml:space="preserve">Redeemable Convertible Preferred Stock </w:t>
      </w:r>
    </w:p>
    <w:tbl>
      <w:tblPr>
        <w:tblW w:w="10205" w:type="dxa"/>
        <w:jc w:val="left"/>
        <w:tblInd w:w="0" w:type="dxa"/>
        <w:tblCellMar>
          <w:top w:w="28" w:type="dxa"/>
          <w:left w:w="28" w:type="dxa"/>
          <w:bottom w:w="28" w:type="dxa"/>
          <w:right w:w="28" w:type="dxa"/>
        </w:tblCellMar>
      </w:tblPr>
      <w:tblGrid>
        <w:gridCol w:w="369"/>
        <w:gridCol w:w="295"/>
        <w:gridCol w:w="253"/>
        <w:gridCol w:w="188"/>
        <w:gridCol w:w="188"/>
        <w:gridCol w:w="188"/>
        <w:gridCol w:w="540"/>
        <w:gridCol w:w="541"/>
        <w:gridCol w:w="306"/>
        <w:gridCol w:w="188"/>
        <w:gridCol w:w="188"/>
        <w:gridCol w:w="188"/>
        <w:gridCol w:w="540"/>
        <w:gridCol w:w="541"/>
        <w:gridCol w:w="336"/>
        <w:gridCol w:w="109"/>
        <w:gridCol w:w="109"/>
        <w:gridCol w:w="109"/>
        <w:gridCol w:w="371"/>
        <w:gridCol w:w="1085"/>
        <w:gridCol w:w="191"/>
        <w:gridCol w:w="109"/>
        <w:gridCol w:w="109"/>
        <w:gridCol w:w="109"/>
        <w:gridCol w:w="272"/>
        <w:gridCol w:w="1064"/>
        <w:gridCol w:w="140"/>
        <w:gridCol w:w="109"/>
        <w:gridCol w:w="109"/>
        <w:gridCol w:w="109"/>
        <w:gridCol w:w="220"/>
        <w:gridCol w:w="862"/>
        <w:gridCol w:w="170"/>
      </w:tblGrid>
      <w:tr>
        <w:trPr/>
        <w:tc>
          <w:tcPr>
            <w:tcW w:w="36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4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Price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r>
      <w:tr>
        <w:trPr/>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5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Seed-1</w:t>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4,640,604 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6,209,233 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6,109,232 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14,481,191 </w:t>
            </w:r>
          </w:p>
        </w:tc>
        <w:tc>
          <w:tcPr>
            <w:tcW w:w="3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14,381,190 </w:t>
            </w:r>
          </w:p>
        </w:tc>
        <w:tc>
          <w:tcPr>
            <w:tcW w:w="3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110,523 </w:t>
            </w:r>
          </w:p>
        </w:tc>
        <w:tc>
          <w:tcPr>
            <w:tcW w:w="1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108,418 </w:t>
            </w:r>
          </w:p>
        </w:tc>
        <w:tc>
          <w:tcPr>
            <w:tcW w:w="1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382"/>
        <w:gridCol w:w="312"/>
        <w:gridCol w:w="279"/>
        <w:gridCol w:w="202"/>
        <w:gridCol w:w="202"/>
        <w:gridCol w:w="202"/>
        <w:gridCol w:w="488"/>
        <w:gridCol w:w="488"/>
        <w:gridCol w:w="306"/>
        <w:gridCol w:w="202"/>
        <w:gridCol w:w="202"/>
        <w:gridCol w:w="202"/>
        <w:gridCol w:w="488"/>
        <w:gridCol w:w="488"/>
        <w:gridCol w:w="336"/>
        <w:gridCol w:w="109"/>
        <w:gridCol w:w="109"/>
        <w:gridCol w:w="109"/>
        <w:gridCol w:w="440"/>
        <w:gridCol w:w="1066"/>
        <w:gridCol w:w="227"/>
        <w:gridCol w:w="109"/>
        <w:gridCol w:w="109"/>
        <w:gridCol w:w="109"/>
        <w:gridCol w:w="302"/>
        <w:gridCol w:w="1035"/>
        <w:gridCol w:w="156"/>
        <w:gridCol w:w="109"/>
        <w:gridCol w:w="109"/>
        <w:gridCol w:w="109"/>
        <w:gridCol w:w="235"/>
        <w:gridCol w:w="805"/>
        <w:gridCol w:w="179"/>
      </w:tblGrid>
      <w:tr>
        <w:trPr/>
        <w:tc>
          <w:tcPr>
            <w:tcW w:w="38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77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Price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Seed-1</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4,640,608 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8,271,962 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371" name="Frame3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Seed 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A 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2018, the Company completed a private placement authorizing the issuance and sale of 4,640,608 shares of Series A redeemable convertible preferred stock. Of the shares authorized, 4,640,604 were issued at $5.86 per share, net of issuance costs of $0.1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B 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and May 2020, the Company completed private placements of 6,109,232 shares of Series B redeemable convertible preferred stock which were issued at $12.45 per share for total proceeds of $76.1 million, net of issuance costs of $0.2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w:t>
      </w:r>
    </w:p>
    <w:p>
      <w:pPr>
        <w:pStyle w:val="HorizontalLine"/>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372" name="Frame3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Liquidation Event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6.</w:t>
      </w:r>
      <w:r>
        <w:rPr>
          <w:rFonts w:ascii="Times New Roman;sans-serif" w:hAnsi="Times New Roman;sans-serif"/>
          <w:b/>
          <w:color w:val="000000"/>
          <w:sz w:val="20"/>
        </w:rPr>
        <w:t>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pStyle w:val="HorizontalLine"/>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373" name="Frame3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stock warrants as of December 31, 2020 and 2019 were as follows:</w:t>
      </w:r>
    </w:p>
    <w:tbl>
      <w:tblPr>
        <w:tblW w:w="8325" w:type="dxa"/>
        <w:jc w:val="left"/>
        <w:tblInd w:w="0" w:type="dxa"/>
        <w:tblCellMar>
          <w:top w:w="28" w:type="dxa"/>
          <w:left w:w="28" w:type="dxa"/>
          <w:bottom w:w="28" w:type="dxa"/>
          <w:right w:w="28" w:type="dxa"/>
        </w:tblCellMar>
      </w:tblPr>
      <w:tblGrid>
        <w:gridCol w:w="1275"/>
        <w:gridCol w:w="1121"/>
        <w:gridCol w:w="1129"/>
        <w:gridCol w:w="544"/>
        <w:gridCol w:w="544"/>
        <w:gridCol w:w="546"/>
        <w:gridCol w:w="128"/>
        <w:gridCol w:w="128"/>
        <w:gridCol w:w="128"/>
        <w:gridCol w:w="284"/>
        <w:gridCol w:w="693"/>
        <w:gridCol w:w="147"/>
        <w:gridCol w:w="113"/>
        <w:gridCol w:w="113"/>
        <w:gridCol w:w="113"/>
        <w:gridCol w:w="385"/>
        <w:gridCol w:w="385"/>
        <w:gridCol w:w="549"/>
      </w:tblGrid>
      <w:tr>
        <w:trPr/>
        <w:tc>
          <w:tcPr>
            <w:tcW w:w="127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0"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 and 2019</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Warrants</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9/7/2027</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common stock warrants</w:t>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8490" w:type="dxa"/>
        <w:jc w:val="left"/>
        <w:tblInd w:w="0" w:type="dxa"/>
        <w:tblCellMar>
          <w:top w:w="28" w:type="dxa"/>
          <w:left w:w="28" w:type="dxa"/>
          <w:bottom w:w="28" w:type="dxa"/>
          <w:right w:w="28" w:type="dxa"/>
        </w:tblCellMar>
      </w:tblPr>
      <w:tblGrid>
        <w:gridCol w:w="1797"/>
        <w:gridCol w:w="1579"/>
        <w:gridCol w:w="1589"/>
        <w:gridCol w:w="540"/>
        <w:gridCol w:w="541"/>
        <w:gridCol w:w="501"/>
        <w:gridCol w:w="109"/>
        <w:gridCol w:w="109"/>
        <w:gridCol w:w="109"/>
        <w:gridCol w:w="488"/>
        <w:gridCol w:w="488"/>
        <w:gridCol w:w="640"/>
      </w:tblGrid>
      <w:tr>
        <w:trPr/>
        <w:tc>
          <w:tcPr>
            <w:tcW w:w="1797"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convertible 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14,381,190 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1,418,267 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 outstanding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2017 Equity Incentive Plan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647,637 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465,788 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16,464,594 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9,212,396 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7.</w:t>
      </w:r>
      <w:r>
        <w:rPr>
          <w:rFonts w:ascii="Times New Roman;sans-serif" w:hAnsi="Times New Roman;sans-serif"/>
          <w:b/>
          <w:color w:val="000000"/>
          <w:sz w:val="20"/>
        </w:rPr>
        <w:t xml:space="preserve">Income Taxes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expected income tax provision at the federal statutory rate and the reported income tax provision is approximately as follows:</w:t>
      </w:r>
    </w:p>
    <w:tbl>
      <w:tblPr>
        <w:tblW w:w="8410" w:type="dxa"/>
        <w:jc w:val="left"/>
        <w:tblInd w:w="0" w:type="dxa"/>
        <w:tblCellMar>
          <w:top w:w="28" w:type="dxa"/>
          <w:left w:w="28" w:type="dxa"/>
          <w:bottom w:w="28" w:type="dxa"/>
          <w:right w:w="28" w:type="dxa"/>
        </w:tblCellMar>
      </w:tblPr>
      <w:tblGrid>
        <w:gridCol w:w="1173"/>
        <w:gridCol w:w="1032"/>
        <w:gridCol w:w="1034"/>
        <w:gridCol w:w="501"/>
        <w:gridCol w:w="1641"/>
        <w:gridCol w:w="258"/>
        <w:gridCol w:w="109"/>
        <w:gridCol w:w="109"/>
        <w:gridCol w:w="109"/>
        <w:gridCol w:w="488"/>
        <w:gridCol w:w="1600"/>
        <w:gridCol w:w="356"/>
      </w:tblGrid>
      <w:tr>
        <w:trPr/>
        <w:tc>
          <w:tcPr>
            <w:tcW w:w="11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at statutory rate</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2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2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generated in current year</w:t>
            </w:r>
          </w:p>
        </w:tc>
        <w:tc>
          <w:tcPr>
            <w:tcW w:w="2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change</w:t>
            </w:r>
          </w:p>
        </w:tc>
        <w:tc>
          <w:tcPr>
            <w:tcW w:w="2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2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 Company had federal net operating loss carryforwards of $0.5 million that begin to expire in 2037 and federal net operating loss carryforwards of $13.1 million that arose after the 2017 tax year that </w:t>
      </w:r>
    </w:p>
    <w:p>
      <w:pPr>
        <w:pStyle w:val="HorizontalLine"/>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374" name="Frame3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will carryforward indefinitely. The Company has state net operating loss carryforwards of $7.7 million that will begin to expire in 2037.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tbl>
      <w:tblPr>
        <w:tblW w:w="7689" w:type="dxa"/>
        <w:jc w:val="left"/>
        <w:tblInd w:w="0" w:type="dxa"/>
        <w:tblCellMar>
          <w:top w:w="28" w:type="dxa"/>
          <w:left w:w="28" w:type="dxa"/>
          <w:bottom w:w="28" w:type="dxa"/>
          <w:right w:w="28" w:type="dxa"/>
        </w:tblCellMar>
      </w:tblPr>
      <w:tblGrid>
        <w:gridCol w:w="1564"/>
        <w:gridCol w:w="1377"/>
        <w:gridCol w:w="1378"/>
        <w:gridCol w:w="338"/>
        <w:gridCol w:w="987"/>
        <w:gridCol w:w="174"/>
        <w:gridCol w:w="109"/>
        <w:gridCol w:w="109"/>
        <w:gridCol w:w="109"/>
        <w:gridCol w:w="332"/>
        <w:gridCol w:w="970"/>
        <w:gridCol w:w="242"/>
      </w:tblGrid>
      <w:tr>
        <w:trPr/>
        <w:tc>
          <w:tcPr>
            <w:tcW w:w="156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(liability)</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began to file income tax returns in the United States in 2017. All tax years are open to examination.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the liability for uncertain tax positions, excluding potential interest and penalties, is as follows:</w:t>
      </w:r>
    </w:p>
    <w:p>
      <w:pPr>
        <w:pStyle w:val="HorizontalLine"/>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75" name="Frame3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before="0" w:after="180"/>
        <w:jc w:val="right"/>
        <w:rPr/>
      </w:pPr>
      <w:r>
        <w:rPr/>
      </w:r>
    </w:p>
    <w:tbl>
      <w:tblPr>
        <w:tblW w:w="5190" w:type="dxa"/>
        <w:jc w:val="left"/>
        <w:tblInd w:w="0" w:type="dxa"/>
        <w:tblCellMar>
          <w:top w:w="28" w:type="dxa"/>
          <w:left w:w="28" w:type="dxa"/>
          <w:bottom w:w="28" w:type="dxa"/>
          <w:right w:w="28" w:type="dxa"/>
        </w:tblCellMar>
      </w:tblPr>
      <w:tblGrid>
        <w:gridCol w:w="1320"/>
        <w:gridCol w:w="1161"/>
        <w:gridCol w:w="1164"/>
        <w:gridCol w:w="392"/>
        <w:gridCol w:w="866"/>
        <w:gridCol w:w="287"/>
      </w:tblGrid>
      <w:tr>
        <w:trPr/>
        <w:tc>
          <w:tcPr>
            <w:tcW w:w="132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2019</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based on current year tax positions</w:t>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for prior year tax positions</w:t>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rPr>
        <w:t>Stock Option Plan and Stock-based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compensation cost of the option awards, the fair value for each option award has been estimated using the Black Scholes model. The significant assumptions used in these calculations are summarized as follows:</w:t>
      </w:r>
    </w:p>
    <w:tbl>
      <w:tblPr>
        <w:tblW w:w="6355" w:type="dxa"/>
        <w:jc w:val="left"/>
        <w:tblInd w:w="0" w:type="dxa"/>
        <w:tblCellMar>
          <w:top w:w="28" w:type="dxa"/>
          <w:left w:w="28" w:type="dxa"/>
          <w:bottom w:w="28" w:type="dxa"/>
          <w:right w:w="28" w:type="dxa"/>
        </w:tblCellMar>
      </w:tblPr>
      <w:tblGrid>
        <w:gridCol w:w="755"/>
        <w:gridCol w:w="663"/>
        <w:gridCol w:w="666"/>
        <w:gridCol w:w="534"/>
        <w:gridCol w:w="534"/>
        <w:gridCol w:w="1331"/>
        <w:gridCol w:w="109"/>
        <w:gridCol w:w="109"/>
        <w:gridCol w:w="109"/>
        <w:gridCol w:w="314"/>
        <w:gridCol w:w="314"/>
        <w:gridCol w:w="917"/>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 2019</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5.1 - 6.4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5.7 - 6.1</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- 96.5%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- 101.1%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- 1.4%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- 2.6%</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 $16.21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 $1.66</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HorizontalLine"/>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76" name="Frame3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currently has no history or expectation of declaring dividends on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for the year ended December 31, 2020 and 2019:</w:t>
      </w:r>
    </w:p>
    <w:tbl>
      <w:tblPr>
        <w:tblW w:w="10205" w:type="dxa"/>
        <w:jc w:val="left"/>
        <w:tblInd w:w="0" w:type="dxa"/>
        <w:tblCellMar>
          <w:top w:w="28" w:type="dxa"/>
          <w:left w:w="28" w:type="dxa"/>
          <w:bottom w:w="28" w:type="dxa"/>
          <w:right w:w="28" w:type="dxa"/>
        </w:tblCellMar>
      </w:tblPr>
      <w:tblGrid>
        <w:gridCol w:w="920"/>
        <w:gridCol w:w="807"/>
        <w:gridCol w:w="812"/>
        <w:gridCol w:w="598"/>
        <w:gridCol w:w="443"/>
        <w:gridCol w:w="445"/>
        <w:gridCol w:w="109"/>
        <w:gridCol w:w="109"/>
        <w:gridCol w:w="109"/>
        <w:gridCol w:w="364"/>
        <w:gridCol w:w="882"/>
        <w:gridCol w:w="187"/>
        <w:gridCol w:w="109"/>
        <w:gridCol w:w="109"/>
        <w:gridCol w:w="109"/>
        <w:gridCol w:w="702"/>
        <w:gridCol w:w="702"/>
        <w:gridCol w:w="704"/>
        <w:gridCol w:w="109"/>
        <w:gridCol w:w="109"/>
        <w:gridCol w:w="109"/>
        <w:gridCol w:w="240"/>
        <w:gridCol w:w="1235"/>
        <w:gridCol w:w="183"/>
      </w:tblGrid>
      <w:tr>
        <w:trPr/>
        <w:tc>
          <w:tcPr>
            <w:tcW w:w="92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2019</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2020</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34,562,932 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December 31, 2020</w:t>
            </w:r>
          </w:p>
        </w:tc>
        <w:tc>
          <w:tcPr>
            <w:tcW w:w="1486"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2020</w:t>
            </w:r>
          </w:p>
        </w:tc>
        <w:tc>
          <w:tcPr>
            <w:tcW w:w="148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5,975,399 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options exercised during the year ended December 31, 2020 and 2019 was $0.1 million. Aggregate intrinsic value represents the difference between the fair market value of the common stock and the exercise price of outstanding, in-the-money options.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years ended December 31, 2020 and December 31, 2019 was $8.30 and $1.23 per share, respectively.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there was $8.4 million of total unrecognized compensation expense expected to be recognized over a weighted average-period of 3.9 years.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2017, the Company granted 9.0 million shares of restricted common stock to founders for future services that vest over four years from the date of grant.</w:t>
      </w:r>
    </w:p>
    <w:p>
      <w:pPr>
        <w:pStyle w:val="HorizontalLine"/>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77" name="Frame3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restricted stock for the year ended December 31, 2020 and 2019 was as follows:</w:t>
      </w:r>
    </w:p>
    <w:tbl>
      <w:tblPr>
        <w:tblW w:w="10205" w:type="dxa"/>
        <w:jc w:val="left"/>
        <w:tblInd w:w="0" w:type="dxa"/>
        <w:tblCellMar>
          <w:top w:w="28" w:type="dxa"/>
          <w:left w:w="28" w:type="dxa"/>
          <w:bottom w:w="28" w:type="dxa"/>
          <w:right w:w="28" w:type="dxa"/>
        </w:tblCellMar>
      </w:tblPr>
      <w:tblGrid>
        <w:gridCol w:w="890"/>
        <w:gridCol w:w="781"/>
        <w:gridCol w:w="787"/>
        <w:gridCol w:w="1432"/>
        <w:gridCol w:w="1415"/>
        <w:gridCol w:w="1420"/>
        <w:gridCol w:w="109"/>
        <w:gridCol w:w="109"/>
        <w:gridCol w:w="109"/>
        <w:gridCol w:w="611"/>
        <w:gridCol w:w="2091"/>
        <w:gridCol w:w="451"/>
      </w:tblGrid>
      <w:tr>
        <w:trPr/>
        <w:tc>
          <w:tcPr>
            <w:tcW w:w="89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2019</w:t>
            </w:r>
          </w:p>
        </w:tc>
        <w:tc>
          <w:tcPr>
            <w:tcW w:w="28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3,925,781 </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(1,884,375)</w:t>
            </w:r>
          </w:p>
        </w:tc>
        <w:tc>
          <w:tcPr>
            <w:tcW w:w="1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2019</w:t>
            </w:r>
          </w:p>
        </w:tc>
        <w:tc>
          <w:tcPr>
            <w:tcW w:w="28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2,041,406 </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(1,884,375)</w:t>
            </w:r>
          </w:p>
        </w:tc>
        <w:tc>
          <w:tcPr>
            <w:tcW w:w="1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2020</w:t>
            </w:r>
          </w:p>
        </w:tc>
        <w:tc>
          <w:tcPr>
            <w:tcW w:w="28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157,031 </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for the Company’s stock options included in the Company’s statement of operations:</w:t>
      </w:r>
    </w:p>
    <w:tbl>
      <w:tblPr>
        <w:tblW w:w="8620" w:type="dxa"/>
        <w:jc w:val="left"/>
        <w:tblInd w:w="0" w:type="dxa"/>
        <w:tblCellMar>
          <w:top w:w="28" w:type="dxa"/>
          <w:left w:w="28" w:type="dxa"/>
          <w:bottom w:w="28" w:type="dxa"/>
          <w:right w:w="28" w:type="dxa"/>
        </w:tblCellMar>
      </w:tblPr>
      <w:tblGrid>
        <w:gridCol w:w="1247"/>
        <w:gridCol w:w="1097"/>
        <w:gridCol w:w="1105"/>
        <w:gridCol w:w="642"/>
        <w:gridCol w:w="1421"/>
        <w:gridCol w:w="337"/>
        <w:gridCol w:w="109"/>
        <w:gridCol w:w="109"/>
        <w:gridCol w:w="109"/>
        <w:gridCol w:w="620"/>
        <w:gridCol w:w="1370"/>
        <w:gridCol w:w="454"/>
      </w:tblGrid>
      <w:tr>
        <w:trPr/>
        <w:tc>
          <w:tcPr>
            <w:tcW w:w="124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9.</w:t>
      </w:r>
      <w:r>
        <w:rPr>
          <w:rFonts w:ascii="Times New Roman;sans-serif" w:hAnsi="Times New Roman;sans-serif"/>
          <w:b/>
          <w:color w:val="000000"/>
          <w:sz w:val="20"/>
        </w:rPr>
        <w:t xml:space="preserve">Commitments and Contingencies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pStyle w:val="HorizontalLine"/>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78" name="Frame3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cash paid for amounts included in the measurement of lease liabilities included in cash flows used in operating activities was $2.0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weighted-average remaining lease term and weighted-average discount rate for operating leases is 2.7 years and 8.0% respectively.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future principal contractual obligations for operating lease commitments as of December 31, 2020:</w:t>
      </w:r>
    </w:p>
    <w:tbl>
      <w:tblPr>
        <w:tblW w:w="4619" w:type="dxa"/>
        <w:jc w:val="left"/>
        <w:tblInd w:w="0" w:type="dxa"/>
        <w:tblCellMar>
          <w:top w:w="28" w:type="dxa"/>
          <w:left w:w="28" w:type="dxa"/>
          <w:bottom w:w="28" w:type="dxa"/>
          <w:right w:w="28" w:type="dxa"/>
        </w:tblCellMar>
      </w:tblPr>
      <w:tblGrid>
        <w:gridCol w:w="1152"/>
        <w:gridCol w:w="1012"/>
        <w:gridCol w:w="1016"/>
        <w:gridCol w:w="309"/>
        <w:gridCol w:w="904"/>
        <w:gridCol w:w="226"/>
      </w:tblGrid>
      <w:tr>
        <w:trPr/>
        <w:tc>
          <w:tcPr>
            <w:tcW w:w="115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2019, prior to the adoption of the new lease accounting guidance, the Company’s future principal contractual obligations for operating lease commitments were as follows:</w:t>
      </w:r>
    </w:p>
    <w:tbl>
      <w:tblPr>
        <w:tblW w:w="4619" w:type="dxa"/>
        <w:jc w:val="left"/>
        <w:tblInd w:w="0" w:type="dxa"/>
        <w:tblCellMar>
          <w:top w:w="28" w:type="dxa"/>
          <w:left w:w="28" w:type="dxa"/>
          <w:bottom w:w="28" w:type="dxa"/>
          <w:right w:w="28" w:type="dxa"/>
        </w:tblCellMar>
      </w:tblPr>
      <w:tblGrid>
        <w:gridCol w:w="1152"/>
        <w:gridCol w:w="1012"/>
        <w:gridCol w:w="1016"/>
        <w:gridCol w:w="309"/>
        <w:gridCol w:w="904"/>
        <w:gridCol w:w="226"/>
      </w:tblGrid>
      <w:tr>
        <w:trPr/>
        <w:tc>
          <w:tcPr>
            <w:tcW w:w="115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Letter of Credit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conjunction with the San Carlos lease agreement, the Company issued a cash-collateralized letter of credit in lieu of security deposit of $0.6 million. The cash amount is recorded as restricted cash under Other long-term assets on the Company’s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79" name="Frame3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before="0" w:after="180"/>
        <w:jc w:val="right"/>
        <w:rPr/>
      </w:pPr>
      <w:r>
        <w:rPr/>
      </w:r>
    </w:p>
    <w:p>
      <w:pPr>
        <w:pStyle w:val="TextBody"/>
        <w:spacing w:lineRule="auto" w:line="288" w:before="0" w:after="180"/>
        <w:rPr/>
      </w:pPr>
      <w:r>
        <w:rPr>
          <w:rFonts w:ascii="Times New Roman;sans-serif" w:hAnsi="Times New Roman;sans-serif"/>
          <w:b/>
          <w:color w:val="000000"/>
          <w:sz w:val="20"/>
        </w:rPr>
        <w:t>10.</w:t>
      </w:r>
      <w:r>
        <w:rPr>
          <w:rFonts w:ascii="Times New Roman;sans-serif" w:hAnsi="Times New Roman;sans-serif"/>
          <w:b/>
          <w:color w:val="000000"/>
          <w:sz w:val="20"/>
        </w:rPr>
        <w:t>Basic and Diluted Net Loss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years ended December 31, 2020 and 2019:</w:t>
      </w:r>
    </w:p>
    <w:tbl>
      <w:tblPr>
        <w:tblW w:w="10205" w:type="dxa"/>
        <w:jc w:val="left"/>
        <w:tblInd w:w="0" w:type="dxa"/>
        <w:tblCellMar>
          <w:top w:w="28" w:type="dxa"/>
          <w:left w:w="28" w:type="dxa"/>
          <w:bottom w:w="28" w:type="dxa"/>
          <w:right w:w="28" w:type="dxa"/>
        </w:tblCellMar>
      </w:tblPr>
      <w:tblGrid>
        <w:gridCol w:w="2320"/>
        <w:gridCol w:w="1922"/>
        <w:gridCol w:w="1935"/>
        <w:gridCol w:w="353"/>
        <w:gridCol w:w="1312"/>
        <w:gridCol w:w="182"/>
        <w:gridCol w:w="109"/>
        <w:gridCol w:w="109"/>
        <w:gridCol w:w="109"/>
        <w:gridCol w:w="374"/>
        <w:gridCol w:w="1203"/>
        <w:gridCol w:w="277"/>
      </w:tblGrid>
      <w:tr>
        <w:trPr/>
        <w:tc>
          <w:tcPr>
            <w:tcW w:w="2320"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6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6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8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18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8,017,976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w:t>
            </w:r>
          </w:p>
        </w:tc>
      </w:tr>
      <w:tr>
        <w:trPr/>
        <w:tc>
          <w:tcPr>
            <w:tcW w:w="6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9656" w:type="dxa"/>
        <w:jc w:val="left"/>
        <w:tblInd w:w="0" w:type="dxa"/>
        <w:tblCellMar>
          <w:top w:w="28" w:type="dxa"/>
          <w:left w:w="28" w:type="dxa"/>
          <w:bottom w:w="28" w:type="dxa"/>
          <w:right w:w="28" w:type="dxa"/>
        </w:tblCellMar>
      </w:tblPr>
      <w:tblGrid>
        <w:gridCol w:w="1625"/>
        <w:gridCol w:w="1428"/>
        <w:gridCol w:w="1431"/>
        <w:gridCol w:w="799"/>
        <w:gridCol w:w="799"/>
        <w:gridCol w:w="802"/>
        <w:gridCol w:w="109"/>
        <w:gridCol w:w="109"/>
        <w:gridCol w:w="109"/>
        <w:gridCol w:w="716"/>
        <w:gridCol w:w="716"/>
        <w:gridCol w:w="1013"/>
      </w:tblGrid>
      <w:tr>
        <w:trPr/>
        <w:tc>
          <w:tcPr>
            <w:tcW w:w="1625"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(on an as-converted basis)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14,381,190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common stock</w:t>
            </w:r>
          </w:p>
        </w:tc>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2,041,406</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15,973,988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10,788,014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11.</w:t>
      </w:r>
      <w:r>
        <w:rPr>
          <w:rFonts w:ascii="Times New Roman;sans-serif" w:hAnsi="Times New Roman;sans-serif"/>
          <w:b/>
          <w:color w:val="000000"/>
          <w:sz w:val="20"/>
        </w:rPr>
        <w:t xml:space="preserve">Subsequent Events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March 26, 2021, the date on which the financial statements were available to be issued.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0" name="Frame3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before="0" w:after="180"/>
        <w:jc w:val="right"/>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ANNEXES</w:t>
      </w:r>
    </w:p>
    <w:tbl>
      <w:tblPr>
        <w:tblW w:w="7214" w:type="dxa"/>
        <w:jc w:val="left"/>
        <w:tblInd w:w="0" w:type="dxa"/>
        <w:tblCellMar>
          <w:top w:w="28" w:type="dxa"/>
          <w:left w:w="28" w:type="dxa"/>
          <w:bottom w:w="28" w:type="dxa"/>
          <w:right w:w="28" w:type="dxa"/>
        </w:tblCellMar>
      </w:tblPr>
      <w:tblGrid>
        <w:gridCol w:w="2309"/>
        <w:gridCol w:w="2026"/>
        <w:gridCol w:w="2879"/>
      </w:tblGrid>
      <w:tr>
        <w:trPr/>
        <w:tc>
          <w:tcPr>
            <w:tcW w:w="2309"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73">
              <w:r>
                <w:rPr>
                  <w:rStyle w:val="InternetLink"/>
                  <w:rFonts w:ascii="Times New Roman;sans-serif" w:hAnsi="Times New Roman;sans-serif"/>
                  <w:b w:val="false"/>
                  <w:color w:val="0000FF"/>
                  <w:sz w:val="20"/>
                  <w:u w:val="single"/>
                </w:rPr>
                <w:t>Annex A: Business Combination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604">
              <w:r>
                <w:rPr>
                  <w:rStyle w:val="InternetLink"/>
                  <w:rFonts w:ascii="Times New Roman;sans-serif" w:hAnsi="Times New Roman;sans-serif"/>
                  <w:b w:val="false"/>
                  <w:color w:val="0000FF"/>
                  <w:sz w:val="20"/>
                  <w:u w:val="single"/>
                </w:rPr>
                <w:t>Annex B: Amended and Restated Memorandum and Articles of Association of ARYA</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1">
              <w:r>
                <w:rPr>
                  <w:rStyle w:val="InternetLink"/>
                  <w:rFonts w:ascii="Times New Roman;sans-serif" w:hAnsi="Times New Roman;sans-serif"/>
                  <w:b w:val="false"/>
                  <w:color w:val="0000FF"/>
                  <w:sz w:val="20"/>
                  <w:u w:val="single"/>
                </w:rPr>
                <w:t xml:space="preserve">Annex C: Proposed Certificate of Incorporation </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0">
              <w:r>
                <w:rPr>
                  <w:rStyle w:val="InternetLink"/>
                  <w:rFonts w:ascii="Times New Roman;sans-serif" w:hAnsi="Times New Roman;sans-serif"/>
                  <w:b w:val="false"/>
                  <w:color w:val="0000FF"/>
                  <w:sz w:val="20"/>
                  <w:u w:val="single"/>
                </w:rPr>
                <w:t>Annex D: Proposed Bylaws</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45">
              <w:r>
                <w:rPr>
                  <w:rStyle w:val="InternetLink"/>
                  <w:rFonts w:ascii="Times New Roman;sans-serif" w:hAnsi="Times New Roman;sans-serif"/>
                  <w:b w:val="false"/>
                  <w:color w:val="0000FF"/>
                  <w:sz w:val="20"/>
                  <w:u w:val="single"/>
                </w:rPr>
                <w:t>Annex E: Sponsor Letter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8">
              <w:r>
                <w:rPr>
                  <w:rStyle w:val="InternetLink"/>
                  <w:rFonts w:ascii="Times New Roman;sans-serif" w:hAnsi="Times New Roman;sans-serif"/>
                  <w:b w:val="false"/>
                  <w:color w:val="0000FF"/>
                  <w:sz w:val="20"/>
                  <w:u w:val="single"/>
                </w:rPr>
                <w:t>Annex F: Form of Subscription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7">
              <w:r>
                <w:rPr>
                  <w:rStyle w:val="InternetLink"/>
                  <w:rFonts w:ascii="Times New Roman;sans-serif" w:hAnsi="Times New Roman;sans-serif"/>
                  <w:b w:val="false"/>
                  <w:color w:val="0000FF"/>
                  <w:sz w:val="20"/>
                  <w:u w:val="single"/>
                </w:rPr>
                <w:t>Annex G: Form of Amended and Restated Registration Rights and Lock-Up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05">
              <w:r>
                <w:rPr>
                  <w:rStyle w:val="InternetLink"/>
                  <w:rFonts w:ascii="Times New Roman;sans-serif" w:hAnsi="Times New Roman;sans-serif"/>
                  <w:b w:val="false"/>
                  <w:color w:val="0000FF"/>
                  <w:sz w:val="20"/>
                  <w:u w:val="single"/>
                </w:rPr>
                <w:t>Annex H: Nautilus Shareholder Transaction Support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2">
              <w:r>
                <w:rPr>
                  <w:rStyle w:val="InternetLink"/>
                  <w:rFonts w:ascii="Times New Roman;sans-serif" w:hAnsi="Times New Roman;sans-serif"/>
                  <w:b w:val="false"/>
                  <w:color w:val="0000FF"/>
                  <w:sz w:val="20"/>
                  <w:u w:val="single"/>
                </w:rPr>
                <w:t>Annex I: Form of Nautilus Biotechnology, Inc. 2021 Equity Incentive Plan</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9">
              <w:r>
                <w:rPr>
                  <w:rStyle w:val="InternetLink"/>
                  <w:rFonts w:ascii="Times New Roman;sans-serif" w:hAnsi="Times New Roman;sans-serif"/>
                  <w:b w:val="false"/>
                  <w:color w:val="0000FF"/>
                  <w:sz w:val="20"/>
                  <w:u w:val="single"/>
                </w:rPr>
                <w:t>Annex J: Form of Nautilus Biotechnology, Inc. 2021 Employee Stock Purchase Plan</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039">
              <w:r>
                <w:rPr>
                  <w:rStyle w:val="InternetLink"/>
                  <w:rFonts w:ascii="Times New Roman;sans-serif" w:hAnsi="Times New Roman;sans-serif"/>
                  <w:b w:val="false"/>
                  <w:color w:val="0000FF"/>
                  <w:sz w:val="20"/>
                  <w:u w:val="single"/>
                </w:rPr>
                <w:t>Annex K: Form of Proxy for the Extraordinary General Meeting</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1" name="Frame3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right"/>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spacing w:before="0" w:after="440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AGREEMENT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BY AND AMONG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MAKO MERGER SUB, INC.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spacing w:lineRule="auto" w:line="288" w:before="0" w:after="800"/>
        <w:jc w:val="center"/>
        <w:rPr>
          <w:rFonts w:ascii="Times New Roman;sans-serif" w:hAnsi="Times New Roman;sans-serif"/>
          <w:b/>
          <w:color w:val="000000"/>
          <w:sz w:val="20"/>
        </w:rPr>
      </w:pPr>
      <w:r>
        <w:rPr>
          <w:rFonts w:ascii="Times New Roman;sans-serif" w:hAnsi="Times New Roman;sans-serif"/>
          <w:b/>
          <w:color w:val="000000"/>
          <w:sz w:val="20"/>
        </w:rPr>
        <w:t xml:space="preserve">NAUTILUS BIOTECHNOLOGY, INC.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DATED AS OF FEBRUARY 7,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82" name="Frame3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jc w:val="right"/>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9449" w:type="dxa"/>
        <w:jc w:val="center"/>
        <w:tblInd w:w="0" w:type="dxa"/>
        <w:tblCellMar>
          <w:top w:w="28" w:type="dxa"/>
          <w:left w:w="28" w:type="dxa"/>
          <w:bottom w:w="28" w:type="dxa"/>
          <w:right w:w="28" w:type="dxa"/>
        </w:tblCellMar>
      </w:tblPr>
      <w:tblGrid>
        <w:gridCol w:w="687"/>
        <w:gridCol w:w="604"/>
        <w:gridCol w:w="604"/>
        <w:gridCol w:w="2291"/>
        <w:gridCol w:w="2291"/>
        <w:gridCol w:w="2326"/>
        <w:gridCol w:w="189"/>
        <w:gridCol w:w="189"/>
        <w:gridCol w:w="268"/>
      </w:tblGrid>
      <w:tr>
        <w:trPr/>
        <w:tc>
          <w:tcPr>
            <w:tcW w:w="68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1 CERTAIN DEFINITIONS</w:t>
            </w:r>
            <w:r>
              <w:rPr>
                <w:color w:val="000000"/>
              </w:rPr>
              <w:t xml:space="preserve"> </w:t>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Section 1.1</w:t>
            </w:r>
            <w:r>
              <w:rPr>
                <w:color w:val="000000"/>
              </w:rPr>
              <w:t>    </w:t>
            </w:r>
            <w:r>
              <w:rPr>
                <w:rFonts w:ascii="Times New Roman;sans-serif" w:hAnsi="Times New Roman;sans-serif"/>
                <w:b w:val="false"/>
                <w:color w:val="000000"/>
                <w:sz w:val="20"/>
              </w:rPr>
              <w:t>Definitions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2 MERGER</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2.1</w:t>
            </w:r>
            <w:r>
              <w:rPr>
                <w:color w:val="000000"/>
              </w:rPr>
              <w:t>    </w:t>
            </w:r>
            <w:r>
              <w:rPr>
                <w:rFonts w:ascii="Times New Roman;sans-serif" w:hAnsi="Times New Roman;sans-serif"/>
                <w:b w:val="false"/>
                <w:color w:val="000000"/>
                <w:sz w:val="20"/>
              </w:rPr>
              <w:t>Closing Transactions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2.2</w:t>
            </w:r>
            <w:r>
              <w:rPr>
                <w:color w:val="000000"/>
              </w:rPr>
              <w:t>    </w:t>
            </w:r>
            <w:r>
              <w:rPr>
                <w:rFonts w:ascii="Times New Roman;sans-serif" w:hAnsi="Times New Roman;sans-serif"/>
                <w:b w:val="false"/>
                <w:color w:val="000000"/>
                <w:sz w:val="20"/>
              </w:rPr>
              <w:t>Closing of the Transactions Contemplated by this Agreement</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2.3</w:t>
            </w:r>
            <w:r>
              <w:rPr>
                <w:color w:val="000000"/>
              </w:rPr>
              <w:t>    </w:t>
            </w:r>
            <w:r>
              <w:rPr>
                <w:rFonts w:ascii="Times New Roman;sans-serif" w:hAnsi="Times New Roman;sans-serif"/>
                <w:b w:val="false"/>
                <w:color w:val="000000"/>
                <w:sz w:val="20"/>
              </w:rPr>
              <w:t>Allocation Schedule; Aggregate Transaction Proceeds Schedule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2.4</w:t>
            </w:r>
            <w:r>
              <w:rPr>
                <w:color w:val="000000"/>
              </w:rPr>
              <w:t>    </w:t>
            </w:r>
            <w:r>
              <w:rPr>
                <w:rFonts w:ascii="Times New Roman;sans-serif" w:hAnsi="Times New Roman;sans-serif"/>
                <w:b w:val="false"/>
                <w:color w:val="000000"/>
                <w:sz w:val="20"/>
              </w:rPr>
              <w:t>Treatment of Company Options and Company Warrants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2.5</w:t>
            </w:r>
            <w:r>
              <w:rPr>
                <w:color w:val="000000"/>
              </w:rPr>
              <w:t>    </w:t>
            </w:r>
            <w:r>
              <w:rPr>
                <w:rFonts w:ascii="Times New Roman;sans-serif" w:hAnsi="Times New Roman;sans-serif"/>
                <w:b w:val="false"/>
                <w:color w:val="000000"/>
                <w:sz w:val="20"/>
              </w:rPr>
              <w:t>Company Shareholder Deliverables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2.6</w:t>
            </w:r>
            <w:r>
              <w:rPr>
                <w:color w:val="000000"/>
              </w:rPr>
              <w:t>    </w:t>
            </w:r>
            <w:r>
              <w:rPr>
                <w:rFonts w:ascii="Times New Roman;sans-serif" w:hAnsi="Times New Roman;sans-serif"/>
                <w:b w:val="false"/>
                <w:color w:val="000000"/>
                <w:sz w:val="20"/>
              </w:rPr>
              <w:t>Withholding</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2.7</w:t>
            </w:r>
            <w:r>
              <w:rPr>
                <w:color w:val="000000"/>
              </w:rPr>
              <w:t>    </w:t>
            </w:r>
            <w:r>
              <w:rPr>
                <w:rFonts w:ascii="Times New Roman;sans-serif" w:hAnsi="Times New Roman;sans-serif"/>
                <w:b w:val="false"/>
                <w:color w:val="000000"/>
                <w:sz w:val="20"/>
              </w:rPr>
              <w:t>Company Dissenting Shares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ind w:left="0" w:right="0" w:hanging="576"/>
              <w:jc w:val="left"/>
              <w:rPr/>
            </w:pPr>
            <w:r>
              <w:rPr>
                <w:rFonts w:ascii="Times New Roman;sans-serif" w:hAnsi="Times New Roman;sans-serif"/>
                <w:b/>
                <w:color w:val="000000"/>
                <w:sz w:val="20"/>
              </w:rPr>
              <w:t>ARTICLE 3 REPRESENTATIONS AND WARRANTIES RELATING TO THE GROUP COMPANIES</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w:t>
            </w:r>
            <w:r>
              <w:rPr>
                <w:color w:val="000000"/>
              </w:rPr>
              <w:t>    </w:t>
            </w:r>
            <w:r>
              <w:rPr>
                <w:rFonts w:ascii="Times New Roman;sans-serif" w:hAnsi="Times New Roman;sans-serif"/>
                <w:b w:val="false"/>
                <w:color w:val="000000"/>
                <w:sz w:val="20"/>
              </w:rPr>
              <w:t>Organization and Qualification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w:t>
            </w:r>
            <w:r>
              <w:rPr>
                <w:color w:val="000000"/>
              </w:rPr>
              <w:t>    </w:t>
            </w:r>
            <w:r>
              <w:rPr>
                <w:rFonts w:ascii="Times New Roman;sans-serif" w:hAnsi="Times New Roman;sans-serif"/>
                <w:b w:val="false"/>
                <w:color w:val="000000"/>
                <w:sz w:val="20"/>
              </w:rPr>
              <w:t>Capitalization of the Group Companies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3.3</w:t>
            </w:r>
            <w:r>
              <w:rPr>
                <w:color w:val="000000"/>
              </w:rPr>
              <w:t>    </w:t>
            </w:r>
            <w:r>
              <w:rPr>
                <w:rFonts w:ascii="Times New Roman;sans-serif" w:hAnsi="Times New Roman;sans-serif"/>
                <w:b w:val="false"/>
                <w:color w:val="000000"/>
                <w:sz w:val="20"/>
              </w:rPr>
              <w:t>Authority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3.4</w:t>
            </w:r>
            <w:r>
              <w:rPr>
                <w:color w:val="000000"/>
              </w:rPr>
              <w:t>    </w:t>
            </w:r>
            <w:r>
              <w:rPr>
                <w:rFonts w:ascii="Times New Roman;sans-serif" w:hAnsi="Times New Roman;sans-serif"/>
                <w:b w:val="false"/>
                <w:color w:val="000000"/>
                <w:sz w:val="20"/>
              </w:rPr>
              <w:t>Financial Statements; Undisclosed Liabilities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3.5</w:t>
            </w:r>
            <w:r>
              <w:rPr>
                <w:color w:val="000000"/>
              </w:rPr>
              <w:t>    </w:t>
            </w:r>
            <w:r>
              <w:rPr>
                <w:rFonts w:ascii="Times New Roman;sans-serif" w:hAnsi="Times New Roman;sans-serif"/>
                <w:b w:val="false"/>
                <w:color w:val="000000"/>
                <w:sz w:val="20"/>
              </w:rPr>
              <w:t>Consents and Requisite Governmental Approvals; No Violations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3.6</w:t>
            </w:r>
            <w:r>
              <w:rPr>
                <w:color w:val="000000"/>
              </w:rPr>
              <w:t>    </w:t>
            </w:r>
            <w:r>
              <w:rPr>
                <w:rFonts w:ascii="Times New Roman;sans-serif" w:hAnsi="Times New Roman;sans-serif"/>
                <w:b w:val="false"/>
                <w:color w:val="000000"/>
                <w:sz w:val="20"/>
              </w:rPr>
              <w:t>Permits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3.7</w:t>
            </w:r>
            <w:r>
              <w:rPr>
                <w:color w:val="000000"/>
              </w:rPr>
              <w:t>    </w:t>
            </w:r>
            <w:r>
              <w:rPr>
                <w:rFonts w:ascii="Times New Roman;sans-serif" w:hAnsi="Times New Roman;sans-serif"/>
                <w:b w:val="false"/>
                <w:color w:val="000000"/>
                <w:sz w:val="20"/>
              </w:rPr>
              <w:t>Material Contracts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3.8</w:t>
            </w:r>
            <w:r>
              <w:rPr>
                <w:color w:val="000000"/>
              </w:rPr>
              <w:t>    </w:t>
            </w:r>
            <w:r>
              <w:rPr>
                <w:rFonts w:ascii="Times New Roman;sans-serif" w:hAnsi="Times New Roman;sans-serif"/>
                <w:b w:val="false"/>
                <w:color w:val="000000"/>
                <w:sz w:val="20"/>
              </w:rPr>
              <w:t>Absence of Changes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3.9</w:t>
            </w:r>
            <w:r>
              <w:rPr>
                <w:color w:val="000000"/>
              </w:rPr>
              <w:t>    </w:t>
            </w:r>
            <w:r>
              <w:rPr>
                <w:rFonts w:ascii="Times New Roman;sans-serif" w:hAnsi="Times New Roman;sans-serif"/>
                <w:b w:val="false"/>
                <w:color w:val="000000"/>
                <w:sz w:val="20"/>
              </w:rPr>
              <w:t>Litigation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3.10</w:t>
            </w:r>
            <w:r>
              <w:rPr>
                <w:color w:val="000000"/>
              </w:rPr>
              <w:t>    </w:t>
            </w:r>
            <w:r>
              <w:rPr>
                <w:rFonts w:ascii="Times New Roman;sans-serif" w:hAnsi="Times New Roman;sans-serif"/>
                <w:b w:val="false"/>
                <w:color w:val="000000"/>
                <w:sz w:val="20"/>
              </w:rPr>
              <w:t>Compliance with Applicable Law</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3.11</w:t>
            </w:r>
            <w:r>
              <w:rPr>
                <w:color w:val="000000"/>
              </w:rPr>
              <w:t>    </w:t>
            </w:r>
            <w:r>
              <w:rPr>
                <w:rFonts w:ascii="Times New Roman;sans-serif" w:hAnsi="Times New Roman;sans-serif"/>
                <w:b w:val="false"/>
                <w:color w:val="000000"/>
                <w:sz w:val="20"/>
              </w:rPr>
              <w:t>Employee Plans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3.12</w:t>
            </w:r>
            <w:r>
              <w:rPr>
                <w:color w:val="000000"/>
              </w:rPr>
              <w:t>    </w:t>
            </w:r>
            <w:r>
              <w:rPr>
                <w:rFonts w:ascii="Times New Roman;sans-serif" w:hAnsi="Times New Roman;sans-serif"/>
                <w:b w:val="false"/>
                <w:color w:val="000000"/>
                <w:sz w:val="20"/>
              </w:rPr>
              <w:t>Environmental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3.13</w:t>
            </w:r>
            <w:r>
              <w:rPr>
                <w:color w:val="000000"/>
              </w:rPr>
              <w:t>    </w:t>
            </w:r>
            <w:r>
              <w:rPr>
                <w:rFonts w:ascii="Times New Roman;sans-serif" w:hAnsi="Times New Roman;sans-serif"/>
                <w:b w:val="false"/>
                <w:color w:val="000000"/>
                <w:sz w:val="20"/>
              </w:rPr>
              <w:t>Intellectual Property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3.14</w:t>
            </w:r>
            <w:r>
              <w:rPr>
                <w:color w:val="000000"/>
              </w:rPr>
              <w:t>    </w:t>
            </w:r>
            <w:r>
              <w:rPr>
                <w:rFonts w:ascii="Times New Roman;sans-serif" w:hAnsi="Times New Roman;sans-serif"/>
                <w:b w:val="false"/>
                <w:color w:val="000000"/>
                <w:sz w:val="20"/>
              </w:rPr>
              <w:t>Labor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3.15</w:t>
            </w:r>
            <w:r>
              <w:rPr>
                <w:color w:val="000000"/>
              </w:rPr>
              <w:t>    </w:t>
            </w:r>
            <w:r>
              <w:rPr>
                <w:rFonts w:ascii="Times New Roman;sans-serif" w:hAnsi="Times New Roman;sans-serif"/>
                <w:b w:val="false"/>
                <w:color w:val="000000"/>
                <w:sz w:val="20"/>
              </w:rPr>
              <w:t>Insurance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3.16</w:t>
            </w:r>
            <w:r>
              <w:rPr>
                <w:color w:val="000000"/>
              </w:rPr>
              <w:t>    </w:t>
            </w:r>
            <w:r>
              <w:rPr>
                <w:rFonts w:ascii="Times New Roman;sans-serif" w:hAnsi="Times New Roman;sans-serif"/>
                <w:b w:val="false"/>
                <w:color w:val="000000"/>
                <w:sz w:val="20"/>
              </w:rPr>
              <w:t>Tax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3.17</w:t>
            </w:r>
            <w:r>
              <w:rPr>
                <w:color w:val="000000"/>
              </w:rPr>
              <w:t>    </w:t>
            </w:r>
            <w:r>
              <w:rPr>
                <w:rFonts w:ascii="Times New Roman;sans-serif" w:hAnsi="Times New Roman;sans-serif"/>
                <w:b w:val="false"/>
                <w:color w:val="000000"/>
                <w:sz w:val="20"/>
              </w:rPr>
              <w:t>Brokers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3.18</w:t>
            </w:r>
            <w:r>
              <w:rPr>
                <w:color w:val="000000"/>
              </w:rPr>
              <w:t>    </w:t>
            </w:r>
            <w:r>
              <w:rPr>
                <w:rFonts w:ascii="Times New Roman;sans-serif" w:hAnsi="Times New Roman;sans-serif"/>
                <w:b w:val="false"/>
                <w:color w:val="000000"/>
                <w:sz w:val="20"/>
              </w:rPr>
              <w:t>Real and Personal Property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3.19</w:t>
            </w:r>
            <w:r>
              <w:rPr>
                <w:color w:val="000000"/>
              </w:rPr>
              <w:t>    </w:t>
            </w:r>
            <w:r>
              <w:rPr>
                <w:rFonts w:ascii="Times New Roman;sans-serif" w:hAnsi="Times New Roman;sans-serif"/>
                <w:b w:val="false"/>
                <w:color w:val="000000"/>
                <w:sz w:val="20"/>
              </w:rPr>
              <w:t>Transactions with Affiliates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3.20</w:t>
            </w:r>
            <w:r>
              <w:rPr>
                <w:color w:val="000000"/>
              </w:rPr>
              <w:t>    </w:t>
            </w:r>
            <w:r>
              <w:rPr>
                <w:rFonts w:ascii="Times New Roman;sans-serif" w:hAnsi="Times New Roman;sans-serif"/>
                <w:b w:val="false"/>
                <w:color w:val="000000"/>
                <w:sz w:val="20"/>
              </w:rPr>
              <w:t>Data Privacy and Security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3.21</w:t>
            </w:r>
            <w:r>
              <w:rPr>
                <w:color w:val="000000"/>
              </w:rPr>
              <w:t>    </w:t>
            </w:r>
            <w:r>
              <w:rPr>
                <w:rFonts w:ascii="Times New Roman;sans-serif" w:hAnsi="Times New Roman;sans-serif"/>
                <w:b w:val="false"/>
                <w:color w:val="000000"/>
                <w:sz w:val="20"/>
              </w:rPr>
              <w:t>Compliance with International Trade &amp; Anti-Corruption Laws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3.22</w:t>
            </w:r>
            <w:r>
              <w:rPr>
                <w:color w:val="000000"/>
              </w:rPr>
              <w:t>    </w:t>
            </w:r>
            <w:r>
              <w:rPr>
                <w:rFonts w:ascii="Times New Roman;sans-serif" w:hAnsi="Times New Roman;sans-serif"/>
                <w:b w:val="false"/>
                <w:color w:val="000000"/>
                <w:sz w:val="20"/>
              </w:rPr>
              <w:t>Information Supplied</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3.23</w:t>
            </w:r>
            <w:r>
              <w:rPr>
                <w:color w:val="000000"/>
              </w:rPr>
              <w:t>    </w:t>
            </w:r>
            <w:r>
              <w:rPr>
                <w:rFonts w:ascii="Times New Roman;sans-serif" w:hAnsi="Times New Roman;sans-serif"/>
                <w:b w:val="false"/>
                <w:color w:val="000000"/>
                <w:sz w:val="20"/>
              </w:rPr>
              <w:t>Regulatory Compliance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3.24</w:t>
            </w:r>
            <w:r>
              <w:rPr>
                <w:color w:val="000000"/>
              </w:rPr>
              <w:t>    </w:t>
            </w:r>
            <w:r>
              <w:rPr>
                <w:rFonts w:ascii="Times New Roman;sans-serif" w:hAnsi="Times New Roman;sans-serif"/>
                <w:b w:val="false"/>
                <w:color w:val="000000"/>
                <w:sz w:val="20"/>
              </w:rPr>
              <w:t>Investigation; No Other Representations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3.25</w:t>
            </w:r>
            <w:r>
              <w:rPr>
                <w:color w:val="000000"/>
              </w:rPr>
              <w:t>    </w:t>
            </w:r>
            <w:r>
              <w:rPr>
                <w:rFonts w:ascii="Times New Roman;sans-serif" w:hAnsi="Times New Roman;sans-serif"/>
                <w:b w:val="false"/>
                <w:color w:val="000000"/>
                <w:sz w:val="20"/>
              </w:rPr>
              <w:t>EXCLUSIVITY OF REPRESENTATIONS AND WARRANTIES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ARTICLE 4 REPRESENTATIONS AND WARRANTIES RELATING TO THE ARYA PARTIES</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39</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w:t>
            </w:r>
            <w:r>
              <w:rPr>
                <w:color w:val="000000"/>
              </w:rPr>
              <w:t>    </w:t>
            </w:r>
            <w:r>
              <w:rPr>
                <w:rFonts w:ascii="Times New Roman;sans-serif" w:hAnsi="Times New Roman;sans-serif"/>
                <w:b w:val="false"/>
                <w:color w:val="000000"/>
                <w:sz w:val="20"/>
              </w:rPr>
              <w:t>Organization and Qualification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w:t>
            </w:r>
            <w:r>
              <w:rPr>
                <w:color w:val="000000"/>
              </w:rPr>
              <w:t>    </w:t>
            </w:r>
            <w:r>
              <w:rPr>
                <w:rFonts w:ascii="Times New Roman;sans-serif" w:hAnsi="Times New Roman;sans-serif"/>
                <w:b w:val="false"/>
                <w:color w:val="000000"/>
                <w:sz w:val="20"/>
              </w:rPr>
              <w:t>Authority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HorizontalLine"/>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3" name="Frame3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180"/>
        <w:jc w:val="right"/>
        <w:rPr/>
      </w:pPr>
      <w:r>
        <w:rPr/>
      </w:r>
    </w:p>
    <w:tbl>
      <w:tblPr>
        <w:tblW w:w="7628" w:type="dxa"/>
        <w:jc w:val="center"/>
        <w:tblInd w:w="0" w:type="dxa"/>
        <w:tblCellMar>
          <w:top w:w="28" w:type="dxa"/>
          <w:left w:w="28" w:type="dxa"/>
          <w:bottom w:w="28" w:type="dxa"/>
          <w:right w:w="28" w:type="dxa"/>
        </w:tblCellMar>
      </w:tblPr>
      <w:tblGrid>
        <w:gridCol w:w="124"/>
        <w:gridCol w:w="109"/>
        <w:gridCol w:w="109"/>
        <w:gridCol w:w="2303"/>
        <w:gridCol w:w="2303"/>
        <w:gridCol w:w="230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4.3</w:t>
            </w:r>
            <w:r>
              <w:rPr>
                <w:color w:val="000000"/>
              </w:rPr>
              <w:t>    </w:t>
            </w:r>
            <w:r>
              <w:rPr>
                <w:rFonts w:ascii="Times New Roman;sans-serif" w:hAnsi="Times New Roman;sans-serif"/>
                <w:b w:val="false"/>
                <w:color w:val="000000"/>
                <w:sz w:val="20"/>
              </w:rPr>
              <w:t>Consents and Requisite Governmental Approvals; No Violations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4.4</w:t>
            </w:r>
            <w:r>
              <w:rPr>
                <w:color w:val="000000"/>
              </w:rPr>
              <w:t>    </w:t>
            </w:r>
            <w:r>
              <w:rPr>
                <w:rFonts w:ascii="Times New Roman;sans-serif" w:hAnsi="Times New Roman;sans-serif"/>
                <w:b w:val="false"/>
                <w:color w:val="000000"/>
                <w:sz w:val="20"/>
              </w:rPr>
              <w:t>Brokers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4.5</w:t>
            </w:r>
            <w:r>
              <w:rPr>
                <w:color w:val="000000"/>
              </w:rPr>
              <w:t>    </w:t>
            </w:r>
            <w:r>
              <w:rPr>
                <w:rFonts w:ascii="Times New Roman;sans-serif" w:hAnsi="Times New Roman;sans-serif"/>
                <w:b w:val="false"/>
                <w:color w:val="000000"/>
                <w:sz w:val="20"/>
              </w:rPr>
              <w:t>Information Supplied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4.6</w:t>
            </w:r>
            <w:r>
              <w:rPr>
                <w:color w:val="000000"/>
              </w:rPr>
              <w:t>    </w:t>
            </w:r>
            <w:r>
              <w:rPr>
                <w:rFonts w:ascii="Times New Roman;sans-serif" w:hAnsi="Times New Roman;sans-serif"/>
                <w:b w:val="false"/>
                <w:color w:val="000000"/>
                <w:sz w:val="20"/>
              </w:rPr>
              <w:t>Capitalization of the ARYA 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4.7</w:t>
            </w:r>
            <w:r>
              <w:rPr>
                <w:color w:val="000000"/>
              </w:rPr>
              <w:t>    </w:t>
            </w:r>
            <w:r>
              <w:rPr>
                <w:rFonts w:ascii="Times New Roman;sans-serif" w:hAnsi="Times New Roman;sans-serif"/>
                <w:b w:val="false"/>
                <w:color w:val="000000"/>
                <w:sz w:val="20"/>
              </w:rPr>
              <w:t>SEC Filings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4.8</w:t>
            </w:r>
            <w:r>
              <w:rPr>
                <w:color w:val="000000"/>
              </w:rPr>
              <w:t>    </w:t>
            </w:r>
            <w:r>
              <w:rPr>
                <w:rFonts w:ascii="Times New Roman;sans-serif" w:hAnsi="Times New Roman;sans-serif"/>
                <w:b w:val="false"/>
                <w:color w:val="000000"/>
                <w:sz w:val="20"/>
              </w:rPr>
              <w:t>Absence of Changes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4.9</w:t>
            </w:r>
            <w:r>
              <w:rPr>
                <w:color w:val="000000"/>
              </w:rPr>
              <w:t>    </w:t>
            </w:r>
            <w:r>
              <w:rPr>
                <w:rFonts w:ascii="Times New Roman;sans-serif" w:hAnsi="Times New Roman;sans-serif"/>
                <w:b w:val="false"/>
                <w:color w:val="000000"/>
                <w:sz w:val="20"/>
              </w:rPr>
              <w:t>Contracts; No Defaults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4.10</w:t>
            </w:r>
            <w:r>
              <w:rPr>
                <w:color w:val="000000"/>
              </w:rPr>
              <w:t>    </w:t>
            </w:r>
            <w:r>
              <w:rPr>
                <w:rFonts w:ascii="Times New Roman;sans-serif" w:hAnsi="Times New Roman;sans-serif"/>
                <w:b w:val="false"/>
                <w:color w:val="000000"/>
                <w:sz w:val="20"/>
              </w:rPr>
              <w:t>Investment Company Act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4.11</w:t>
            </w:r>
            <w:r>
              <w:rPr>
                <w:color w:val="000000"/>
              </w:rPr>
              <w:t>    </w:t>
            </w:r>
            <w:r>
              <w:rPr>
                <w:rFonts w:ascii="Times New Roman;sans-serif" w:hAnsi="Times New Roman;sans-serif"/>
                <w:b w:val="false"/>
                <w:color w:val="000000"/>
                <w:sz w:val="20"/>
              </w:rPr>
              <w:t>Trust Account; Financial Ability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4.12</w:t>
            </w:r>
            <w:r>
              <w:rPr>
                <w:color w:val="000000"/>
              </w:rPr>
              <w:t>    </w:t>
            </w:r>
            <w:r>
              <w:rPr>
                <w:rFonts w:ascii="Times New Roman;sans-serif" w:hAnsi="Times New Roman;sans-serif"/>
                <w:b w:val="false"/>
                <w:color w:val="000000"/>
                <w:sz w:val="20"/>
              </w:rPr>
              <w:t>Transactions with Affiliates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4.13</w:t>
            </w:r>
            <w:r>
              <w:rPr>
                <w:color w:val="000000"/>
              </w:rPr>
              <w:t>    </w:t>
            </w:r>
            <w:r>
              <w:rPr>
                <w:rFonts w:ascii="Times New Roman;sans-serif" w:hAnsi="Times New Roman;sans-serif"/>
                <w:b w:val="false"/>
                <w:color w:val="000000"/>
                <w:sz w:val="20"/>
              </w:rPr>
              <w:t>Litigation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4.14</w:t>
            </w:r>
            <w:r>
              <w:rPr>
                <w:color w:val="000000"/>
              </w:rPr>
              <w:t>    </w:t>
            </w:r>
            <w:r>
              <w:rPr>
                <w:rFonts w:ascii="Times New Roman;sans-serif" w:hAnsi="Times New Roman;sans-serif"/>
                <w:b w:val="false"/>
                <w:color w:val="000000"/>
                <w:sz w:val="20"/>
              </w:rPr>
              <w:t>Compliance with Applicable Law</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4.15</w:t>
            </w:r>
            <w:r>
              <w:rPr>
                <w:color w:val="000000"/>
              </w:rPr>
              <w:t>    </w:t>
            </w:r>
            <w:r>
              <w:rPr>
                <w:rFonts w:ascii="Times New Roman;sans-serif" w:hAnsi="Times New Roman;sans-serif"/>
                <w:b w:val="false"/>
                <w:color w:val="000000"/>
                <w:sz w:val="20"/>
              </w:rPr>
              <w:t>ARYA Party Activities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4.16</w:t>
            </w:r>
            <w:r>
              <w:rPr>
                <w:color w:val="000000"/>
              </w:rPr>
              <w:t>    </w:t>
            </w:r>
            <w:r>
              <w:rPr>
                <w:rFonts w:ascii="Times New Roman;sans-serif" w:hAnsi="Times New Roman;sans-serif"/>
                <w:b w:val="false"/>
                <w:color w:val="000000"/>
                <w:sz w:val="20"/>
              </w:rPr>
              <w:t>Internal Controls; Listing; Financial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4.17</w:t>
            </w:r>
            <w:r>
              <w:rPr>
                <w:color w:val="000000"/>
              </w:rPr>
              <w:t>    </w:t>
            </w:r>
            <w:r>
              <w:rPr>
                <w:rFonts w:ascii="Times New Roman;sans-serif" w:hAnsi="Times New Roman;sans-serif"/>
                <w:b w:val="false"/>
                <w:color w:val="000000"/>
                <w:sz w:val="20"/>
              </w:rPr>
              <w:t>No Undisclosed Liabilities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4.18</w:t>
            </w:r>
            <w:r>
              <w:rPr>
                <w:color w:val="000000"/>
              </w:rPr>
              <w:t>    </w:t>
            </w:r>
            <w:r>
              <w:rPr>
                <w:rFonts w:ascii="Times New Roman;sans-serif" w:hAnsi="Times New Roman;sans-serif"/>
                <w:b w:val="false"/>
                <w:color w:val="000000"/>
                <w:sz w:val="20"/>
              </w:rPr>
              <w:t>Employees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4.19</w:t>
            </w:r>
            <w:r>
              <w:rPr>
                <w:color w:val="000000"/>
              </w:rPr>
              <w:t>    </w:t>
            </w:r>
            <w:r>
              <w:rPr>
                <w:rFonts w:ascii="Times New Roman;sans-serif" w:hAnsi="Times New Roman;sans-serif"/>
                <w:b w:val="false"/>
                <w:color w:val="000000"/>
                <w:sz w:val="20"/>
              </w:rPr>
              <w:t>Tax Matters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4.20</w:t>
            </w:r>
            <w:r>
              <w:rPr>
                <w:color w:val="000000"/>
              </w:rPr>
              <w:t>    </w:t>
            </w:r>
            <w:r>
              <w:rPr>
                <w:rFonts w:ascii="Times New Roman;sans-serif" w:hAnsi="Times New Roman;sans-serif"/>
                <w:b w:val="false"/>
                <w:color w:val="000000"/>
                <w:sz w:val="20"/>
              </w:rPr>
              <w:t>CFIUS Foreign Person Status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4.21</w:t>
            </w:r>
            <w:r>
              <w:rPr>
                <w:color w:val="000000"/>
              </w:rPr>
              <w:t>    </w:t>
            </w:r>
            <w:r>
              <w:rPr>
                <w:rFonts w:ascii="Times New Roman;sans-serif" w:hAnsi="Times New Roman;sans-serif"/>
                <w:b w:val="false"/>
                <w:color w:val="000000"/>
                <w:sz w:val="20"/>
              </w:rPr>
              <w:t>Compliance with International Trade &amp; Anti-Corruption Laws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4.22</w:t>
            </w:r>
            <w:r>
              <w:rPr>
                <w:color w:val="000000"/>
              </w:rPr>
              <w:t>    </w:t>
            </w:r>
            <w:r>
              <w:rPr>
                <w:rFonts w:ascii="Times New Roman;sans-serif" w:hAnsi="Times New Roman;sans-serif"/>
                <w:b w:val="false"/>
                <w:color w:val="000000"/>
                <w:sz w:val="20"/>
              </w:rPr>
              <w:t>Change of Control Payments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4.23</w:t>
            </w:r>
            <w:r>
              <w:rPr>
                <w:color w:val="000000"/>
              </w:rPr>
              <w:t>    </w:t>
            </w:r>
            <w:r>
              <w:rPr>
                <w:rFonts w:ascii="Times New Roman;sans-serif" w:hAnsi="Times New Roman;sans-serif"/>
                <w:b w:val="false"/>
                <w:color w:val="000000"/>
                <w:sz w:val="20"/>
              </w:rPr>
              <w:t>PIPE Financing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4.24</w:t>
            </w:r>
            <w:r>
              <w:rPr>
                <w:color w:val="000000"/>
              </w:rPr>
              <w:t>    </w:t>
            </w:r>
            <w:r>
              <w:rPr>
                <w:rFonts w:ascii="Times New Roman;sans-serif" w:hAnsi="Times New Roman;sans-serif"/>
                <w:b w:val="false"/>
                <w:color w:val="000000"/>
                <w:sz w:val="20"/>
              </w:rPr>
              <w:t>Investigation; No Other Representations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4.25</w:t>
            </w:r>
            <w:r>
              <w:rPr>
                <w:color w:val="000000"/>
              </w:rPr>
              <w:t>    </w:t>
            </w:r>
            <w:r>
              <w:rPr>
                <w:rFonts w:ascii="Times New Roman;sans-serif" w:hAnsi="Times New Roman;sans-serif"/>
                <w:b w:val="false"/>
                <w:color w:val="000000"/>
                <w:sz w:val="20"/>
              </w:rPr>
              <w:t>EXCLUSIVITY OF REPRESENTATIONS AND WARRANTIES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5 COVENANTS</w:t>
            </w:r>
            <w:r>
              <w:rPr>
                <w:color w:val="000000"/>
              </w:rPr>
              <w:t xml:space="preserve">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w:t>
            </w:r>
            <w:r>
              <w:rPr>
                <w:color w:val="000000"/>
              </w:rPr>
              <w:t>    </w:t>
            </w:r>
            <w:r>
              <w:rPr>
                <w:rFonts w:ascii="Times New Roman;sans-serif" w:hAnsi="Times New Roman;sans-serif"/>
                <w:b w:val="false"/>
                <w:color w:val="000000"/>
                <w:sz w:val="20"/>
              </w:rPr>
              <w:t>Conduct of Business of the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w:t>
            </w:r>
            <w:r>
              <w:rPr>
                <w:color w:val="000000"/>
              </w:rPr>
              <w:t>    </w:t>
            </w:r>
            <w:r>
              <w:rPr>
                <w:rFonts w:ascii="Times New Roman;sans-serif" w:hAnsi="Times New Roman;sans-serif"/>
                <w:b w:val="false"/>
                <w:color w:val="000000"/>
                <w:sz w:val="20"/>
              </w:rPr>
              <w:t>Efforts to Consummate; Transaction Litigation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5.3</w:t>
            </w:r>
            <w:r>
              <w:rPr>
                <w:color w:val="000000"/>
              </w:rPr>
              <w:t>    </w:t>
            </w:r>
            <w:r>
              <w:rPr>
                <w:rFonts w:ascii="Times New Roman;sans-serif" w:hAnsi="Times New Roman;sans-serif"/>
                <w:b w:val="false"/>
                <w:color w:val="000000"/>
                <w:sz w:val="20"/>
              </w:rPr>
              <w:t>Confidentiality and Access to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5.4</w:t>
            </w:r>
            <w:r>
              <w:rPr>
                <w:color w:val="000000"/>
              </w:rPr>
              <w:t>    </w:t>
            </w:r>
            <w:r>
              <w:rPr>
                <w:rFonts w:ascii="Times New Roman;sans-serif" w:hAnsi="Times New Roman;sans-serif"/>
                <w:b w:val="false"/>
                <w:color w:val="000000"/>
                <w:sz w:val="20"/>
              </w:rPr>
              <w:t>Public Announcements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5.5</w:t>
            </w:r>
            <w:r>
              <w:rPr>
                <w:color w:val="000000"/>
              </w:rPr>
              <w:t>    </w:t>
            </w:r>
            <w:r>
              <w:rPr>
                <w:rFonts w:ascii="Times New Roman;sans-serif" w:hAnsi="Times New Roman;sans-serif"/>
                <w:b w:val="false"/>
                <w:color w:val="000000"/>
                <w:sz w:val="20"/>
              </w:rPr>
              <w:t>Tax Matters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5.6</w:t>
            </w:r>
            <w:r>
              <w:rPr>
                <w:color w:val="000000"/>
              </w:rPr>
              <w:t>    </w:t>
            </w:r>
            <w:r>
              <w:rPr>
                <w:rFonts w:ascii="Times New Roman;sans-serif" w:hAnsi="Times New Roman;sans-serif"/>
                <w:b w:val="false"/>
                <w:color w:val="000000"/>
                <w:sz w:val="20"/>
              </w:rPr>
              <w:t>Company Exclusive Dealing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5.7</w:t>
            </w:r>
            <w:r>
              <w:rPr>
                <w:color w:val="000000"/>
              </w:rPr>
              <w:t>    </w:t>
            </w:r>
            <w:r>
              <w:rPr>
                <w:rFonts w:ascii="Times New Roman;sans-serif" w:hAnsi="Times New Roman;sans-serif"/>
                <w:b w:val="false"/>
                <w:color w:val="000000"/>
                <w:sz w:val="20"/>
              </w:rPr>
              <w:t>ARYA Exclusive Dealing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5.8</w:t>
            </w:r>
            <w:r>
              <w:rPr>
                <w:color w:val="000000"/>
              </w:rPr>
              <w:t>    </w:t>
            </w:r>
            <w:r>
              <w:rPr>
                <w:rFonts w:ascii="Times New Roman;sans-serif" w:hAnsi="Times New Roman;sans-serif"/>
                <w:b w:val="false"/>
                <w:color w:val="000000"/>
                <w:sz w:val="20"/>
              </w:rPr>
              <w:t>Preparation of Registration Statement /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5.9</w:t>
            </w:r>
            <w:r>
              <w:rPr>
                <w:color w:val="000000"/>
              </w:rPr>
              <w:t>    </w:t>
            </w:r>
            <w:r>
              <w:rPr>
                <w:rFonts w:ascii="Times New Roman;sans-serif" w:hAnsi="Times New Roman;sans-serif"/>
                <w:b w:val="false"/>
                <w:color w:val="000000"/>
                <w:sz w:val="20"/>
              </w:rPr>
              <w:t>ARYA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5.10</w:t>
            </w:r>
            <w:r>
              <w:rPr>
                <w:color w:val="000000"/>
              </w:rPr>
              <w:t>    </w:t>
            </w:r>
            <w:r>
              <w:rPr>
                <w:rFonts w:ascii="Times New Roman;sans-serif" w:hAnsi="Times New Roman;sans-serif"/>
                <w:b w:val="false"/>
                <w:color w:val="000000"/>
                <w:sz w:val="20"/>
              </w:rPr>
              <w:t>Merger Sub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5.11</w:t>
            </w:r>
            <w:r>
              <w:rPr>
                <w:color w:val="000000"/>
              </w:rPr>
              <w:t>    </w:t>
            </w:r>
            <w:r>
              <w:rPr>
                <w:rFonts w:ascii="Times New Roman;sans-serif" w:hAnsi="Times New Roman;sans-serif"/>
                <w:b w:val="false"/>
                <w:color w:val="000000"/>
                <w:sz w:val="20"/>
              </w:rPr>
              <w:t>Conduct of Business of ARYA</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5.12</w:t>
            </w:r>
            <w:r>
              <w:rPr>
                <w:color w:val="000000"/>
              </w:rPr>
              <w:t>    </w:t>
            </w:r>
            <w:r>
              <w:rPr>
                <w:rFonts w:ascii="Times New Roman;sans-serif" w:hAnsi="Times New Roman;sans-serif"/>
                <w:b w:val="false"/>
                <w:color w:val="000000"/>
                <w:sz w:val="20"/>
              </w:rPr>
              <w:t>Nasdaq Listing; ARYA Public Filings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5.13</w:t>
            </w:r>
            <w:r>
              <w:rPr>
                <w:color w:val="000000"/>
              </w:rPr>
              <w:t>    </w:t>
            </w:r>
            <w:r>
              <w:rPr>
                <w:rFonts w:ascii="Times New Roman;sans-serif" w:hAnsi="Times New Roman;sans-serif"/>
                <w:b w:val="false"/>
                <w:color w:val="000000"/>
                <w:sz w:val="20"/>
              </w:rPr>
              <w:t>Trust Account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5.14</w:t>
            </w:r>
            <w:r>
              <w:rPr>
                <w:color w:val="000000"/>
              </w:rPr>
              <w:t>    </w:t>
            </w:r>
            <w:r>
              <w:rPr>
                <w:rFonts w:ascii="Times New Roman;sans-serif" w:hAnsi="Times New Roman;sans-serif"/>
                <w:b w:val="false"/>
                <w:color w:val="000000"/>
                <w:sz w:val="20"/>
              </w:rPr>
              <w:t>Company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5.15</w:t>
            </w:r>
            <w:r>
              <w:rPr>
                <w:color w:val="000000"/>
              </w:rPr>
              <w:t>    </w:t>
            </w:r>
            <w:r>
              <w:rPr>
                <w:rFonts w:ascii="Times New Roman;sans-serif" w:hAnsi="Times New Roman;sans-serif"/>
                <w:b w:val="false"/>
                <w:color w:val="000000"/>
                <w:sz w:val="20"/>
              </w:rPr>
              <w:t>Financing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5.16</w:t>
            </w:r>
            <w:r>
              <w:rPr>
                <w:color w:val="000000"/>
              </w:rPr>
              <w:t>    </w:t>
            </w:r>
            <w:r>
              <w:rPr>
                <w:rFonts w:ascii="Times New Roman;sans-serif" w:hAnsi="Times New Roman;sans-serif"/>
                <w:b w:val="false"/>
                <w:color w:val="000000"/>
                <w:sz w:val="20"/>
              </w:rPr>
              <w:t>ARYA Indemnification; Directors’ and Officers’ Insurance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5.17</w:t>
            </w:r>
            <w:r>
              <w:rPr>
                <w:color w:val="000000"/>
              </w:rPr>
              <w:t>    </w:t>
            </w:r>
            <w:r>
              <w:rPr>
                <w:rFonts w:ascii="Times New Roman;sans-serif" w:hAnsi="Times New Roman;sans-serif"/>
                <w:b w:val="false"/>
                <w:color w:val="000000"/>
                <w:sz w:val="20"/>
              </w:rPr>
              <w:t>Company Indemnification; Directors’ and Officers’ Insurance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5.18</w:t>
            </w:r>
            <w:r>
              <w:rPr>
                <w:color w:val="000000"/>
              </w:rPr>
              <w:t>    </w:t>
            </w:r>
            <w:r>
              <w:rPr>
                <w:rFonts w:ascii="Times New Roman;sans-serif" w:hAnsi="Times New Roman;sans-serif"/>
                <w:b w:val="false"/>
                <w:color w:val="000000"/>
                <w:sz w:val="20"/>
              </w:rPr>
              <w:t>Post-Closing Directors and Officers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5.19</w:t>
            </w:r>
            <w:r>
              <w:rPr>
                <w:color w:val="000000"/>
              </w:rPr>
              <w:t>    </w:t>
            </w:r>
            <w:r>
              <w:rPr>
                <w:rFonts w:ascii="Times New Roman;sans-serif" w:hAnsi="Times New Roman;sans-serif"/>
                <w:b w:val="false"/>
                <w:color w:val="000000"/>
                <w:sz w:val="20"/>
              </w:rPr>
              <w:t>PCAOB Financials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5.20</w:t>
            </w:r>
            <w:r>
              <w:rPr>
                <w:color w:val="000000"/>
              </w:rPr>
              <w:t>    </w:t>
            </w:r>
            <w:r>
              <w:rPr>
                <w:rFonts w:ascii="Times New Roman;sans-serif" w:hAnsi="Times New Roman;sans-serif"/>
                <w:b w:val="false"/>
                <w:color w:val="000000"/>
                <w:sz w:val="20"/>
              </w:rPr>
              <w:t>ARYA Incentive Equity Plan; ARYA Employee Stock Purchase Plan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HorizontalLine"/>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84" name="Frame3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180"/>
        <w:jc w:val="right"/>
        <w:rPr/>
      </w:pPr>
      <w:r>
        <w:rPr/>
      </w:r>
    </w:p>
    <w:tbl>
      <w:tblPr>
        <w:tblW w:w="10205" w:type="dxa"/>
        <w:jc w:val="center"/>
        <w:tblInd w:w="0" w:type="dxa"/>
        <w:tblCellMar>
          <w:top w:w="28" w:type="dxa"/>
          <w:left w:w="28" w:type="dxa"/>
          <w:bottom w:w="28" w:type="dxa"/>
          <w:right w:w="28" w:type="dxa"/>
        </w:tblCellMar>
      </w:tblPr>
      <w:tblGrid>
        <w:gridCol w:w="316"/>
        <w:gridCol w:w="278"/>
        <w:gridCol w:w="278"/>
        <w:gridCol w:w="3015"/>
        <w:gridCol w:w="2969"/>
        <w:gridCol w:w="2973"/>
        <w:gridCol w:w="109"/>
        <w:gridCol w:w="109"/>
        <w:gridCol w:w="158"/>
      </w:tblGrid>
      <w:tr>
        <w:trPr/>
        <w:tc>
          <w:tcPr>
            <w:tcW w:w="31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5.21</w:t>
            </w:r>
            <w:r>
              <w:rPr>
                <w:color w:val="000000"/>
              </w:rPr>
              <w:t>    </w:t>
            </w:r>
            <w:r>
              <w:rPr>
                <w:rFonts w:ascii="Times New Roman;sans-serif" w:hAnsi="Times New Roman;sans-serif"/>
                <w:b w:val="false"/>
                <w:color w:val="000000"/>
                <w:sz w:val="20"/>
              </w:rPr>
              <w:t>FIRPTA Certificates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5.22</w:t>
            </w:r>
            <w:r>
              <w:rPr>
                <w:color w:val="000000"/>
              </w:rPr>
              <w:t>    </w:t>
            </w:r>
            <w:r>
              <w:rPr>
                <w:rFonts w:ascii="Times New Roman;sans-serif" w:hAnsi="Times New Roman;sans-serif"/>
                <w:b w:val="false"/>
                <w:color w:val="000000"/>
                <w:sz w:val="20"/>
              </w:rPr>
              <w:t>Employee Benefits Matters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5.23</w:t>
            </w:r>
            <w:r>
              <w:rPr>
                <w:color w:val="000000"/>
              </w:rPr>
              <w:t>    </w:t>
            </w:r>
            <w:r>
              <w:rPr>
                <w:rFonts w:ascii="Times New Roman;sans-serif" w:hAnsi="Times New Roman;sans-serif"/>
                <w:b w:val="false"/>
                <w:color w:val="000000"/>
                <w:sz w:val="20"/>
              </w:rPr>
              <w:t>Bylaws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ind w:left="0" w:right="0" w:hanging="576"/>
              <w:jc w:val="left"/>
              <w:rPr/>
            </w:pPr>
            <w:r>
              <w:rPr>
                <w:rFonts w:ascii="Times New Roman;sans-serif" w:hAnsi="Times New Roman;sans-serif"/>
                <w:b/>
                <w:color w:val="000000"/>
                <w:sz w:val="20"/>
              </w:rPr>
              <w:t>ARTICLE 6 CONDITIONS TO CONSUMMATION OF THE TRANSACTIONS CONTEMPLATED BY THIS AGREEMENT</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6.1</w:t>
            </w:r>
            <w:r>
              <w:rPr>
                <w:color w:val="000000"/>
              </w:rPr>
              <w:t>    </w:t>
            </w:r>
            <w:r>
              <w:rPr>
                <w:rFonts w:ascii="Times New Roman;sans-serif" w:hAnsi="Times New Roman;sans-serif"/>
                <w:b w:val="false"/>
                <w:color w:val="000000"/>
                <w:sz w:val="20"/>
              </w:rPr>
              <w:t>Conditions to the Obligations of the Parties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6.2</w:t>
            </w:r>
            <w:r>
              <w:rPr>
                <w:color w:val="000000"/>
              </w:rPr>
              <w:t>    </w:t>
            </w:r>
            <w:r>
              <w:rPr>
                <w:rFonts w:ascii="Times New Roman;sans-serif" w:hAnsi="Times New Roman;sans-serif"/>
                <w:b w:val="false"/>
                <w:color w:val="000000"/>
                <w:sz w:val="20"/>
              </w:rPr>
              <w:t>Other Conditions to the Obligations of the ARYA Parties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6.3</w:t>
            </w:r>
            <w:r>
              <w:rPr>
                <w:color w:val="000000"/>
              </w:rPr>
              <w:t>    </w:t>
            </w:r>
            <w:r>
              <w:rPr>
                <w:rFonts w:ascii="Times New Roman;sans-serif" w:hAnsi="Times New Roman;sans-serif"/>
                <w:b w:val="false"/>
                <w:color w:val="000000"/>
                <w:sz w:val="20"/>
              </w:rPr>
              <w:t>Other Conditions to the Obligations of the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6.4</w:t>
            </w:r>
            <w:r>
              <w:rPr>
                <w:color w:val="000000"/>
              </w:rPr>
              <w:t>    </w:t>
            </w:r>
            <w:r>
              <w:rPr>
                <w:rFonts w:ascii="Times New Roman;sans-serif" w:hAnsi="Times New Roman;sans-serif"/>
                <w:b w:val="false"/>
                <w:color w:val="000000"/>
                <w:sz w:val="20"/>
              </w:rPr>
              <w:t>Frustration of Closing Conditions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7 TERMINATION</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71</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7.1</w:t>
            </w:r>
            <w:r>
              <w:rPr>
                <w:color w:val="000000"/>
              </w:rPr>
              <w:t>    </w:t>
            </w:r>
            <w:r>
              <w:rPr>
                <w:rFonts w:ascii="Times New Roman;sans-serif" w:hAnsi="Times New Roman;sans-serif"/>
                <w:b w:val="false"/>
                <w:color w:val="000000"/>
                <w:sz w:val="20"/>
              </w:rPr>
              <w:t>Termination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7.2</w:t>
            </w:r>
            <w:r>
              <w:rPr>
                <w:color w:val="000000"/>
              </w:rPr>
              <w:t>    </w:t>
            </w:r>
            <w:r>
              <w:rPr>
                <w:rFonts w:ascii="Times New Roman;sans-serif" w:hAnsi="Times New Roman;sans-serif"/>
                <w:b w:val="false"/>
                <w:color w:val="000000"/>
                <w:sz w:val="20"/>
              </w:rPr>
              <w:t>Effect of Termination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8 MISCELLANEOUS</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w:t>
            </w:r>
            <w:r>
              <w:rPr>
                <w:color w:val="000000"/>
              </w:rPr>
              <w:t>    </w:t>
            </w:r>
            <w:r>
              <w:rPr>
                <w:rFonts w:ascii="Times New Roman;sans-serif" w:hAnsi="Times New Roman;sans-serif"/>
                <w:b w:val="false"/>
                <w:color w:val="000000"/>
                <w:sz w:val="20"/>
              </w:rPr>
              <w:t>Non-Survival</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8.2</w:t>
            </w:r>
            <w:r>
              <w:rPr>
                <w:color w:val="000000"/>
              </w:rPr>
              <w:t>    </w:t>
            </w:r>
            <w:r>
              <w:rPr>
                <w:rFonts w:ascii="Times New Roman;sans-serif" w:hAnsi="Times New Roman;sans-serif"/>
                <w:b w:val="false"/>
                <w:color w:val="000000"/>
                <w:sz w:val="20"/>
              </w:rPr>
              <w:t>Entire Agreement; Assignment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8.3</w:t>
            </w:r>
            <w:r>
              <w:rPr>
                <w:color w:val="000000"/>
              </w:rPr>
              <w:t>    </w:t>
            </w:r>
            <w:r>
              <w:rPr>
                <w:rFonts w:ascii="Times New Roman;sans-serif" w:hAnsi="Times New Roman;sans-serif"/>
                <w:b w:val="false"/>
                <w:color w:val="000000"/>
                <w:sz w:val="20"/>
              </w:rPr>
              <w:t>Amendment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8.4</w:t>
            </w:r>
            <w:r>
              <w:rPr>
                <w:color w:val="000000"/>
              </w:rPr>
              <w:t>    </w:t>
            </w:r>
            <w:r>
              <w:rPr>
                <w:rFonts w:ascii="Times New Roman;sans-serif" w:hAnsi="Times New Roman;sans-serif"/>
                <w:b w:val="false"/>
                <w:color w:val="000000"/>
                <w:sz w:val="20"/>
              </w:rPr>
              <w:t>Notices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8.5</w:t>
            </w:r>
            <w:r>
              <w:rPr>
                <w:color w:val="000000"/>
              </w:rPr>
              <w:t>    </w:t>
            </w:r>
            <w:r>
              <w:rPr>
                <w:rFonts w:ascii="Times New Roman;sans-serif" w:hAnsi="Times New Roman;sans-serif"/>
                <w:b w:val="false"/>
                <w:color w:val="000000"/>
                <w:sz w:val="20"/>
              </w:rPr>
              <w:t>Governing Law</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8.6</w:t>
            </w:r>
            <w:r>
              <w:rPr>
                <w:color w:val="000000"/>
              </w:rPr>
              <w:t>    </w:t>
            </w:r>
            <w:r>
              <w:rPr>
                <w:rFonts w:ascii="Times New Roman;sans-serif" w:hAnsi="Times New Roman;sans-serif"/>
                <w:b w:val="false"/>
                <w:color w:val="000000"/>
                <w:sz w:val="20"/>
              </w:rPr>
              <w:t>Fees and Expenses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8.7</w:t>
            </w:r>
            <w:r>
              <w:rPr>
                <w:color w:val="000000"/>
              </w:rPr>
              <w:t>    </w:t>
            </w:r>
            <w:r>
              <w:rPr>
                <w:rFonts w:ascii="Times New Roman;sans-serif" w:hAnsi="Times New Roman;sans-serif"/>
                <w:b w:val="false"/>
                <w:color w:val="000000"/>
                <w:sz w:val="20"/>
              </w:rPr>
              <w:t>Construction; Interpretation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8.8</w:t>
            </w:r>
            <w:r>
              <w:rPr>
                <w:color w:val="000000"/>
              </w:rPr>
              <w:t>    </w:t>
            </w:r>
            <w:r>
              <w:rPr>
                <w:rFonts w:ascii="Times New Roman;sans-serif" w:hAnsi="Times New Roman;sans-serif"/>
                <w:b w:val="false"/>
                <w:color w:val="000000"/>
                <w:sz w:val="20"/>
              </w:rPr>
              <w:t>Exhibits and Schedules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8.9</w:t>
            </w:r>
            <w:r>
              <w:rPr>
                <w:color w:val="000000"/>
              </w:rPr>
              <w:t>    </w:t>
            </w:r>
            <w:r>
              <w:rPr>
                <w:rFonts w:ascii="Times New Roman;sans-serif" w:hAnsi="Times New Roman;sans-serif"/>
                <w:b w:val="false"/>
                <w:color w:val="000000"/>
                <w:sz w:val="20"/>
              </w:rPr>
              <w:t>Parties in Interest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8.10</w:t>
            </w:r>
            <w:r>
              <w:rPr>
                <w:color w:val="000000"/>
              </w:rPr>
              <w:t>    </w:t>
            </w:r>
            <w:r>
              <w:rPr>
                <w:rFonts w:ascii="Times New Roman;sans-serif" w:hAnsi="Times New Roman;sans-serif"/>
                <w:b w:val="false"/>
                <w:color w:val="000000"/>
                <w:sz w:val="20"/>
              </w:rPr>
              <w:t>Severability</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8.11</w:t>
            </w:r>
            <w:r>
              <w:rPr>
                <w:color w:val="000000"/>
              </w:rPr>
              <w:t>    </w:t>
            </w:r>
            <w:r>
              <w:rPr>
                <w:rFonts w:ascii="Times New Roman;sans-serif" w:hAnsi="Times New Roman;sans-serif"/>
                <w:b w:val="false"/>
                <w:color w:val="000000"/>
                <w:sz w:val="20"/>
              </w:rPr>
              <w:t>Counterparts; Electronic Signatures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8.12</w:t>
            </w:r>
            <w:r>
              <w:rPr>
                <w:color w:val="000000"/>
              </w:rPr>
              <w:t>    </w:t>
            </w:r>
            <w:r>
              <w:rPr>
                <w:rFonts w:ascii="Times New Roman;sans-serif" w:hAnsi="Times New Roman;sans-serif"/>
                <w:b w:val="false"/>
                <w:color w:val="000000"/>
                <w:sz w:val="20"/>
              </w:rPr>
              <w:t>Knowledge of Company; Knowledge of ARYA</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8.13</w:t>
            </w:r>
            <w:r>
              <w:rPr>
                <w:color w:val="000000"/>
              </w:rPr>
              <w:t>    </w:t>
            </w:r>
            <w:r>
              <w:rPr>
                <w:rFonts w:ascii="Times New Roman;sans-serif" w:hAnsi="Times New Roman;sans-serif"/>
                <w:b w:val="false"/>
                <w:color w:val="000000"/>
                <w:sz w:val="20"/>
              </w:rPr>
              <w:t>No Recourse</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8.14</w:t>
            </w:r>
            <w:r>
              <w:rPr>
                <w:color w:val="000000"/>
              </w:rPr>
              <w:t>    </w:t>
            </w:r>
            <w:r>
              <w:rPr>
                <w:rFonts w:ascii="Times New Roman;sans-serif" w:hAnsi="Times New Roman;sans-serif"/>
                <w:b w:val="false"/>
                <w:color w:val="000000"/>
                <w:sz w:val="20"/>
              </w:rPr>
              <w:t>Extension; Waiver</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8.15</w:t>
            </w:r>
            <w:r>
              <w:rPr>
                <w:color w:val="000000"/>
              </w:rPr>
              <w:t>    </w:t>
            </w:r>
            <w:r>
              <w:rPr>
                <w:rFonts w:ascii="Times New Roman;sans-serif" w:hAnsi="Times New Roman;sans-serif"/>
                <w:b w:val="false"/>
                <w:color w:val="000000"/>
                <w:sz w:val="20"/>
              </w:rPr>
              <w:t>Waiver of Jury Trial</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8.16</w:t>
            </w:r>
            <w:r>
              <w:rPr>
                <w:color w:val="000000"/>
              </w:rPr>
              <w:t>    </w:t>
            </w:r>
            <w:r>
              <w:rPr>
                <w:rFonts w:ascii="Times New Roman;sans-serif" w:hAnsi="Times New Roman;sans-serif"/>
                <w:b w:val="false"/>
                <w:color w:val="000000"/>
                <w:sz w:val="20"/>
              </w:rPr>
              <w:t>Submission to Jurisdiction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8.17</w:t>
            </w:r>
            <w:r>
              <w:rPr>
                <w:color w:val="000000"/>
              </w:rPr>
              <w:t>    </w:t>
            </w:r>
            <w:r>
              <w:rPr>
                <w:rFonts w:ascii="Times New Roman;sans-serif" w:hAnsi="Times New Roman;sans-serif"/>
                <w:b w:val="false"/>
                <w:color w:val="000000"/>
                <w:sz w:val="20"/>
              </w:rPr>
              <w:t>Remedies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8.18</w:t>
            </w:r>
            <w:r>
              <w:rPr>
                <w:color w:val="000000"/>
              </w:rPr>
              <w:t>    </w:t>
            </w:r>
            <w:r>
              <w:rPr>
                <w:rFonts w:ascii="Times New Roman;sans-serif" w:hAnsi="Times New Roman;sans-serif"/>
                <w:b w:val="false"/>
                <w:color w:val="000000"/>
                <w:sz w:val="20"/>
              </w:rPr>
              <w:t>Trust Account Waiver</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385" name="Frame3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ANNEXES AND EXHIBITS</w:t>
      </w:r>
    </w:p>
    <w:tbl>
      <w:tblPr>
        <w:tblW w:w="6494" w:type="dxa"/>
        <w:jc w:val="left"/>
        <w:tblInd w:w="0" w:type="dxa"/>
        <w:tblCellMar>
          <w:top w:w="28" w:type="dxa"/>
          <w:left w:w="28" w:type="dxa"/>
          <w:bottom w:w="28" w:type="dxa"/>
          <w:right w:w="28" w:type="dxa"/>
        </w:tblCellMar>
      </w:tblPr>
      <w:tblGrid>
        <w:gridCol w:w="407"/>
        <w:gridCol w:w="357"/>
        <w:gridCol w:w="361"/>
        <w:gridCol w:w="1571"/>
        <w:gridCol w:w="1571"/>
        <w:gridCol w:w="2227"/>
      </w:tblGrid>
      <w:tr>
        <w:trPr/>
        <w:tc>
          <w:tcPr>
            <w:tcW w:w="40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A-1</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PIPE Investors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A-2</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PIPE Investors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B</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Supporting Company Shareholders</w:t>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A-1 </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Perceptive PIPE Subscription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A-2 </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Company and Third Party PIPE Subscription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Investor Rights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Transaction Support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Letter of Transmittal</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E</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ARYA Certificate of Incorporation</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F</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ARYA Bylaws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G</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Company Shareholder Written Consent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H</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Incentive Equity Plan</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I</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Stock Purchase Plan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86" name="Frame3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jc w:val="right"/>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AGREEMENT</w:t>
      </w:r>
    </w:p>
    <w:p>
      <w:pPr>
        <w:pStyle w:val="TextBody"/>
        <w:spacing w:lineRule="auto" w:line="288" w:before="0" w:after="180"/>
        <w:ind w:left="0" w:right="0" w:firstLine="360"/>
        <w:rPr/>
      </w:pPr>
      <w:r>
        <w:rPr>
          <w:rFonts w:ascii="Times New Roman;sans-serif" w:hAnsi="Times New Roman;sans-serif"/>
          <w:b w:val="false"/>
          <w:color w:val="000000"/>
          <w:sz w:val="20"/>
        </w:rPr>
        <w:t>This BUSINESS COMBINATION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dated as of February 7, 2021, is made by and among ARYA Sciences Acquisition Corp III, an exempted company incorporated in the Cayman Islands with limited liability,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ARYA, Merger Sub and the Company shall be referred to herein from time to time collectively as the “</w:t>
      </w:r>
      <w:r>
        <w:rPr>
          <w:rFonts w:ascii="Times New Roman;sans-serif" w:hAnsi="Times New Roman;sans-serif"/>
          <w:b w:val="false"/>
          <w:color w:val="000000"/>
          <w:sz w:val="20"/>
          <w:u w:val="single"/>
        </w:rPr>
        <w:t>Parties</w:t>
      </w:r>
      <w:r>
        <w:rPr>
          <w:color w:val="000000"/>
        </w:rPr>
        <w:t>”</w:t>
      </w:r>
      <w:r>
        <w:rPr>
          <w:rFonts w:ascii="Times New Roman;sans-serif" w:hAnsi="Times New Roman;sans-serif"/>
          <w:b w:val="false"/>
          <w:color w:val="000000"/>
          <w:sz w:val="20"/>
        </w:rPr>
        <w:t>. Capitalized terms used but not otherwise defined herein have the meanings set forth in</w:t>
      </w:r>
      <w:r>
        <w:rPr>
          <w:color w:val="000000"/>
          <w:u w:val="single"/>
        </w:rPr>
        <w:t xml:space="preserve">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 </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as of the date of this Agreement, ARYA Sciences Holdings III, an exempted company incorporated in the Cayman Islands with limited liability (the “</w:t>
      </w:r>
      <w:r>
        <w:rPr>
          <w:rFonts w:ascii="Times New Roman;sans-serif" w:hAnsi="Times New Roman;sans-serif"/>
          <w:b w:val="false"/>
          <w:color w:val="000000"/>
          <w:sz w:val="20"/>
          <w:u w:val="single"/>
        </w:rPr>
        <w:t>ARYA Sponsor</w:t>
      </w:r>
      <w:r>
        <w:rPr>
          <w:color w:val="000000"/>
        </w:rPr>
        <w:t>”</w:t>
      </w:r>
      <w:r>
        <w:rPr>
          <w:rFonts w:ascii="Times New Roman;sans-serif" w:hAnsi="Times New Roman;sans-serif"/>
          <w:b w:val="false"/>
          <w:color w:val="000000"/>
          <w:sz w:val="20"/>
        </w:rPr>
        <w:t>), and the Other Class B Shareholders collectively own 3,737,500 ARYA Class B Shares;</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concurrently with the execution of this Agreement, the ARYA Sponsor, the Other Class B Shareholders, ARYA and the Company are entering into the sponsor letter agreement (the “</w:t>
      </w:r>
      <w:r>
        <w:rPr>
          <w:rFonts w:ascii="Times New Roman;sans-serif" w:hAnsi="Times New Roman;sans-serif"/>
          <w:b w:val="false"/>
          <w:color w:val="000000"/>
          <w:sz w:val="20"/>
          <w:u w:val="single"/>
        </w:rPr>
        <w:t>Sponsor Letter Agreement</w:t>
      </w:r>
      <w:r>
        <w:rPr>
          <w:color w:val="000000"/>
        </w:rPr>
        <w:t>”</w:t>
      </w:r>
      <w:r>
        <w:rPr>
          <w:rFonts w:ascii="Times New Roman;sans-serif" w:hAnsi="Times New Roman;sans-serif"/>
          <w:b w:val="false"/>
          <w:color w:val="000000"/>
          <w:sz w:val="20"/>
        </w:rPr>
        <w:t xml:space="preserve">),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 </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and Part XII of the Cayman Islands Companies Act (2020 Revision), on the terms and subject to the conditions set forth in this Agreement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concurrently with the execution of this Agreement, each of Perceptive Life Sciences Master Fund Ltd., an exempted company incorporated in the Cayman Islands with limited liability (the “</w:t>
      </w:r>
      <w:r>
        <w:rPr>
          <w:rFonts w:ascii="Times New Roman;sans-serif" w:hAnsi="Times New Roman;sans-serif"/>
          <w:b w:val="false"/>
          <w:color w:val="000000"/>
          <w:sz w:val="20"/>
          <w:u w:val="single"/>
        </w:rPr>
        <w:t>Perceptive PIPE Investor</w:t>
      </w:r>
      <w:r>
        <w:rPr>
          <w:color w:val="000000"/>
        </w:rPr>
        <w:t>”</w:t>
      </w:r>
      <w:r>
        <w:rPr>
          <w:rFonts w:ascii="Times New Roman;sans-serif" w:hAnsi="Times New Roman;sans-serif"/>
          <w:b w:val="false"/>
          <w:color w:val="000000"/>
          <w:sz w:val="20"/>
        </w:rPr>
        <w:t xml:space="preserve">), the investors set forth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val="false"/>
          <w:color w:val="000000"/>
          <w:sz w:val="20"/>
          <w:u w:val="single"/>
        </w:rPr>
        <w:t>Company PIPE Investors</w:t>
      </w:r>
      <w:r>
        <w:rPr>
          <w:color w:val="000000"/>
        </w:rPr>
        <w:t>”</w:t>
      </w:r>
      <w:r>
        <w:rPr>
          <w:rFonts w:ascii="Times New Roman;sans-serif" w:hAnsi="Times New Roman;sans-serif"/>
          <w:b w:val="false"/>
          <w:color w:val="000000"/>
          <w:sz w:val="20"/>
        </w:rPr>
        <w:t>) and the investors set forth on Annex A-2 hereto (the “</w:t>
      </w:r>
      <w:r>
        <w:rPr>
          <w:rFonts w:ascii="Times New Roman;sans-serif" w:hAnsi="Times New Roman;sans-serif"/>
          <w:b w:val="false"/>
          <w:color w:val="000000"/>
          <w:sz w:val="20"/>
          <w:u w:val="single"/>
        </w:rPr>
        <w:t>Third Party PIPE Investors</w:t>
      </w:r>
      <w:r>
        <w:rPr>
          <w:color w:val="000000"/>
        </w:rPr>
        <w:t>”</w:t>
      </w:r>
      <w:r>
        <w:rPr>
          <w:rFonts w:ascii="Times New Roman;sans-serif" w:hAnsi="Times New Roman;sans-serif"/>
          <w:b w:val="false"/>
          <w:color w:val="000000"/>
          <w:sz w:val="20"/>
        </w:rPr>
        <w:t>, and collectively with the Perceptive PIPE Investor and the Company PIPE Investors, the “</w:t>
      </w:r>
      <w:r>
        <w:rPr>
          <w:rFonts w:ascii="Times New Roman;sans-serif" w:hAnsi="Times New Roman;sans-serif"/>
          <w:b w:val="false"/>
          <w:color w:val="000000"/>
          <w:sz w:val="20"/>
          <w:u w:val="single"/>
        </w:rPr>
        <w:t>PIPE Investors</w:t>
      </w:r>
      <w:r>
        <w:rPr>
          <w:color w:val="000000"/>
        </w:rPr>
        <w:t>”</w:t>
      </w:r>
      <w:r>
        <w:rPr>
          <w:rFonts w:ascii="Times New Roman;sans-serif" w:hAnsi="Times New Roman;sans-serif"/>
          <w:b w:val="false"/>
          <w:color w:val="000000"/>
          <w:sz w:val="20"/>
        </w:rPr>
        <w:t xml:space="preserve">) are entering into a subscription agreement, substantially in the form attached hereto as </w:t>
      </w:r>
      <w:r>
        <w:rPr>
          <w:rFonts w:ascii="Times New Roman;sans-serif" w:hAnsi="Times New Roman;sans-serif"/>
          <w:b w:val="false"/>
          <w:color w:val="000000"/>
          <w:sz w:val="20"/>
          <w:u w:val="single"/>
        </w:rPr>
        <w:t>Exhibit A-1</w:t>
      </w:r>
      <w:r>
        <w:rPr>
          <w:rFonts w:ascii="Times New Roman;sans-serif" w:hAnsi="Times New Roman;sans-serif"/>
          <w:b w:val="false"/>
          <w:color w:val="000000"/>
          <w:sz w:val="20"/>
        </w:rPr>
        <w:t xml:space="preserve">, in the case of the Perceptive PIPE Investor, and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in the case of the Company PIPE Investors and the Third Party PIPE Investors (each, as amended, restated or otherwise modified from time to time in accordance with its terms, the “</w:t>
      </w:r>
      <w:r>
        <w:rPr>
          <w:rFonts w:ascii="Times New Roman;sans-serif" w:hAnsi="Times New Roman;sans-serif"/>
          <w:b w:val="false"/>
          <w:color w:val="000000"/>
          <w:sz w:val="20"/>
          <w:u w:val="single"/>
        </w:rPr>
        <w:t>PIPE Subscription Agreements</w:t>
      </w:r>
      <w:r>
        <w:rPr>
          <w:color w:val="000000"/>
        </w:rPr>
        <w:t>”</w:t>
      </w:r>
      <w:r>
        <w:rPr>
          <w:rFonts w:ascii="Times New Roman;sans-serif" w:hAnsi="Times New Roman;sans-serif"/>
          <w:b w:val="false"/>
          <w:color w:val="000000"/>
          <w:sz w:val="20"/>
        </w:rPr>
        <w:t xml:space="preserve">),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 </w:t>
      </w:r>
    </w:p>
    <w:p>
      <w:pPr>
        <w:pStyle w:val="HorizontalLine"/>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387" name="Frame3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price under all PIPE Subscription Agreements, collectively, the “</w:t>
      </w:r>
      <w:r>
        <w:rPr>
          <w:rFonts w:ascii="Times New Roman;sans-serif" w:hAnsi="Times New Roman;sans-serif"/>
          <w:b w:val="false"/>
          <w:color w:val="000000"/>
          <w:sz w:val="20"/>
          <w:u w:val="single"/>
        </w:rPr>
        <w:t>PIPE Financing Amount</w:t>
      </w:r>
      <w:r>
        <w:rPr>
          <w:color w:val="000000"/>
        </w:rPr>
        <w:t>”</w:t>
      </w:r>
      <w:r>
        <w:rPr>
          <w:rFonts w:ascii="Times New Roman;sans-serif" w:hAnsi="Times New Roman;sans-serif"/>
          <w:b w:val="false"/>
          <w:color w:val="000000"/>
          <w:sz w:val="20"/>
        </w:rPr>
        <w:t>, and the equity financing under all PIPE Subscription Agreements, collectively, the “</w:t>
      </w:r>
      <w:r>
        <w:rPr>
          <w:rFonts w:ascii="Times New Roman;sans-serif" w:hAnsi="Times New Roman;sans-serif"/>
          <w:b w:val="false"/>
          <w:color w:val="000000"/>
          <w:sz w:val="20"/>
          <w:u w:val="single"/>
        </w:rPr>
        <w:t>PIPE Financing</w:t>
      </w:r>
      <w:r>
        <w:rPr>
          <w:color w:val="000000"/>
        </w:rPr>
        <w:t>”</w:t>
      </w:r>
      <w:r>
        <w:rPr>
          <w:rFonts w:ascii="Times New Roman;sans-serif" w:hAnsi="Times New Roman;sans-serif"/>
          <w:b w:val="false"/>
          <w:color w:val="000000"/>
          <w:sz w:val="20"/>
        </w:rPr>
        <w:t xml:space="preserve">), in each case, on the terms and subject to the conditions set forth therein; </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val="false"/>
          <w:color w:val="000000"/>
          <w:sz w:val="20"/>
          <w:u w:val="single"/>
        </w:rPr>
        <w:t>Investor Rights Agreement</w:t>
      </w:r>
      <w:r>
        <w:rPr>
          <w:color w:val="000000"/>
        </w:rPr>
        <w:t>”</w:t>
      </w:r>
      <w:r>
        <w:rPr>
          <w:rFonts w:ascii="Times New Roman;sans-serif" w:hAnsi="Times New Roman;sans-serif"/>
          <w:b w:val="false"/>
          <w:color w:val="000000"/>
          <w:sz w:val="20"/>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board of directors of ARYA (the “</w:t>
      </w:r>
      <w:r>
        <w:rPr>
          <w:rFonts w:ascii="Times New Roman;sans-serif" w:hAnsi="Times New Roman;sans-serif"/>
          <w:b w:val="false"/>
          <w:color w:val="000000"/>
          <w:sz w:val="20"/>
          <w:u w:val="single"/>
        </w:rPr>
        <w:t>ARYA Board</w:t>
      </w:r>
      <w:r>
        <w:rPr>
          <w:color w:val="000000"/>
        </w:rPr>
        <w:t>”</w:t>
      </w:r>
      <w:r>
        <w:rPr>
          <w:rFonts w:ascii="Times New Roman;sans-serif" w:hAnsi="Times New Roman;sans-serif"/>
          <w:b w:val="false"/>
          <w:color w:val="000000"/>
          <w:sz w:val="20"/>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board of directors of Merger Sub has approved this Agreement, the Ancillary Documents to which Merger Sub is or will be a party and the transactions contemplated hereby and thereby (including the Merger);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board of directors of the Company (the “</w:t>
      </w:r>
      <w:r>
        <w:rPr>
          <w:rFonts w:ascii="Times New Roman;sans-serif" w:hAnsi="Times New Roman;sans-serif"/>
          <w:b w:val="false"/>
          <w:color w:val="000000"/>
          <w:sz w:val="20"/>
          <w:u w:val="single"/>
        </w:rPr>
        <w:t>Company Board</w:t>
      </w:r>
      <w:r>
        <w:rPr>
          <w:color w:val="000000"/>
        </w:rPr>
        <w:t>”</w:t>
      </w:r>
      <w:r>
        <w:rPr>
          <w:rFonts w:ascii="Times New Roman;sans-serif" w:hAnsi="Times New Roman;sans-serif"/>
          <w:b w:val="false"/>
          <w:color w:val="000000"/>
          <w:sz w:val="20"/>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Times New Roman;sans-serif" w:hAnsi="Times New Roman;sans-serif"/>
          <w:b w:val="false"/>
          <w:color w:val="000000"/>
          <w:sz w:val="20"/>
          <w:u w:val="single"/>
        </w:rPr>
        <w:t>Company Board Recommendation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as promptly as reasonably practicable (and in any event within 24 hours) following the execution of this Agreement, each Company Shareholder set forth on Annex B hereto (collectively, the “</w:t>
      </w:r>
      <w:r>
        <w:rPr>
          <w:rFonts w:ascii="Times New Roman;sans-serif" w:hAnsi="Times New Roman;sans-serif"/>
          <w:b w:val="false"/>
          <w:color w:val="000000"/>
          <w:sz w:val="20"/>
          <w:u w:val="single"/>
        </w:rPr>
        <w:t>Supporting Company Shareholders</w:t>
      </w:r>
      <w:r>
        <w:rPr>
          <w:color w:val="000000"/>
        </w:rPr>
        <w:t>”</w:t>
      </w:r>
      <w:r>
        <w:rPr>
          <w:rFonts w:ascii="Times New Roman;sans-serif" w:hAnsi="Times New Roman;sans-serif"/>
          <w:b w:val="false"/>
          <w:color w:val="000000"/>
          <w:sz w:val="20"/>
        </w:rPr>
        <w:t xml:space="preserve">) will duly execute and deliver to ARYA a transaction support agreement, substantially in the form attached hereto as </w:t>
      </w:r>
      <w:r>
        <w:rPr>
          <w:rFonts w:ascii="Times New Roman;sans-serif" w:hAnsi="Times New Roman;sans-serif"/>
          <w:b w:val="false"/>
          <w:color w:val="000000"/>
          <w:sz w:val="20"/>
          <w:u w:val="single"/>
        </w:rPr>
        <w:t>Exhibit C</w:t>
      </w:r>
      <w:r>
        <w:rPr>
          <w:color w:val="000000"/>
        </w:rPr>
        <w:t> </w:t>
      </w:r>
      <w:r>
        <w:rPr>
          <w:rFonts w:ascii="Times New Roman;sans-serif" w:hAnsi="Times New Roman;sans-serif"/>
          <w:b w:val="false"/>
          <w:color w:val="000000"/>
          <w:sz w:val="20"/>
        </w:rPr>
        <w:t>(collectively, the “</w:t>
      </w:r>
      <w:r>
        <w:rPr>
          <w:rFonts w:ascii="Times New Roman;sans-serif" w:hAnsi="Times New Roman;sans-serif"/>
          <w:b w:val="false"/>
          <w:color w:val="000000"/>
          <w:sz w:val="20"/>
          <w:u w:val="single"/>
        </w:rPr>
        <w:t>Transaction Support Agreements</w:t>
      </w:r>
      <w:r>
        <w:rPr>
          <w:color w:val="000000"/>
        </w:rPr>
        <w:t>”</w:t>
      </w:r>
      <w:r>
        <w:rPr>
          <w:rFonts w:ascii="Times New Roman;sans-serif" w:hAnsi="Times New Roman;sans-serif"/>
          <w:b w:val="false"/>
          <w:color w:val="000000"/>
          <w:sz w:val="20"/>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Times New Roman;sans-serif" w:hAnsi="Times New Roman;sans-serif"/>
          <w:b w:val="false"/>
          <w:color w:val="000000"/>
          <w:sz w:val="20"/>
          <w:u w:val="single"/>
        </w:rPr>
        <w:t>Intended Tax Treatment</w:t>
      </w:r>
      <w:r>
        <w:rPr>
          <w:color w:val="000000"/>
        </w:rPr>
        <w:t>”</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388" name="Frame3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ARTICLE 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CERTAIN DEFINITIONS</w:t>
      </w:r>
    </w:p>
    <w:p>
      <w:pPr>
        <w:pStyle w:val="TextBody"/>
        <w:spacing w:lineRule="auto" w:line="288" w:before="0" w:after="180"/>
        <w:ind w:left="0" w:right="0" w:firstLine="360"/>
        <w:jc w:val="both"/>
        <w:rPr/>
      </w:pPr>
      <w:r>
        <w:rPr>
          <w:rFonts w:ascii="Times New Roman;sans-serif" w:hAnsi="Times New Roman;sans-serif"/>
          <w:b/>
          <w:color w:val="000000"/>
          <w:sz w:val="20"/>
        </w:rPr>
        <w:t>Section 1.1</w:t>
      </w:r>
      <w:r>
        <w:rPr>
          <w:rFonts w:ascii="Times New Roman;sans-serif" w:hAnsi="Times New Roman;sans-serif"/>
          <w:b/>
          <w:color w:val="000000"/>
          <w:sz w:val="20"/>
          <w:u w:val="single"/>
        </w:rPr>
        <w:t>Definitions.</w:t>
      </w:r>
      <w:r>
        <w:rPr>
          <w:color w:val="000000"/>
        </w:rPr>
        <w:t xml:space="preserve"> </w:t>
      </w:r>
      <w:r>
        <w:rPr>
          <w:rFonts w:ascii="Times New Roman;sans-serif" w:hAnsi="Times New Roman;sans-serif"/>
          <w:b w:val="false"/>
          <w:color w:val="000000"/>
          <w:sz w:val="20"/>
        </w:rPr>
        <w:t>As used in this Agreement, the following terms have the respective meanings set forth below.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Additional ARYA SEC Reports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Adjusted Equity Value</w:t>
      </w:r>
      <w:r>
        <w:rPr>
          <w:color w:val="000000"/>
        </w:rPr>
        <w:t xml:space="preserve">” </w:t>
      </w:r>
      <w:r>
        <w:rPr>
          <w:rFonts w:ascii="Times New Roman;sans-serif" w:hAnsi="Times New Roman;sans-serif"/>
          <w:b w:val="false"/>
          <w:color w:val="000000"/>
          <w:sz w:val="20"/>
        </w:rPr>
        <w:t xml:space="preserve">means (a) the Equity Value,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Aggregate Company Option Exercise Price.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Adjusted Transaction Share Consideration</w:t>
      </w:r>
      <w:r>
        <w:rPr>
          <w:color w:val="000000"/>
        </w:rPr>
        <w:t xml:space="preserve">” </w:t>
      </w:r>
      <w:r>
        <w:rPr>
          <w:rFonts w:ascii="Times New Roman;sans-serif" w:hAnsi="Times New Roman;sans-serif"/>
          <w:b w:val="false"/>
          <w:color w:val="000000"/>
          <w:sz w:val="20"/>
        </w:rPr>
        <w:t xml:space="preserve">means an aggregate number of ARYA Shares equal to (a) the Adjusted Equity Value, </w:t>
      </w:r>
      <w:r>
        <w:rPr>
          <w:rFonts w:ascii="Times New Roman;sans-serif" w:hAnsi="Times New Roman;sans-serif"/>
          <w:b w:val="false"/>
          <w:color w:val="000000"/>
          <w:sz w:val="20"/>
          <w:u w:val="single"/>
        </w:rPr>
        <w:t>divided</w:t>
      </w:r>
      <w:r>
        <w:rPr>
          <w:color w:val="000000"/>
        </w:rPr>
        <w:t xml:space="preserve"> </w:t>
      </w:r>
      <w:r>
        <w:rPr>
          <w:rFonts w:ascii="Times New Roman;sans-serif" w:hAnsi="Times New Roman;sans-serif"/>
          <w:b w:val="false"/>
          <w:color w:val="000000"/>
          <w:sz w:val="20"/>
        </w:rPr>
        <w:t>by (b) the ARYA Share Value.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Closing PIPE Proceeds</w:t>
      </w:r>
      <w:r>
        <w:rPr>
          <w:color w:val="000000"/>
        </w:rPr>
        <w:t xml:space="preserve">” </w:t>
      </w:r>
      <w:r>
        <w:rPr>
          <w:rFonts w:ascii="Times New Roman;sans-serif" w:hAnsi="Times New Roman;sans-serif"/>
          <w:b w:val="false"/>
          <w:color w:val="000000"/>
          <w:sz w:val="20"/>
        </w:rPr>
        <w:t>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Company Option Exercise Price</w:t>
      </w:r>
      <w:r>
        <w:rPr>
          <w:color w:val="000000"/>
        </w:rPr>
        <w:t xml:space="preserve">” </w:t>
      </w:r>
      <w:r>
        <w:rPr>
          <w:rFonts w:ascii="Times New Roman;sans-serif" w:hAnsi="Times New Roman;sans-serif"/>
          <w:b w:val="false"/>
          <w:color w:val="000000"/>
          <w:sz w:val="20"/>
        </w:rPr>
        <w:t>means the aggregate exercise price that would be paid to the Company in respect of all Company Options if all Company Options were exercised in full immediately prior to the Effective Time (without giving effect to any “net” exercise or similar concept).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Transaction Proceeds</w:t>
      </w:r>
      <w:r>
        <w:rPr>
          <w:color w:val="000000"/>
        </w:rPr>
        <w:t xml:space="preserve">” </w:t>
      </w:r>
      <w:r>
        <w:rPr>
          <w:rFonts w:ascii="Times New Roman;sans-serif" w:hAnsi="Times New Roman;sans-serif"/>
          <w:b w:val="false"/>
          <w:color w:val="000000"/>
          <w:sz w:val="20"/>
        </w:rPr>
        <w:t>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(i.e.,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(i.e., reduced by any distribution of any such other amounts) (collectively, the “</w:t>
      </w:r>
      <w:r>
        <w:rPr>
          <w:rFonts w:ascii="Times New Roman;sans-serif" w:hAnsi="Times New Roman;sans-serif"/>
          <w:b w:val="false"/>
          <w:color w:val="000000"/>
          <w:sz w:val="20"/>
          <w:u w:val="single"/>
        </w:rPr>
        <w:t>Trust Satisfied Obligations</w:t>
      </w:r>
      <w:r>
        <w:rPr>
          <w:color w:val="000000"/>
        </w:rPr>
        <w:t>”</w:t>
      </w:r>
      <w:r>
        <w:rPr>
          <w:rFonts w:ascii="Times New Roman;sans-serif" w:hAnsi="Times New Roman;sans-serif"/>
          <w:b w:val="false"/>
          <w:color w:val="000000"/>
          <w:sz w:val="20"/>
        </w:rPr>
        <w:t xml:space="preserve">)) and (ii) the Aggregate Closing PIPE Proceeds,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(b) the Unpaid ARYA Expenses and the Unpaid ARYA Liabilities.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Agreement</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Allocation Schedule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2.3(a)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Alternative Merger Structure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5.5(a)(i)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Ancillary Document</w:t>
      </w:r>
      <w:r>
        <w:rPr>
          <w:rFonts w:ascii="Times New Roman;sans-serif" w:hAnsi="Times New Roman;sans-serif"/>
          <w:b w:val="false"/>
          <w:color w:val="000000"/>
          <w:sz w:val="20"/>
        </w:rPr>
        <w:t>s”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pStyle w:val="HorizontalLine"/>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389" name="Frame3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Anti-Corruption Laws</w:t>
      </w:r>
      <w:r>
        <w:rPr>
          <w:color w:val="000000"/>
        </w:rPr>
        <w:t xml:space="preserve">” </w:t>
      </w:r>
      <w:r>
        <w:rPr>
          <w:rFonts w:ascii="Times New Roman;sans-serif" w:hAnsi="Times New Roman;sans-serif"/>
          <w:b w:val="false"/>
          <w:color w:val="000000"/>
          <w:sz w:val="20"/>
        </w:rPr>
        <w:t>means, collectively, (a) the U.S. Foreign Corrupt Practices Act (FCPA), (b) the UK Bribery Act 2010 and (c) any other anti-bribery or anti-corruption Laws or Orders related to combatting bribery, corruption and money laundering.</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w:t>
      </w:r>
      <w:r>
        <w:rPr>
          <w:color w:val="000000"/>
        </w:rPr>
        <w:t xml:space="preserve">” </w:t>
      </w:r>
      <w:r>
        <w:rPr>
          <w:rFonts w:ascii="Times New Roman;sans-serif" w:hAnsi="Times New Roman;sans-serif"/>
          <w:b w:val="false"/>
          <w:color w:val="000000"/>
          <w:sz w:val="20"/>
        </w:rPr>
        <w:t xml:space="preserve">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Acquisition Proposal</w:t>
      </w:r>
      <w:r>
        <w:rPr>
          <w:color w:val="000000"/>
        </w:rPr>
        <w:t xml:space="preserve">” </w:t>
      </w:r>
      <w:r>
        <w:rPr>
          <w:rFonts w:ascii="Times New Roman;sans-serif" w:hAnsi="Times New Roman;sans-serif"/>
          <w:b w:val="false"/>
          <w:color w:val="000000"/>
          <w:sz w:val="20"/>
        </w:rPr>
        <w:t xml:space="preserve">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Affiliated Parties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Affiliated Party Transactions</w:t>
      </w:r>
      <w:r>
        <w:rPr>
          <w:color w:val="000000"/>
        </w:rPr>
        <w:t xml:space="preserve">” </w:t>
      </w:r>
      <w:r>
        <w:rPr>
          <w:rFonts w:ascii="Times New Roman;sans-serif" w:hAnsi="Times New Roman;sans-serif"/>
          <w:b w:val="false"/>
          <w:color w:val="000000"/>
          <w:sz w:val="20"/>
        </w:rPr>
        <w:t>has the meaning set forth in</w:t>
      </w:r>
      <w:r>
        <w:rPr>
          <w:color w:val="000000"/>
          <w:u w:val="single"/>
        </w:rPr>
        <w:t xml:space="preserve">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Benefit Plan</w:t>
      </w:r>
      <w:r>
        <w:rPr>
          <w:color w:val="000000"/>
        </w:rPr>
        <w:t xml:space="preserve">” </w:t>
      </w:r>
      <w:r>
        <w:rPr>
          <w:rFonts w:ascii="Times New Roman;sans-serif" w:hAnsi="Times New Roman;sans-serif"/>
          <w:b w:val="false"/>
          <w:color w:val="000000"/>
          <w:sz w:val="20"/>
        </w:rPr>
        <w:t xml:space="preserve">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Board</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Board Recommendation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Bylaws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Certificate of Incorporation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Change in Recommendation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Change of Control Payment</w:t>
      </w:r>
      <w:r>
        <w:rPr>
          <w:color w:val="000000"/>
        </w:rPr>
        <w:t xml:space="preserve">” </w:t>
      </w:r>
      <w:r>
        <w:rPr>
          <w:rFonts w:ascii="Times New Roman;sans-serif" w:hAnsi="Times New Roman;sans-serif"/>
          <w:b w:val="false"/>
          <w:color w:val="000000"/>
          <w:sz w:val="20"/>
        </w:rPr>
        <w:t xml:space="preserve">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“ARYA Change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Control Payment” shall not include any ARYA Expenses, or, for the avoidance of doubt, any Liabilities that become payable on the basis any ARYA Party has breached, defaulted or failed to comply with or perform any obligations or covenants under a Contract.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Class A Share</w:t>
      </w:r>
      <w:r>
        <w:rPr>
          <w:rFonts w:ascii="Times New Roman;sans-serif" w:hAnsi="Times New Roman;sans-serif"/>
          <w:b w:val="false"/>
          <w:color w:val="000000"/>
          <w:sz w:val="20"/>
        </w:rPr>
        <w:t xml:space="preserve">s” means, prior to the Domestication, ARYA’s Class A ordinary shares. </w:t>
      </w:r>
    </w:p>
    <w:p>
      <w:pPr>
        <w:pStyle w:val="HorizontalLine"/>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390" name="Frame3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Class B Shares</w:t>
      </w:r>
      <w:r>
        <w:rPr>
          <w:color w:val="000000"/>
        </w:rPr>
        <w:t xml:space="preserve">” </w:t>
      </w:r>
      <w:r>
        <w:rPr>
          <w:rFonts w:ascii="Times New Roman;sans-serif" w:hAnsi="Times New Roman;sans-serif"/>
          <w:b w:val="false"/>
          <w:color w:val="000000"/>
          <w:sz w:val="20"/>
        </w:rPr>
        <w:t>means, prior to the Domestication, ARYA’s Class B ordinary shares.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D&amp;O Persons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5.16(a)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Designee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Disclosure Schedules</w:t>
      </w:r>
      <w:r>
        <w:rPr>
          <w:color w:val="000000"/>
        </w:rPr>
        <w:t xml:space="preserve">” </w:t>
      </w:r>
      <w:r>
        <w:rPr>
          <w:rFonts w:ascii="Times New Roman;sans-serif" w:hAnsi="Times New Roman;sans-serif"/>
          <w:b w:val="false"/>
          <w:color w:val="000000"/>
          <w:sz w:val="20"/>
        </w:rPr>
        <w:t xml:space="preserve">means the disclosure schedules to this Agreement delivered to the Company by ARYA on the date of this Agreement in connection with the execution of this Agreement.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Employee Stock Purchase Plan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Excluded Cash</w:t>
      </w:r>
      <w:r>
        <w:rPr>
          <w:color w:val="000000"/>
        </w:rPr>
        <w:t xml:space="preserve">” </w:t>
      </w:r>
      <w:r>
        <w:rPr>
          <w:rFonts w:ascii="Times New Roman;sans-serif" w:hAnsi="Times New Roman;sans-serif"/>
          <w:b w:val="false"/>
          <w:color w:val="000000"/>
          <w:sz w:val="20"/>
        </w:rPr>
        <w:t>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Expenses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Financial Statements</w:t>
      </w:r>
      <w:r>
        <w:rPr>
          <w:color w:val="000000"/>
        </w:rPr>
        <w:t xml:space="preserve">” </w:t>
      </w:r>
      <w:r>
        <w:rPr>
          <w:rFonts w:ascii="Times New Roman;sans-serif" w:hAnsi="Times New Roman;sans-serif"/>
          <w:b w:val="false"/>
          <w:color w:val="000000"/>
          <w:sz w:val="20"/>
        </w:rPr>
        <w:t>means all of the financial statements of ARYA included in the ARYA SEC Reports.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Fundamental Representations</w:t>
      </w:r>
      <w:r>
        <w:rPr>
          <w:color w:val="000000"/>
        </w:rPr>
        <w:t xml:space="preserve">” </w:t>
      </w:r>
      <w:r>
        <w:rPr>
          <w:rFonts w:ascii="Times New Roman;sans-serif" w:hAnsi="Times New Roman;sans-serif"/>
          <w:b w:val="false"/>
          <w:color w:val="000000"/>
          <w:sz w:val="20"/>
        </w:rPr>
        <w:t xml:space="preserve">means the representations and warranties set forth in </w:t>
      </w:r>
      <w:r>
        <w:rPr>
          <w:rFonts w:ascii="Times New Roman;sans-serif" w:hAnsi="Times New Roman;sans-serif"/>
          <w:b w:val="false"/>
          <w:color w:val="000000"/>
          <w:sz w:val="20"/>
          <w:u w:val="single"/>
        </w:rPr>
        <w:t>Section 4.1</w:t>
      </w:r>
      <w:r>
        <w:rPr>
          <w:color w:val="000000"/>
        </w:rPr>
        <w:t xml:space="preserve"> </w:t>
      </w:r>
      <w:r>
        <w:rPr>
          <w:rFonts w:ascii="Times New Roman;sans-serif" w:hAnsi="Times New Roman;sans-serif"/>
          <w:b w:val="false"/>
          <w:color w:val="000000"/>
          <w:sz w:val="20"/>
        </w:rPr>
        <w:t xml:space="preserve">(Organization and Qualification), </w:t>
      </w:r>
      <w:r>
        <w:rPr>
          <w:rFonts w:ascii="Times New Roman;sans-serif" w:hAnsi="Times New Roman;sans-serif"/>
          <w:b w:val="false"/>
          <w:color w:val="000000"/>
          <w:sz w:val="20"/>
          <w:u w:val="single"/>
        </w:rPr>
        <w:t>Section 4.2</w:t>
      </w:r>
      <w:r>
        <w:rPr>
          <w:color w:val="000000"/>
        </w:rPr>
        <w:t xml:space="preserve"> </w:t>
      </w:r>
      <w:r>
        <w:rPr>
          <w:rFonts w:ascii="Times New Roman;sans-serif" w:hAnsi="Times New Roman;sans-serif"/>
          <w:b w:val="false"/>
          <w:color w:val="000000"/>
          <w:sz w:val="20"/>
        </w:rPr>
        <w:t xml:space="preserve">(Authority), </w:t>
      </w:r>
      <w:r>
        <w:rPr>
          <w:rFonts w:ascii="Times New Roman;sans-serif" w:hAnsi="Times New Roman;sans-serif"/>
          <w:b w:val="false"/>
          <w:color w:val="000000"/>
          <w:sz w:val="20"/>
          <w:u w:val="single"/>
        </w:rPr>
        <w:t>Section 4.4</w:t>
      </w:r>
      <w:r>
        <w:rPr>
          <w:color w:val="000000"/>
        </w:rPr>
        <w:t xml:space="preserve"> </w:t>
      </w:r>
      <w:r>
        <w:rPr>
          <w:rFonts w:ascii="Times New Roman;sans-serif" w:hAnsi="Times New Roman;sans-serif"/>
          <w:b w:val="false"/>
          <w:color w:val="000000"/>
          <w:sz w:val="20"/>
        </w:rPr>
        <w:t xml:space="preserve">(Brokers), </w:t>
      </w:r>
      <w:r>
        <w:rPr>
          <w:rFonts w:ascii="Times New Roman;sans-serif" w:hAnsi="Times New Roman;sans-serif"/>
          <w:b w:val="false"/>
          <w:color w:val="000000"/>
          <w:sz w:val="20"/>
          <w:u w:val="single"/>
        </w:rPr>
        <w:t>Section 4.6</w:t>
      </w:r>
      <w:r>
        <w:rPr>
          <w:color w:val="000000"/>
        </w:rPr>
        <w:t xml:space="preserve"> </w:t>
      </w:r>
      <w:r>
        <w:rPr>
          <w:rFonts w:ascii="Times New Roman;sans-serif" w:hAnsi="Times New Roman;sans-serif"/>
          <w:b w:val="false"/>
          <w:color w:val="000000"/>
          <w:sz w:val="20"/>
        </w:rPr>
        <w:t xml:space="preserve">(Capitalization of the ARYA Parties), </w:t>
      </w:r>
      <w:r>
        <w:rPr>
          <w:rFonts w:ascii="Times New Roman;sans-serif" w:hAnsi="Times New Roman;sans-serif"/>
          <w:b w:val="false"/>
          <w:color w:val="000000"/>
          <w:sz w:val="20"/>
          <w:u w:val="single"/>
        </w:rPr>
        <w:t>Section 4.8(a)</w:t>
      </w:r>
      <w:r>
        <w:rPr>
          <w:color w:val="000000"/>
        </w:rPr>
        <w:t xml:space="preserve"> </w:t>
      </w:r>
      <w:r>
        <w:rPr>
          <w:rFonts w:ascii="Times New Roman;sans-serif" w:hAnsi="Times New Roman;sans-serif"/>
          <w:b w:val="false"/>
          <w:color w:val="000000"/>
          <w:sz w:val="20"/>
        </w:rPr>
        <w:t xml:space="preserve">(Absence of Changes), </w:t>
      </w:r>
      <w:r>
        <w:rPr>
          <w:rFonts w:ascii="Times New Roman;sans-serif" w:hAnsi="Times New Roman;sans-serif"/>
          <w:b w:val="false"/>
          <w:color w:val="000000"/>
          <w:sz w:val="20"/>
          <w:u w:val="single"/>
        </w:rPr>
        <w:t>Section 4.19(h)</w:t>
      </w:r>
      <w:r>
        <w:rPr>
          <w:color w:val="000000"/>
        </w:rPr>
        <w:t xml:space="preserve"> </w:t>
      </w:r>
      <w:r>
        <w:rPr>
          <w:rFonts w:ascii="Times New Roman;sans-serif" w:hAnsi="Times New Roman;sans-serif"/>
          <w:b w:val="false"/>
          <w:color w:val="000000"/>
          <w:sz w:val="20"/>
        </w:rPr>
        <w:t xml:space="preserve">(Tax Matters) and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 xml:space="preserve">(Change of Control Payments).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Incentive Equity Plan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Liabilities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 </w:t>
      </w:r>
    </w:p>
    <w:p>
      <w:pPr>
        <w:pStyle w:val="HorizontalLine"/>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391" name="Frame3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Material Adverse Effect</w:t>
      </w:r>
      <w:r>
        <w:rPr>
          <w:color w:val="000000"/>
        </w:rPr>
        <w:t xml:space="preserve">” </w:t>
      </w:r>
      <w:r>
        <w:rPr>
          <w:rFonts w:ascii="Times New Roman;sans-serif" w:hAnsi="Times New Roman;sans-serif"/>
          <w:b w:val="false"/>
          <w:color w:val="000000"/>
          <w:sz w:val="20"/>
        </w:rPr>
        <w:t xml:space="preserve">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case of clause (a),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exception in this </w:t>
      </w:r>
      <w:r>
        <w:rPr>
          <w:rFonts w:ascii="Times New Roman;sans-serif" w:hAnsi="Times New Roman;sans-serif"/>
          <w:b w:val="false"/>
          <w:color w:val="000000"/>
          <w:sz w:val="20"/>
          <w:u w:val="single"/>
        </w:rPr>
        <w:t>clause (vi</w:t>
      </w:r>
      <w:r>
        <w:rPr>
          <w:rFonts w:ascii="Times New Roman;sans-serif" w:hAnsi="Times New Roman;sans-serif"/>
          <w:b w:val="false"/>
          <w:color w:val="000000"/>
          <w:sz w:val="20"/>
        </w:rPr>
        <w:t xml:space="preserve">) shall not apply to the representations and warranties set forth in </w:t>
      </w:r>
      <w:r>
        <w:rPr>
          <w:rFonts w:ascii="Times New Roman;sans-serif" w:hAnsi="Times New Roman;sans-serif"/>
          <w:b w:val="false"/>
          <w:color w:val="000000"/>
          <w:sz w:val="20"/>
          <w:u w:val="single"/>
        </w:rPr>
        <w:t>Section 4.3(b)</w:t>
      </w:r>
      <w:r>
        <w:rPr>
          <w:color w:val="000000"/>
        </w:rPr>
        <w:t xml:space="preserve"> </w:t>
      </w:r>
      <w:r>
        <w:rPr>
          <w:rFonts w:ascii="Times New Roman;sans-serif" w:hAnsi="Times New Roman;sans-serif"/>
          <w:b w:val="false"/>
          <w:color w:val="000000"/>
          <w:sz w:val="20"/>
        </w:rPr>
        <w:t xml:space="preserve">to the extent that its purpose is to address the consequences resulting from the public announcement or pendency or consummation of the transactions contemplated by this Agreement or the condition set forth in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(viii)</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 xml:space="preserve">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change, event, effect or occurrence resulting from a matter described in any of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Parties</w:t>
      </w:r>
      <w:r>
        <w:rPr>
          <w:color w:val="000000"/>
        </w:rPr>
        <w:t xml:space="preserve">” </w:t>
      </w:r>
      <w:r>
        <w:rPr>
          <w:rFonts w:ascii="Times New Roman;sans-serif" w:hAnsi="Times New Roman;sans-serif"/>
          <w:b w:val="false"/>
          <w:color w:val="000000"/>
          <w:sz w:val="20"/>
        </w:rPr>
        <w:t>means, collectively, ARYA and Merger Sub.</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SEC Reports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 Value</w:t>
      </w:r>
      <w:r>
        <w:rPr>
          <w:color w:val="000000"/>
        </w:rPr>
        <w:t xml:space="preserve">” </w:t>
      </w:r>
      <w:r>
        <w:rPr>
          <w:rFonts w:ascii="Times New Roman;sans-serif" w:hAnsi="Times New Roman;sans-serif"/>
          <w:b w:val="false"/>
          <w:color w:val="000000"/>
          <w:sz w:val="20"/>
        </w:rPr>
        <w:t>means $10.00.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 Approval</w:t>
      </w:r>
      <w:r>
        <w:rPr>
          <w:color w:val="000000"/>
        </w:rPr>
        <w:t xml:space="preserve">” </w:t>
      </w:r>
      <w:r>
        <w:rPr>
          <w:rFonts w:ascii="Times New Roman;sans-serif" w:hAnsi="Times New Roman;sans-serif"/>
          <w:b w:val="false"/>
          <w:color w:val="000000"/>
          <w:sz w:val="20"/>
        </w:rPr>
        <w:t xml:space="preserve">means, collectively, the Required ARYA Shareholder Approval and the Other ARYA Shareholder Approval.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 Redemption</w:t>
      </w:r>
      <w:r>
        <w:rPr>
          <w:color w:val="000000"/>
        </w:rPr>
        <w:t xml:space="preserve">” </w:t>
      </w:r>
      <w:r>
        <w:rPr>
          <w:rFonts w:ascii="Times New Roman;sans-serif" w:hAnsi="Times New Roman;sans-serif"/>
          <w:b w:val="false"/>
          <w:color w:val="000000"/>
          <w:sz w:val="20"/>
        </w:rPr>
        <w:t>means the right of the holders of ARYA Class A Shares to redeem all or a portion of their ARYA Class A Shares (in connection with the transactions contemplated by this Agreement or otherwise) as set forth in Governing Documents of ARYA.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Shareholders Meeting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Shares</w:t>
      </w:r>
      <w:r>
        <w:rPr>
          <w:color w:val="000000"/>
        </w:rPr>
        <w:t xml:space="preserve">” </w:t>
      </w:r>
      <w:r>
        <w:rPr>
          <w:rFonts w:ascii="Times New Roman;sans-serif" w:hAnsi="Times New Roman;sans-serif"/>
          <w:b w:val="false"/>
          <w:color w:val="000000"/>
          <w:sz w:val="20"/>
        </w:rPr>
        <w:t xml:space="preserve">means (a) prior to the consummation of the Domestication, collectively, the ARYA Class A Shares and the ARYA Class B Shares and (b) from and after the consummation of the Domestication, shares of common stock, par value $0.0001 per share, of ARYA as contemplated pursuant to the ARYA Certificate of </w:t>
      </w:r>
    </w:p>
    <w:p>
      <w:pPr>
        <w:pStyle w:val="HorizontalLine"/>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392" name="Frame3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Incorporation. Any reference to the ARYA Shares in this Agreement or any Ancillary Document shall be deemed to refer to clause (a) and/or clause (b) of this definition, as the context so requires.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Sponsor</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w:t>
      </w:r>
      <w:r>
        <w:rPr>
          <w:color w:val="000000"/>
        </w:rPr>
        <w:t xml:space="preserve">” </w:t>
      </w:r>
      <w:r>
        <w:rPr>
          <w:rFonts w:ascii="Times New Roman;sans-serif" w:hAnsi="Times New Roman;sans-serif"/>
          <w:b w:val="false"/>
          <w:color w:val="000000"/>
          <w:sz w:val="20"/>
        </w:rPr>
        <w:t>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 Combination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 Day</w:t>
      </w:r>
      <w:r>
        <w:rPr>
          <w:color w:val="000000"/>
        </w:rPr>
        <w:t xml:space="preserve">” </w:t>
      </w:r>
      <w:r>
        <w:rPr>
          <w:rFonts w:ascii="Times New Roman;sans-serif" w:hAnsi="Times New Roman;sans-serif"/>
          <w:b w:val="false"/>
          <w:color w:val="000000"/>
          <w:sz w:val="20"/>
        </w:rPr>
        <w:t>means a day, other than a Saturday or Sunday, on which commercial banks in New York, New York and San Francisco, California are open for the general transaction of business.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CBA</w:t>
      </w:r>
      <w:r>
        <w:rPr>
          <w:color w:val="000000"/>
        </w:rPr>
        <w:t xml:space="preserve">” </w:t>
      </w:r>
      <w:r>
        <w:rPr>
          <w:rFonts w:ascii="Times New Roman;sans-serif" w:hAnsi="Times New Roman;sans-serif"/>
          <w:b w:val="false"/>
          <w:color w:val="000000"/>
          <w:sz w:val="20"/>
        </w:rPr>
        <w:t>means any collective bargaining agreement or other Contract with any labor union, labor organization, or works council.</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Certificate of Merger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Certificates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Company Financial Statements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5.19(a)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Filing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Press Release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COBRA</w:t>
      </w:r>
      <w:r>
        <w:rPr>
          <w:color w:val="000000"/>
        </w:rPr>
        <w:t xml:space="preserve">” </w:t>
      </w:r>
      <w:r>
        <w:rPr>
          <w:rFonts w:ascii="Times New Roman;sans-serif" w:hAnsi="Times New Roman;sans-serif"/>
          <w:b w:val="false"/>
          <w:color w:val="000000"/>
          <w:sz w:val="20"/>
        </w:rPr>
        <w:t>means Part 6 of Subtitle B of Title I of ERISA, Section 4980B of the Code and any similar state Law.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means the U.S. Internal Revenue Code of 1986, as amended.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Acquisition Proposal</w:t>
      </w:r>
      <w:r>
        <w:rPr>
          <w:color w:val="000000"/>
        </w:rPr>
        <w:t xml:space="preserve">” </w:t>
      </w:r>
      <w:r>
        <w:rPr>
          <w:rFonts w:ascii="Times New Roman;sans-serif" w:hAnsi="Times New Roman;sans-serif"/>
          <w:b w:val="false"/>
          <w:color w:val="000000"/>
          <w:sz w:val="20"/>
        </w:rPr>
        <w:t xml:space="preserve">means (a) any direct or indirect acquisition (or other business combination), in one or a series of related transactions, (i) 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Affiliated Party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Affiliated Party Transactions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393" name="Frame3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Board</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Board Recommendation</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Certificate of Incorporation</w:t>
      </w:r>
      <w:r>
        <w:rPr>
          <w:color w:val="000000"/>
        </w:rPr>
        <w:t xml:space="preserve">” </w:t>
      </w:r>
      <w:r>
        <w:rPr>
          <w:rFonts w:ascii="Times New Roman;sans-serif" w:hAnsi="Times New Roman;sans-serif"/>
          <w:b w:val="false"/>
          <w:color w:val="000000"/>
          <w:sz w:val="20"/>
        </w:rPr>
        <w:t>means the Amended and Restated Certificate of Incorporation of the Company.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Change of Control Payment</w:t>
      </w:r>
      <w:r>
        <w:rPr>
          <w:color w:val="000000"/>
        </w:rPr>
        <w:t xml:space="preserve">” </w:t>
      </w:r>
      <w:r>
        <w:rPr>
          <w:rFonts w:ascii="Times New Roman;sans-serif" w:hAnsi="Times New Roman;sans-serif"/>
          <w:b w:val="false"/>
          <w:color w:val="000000"/>
          <w:sz w:val="20"/>
        </w:rPr>
        <w:t xml:space="preserve">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Common Shares</w:t>
      </w:r>
      <w:r>
        <w:rPr>
          <w:color w:val="000000"/>
        </w:rPr>
        <w:t xml:space="preserve">” </w:t>
      </w:r>
      <w:r>
        <w:rPr>
          <w:rFonts w:ascii="Times New Roman;sans-serif" w:hAnsi="Times New Roman;sans-serif"/>
          <w:b w:val="false"/>
          <w:color w:val="000000"/>
          <w:sz w:val="20"/>
        </w:rPr>
        <w:t>means shares of common stock, par value $0.0001 per share, of the Company designated as “Common Stock” pursuant to the Company Certificate of Incorporation.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D&amp;O Persons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Designee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Disclosure Schedules</w:t>
      </w:r>
      <w:r>
        <w:rPr>
          <w:color w:val="000000"/>
        </w:rPr>
        <w:t xml:space="preserve">” </w:t>
      </w:r>
      <w:r>
        <w:rPr>
          <w:rFonts w:ascii="Times New Roman;sans-serif" w:hAnsi="Times New Roman;sans-serif"/>
          <w:b w:val="false"/>
          <w:color w:val="000000"/>
          <w:sz w:val="20"/>
        </w:rPr>
        <w:t>means the disclosure schedules to this Agreement delivered to ARYA by the Company on the date of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Dissenting Shareholders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2.7.</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Dissenting Shares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2.7</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 Award</w:t>
      </w:r>
      <w:r>
        <w:rPr>
          <w:color w:val="000000"/>
        </w:rPr>
        <w:t xml:space="preserve">” </w:t>
      </w:r>
      <w:r>
        <w:rPr>
          <w:rFonts w:ascii="Times New Roman;sans-serif" w:hAnsi="Times New Roman;sans-serif"/>
          <w:b w:val="false"/>
          <w:color w:val="000000"/>
          <w:sz w:val="20"/>
        </w:rPr>
        <w:t>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 Plan</w:t>
      </w:r>
      <w:r>
        <w:rPr>
          <w:color w:val="000000"/>
        </w:rPr>
        <w:t xml:space="preserve">” </w:t>
      </w:r>
      <w:r>
        <w:rPr>
          <w:rFonts w:ascii="Times New Roman;sans-serif" w:hAnsi="Times New Roman;sans-serif"/>
          <w:b w:val="false"/>
          <w:color w:val="000000"/>
          <w:sz w:val="20"/>
        </w:rPr>
        <w:t>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Equityholders</w:t>
      </w:r>
      <w:r>
        <w:rPr>
          <w:color w:val="000000"/>
        </w:rPr>
        <w:t xml:space="preserve">” </w:t>
      </w:r>
      <w:r>
        <w:rPr>
          <w:rFonts w:ascii="Times New Roman;sans-serif" w:hAnsi="Times New Roman;sans-serif"/>
          <w:b w:val="false"/>
          <w:color w:val="000000"/>
          <w:sz w:val="20"/>
        </w:rPr>
        <w:t>means, collectively, the Company Shareholders and the holders of Company Equity Awards as of any determination time prior to the Effective Time.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Expenses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w:t>
      </w:r>
    </w:p>
    <w:p>
      <w:pPr>
        <w:pStyle w:val="HorizontalLine"/>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394" name="Frame3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jc w:val="right"/>
        <w:rPr/>
      </w:pPr>
      <w:r>
        <w:rPr/>
      </w:r>
    </w:p>
    <w:p>
      <w:pPr>
        <w:pStyle w:val="TextBody"/>
        <w:spacing w:lineRule="auto" w:line="288" w:before="0" w:after="180"/>
        <w:rPr/>
      </w:pPr>
      <w:r>
        <w:rPr>
          <w:rFonts w:ascii="Times New Roman;sans-serif" w:hAnsi="Times New Roman;sans-serif"/>
          <w:b w:val="false"/>
          <w:color w:val="000000"/>
          <w:sz w:val="20"/>
        </w:rPr>
        <w:t xml:space="preserve">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Fundamental Representations</w:t>
      </w:r>
      <w:r>
        <w:rPr>
          <w:color w:val="000000"/>
        </w:rPr>
        <w:t xml:space="preserve">” </w:t>
      </w:r>
      <w:r>
        <w:rPr>
          <w:rFonts w:ascii="Times New Roman;sans-serif" w:hAnsi="Times New Roman;sans-serif"/>
          <w:b w:val="false"/>
          <w:color w:val="000000"/>
          <w:sz w:val="20"/>
        </w:rPr>
        <w:t xml:space="preserve">means the representations and warranties set forth in </w:t>
      </w:r>
      <w:r>
        <w:rPr>
          <w:rFonts w:ascii="Times New Roman;sans-serif" w:hAnsi="Times New Roman;sans-serif"/>
          <w:b w:val="false"/>
          <w:color w:val="000000"/>
          <w:sz w:val="20"/>
          <w:u w:val="single"/>
        </w:rPr>
        <w:t>Section 3.1(a)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3.1(b)</w:t>
      </w:r>
      <w:r>
        <w:rPr>
          <w:color w:val="000000"/>
        </w:rPr>
        <w:t xml:space="preserve"> </w:t>
      </w:r>
      <w:r>
        <w:rPr>
          <w:rFonts w:ascii="Times New Roman;sans-serif" w:hAnsi="Times New Roman;sans-serif"/>
          <w:b w:val="false"/>
          <w:color w:val="000000"/>
          <w:sz w:val="20"/>
        </w:rPr>
        <w:t xml:space="preserve">(Organization and Qualification), </w:t>
      </w:r>
      <w:r>
        <w:rPr>
          <w:rFonts w:ascii="Times New Roman;sans-serif" w:hAnsi="Times New Roman;sans-serif"/>
          <w:b w:val="false"/>
          <w:color w:val="000000"/>
          <w:sz w:val="20"/>
          <w:u w:val="single"/>
        </w:rPr>
        <w:t xml:space="preserve">Sections 3.2(a)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Section 3.2(c)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3.2(d)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3.2(f)</w:t>
      </w:r>
      <w:r>
        <w:rPr>
          <w:color w:val="000000"/>
        </w:rPr>
        <w:t xml:space="preserve"> </w:t>
      </w:r>
      <w:r>
        <w:rPr>
          <w:rFonts w:ascii="Times New Roman;sans-serif" w:hAnsi="Times New Roman;sans-serif"/>
          <w:b w:val="false"/>
          <w:color w:val="000000"/>
          <w:sz w:val="20"/>
        </w:rPr>
        <w:t xml:space="preserve">(Capitalization of the Group Companies), </w:t>
      </w:r>
      <w:r>
        <w:rPr>
          <w:rFonts w:ascii="Times New Roman;sans-serif" w:hAnsi="Times New Roman;sans-serif"/>
          <w:b w:val="false"/>
          <w:color w:val="000000"/>
          <w:sz w:val="20"/>
          <w:u w:val="single"/>
        </w:rPr>
        <w:t>Section 3.3</w:t>
      </w:r>
      <w:r>
        <w:rPr>
          <w:color w:val="000000"/>
        </w:rPr>
        <w:t> </w:t>
      </w:r>
      <w:r>
        <w:rPr>
          <w:rFonts w:ascii="Times New Roman;sans-serif" w:hAnsi="Times New Roman;sans-serif"/>
          <w:b w:val="false"/>
          <w:color w:val="000000"/>
          <w:sz w:val="20"/>
        </w:rPr>
        <w:t xml:space="preserve">(Authority), </w:t>
      </w:r>
      <w:r>
        <w:rPr>
          <w:rFonts w:ascii="Times New Roman;sans-serif" w:hAnsi="Times New Roman;sans-serif"/>
          <w:b w:val="false"/>
          <w:color w:val="000000"/>
          <w:sz w:val="20"/>
          <w:u w:val="single"/>
        </w:rPr>
        <w:t>Section 3.8(a)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3.8(b)(iii)</w:t>
      </w:r>
      <w:r>
        <w:rPr>
          <w:color w:val="000000"/>
        </w:rPr>
        <w:t xml:space="preserve"> </w:t>
      </w:r>
      <w:r>
        <w:rPr>
          <w:rFonts w:ascii="Times New Roman;sans-serif" w:hAnsi="Times New Roman;sans-serif"/>
          <w:b w:val="false"/>
          <w:color w:val="000000"/>
          <w:sz w:val="20"/>
        </w:rPr>
        <w:t xml:space="preserve">(Absence of Changes), </w:t>
      </w:r>
      <w:r>
        <w:rPr>
          <w:rFonts w:ascii="Times New Roman;sans-serif" w:hAnsi="Times New Roman;sans-serif"/>
          <w:b w:val="false"/>
          <w:color w:val="000000"/>
          <w:sz w:val="20"/>
          <w:u w:val="single"/>
        </w:rPr>
        <w:t>Section 3.16(n)</w:t>
      </w:r>
      <w:r>
        <w:rPr>
          <w:color w:val="000000"/>
        </w:rPr>
        <w:t xml:space="preserve"> </w:t>
      </w:r>
      <w:r>
        <w:rPr>
          <w:rFonts w:ascii="Times New Roman;sans-serif" w:hAnsi="Times New Roman;sans-serif"/>
          <w:b w:val="false"/>
          <w:color w:val="000000"/>
          <w:sz w:val="20"/>
        </w:rPr>
        <w:t xml:space="preserve">(Tax Matters) and </w:t>
      </w:r>
      <w:r>
        <w:rPr>
          <w:rFonts w:ascii="Times New Roman;sans-serif" w:hAnsi="Times New Roman;sans-serif"/>
          <w:b w:val="false"/>
          <w:color w:val="000000"/>
          <w:sz w:val="20"/>
          <w:u w:val="single"/>
        </w:rPr>
        <w:t>Section 3.17</w:t>
      </w:r>
      <w:r>
        <w:rPr>
          <w:color w:val="000000"/>
        </w:rPr>
        <w:t xml:space="preserve"> </w:t>
      </w:r>
      <w:r>
        <w:rPr>
          <w:rFonts w:ascii="Times New Roman;sans-serif" w:hAnsi="Times New Roman;sans-serif"/>
          <w:b w:val="false"/>
          <w:color w:val="000000"/>
          <w:sz w:val="20"/>
        </w:rPr>
        <w:t xml:space="preserve">(Brokers).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IT Systems</w:t>
      </w:r>
      <w:r>
        <w:rPr>
          <w:color w:val="000000"/>
        </w:rPr>
        <w:t xml:space="preserve">” </w:t>
      </w:r>
      <w:r>
        <w:rPr>
          <w:rFonts w:ascii="Times New Roman;sans-serif" w:hAnsi="Times New Roman;sans-serif"/>
          <w:b w:val="false"/>
          <w:color w:val="000000"/>
          <w:sz w:val="20"/>
        </w:rPr>
        <w:t>means all computer systems, Software and hardware, communication systems, servers, network equipment and related documentation, including any outsourced systems and processes, in each case, relied on, owned, licensed or leased by a Group Company.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Licensed Intellectual Property</w:t>
      </w:r>
      <w:r>
        <w:rPr>
          <w:color w:val="000000"/>
        </w:rPr>
        <w:t xml:space="preserve">” </w:t>
      </w:r>
      <w:r>
        <w:rPr>
          <w:rFonts w:ascii="Times New Roman;sans-serif" w:hAnsi="Times New Roman;sans-serif"/>
          <w:b w:val="false"/>
          <w:color w:val="000000"/>
          <w:sz w:val="20"/>
        </w:rPr>
        <w:t xml:space="preserve">means Intellectual Property Rights owned by any Person (other than a Group Company) that is licensed to any Group Company.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Material Adverse Effect</w:t>
      </w:r>
      <w:r>
        <w:rPr>
          <w:color w:val="000000"/>
        </w:rPr>
        <w:t xml:space="preserve">” </w:t>
      </w:r>
      <w:r>
        <w:rPr>
          <w:rFonts w:ascii="Times New Roman;sans-serif" w:hAnsi="Times New Roman;sans-serif"/>
          <w:b w:val="false"/>
          <w:color w:val="000000"/>
          <w:sz w:val="20"/>
        </w:rPr>
        <w:t>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provided, however,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exception in this </w:t>
      </w:r>
      <w:r>
        <w:rPr>
          <w:rFonts w:ascii="Times New Roman;sans-serif" w:hAnsi="Times New Roman;sans-serif"/>
          <w:b w:val="false"/>
          <w:color w:val="000000"/>
          <w:sz w:val="20"/>
          <w:u w:val="single"/>
        </w:rPr>
        <w:t>clause (vi)</w:t>
      </w:r>
      <w:r>
        <w:rPr>
          <w:color w:val="000000"/>
        </w:rPr>
        <w:t xml:space="preserve"> </w:t>
      </w:r>
      <w:r>
        <w:rPr>
          <w:rFonts w:ascii="Times New Roman;sans-serif" w:hAnsi="Times New Roman;sans-serif"/>
          <w:b w:val="false"/>
          <w:color w:val="000000"/>
          <w:sz w:val="20"/>
        </w:rPr>
        <w:t xml:space="preserve">shall not apply to the representations and warranties set forth in </w:t>
      </w:r>
      <w:r>
        <w:rPr>
          <w:rFonts w:ascii="Times New Roman;sans-serif" w:hAnsi="Times New Roman;sans-serif"/>
          <w:b w:val="false"/>
          <w:color w:val="000000"/>
          <w:sz w:val="20"/>
          <w:u w:val="single"/>
        </w:rPr>
        <w:t>Section 3.5(b)</w:t>
      </w:r>
      <w:r>
        <w:rPr>
          <w:color w:val="000000"/>
        </w:rPr>
        <w:t xml:space="preserve"> </w:t>
      </w:r>
      <w:r>
        <w:rPr>
          <w:rFonts w:ascii="Times New Roman;sans-serif" w:hAnsi="Times New Roman;sans-serif"/>
          <w:b w:val="false"/>
          <w:color w:val="000000"/>
          <w:sz w:val="20"/>
        </w:rPr>
        <w:t xml:space="preserve">to the extent that its purpose is to address the consequences resulting from the public announcement or pendency or consummation of the transactions contemplated by this Agreement or the condition set forth in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(viii)</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 xml:space="preserve">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change, event, effect or occurrence resulting from a matter described in any of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clause (viii)</w:t>
      </w:r>
      <w:r>
        <w:rPr>
          <w:color w:val="000000"/>
        </w:rPr>
        <w:t xml:space="preserve"> </w:t>
      </w:r>
      <w:r>
        <w:rPr>
          <w:rFonts w:ascii="Times New Roman;sans-serif" w:hAnsi="Times New Roman;sans-serif"/>
          <w:b w:val="false"/>
          <w:color w:val="000000"/>
          <w:sz w:val="20"/>
        </w:rPr>
        <w:t>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pStyle w:val="HorizontalLine"/>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395" name="Frame3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Option</w:t>
      </w:r>
      <w:r>
        <w:rPr>
          <w:color w:val="000000"/>
        </w:rPr>
        <w:t xml:space="preserve">” </w:t>
      </w:r>
      <w:r>
        <w:rPr>
          <w:rFonts w:ascii="Times New Roman;sans-serif" w:hAnsi="Times New Roman;sans-serif"/>
          <w:b w:val="false"/>
          <w:color w:val="000000"/>
          <w:sz w:val="20"/>
        </w:rPr>
        <w:t>means, as of any determination time, each option to purchase Company Common Shares that is outstanding and unexercised, whether granted under a Company Equity Plan or otherwise.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Owned Intellectual Property</w:t>
      </w:r>
      <w:r>
        <w:rPr>
          <w:color w:val="000000"/>
        </w:rPr>
        <w:t xml:space="preserve">” </w:t>
      </w:r>
      <w:r>
        <w:rPr>
          <w:rFonts w:ascii="Times New Roman;sans-serif" w:hAnsi="Times New Roman;sans-serif"/>
          <w:b w:val="false"/>
          <w:color w:val="000000"/>
          <w:sz w:val="20"/>
        </w:rPr>
        <w:t>means all Intellectual Property Rights that are owned or purported to be owned by the Group Companies.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PIPE Investors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Preferred Shares</w:t>
      </w:r>
      <w:r>
        <w:rPr>
          <w:color w:val="000000"/>
        </w:rPr>
        <w:t xml:space="preserve">” </w:t>
      </w:r>
      <w:r>
        <w:rPr>
          <w:rFonts w:ascii="Times New Roman;sans-serif" w:hAnsi="Times New Roman;sans-serif"/>
          <w:b w:val="false"/>
          <w:color w:val="000000"/>
          <w:sz w:val="20"/>
        </w:rPr>
        <w:t xml:space="preserve">means, collectively, the Company Series A Preferred Shares, the Company Series B Preferred Shares and the Company Series Seed Preferred Shares.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Product</w:t>
      </w:r>
      <w:r>
        <w:rPr>
          <w:color w:val="000000"/>
        </w:rPr>
        <w:t xml:space="preserve">” </w:t>
      </w:r>
      <w:r>
        <w:rPr>
          <w:rFonts w:ascii="Times New Roman;sans-serif" w:hAnsi="Times New Roman;sans-serif"/>
          <w:b w:val="false"/>
          <w:color w:val="000000"/>
          <w:sz w:val="20"/>
        </w:rPr>
        <w:t xml:space="preserve">means each platform or product candidate that is being researched, tested, developed or manufactured by or on behalf of the Group Companies.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Registered Intellectual Property</w:t>
      </w:r>
      <w:r>
        <w:rPr>
          <w:color w:val="000000"/>
        </w:rPr>
        <w:t xml:space="preserve">” </w:t>
      </w:r>
      <w:r>
        <w:rPr>
          <w:rFonts w:ascii="Times New Roman;sans-serif" w:hAnsi="Times New Roman;sans-serif"/>
          <w:b w:val="false"/>
          <w:color w:val="000000"/>
          <w:sz w:val="20"/>
        </w:rPr>
        <w:t>means all Registered Intellectual Property owned or purported to be owned by or filed by or in the name of any Group Company that has not been cancelled, expired, lapsed, or been abandoned.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Required Shareholder Approval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3.3</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A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A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B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B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Seed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Seed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 Written Consent</w:t>
      </w:r>
      <w:r>
        <w:rPr>
          <w:color w:val="000000"/>
        </w:rPr>
        <w:t xml:space="preserve">” </w:t>
      </w:r>
      <w:r>
        <w:rPr>
          <w:rFonts w:ascii="Times New Roman;sans-serif" w:hAnsi="Times New Roman;sans-serif"/>
          <w:b w:val="false"/>
          <w:color w:val="000000"/>
          <w:sz w:val="20"/>
        </w:rPr>
        <w:t xml:space="preserve">has the meaning set sort in </w:t>
      </w:r>
      <w:r>
        <w:rPr>
          <w:rFonts w:ascii="Times New Roman;sans-serif" w:hAnsi="Times New Roman;sans-serif"/>
          <w:b w:val="false"/>
          <w:color w:val="000000"/>
          <w:sz w:val="20"/>
          <w:u w:val="single"/>
        </w:rPr>
        <w:t>Section 5.14(a)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 Written Consent Deadline</w:t>
      </w:r>
      <w:r>
        <w:rPr>
          <w:color w:val="000000"/>
        </w:rPr>
        <w:t xml:space="preserve">” </w:t>
      </w:r>
      <w:r>
        <w:rPr>
          <w:rFonts w:ascii="Times New Roman;sans-serif" w:hAnsi="Times New Roman;sans-serif"/>
          <w:b w:val="false"/>
          <w:color w:val="000000"/>
          <w:sz w:val="20"/>
        </w:rPr>
        <w:t xml:space="preserve">has the meaning set sort in </w:t>
      </w:r>
      <w:r>
        <w:rPr>
          <w:rFonts w:ascii="Times New Roman;sans-serif" w:hAnsi="Times New Roman;sans-serif"/>
          <w:b w:val="false"/>
          <w:color w:val="000000"/>
          <w:sz w:val="20"/>
          <w:u w:val="single"/>
        </w:rPr>
        <w:t>Section 5.14(a)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Shareholders</w:t>
      </w:r>
      <w:r>
        <w:rPr>
          <w:color w:val="000000"/>
        </w:rPr>
        <w:t xml:space="preserve">” </w:t>
      </w:r>
      <w:r>
        <w:rPr>
          <w:rFonts w:ascii="Times New Roman;sans-serif" w:hAnsi="Times New Roman;sans-serif"/>
          <w:b w:val="false"/>
          <w:color w:val="000000"/>
          <w:sz w:val="20"/>
        </w:rPr>
        <w:t xml:space="preserve">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xml:space="preserve">.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Shareholders Agreement</w:t>
      </w:r>
      <w:r>
        <w:rPr>
          <w:color w:val="000000"/>
        </w:rPr>
        <w:t xml:space="preserve">” </w:t>
      </w:r>
      <w:r>
        <w:rPr>
          <w:rFonts w:ascii="Times New Roman;sans-serif" w:hAnsi="Times New Roman;sans-serif"/>
          <w:b w:val="false"/>
          <w:color w:val="000000"/>
          <w:sz w:val="20"/>
        </w:rPr>
        <w:t xml:space="preserve">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Shares</w:t>
      </w:r>
      <w:r>
        <w:rPr>
          <w:color w:val="000000"/>
        </w:rPr>
        <w:t xml:space="preserve">” </w:t>
      </w:r>
      <w:r>
        <w:rPr>
          <w:rFonts w:ascii="Times New Roman;sans-serif" w:hAnsi="Times New Roman;sans-serif"/>
          <w:b w:val="false"/>
          <w:color w:val="000000"/>
          <w:sz w:val="20"/>
        </w:rPr>
        <w:t xml:space="preserve">means, collectively, the Company Series A Preferred Shares, the Company Series B Preferred Shares, the Company Series Seed Preferred Shares and the Company Common Shares.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Warrants</w:t>
      </w:r>
      <w:r>
        <w:rPr>
          <w:color w:val="000000"/>
        </w:rPr>
        <w:t xml:space="preserve">” </w:t>
      </w:r>
      <w:r>
        <w:rPr>
          <w:rFonts w:ascii="Times New Roman;sans-serif" w:hAnsi="Times New Roman;sans-serif"/>
          <w:b w:val="false"/>
          <w:color w:val="000000"/>
          <w:sz w:val="20"/>
        </w:rPr>
        <w:t>means, as of any determination time, each warrant to purchase Company Common Shares that is outstanding and granted pursuant to the Company Warrant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Warrant Agreement</w:t>
      </w:r>
      <w:r>
        <w:rPr>
          <w:color w:val="000000"/>
        </w:rPr>
        <w:t xml:space="preserve">” </w:t>
      </w:r>
      <w:r>
        <w:rPr>
          <w:rFonts w:ascii="Times New Roman;sans-serif" w:hAnsi="Times New Roman;sans-serif"/>
          <w:b w:val="false"/>
          <w:color w:val="000000"/>
          <w:sz w:val="20"/>
        </w:rPr>
        <w:t>means the Warrant to Purchase Common Stock, dated as of September 7, 2017, by and between the Company and Silicon Valley Bank.</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Confidentiality Agreement</w:t>
      </w:r>
      <w:r>
        <w:rPr>
          <w:color w:val="000000"/>
        </w:rPr>
        <w:t xml:space="preserve">” </w:t>
      </w:r>
      <w:r>
        <w:rPr>
          <w:rFonts w:ascii="Times New Roman;sans-serif" w:hAnsi="Times New Roman;sans-serif"/>
          <w:b w:val="false"/>
          <w:color w:val="000000"/>
          <w:sz w:val="20"/>
        </w:rPr>
        <w:t>means that certain Mutual Confidentiality Agreement, dated as of December 16, 2020, by and between the Company and ARYA.</w:t>
      </w:r>
    </w:p>
    <w:p>
      <w:pPr>
        <w:pStyle w:val="HorizontalLine"/>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396" name="Frame3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Consent</w:t>
      </w:r>
      <w:r>
        <w:rPr>
          <w:color w:val="000000"/>
        </w:rPr>
        <w:t xml:space="preserve">” </w:t>
      </w:r>
      <w:r>
        <w:rPr>
          <w:rFonts w:ascii="Times New Roman;sans-serif" w:hAnsi="Times New Roman;sans-serif"/>
          <w:b w:val="false"/>
          <w:color w:val="000000"/>
          <w:sz w:val="20"/>
        </w:rPr>
        <w:t>means any notice, authorization, qualification, registration, filing, notification, permit, waiver, order, consent or approval to be obtained from, filed with or delivered to, a Governmental Entity or other Person.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Continuing Employees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Contract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Contracts</w:t>
      </w:r>
      <w:r>
        <w:rPr>
          <w:color w:val="000000"/>
        </w:rPr>
        <w:t xml:space="preserve">” </w:t>
      </w:r>
      <w:r>
        <w:rPr>
          <w:rFonts w:ascii="Times New Roman;sans-serif" w:hAnsi="Times New Roman;sans-serif"/>
          <w:b w:val="false"/>
          <w:color w:val="000000"/>
          <w:sz w:val="20"/>
        </w:rPr>
        <w:t>means any agreement, contract, license, lease, obligation, undertaking or other commitment or arrangement that is legally binding upon a Person or any of his, her or its properties or assets.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Copyrights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COVID-19</w:t>
      </w:r>
      <w:r>
        <w:rPr>
          <w:color w:val="000000"/>
        </w:rPr>
        <w:t xml:space="preserve">” </w:t>
      </w:r>
      <w:r>
        <w:rPr>
          <w:rFonts w:ascii="Times New Roman;sans-serif" w:hAnsi="Times New Roman;sans-serif"/>
          <w:b w:val="false"/>
          <w:color w:val="000000"/>
          <w:sz w:val="20"/>
        </w:rPr>
        <w:t>means SARS-CoV-2 or COVID-19 and any evolutions thereof or related or associated epidemics, pandemic or disease outbreaks.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Creator</w:t>
      </w:r>
      <w:r>
        <w:rPr>
          <w:color w:val="000000"/>
        </w:rPr>
        <w:t xml:space="preserve">” </w:t>
      </w:r>
      <w:r>
        <w:rPr>
          <w:rFonts w:ascii="Times New Roman;sans-serif" w:hAnsi="Times New Roman;sans-serif"/>
          <w:b w:val="false"/>
          <w:color w:val="000000"/>
          <w:sz w:val="20"/>
        </w:rPr>
        <w:t>has the meaning set forth in</w:t>
      </w:r>
      <w:r>
        <w:rPr>
          <w:color w:val="000000"/>
          <w:u w:val="single"/>
        </w:rPr>
        <w:t xml:space="preserve"> </w:t>
      </w:r>
      <w:r>
        <w:rPr>
          <w:rFonts w:ascii="Times New Roman;sans-serif" w:hAnsi="Times New Roman;sans-serif"/>
          <w:b w:val="false"/>
          <w:color w:val="000000"/>
          <w:sz w:val="20"/>
          <w:u w:val="single"/>
        </w:rPr>
        <w:t>Section 3.13(d)</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Designated Material Contracts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DGCL</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Domestication</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Domestication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DPA</w:t>
      </w:r>
      <w:r>
        <w:rPr>
          <w:color w:val="000000"/>
        </w:rPr>
        <w:t xml:space="preserve">” </w:t>
      </w:r>
      <w:r>
        <w:rPr>
          <w:rFonts w:ascii="Times New Roman;sans-serif" w:hAnsi="Times New Roman;sans-serif"/>
          <w:b w:val="false"/>
          <w:color w:val="000000"/>
          <w:sz w:val="20"/>
        </w:rPr>
        <w:t xml:space="preserve">had the meaning set forth in </w:t>
      </w:r>
      <w:r>
        <w:rPr>
          <w:rFonts w:ascii="Times New Roman;sans-serif" w:hAnsi="Times New Roman;sans-serif"/>
          <w:b w:val="false"/>
          <w:color w:val="000000"/>
          <w:sz w:val="20"/>
          <w:u w:val="single"/>
        </w:rPr>
        <w:t>Section 4.20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Effective Time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Employee Benefit Plan</w:t>
      </w:r>
      <w:r>
        <w:rPr>
          <w:color w:val="000000"/>
        </w:rPr>
        <w:t xml:space="preserve">” </w:t>
      </w:r>
      <w:r>
        <w:rPr>
          <w:rFonts w:ascii="Times New Roman;sans-serif" w:hAnsi="Times New Roman;sans-serif"/>
          <w:b w:val="false"/>
          <w:color w:val="000000"/>
          <w:sz w:val="20"/>
        </w:rPr>
        <w:t>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Employee Stock Purchase Plan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Environmental Laws</w:t>
      </w:r>
      <w:r>
        <w:rPr>
          <w:color w:val="000000"/>
        </w:rPr>
        <w:t xml:space="preserve">” </w:t>
      </w:r>
      <w:r>
        <w:rPr>
          <w:rFonts w:ascii="Times New Roman;sans-serif" w:hAnsi="Times New Roman;sans-serif"/>
          <w:b w:val="false"/>
          <w:color w:val="000000"/>
          <w:sz w:val="20"/>
        </w:rPr>
        <w:t>means all Laws and Orders concerning pollution, protection of the environment, or human health or safety (as related to exposure to Hazardous Substances).</w:t>
      </w:r>
    </w:p>
    <w:p>
      <w:pPr>
        <w:pStyle w:val="TextBody"/>
        <w:spacing w:lineRule="auto" w:line="288" w:before="0" w:after="240"/>
        <w:ind w:left="0" w:right="0" w:firstLine="360"/>
        <w:jc w:val="both"/>
        <w:rPr/>
      </w:pPr>
      <w:r>
        <w:rPr>
          <w:color w:val="000000"/>
        </w:rPr>
        <w:t>“</w:t>
      </w:r>
      <w:r>
        <w:rPr>
          <w:rFonts w:ascii="Times New Roman;sans-serif" w:hAnsi="Times New Roman;sans-serif"/>
          <w:b w:val="false"/>
          <w:color w:val="000000"/>
          <w:sz w:val="20"/>
          <w:u w:val="single"/>
        </w:rPr>
        <w:t>Equity Securities</w:t>
      </w:r>
      <w:r>
        <w:rPr>
          <w:color w:val="000000"/>
        </w:rPr>
        <w:t xml:space="preserve">” </w:t>
      </w:r>
      <w:r>
        <w:rPr>
          <w:rFonts w:ascii="Times New Roman;sans-serif" w:hAnsi="Times New Roman;sans-serif"/>
          <w:b w:val="false"/>
          <w:color w:val="000000"/>
          <w:sz w:val="20"/>
        </w:rPr>
        <w:t xml:space="preserve">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Equity Value</w:t>
      </w:r>
      <w:r>
        <w:rPr>
          <w:color w:val="000000"/>
        </w:rPr>
        <w:t xml:space="preserve">” </w:t>
      </w:r>
      <w:r>
        <w:rPr>
          <w:rFonts w:ascii="Times New Roman;sans-serif" w:hAnsi="Times New Roman;sans-serif"/>
          <w:b w:val="false"/>
          <w:color w:val="000000"/>
          <w:sz w:val="20"/>
        </w:rPr>
        <w:t>means $900,000,000.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ERISA</w:t>
      </w:r>
      <w:r>
        <w:rPr>
          <w:color w:val="000000"/>
        </w:rPr>
        <w:t xml:space="preserve">” </w:t>
      </w:r>
      <w:r>
        <w:rPr>
          <w:rFonts w:ascii="Times New Roman;sans-serif" w:hAnsi="Times New Roman;sans-serif"/>
          <w:b w:val="false"/>
          <w:color w:val="000000"/>
          <w:sz w:val="20"/>
        </w:rPr>
        <w:t>means the Employee Retirement Income Security Act of 1974.</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Act</w:t>
      </w:r>
      <w:r>
        <w:rPr>
          <w:color w:val="000000"/>
        </w:rPr>
        <w:t xml:space="preserve">” </w:t>
      </w:r>
      <w:r>
        <w:rPr>
          <w:rFonts w:ascii="Times New Roman;sans-serif" w:hAnsi="Times New Roman;sans-serif"/>
          <w:b w:val="false"/>
          <w:color w:val="000000"/>
          <w:sz w:val="20"/>
        </w:rPr>
        <w:t>means the Securities Exchange Act of 1934.</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Agent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Agent Agreement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Fund</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2.5(c)</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Ratio</w:t>
      </w:r>
      <w:r>
        <w:rPr>
          <w:color w:val="000000"/>
        </w:rPr>
        <w:t xml:space="preserve">” </w:t>
      </w:r>
      <w:r>
        <w:rPr>
          <w:rFonts w:ascii="Times New Roman;sans-serif" w:hAnsi="Times New Roman;sans-serif"/>
          <w:b w:val="false"/>
          <w:color w:val="000000"/>
          <w:sz w:val="20"/>
        </w:rPr>
        <w:t>means the quotient obtained by dividing (a) the Adjusted Transaction Share Consideration, by (b) the number of Fully-Diluted Shares.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FDA</w:t>
      </w:r>
      <w:r>
        <w:rPr>
          <w:color w:val="000000"/>
        </w:rPr>
        <w:t xml:space="preserve">” </w:t>
      </w:r>
      <w:r>
        <w:rPr>
          <w:rFonts w:ascii="Times New Roman;sans-serif" w:hAnsi="Times New Roman;sans-serif"/>
          <w:b w:val="false"/>
          <w:color w:val="000000"/>
          <w:sz w:val="20"/>
        </w:rPr>
        <w:t>means the U.S. Food and Drug Administration.</w:t>
      </w:r>
    </w:p>
    <w:p>
      <w:pPr>
        <w:pStyle w:val="HorizontalLine"/>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397" name="Frame3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Federal Securities Laws</w:t>
      </w:r>
      <w:r>
        <w:rPr>
          <w:color w:val="000000"/>
        </w:rPr>
        <w:t xml:space="preserve">” </w:t>
      </w:r>
      <w:r>
        <w:rPr>
          <w:rFonts w:ascii="Times New Roman;sans-serif" w:hAnsi="Times New Roman;sans-serif"/>
          <w:b w:val="false"/>
          <w:color w:val="000000"/>
          <w:sz w:val="20"/>
        </w:rPr>
        <w:t>means the Exchange Act, the Securities Act and the other U.S. federal securities laws and the rules and regulations of the SEC promulgated thereunder or otherwise.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Financial Statements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Foreign Benefit Plan</w:t>
      </w:r>
      <w:r>
        <w:rPr>
          <w:color w:val="000000"/>
        </w:rPr>
        <w:t xml:space="preserve">” </w:t>
      </w:r>
      <w:r>
        <w:rPr>
          <w:rFonts w:ascii="Times New Roman;sans-serif" w:hAnsi="Times New Roman;sans-serif"/>
          <w:b w:val="false"/>
          <w:color w:val="000000"/>
          <w:sz w:val="20"/>
        </w:rPr>
        <w:t>means each Employee Benefit Plan maintained by any of the Group Companies for its current or former employees, officers, directors or other individual service providers located outside of the United States.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Fraud</w:t>
      </w:r>
      <w:r>
        <w:rPr>
          <w:color w:val="000000"/>
        </w:rPr>
        <w:t xml:space="preserve">” </w:t>
      </w:r>
      <w:r>
        <w:rPr>
          <w:rFonts w:ascii="Times New Roman;sans-serif" w:hAnsi="Times New Roman;sans-serif"/>
          <w:b w:val="false"/>
          <w:color w:val="000000"/>
          <w:sz w:val="20"/>
        </w:rPr>
        <w:t>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Fully-Diluted Shares</w:t>
      </w:r>
      <w:r>
        <w:rPr>
          <w:color w:val="000000"/>
        </w:rPr>
        <w:t xml:space="preserve">” </w:t>
      </w:r>
      <w:r>
        <w:rPr>
          <w:rFonts w:ascii="Times New Roman;sans-serif" w:hAnsi="Times New Roman;sans-serif"/>
          <w:b w:val="false"/>
          <w:color w:val="000000"/>
          <w:sz w:val="20"/>
        </w:rPr>
        <w:t>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w:t>
      </w:r>
      <w:r>
        <w:rPr>
          <w:color w:val="000000"/>
          <w:u w:val="single"/>
        </w:rPr>
        <w:t xml:space="preserve">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plus (b) the aggregate number of shares of Company Common Shares issuable upon the full exercise, exchange or conversion of Company Options that are outstanding as of immediately prior to the Effective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GAAP</w:t>
      </w:r>
      <w:r>
        <w:rPr>
          <w:color w:val="000000"/>
        </w:rPr>
        <w:t xml:space="preserve">” </w:t>
      </w:r>
      <w:r>
        <w:rPr>
          <w:rFonts w:ascii="Times New Roman;sans-serif" w:hAnsi="Times New Roman;sans-serif"/>
          <w:b w:val="false"/>
          <w:color w:val="000000"/>
          <w:sz w:val="20"/>
        </w:rPr>
        <w:t>means United States generally accepted accounting principles.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Governing Documents</w:t>
      </w:r>
      <w:r>
        <w:rPr>
          <w:color w:val="000000"/>
        </w:rPr>
        <w:t xml:space="preserve">” </w:t>
      </w:r>
      <w:r>
        <w:rPr>
          <w:rFonts w:ascii="Times New Roman;sans-serif" w:hAnsi="Times New Roman;sans-serif"/>
          <w:b w:val="false"/>
          <w:color w:val="000000"/>
          <w:sz w:val="20"/>
        </w:rPr>
        <w:t>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Governmental Entity</w:t>
      </w:r>
      <w:r>
        <w:rPr>
          <w:color w:val="000000"/>
        </w:rPr>
        <w:t xml:space="preserve">” </w:t>
      </w:r>
      <w:r>
        <w:rPr>
          <w:rFonts w:ascii="Times New Roman;sans-serif" w:hAnsi="Times New Roman;sans-serif"/>
          <w:b w:val="false"/>
          <w:color w:val="000000"/>
          <w:sz w:val="20"/>
        </w:rPr>
        <w:t>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Group Company</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Group Companies</w:t>
      </w:r>
      <w:r>
        <w:rPr>
          <w:color w:val="000000"/>
        </w:rPr>
        <w:t xml:space="preserve">” </w:t>
      </w:r>
      <w:r>
        <w:rPr>
          <w:rFonts w:ascii="Times New Roman;sans-serif" w:hAnsi="Times New Roman;sans-serif"/>
          <w:b w:val="false"/>
          <w:color w:val="000000"/>
          <w:sz w:val="20"/>
        </w:rPr>
        <w:t xml:space="preserve">means, collectively, the Company and its Subsidiaries.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Hazardous Substance</w:t>
      </w:r>
      <w:r>
        <w:rPr>
          <w:color w:val="000000"/>
        </w:rPr>
        <w:t xml:space="preserve">” </w:t>
      </w:r>
      <w:r>
        <w:rPr>
          <w:rFonts w:ascii="Times New Roman;sans-serif" w:hAnsi="Times New Roman;sans-serif"/>
          <w:b w:val="false"/>
          <w:color w:val="000000"/>
          <w:sz w:val="20"/>
        </w:rPr>
        <w:t>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HSR Act</w:t>
      </w:r>
      <w:r>
        <w:rPr>
          <w:color w:val="000000"/>
        </w:rPr>
        <w:t xml:space="preserve">” </w:t>
      </w:r>
      <w:r>
        <w:rPr>
          <w:rFonts w:ascii="Times New Roman;sans-serif" w:hAnsi="Times New Roman;sans-serif"/>
          <w:b w:val="false"/>
          <w:color w:val="000000"/>
          <w:sz w:val="20"/>
        </w:rPr>
        <w:t>means the Hart-Scott-Rodino Antitrust Improvements Act of 1976 and the rules and regulations promulgated thereunder.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Incentive Equity Plan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Incentive Stock Option</w:t>
      </w:r>
      <w:r>
        <w:rPr>
          <w:color w:val="000000"/>
        </w:rPr>
        <w:t xml:space="preserve">” </w:t>
      </w:r>
      <w:r>
        <w:rPr>
          <w:rFonts w:ascii="Times New Roman;sans-serif" w:hAnsi="Times New Roman;sans-serif"/>
          <w:b w:val="false"/>
          <w:color w:val="000000"/>
          <w:sz w:val="20"/>
        </w:rPr>
        <w:t>means a Company Option intended to be an “incentive stock option” (as defined in Section 422 of the Code).</w:t>
      </w:r>
    </w:p>
    <w:p>
      <w:pPr>
        <w:pStyle w:val="HorizontalLine"/>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398" name="Frame3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Indebtedness</w:t>
      </w:r>
      <w:r>
        <w:rPr>
          <w:color w:val="000000"/>
        </w:rPr>
        <w:t xml:space="preserve">” </w:t>
      </w:r>
      <w:r>
        <w:rPr>
          <w:rFonts w:ascii="Times New Roman;sans-serif" w:hAnsi="Times New Roman;sans-serif"/>
          <w:b w:val="false"/>
          <w:color w:val="000000"/>
          <w:sz w:val="20"/>
        </w:rPr>
        <w:t xml:space="preserve">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Intellectual Property Rights</w:t>
      </w:r>
      <w:r>
        <w:rPr>
          <w:color w:val="000000"/>
        </w:rPr>
        <w:t xml:space="preserve">” </w:t>
      </w:r>
      <w:r>
        <w:rPr>
          <w:rFonts w:ascii="Times New Roman;sans-serif" w:hAnsi="Times New Roman;sans-serif"/>
          <w:b w:val="false"/>
          <w:color w:val="000000"/>
          <w:sz w:val="20"/>
        </w:rPr>
        <w:t>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sans-serif" w:hAnsi="Times New Roman;sans-serif"/>
          <w:b w:val="false"/>
          <w:color w:val="000000"/>
          <w:sz w:val="20"/>
          <w:u w:val="single"/>
        </w:rPr>
        <w:t>Patents</w:t>
      </w:r>
      <w:r>
        <w:rPr>
          <w:color w:val="000000"/>
        </w:rPr>
        <w:t>”</w:t>
      </w:r>
      <w:r>
        <w:rPr>
          <w:rFonts w:ascii="Times New Roman;sans-serif" w:hAnsi="Times New Roman;sans-serif"/>
          <w:b w:val="false"/>
          <w:color w:val="000000"/>
          <w:sz w:val="20"/>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Times New Roman;sans-serif" w:hAnsi="Times New Roman;sans-serif"/>
          <w:b w:val="false"/>
          <w:color w:val="000000"/>
          <w:sz w:val="20"/>
          <w:u w:val="single"/>
        </w:rPr>
        <w:t>Marks</w:t>
      </w:r>
      <w:r>
        <w:rPr>
          <w:color w:val="000000"/>
        </w:rPr>
        <w:t>”</w:t>
      </w:r>
      <w:r>
        <w:rPr>
          <w:rFonts w:ascii="Times New Roman;sans-serif" w:hAnsi="Times New Roman;sans-serif"/>
          <w:b w:val="false"/>
          <w:color w:val="000000"/>
          <w:sz w:val="20"/>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Times New Roman;sans-serif" w:hAnsi="Times New Roman;sans-serif"/>
          <w:b w:val="false"/>
          <w:color w:val="000000"/>
          <w:sz w:val="20"/>
          <w:u w:val="single"/>
        </w:rPr>
        <w:t>Copyrights</w:t>
      </w:r>
      <w:r>
        <w:rPr>
          <w:color w:val="000000"/>
        </w:rPr>
        <w:t>”</w:t>
      </w:r>
      <w:r>
        <w:rPr>
          <w:rFonts w:ascii="Times New Roman;sans-serif" w:hAnsi="Times New Roman;sans-serif"/>
          <w:b w:val="false"/>
          <w:color w:val="000000"/>
          <w:sz w:val="20"/>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Intended Tax Treatment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Investment Company Act</w:t>
      </w:r>
      <w:r>
        <w:rPr>
          <w:color w:val="000000"/>
        </w:rPr>
        <w:t xml:space="preserve">” </w:t>
      </w:r>
      <w:r>
        <w:rPr>
          <w:rFonts w:ascii="Times New Roman;sans-serif" w:hAnsi="Times New Roman;sans-serif"/>
          <w:b w:val="false"/>
          <w:color w:val="000000"/>
          <w:sz w:val="20"/>
        </w:rPr>
        <w:t>means the Investment Company Act of 1940.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Investor Rights Agreement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IPO</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JOBS Act</w:t>
      </w:r>
      <w:r>
        <w:rPr>
          <w:color w:val="000000"/>
        </w:rPr>
        <w:t xml:space="preserve">” </w:t>
      </w:r>
      <w:r>
        <w:rPr>
          <w:rFonts w:ascii="Times New Roman;sans-serif" w:hAnsi="Times New Roman;sans-serif"/>
          <w:b w:val="false"/>
          <w:color w:val="000000"/>
          <w:sz w:val="20"/>
        </w:rPr>
        <w:t>means the Jumpstart Our Business Startups Act of 2012.</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Latest Balance Sheet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Latest ARYA Balance Sheet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Law</w:t>
      </w:r>
      <w:r>
        <w:rPr>
          <w:color w:val="000000"/>
        </w:rPr>
        <w:t xml:space="preserve">” </w:t>
      </w:r>
      <w:r>
        <w:rPr>
          <w:rFonts w:ascii="Times New Roman;sans-serif" w:hAnsi="Times New Roman;sans-serif"/>
          <w:b w:val="false"/>
          <w:color w:val="000000"/>
          <w:sz w:val="20"/>
        </w:rPr>
        <w:t>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Leased Real Property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3.18(b)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Letter of Transmittal</w:t>
      </w:r>
      <w:r>
        <w:rPr>
          <w:color w:val="000000"/>
        </w:rPr>
        <w:t xml:space="preserve">” </w:t>
      </w:r>
      <w:r>
        <w:rPr>
          <w:rFonts w:ascii="Times New Roman;sans-serif" w:hAnsi="Times New Roman;sans-serif"/>
          <w:b w:val="false"/>
          <w:color w:val="000000"/>
          <w:sz w:val="20"/>
        </w:rPr>
        <w:t xml:space="preserve">means the letter of transmittal, substantially in the form attached as </w:t>
      </w:r>
      <w:r>
        <w:rPr>
          <w:rFonts w:ascii="Times New Roman;sans-serif" w:hAnsi="Times New Roman;sans-serif"/>
          <w:b w:val="false"/>
          <w:color w:val="000000"/>
          <w:sz w:val="20"/>
          <w:u w:val="single"/>
        </w:rPr>
        <w:t>Exhibit D</w:t>
      </w:r>
      <w:r>
        <w:rPr>
          <w:color w:val="000000"/>
        </w:rPr>
        <w:t xml:space="preserve"> </w:t>
      </w:r>
      <w:r>
        <w:rPr>
          <w:rFonts w:ascii="Times New Roman;sans-serif" w:hAnsi="Times New Roman;sans-serif"/>
          <w:b w:val="false"/>
          <w:color w:val="000000"/>
          <w:sz w:val="20"/>
        </w:rPr>
        <w:t>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Liability</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liability</w:t>
      </w:r>
      <w:r>
        <w:rPr>
          <w:color w:val="000000"/>
        </w:rPr>
        <w:t xml:space="preserve">” </w:t>
      </w:r>
      <w:r>
        <w:rPr>
          <w:rFonts w:ascii="Times New Roman;sans-serif" w:hAnsi="Times New Roman;sans-serif"/>
          <w:b w:val="false"/>
          <w:color w:val="000000"/>
          <w:sz w:val="20"/>
        </w:rPr>
        <w:t xml:space="preserve">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 </w:t>
      </w:r>
    </w:p>
    <w:p>
      <w:pPr>
        <w:pStyle w:val="HorizontalLine"/>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399" name="Frame3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Lien</w:t>
      </w:r>
      <w:r>
        <w:rPr>
          <w:color w:val="000000"/>
        </w:rPr>
        <w:t xml:space="preserve">” </w:t>
      </w:r>
      <w:r>
        <w:rPr>
          <w:rFonts w:ascii="Times New Roman;sans-serif" w:hAnsi="Times New Roman;sans-serif"/>
          <w:b w:val="false"/>
          <w:color w:val="000000"/>
          <w:sz w:val="20"/>
        </w:rPr>
        <w:t>means any mortgage, pledge, security interest, encumbrance, lien, license or sub-license, charge, or other similar encumbrance or interest (including, in the case of any Equity Securities, any voting, transfer or similar restrictions).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Marks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Material Contracts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3.7(a)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Material Permits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3.6</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Merger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Merger Sub</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Multiemployer Plan</w:t>
      </w:r>
      <w:r>
        <w:rPr>
          <w:color w:val="000000"/>
        </w:rPr>
        <w:t xml:space="preserve">” </w:t>
      </w:r>
      <w:r>
        <w:rPr>
          <w:rFonts w:ascii="Times New Roman;sans-serif" w:hAnsi="Times New Roman;sans-serif"/>
          <w:b w:val="false"/>
          <w:color w:val="000000"/>
          <w:sz w:val="20"/>
        </w:rPr>
        <w:t>has the meaning set forth in Section (3)37 or Section 4001(a)(3) of ERISA.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Nasdaq</w:t>
      </w:r>
      <w:r>
        <w:rPr>
          <w:color w:val="000000"/>
        </w:rPr>
        <w:t xml:space="preserve">” </w:t>
      </w:r>
      <w:r>
        <w:rPr>
          <w:rFonts w:ascii="Times New Roman;sans-serif" w:hAnsi="Times New Roman;sans-serif"/>
          <w:b w:val="false"/>
          <w:color w:val="000000"/>
          <w:sz w:val="20"/>
        </w:rPr>
        <w:t>means the Nasdaq Capital Market.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Nasdaq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Off-the-Shelf Software</w:t>
      </w:r>
      <w:r>
        <w:rPr>
          <w:color w:val="000000"/>
        </w:rPr>
        <w:t xml:space="preserve">” </w:t>
      </w:r>
      <w:r>
        <w:rPr>
          <w:rFonts w:ascii="Times New Roman;sans-serif" w:hAnsi="Times New Roman;sans-serif"/>
          <w:b w:val="false"/>
          <w:color w:val="000000"/>
          <w:sz w:val="20"/>
        </w:rPr>
        <w:t xml:space="preserve">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Officers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Order</w:t>
      </w:r>
      <w:r>
        <w:rPr>
          <w:color w:val="000000"/>
        </w:rPr>
        <w:t xml:space="preserve">” </w:t>
      </w:r>
      <w:r>
        <w:rPr>
          <w:rFonts w:ascii="Times New Roman;sans-serif" w:hAnsi="Times New Roman;sans-serif"/>
          <w:b w:val="false"/>
          <w:color w:val="000000"/>
          <w:sz w:val="20"/>
        </w:rPr>
        <w:t>means any outstanding writ, order, judgment, injunction, settlement, decision, determination, award, ruling, subpoena, verdict or decree entered, issued or rendered by any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ARYA Shareholder Approva</w:t>
      </w:r>
      <w:r>
        <w:rPr>
          <w:rFonts w:ascii="Times New Roman;sans-serif" w:hAnsi="Times New Roman;sans-serif"/>
          <w:b w:val="false"/>
          <w:color w:val="000000"/>
          <w:sz w:val="20"/>
        </w:rPr>
        <w:t>l”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Other Class B Shareholders</w:t>
      </w:r>
      <w:r>
        <w:rPr>
          <w:color w:val="000000"/>
        </w:rPr>
        <w:t xml:space="preserve">” </w:t>
      </w:r>
      <w:r>
        <w:rPr>
          <w:rFonts w:ascii="Times New Roman;sans-serif" w:hAnsi="Times New Roman;sans-serif"/>
          <w:b w:val="false"/>
          <w:color w:val="000000"/>
          <w:sz w:val="20"/>
        </w:rPr>
        <w:t>means, collectively, Bradley Campbell, Saqib Islam and Todd Wider.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Governing Document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5.9(a)</w:t>
      </w:r>
      <w:r>
        <w:rPr>
          <w:rFonts w:ascii="Times New Roman;sans-serif" w:hAnsi="Times New Roman;sans-serif"/>
          <w:b w:val="false"/>
          <w:color w:val="000000"/>
          <w:sz w:val="20"/>
        </w:rPr>
        <w:t xml:space="preserve">.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Transaction Proposal</w:t>
      </w:r>
      <w:r>
        <w:rPr>
          <w:color w:val="000000"/>
        </w:rPr>
        <w:t xml:space="preserve">” </w:t>
      </w:r>
      <w:r>
        <w:rPr>
          <w:rFonts w:ascii="Times New Roman;sans-serif" w:hAnsi="Times New Roman;sans-serif"/>
          <w:b w:val="false"/>
          <w:color w:val="000000"/>
          <w:sz w:val="20"/>
        </w:rPr>
        <w:t>means each Transaction Proposal, other than the Required Transaction Proposals.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Parties</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Patents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PCAOB</w:t>
      </w:r>
      <w:r>
        <w:rPr>
          <w:color w:val="000000"/>
        </w:rPr>
        <w:t xml:space="preserve">” </w:t>
      </w:r>
      <w:r>
        <w:rPr>
          <w:rFonts w:ascii="Times New Roman;sans-serif" w:hAnsi="Times New Roman;sans-serif"/>
          <w:b w:val="false"/>
          <w:color w:val="000000"/>
          <w:sz w:val="20"/>
        </w:rPr>
        <w:t>means the Public Company Accounting Oversight Board.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w:t>
      </w:r>
      <w:r>
        <w:rPr>
          <w:color w:val="000000"/>
        </w:rPr>
        <w:t xml:space="preserve">” </w:t>
      </w:r>
      <w:r>
        <w:rPr>
          <w:rFonts w:ascii="Times New Roman;sans-serif" w:hAnsi="Times New Roman;sans-serif"/>
          <w:b w:val="false"/>
          <w:color w:val="000000"/>
          <w:sz w:val="20"/>
        </w:rPr>
        <w:t>means Perceptive Advisors, LLC, a Delaware limited liability company.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 PIPE Investor</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 Shareholders</w:t>
      </w:r>
      <w:r>
        <w:rPr>
          <w:color w:val="000000"/>
        </w:rPr>
        <w:t xml:space="preserve">” </w:t>
      </w:r>
      <w:r>
        <w:rPr>
          <w:rFonts w:ascii="Times New Roman;sans-serif" w:hAnsi="Times New Roman;sans-serif"/>
          <w:b w:val="false"/>
          <w:color w:val="000000"/>
          <w:sz w:val="20"/>
        </w:rPr>
        <w:t>means, collectively, the ARYA Sponsor and the Perceptive PIPE Investor.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Permits</w:t>
      </w:r>
      <w:r>
        <w:rPr>
          <w:color w:val="000000"/>
        </w:rPr>
        <w:t xml:space="preserve">” </w:t>
      </w:r>
      <w:r>
        <w:rPr>
          <w:rFonts w:ascii="Times New Roman;sans-serif" w:hAnsi="Times New Roman;sans-serif"/>
          <w:b w:val="false"/>
          <w:color w:val="000000"/>
          <w:sz w:val="20"/>
        </w:rPr>
        <w:t>means any approvals, authorizations, clearances, business licenses, registrations, permits or certificates of a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Permitted Liens</w:t>
      </w:r>
      <w:r>
        <w:rPr>
          <w:color w:val="000000"/>
        </w:rPr>
        <w:t xml:space="preserve">” </w:t>
      </w:r>
      <w:r>
        <w:rPr>
          <w:rFonts w:ascii="Times New Roman;sans-serif" w:hAnsi="Times New Roman;sans-serif"/>
          <w:b w:val="false"/>
          <w:color w:val="000000"/>
          <w:sz w:val="20"/>
        </w:rPr>
        <w:t xml:space="preserve">means (a) mechanic’s, materialmen’s, carriers’, repairers’ and other similar statutory Liens arising or incurred in the ordinary course of business for amounts that are not yet delinquent or are being contested </w:t>
      </w:r>
    </w:p>
    <w:p>
      <w:pPr>
        <w:pStyle w:val="HorizontalLine"/>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400" name="Frame3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 individual, partnership, corporation, limited liability company, joint stock company, unincorporated organization or association, trust, joint venture or other similar entity, whether or not a legal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Personal Data</w:t>
      </w:r>
      <w:r>
        <w:rPr>
          <w:color w:val="000000"/>
        </w:rPr>
        <w:t xml:space="preserve">” </w:t>
      </w:r>
      <w:r>
        <w:rPr>
          <w:rFonts w:ascii="Times New Roman;sans-serif" w:hAnsi="Times New Roman;sans-serif"/>
          <w:b w:val="false"/>
          <w:color w:val="000000"/>
          <w:sz w:val="20"/>
        </w:rPr>
        <w:t>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 Share Merger Consideration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Financing</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Financing Amount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Investors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Subscription Agreements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Pre-Closing ARYA Governing Documents</w:t>
      </w:r>
      <w:r>
        <w:rPr>
          <w:color w:val="000000"/>
        </w:rPr>
        <w:t xml:space="preserve">” </w:t>
      </w:r>
      <w:r>
        <w:rPr>
          <w:rFonts w:ascii="Times New Roman;sans-serif" w:hAnsi="Times New Roman;sans-serif"/>
          <w:b w:val="false"/>
          <w:color w:val="000000"/>
          <w:sz w:val="20"/>
        </w:rPr>
        <w:t>means, collectively, (a) the Amended and Restated Memorandum of Association of ARYA, dated as of August 6, 2020, and (b) the Amended &amp; Restated Articles of Association of ARYA, dated as of August 6, 2020.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Pre-Closing ARYA Shareholders</w:t>
      </w:r>
      <w:r>
        <w:rPr>
          <w:color w:val="000000"/>
        </w:rPr>
        <w:t xml:space="preserve">” </w:t>
      </w:r>
      <w:r>
        <w:rPr>
          <w:rFonts w:ascii="Times New Roman;sans-serif" w:hAnsi="Times New Roman;sans-serif"/>
          <w:b w:val="false"/>
          <w:color w:val="000000"/>
          <w:sz w:val="20"/>
        </w:rPr>
        <w:t>means the holders of ARYA Shares as of any determination time prior to the Effective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Proceeding</w:t>
      </w:r>
      <w:r>
        <w:rPr>
          <w:color w:val="000000"/>
        </w:rPr>
        <w:t xml:space="preserve">” </w:t>
      </w:r>
      <w:r>
        <w:rPr>
          <w:rFonts w:ascii="Times New Roman;sans-serif" w:hAnsi="Times New Roman;sans-serif"/>
          <w:b w:val="false"/>
          <w:color w:val="000000"/>
          <w:sz w:val="20"/>
        </w:rPr>
        <w:t>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Process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Processing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Processes</w:t>
      </w:r>
      <w:r>
        <w:rPr>
          <w:color w:val="000000"/>
        </w:rPr>
        <w:t>”</w:t>
      </w:r>
      <w:r>
        <w:rPr>
          <w:rFonts w:ascii="Times New Roman;sans-serif" w:hAnsi="Times New Roman;sans-serif"/>
          <w:b w:val="false"/>
          <w:color w:val="000000"/>
          <w:sz w:val="20"/>
        </w:rPr>
        <w:t>) means the collection, use, storage, processing, recording, distribution, transfer, import, export, protection (including security measures), disposal or disclosure or other activity regarding data (whether electronically or in any other form or medium).</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Prospectus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Public Health Laws</w:t>
      </w:r>
      <w:r>
        <w:rPr>
          <w:color w:val="000000"/>
        </w:rPr>
        <w:t xml:space="preserve">” </w:t>
      </w:r>
      <w:r>
        <w:rPr>
          <w:rFonts w:ascii="Times New Roman;sans-serif" w:hAnsi="Times New Roman;sans-serif"/>
          <w:b w:val="false"/>
          <w:color w:val="000000"/>
          <w:sz w:val="20"/>
        </w:rPr>
        <w:t>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et seq.) or similar federal, state or foreign Laws.</w:t>
      </w:r>
    </w:p>
    <w:p>
      <w:pPr>
        <w:pStyle w:val="HorizontalLine"/>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401" name="Frame3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Public Shareholders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Public Software</w:t>
      </w:r>
      <w:r>
        <w:rPr>
          <w:color w:val="000000"/>
        </w:rPr>
        <w:t xml:space="preserve">” </w:t>
      </w:r>
      <w:r>
        <w:rPr>
          <w:rFonts w:ascii="Times New Roman;sans-serif" w:hAnsi="Times New Roman;sans-serif"/>
          <w:b w:val="false"/>
          <w:color w:val="000000"/>
          <w:sz w:val="20"/>
        </w:rPr>
        <w:t>means any Software that contains, includes, incorporates, or has instantiated therein, or is derived in any manner (in whole or in part) from, any Software that is distributed as free Software, open source software (e.g.,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Real Property Leases</w:t>
      </w:r>
      <w:r>
        <w:rPr>
          <w:color w:val="000000"/>
        </w:rPr>
        <w:t xml:space="preserve">” </w:t>
      </w:r>
      <w:r>
        <w:rPr>
          <w:rFonts w:ascii="Times New Roman;sans-serif" w:hAnsi="Times New Roman;sans-serif"/>
          <w:b w:val="false"/>
          <w:color w:val="000000"/>
          <w:sz w:val="20"/>
        </w:rPr>
        <w:t>means all leases, sub-leases, licenses, concessions or other agreements, in each case, pursuant to which any Group Company leases or sub-leases any real property.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Registered Intellectual Property</w:t>
      </w:r>
      <w:r>
        <w:rPr>
          <w:color w:val="000000"/>
        </w:rPr>
        <w:t xml:space="preserve">” </w:t>
      </w:r>
      <w:r>
        <w:rPr>
          <w:rFonts w:ascii="Times New Roman;sans-serif" w:hAnsi="Times New Roman;sans-serif"/>
          <w:b w:val="false"/>
          <w:color w:val="000000"/>
          <w:sz w:val="20"/>
        </w:rPr>
        <w:t>means all issued Patents, pending Patent applications, registered Marks, pending applications for registration of Marks, registered Copyrights, pending applications for registration of Copyrights and Internet domain name registrations.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Registration Statement / Proxy Statement</w:t>
      </w:r>
      <w:r>
        <w:rPr>
          <w:color w:val="000000"/>
        </w:rPr>
        <w:t xml:space="preserve">” </w:t>
      </w:r>
      <w:r>
        <w:rPr>
          <w:rFonts w:ascii="Times New Roman;sans-serif" w:hAnsi="Times New Roman;sans-serif"/>
          <w:b w:val="false"/>
          <w:color w:val="000000"/>
          <w:sz w:val="20"/>
        </w:rPr>
        <w:t>means a registration statement on Form S-4 relating to the transactions contemplated by this Agreement and the Ancillary Documents and containing a prospectus and proxy statement of ARYA.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Regulatory Permits</w:t>
      </w:r>
      <w:r>
        <w:rPr>
          <w:color w:val="000000"/>
        </w:rPr>
        <w:t xml:space="preserve">” </w:t>
      </w:r>
      <w:r>
        <w:rPr>
          <w:rFonts w:ascii="Times New Roman;sans-serif" w:hAnsi="Times New Roman;sans-serif"/>
          <w:b w:val="false"/>
          <w:color w:val="000000"/>
          <w:sz w:val="20"/>
        </w:rPr>
        <w:t>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Representatives</w:t>
      </w:r>
      <w:r>
        <w:rPr>
          <w:color w:val="000000"/>
        </w:rPr>
        <w:t xml:space="preserve">” </w:t>
      </w:r>
      <w:r>
        <w:rPr>
          <w:rFonts w:ascii="Times New Roman;sans-serif" w:hAnsi="Times New Roman;sans-serif"/>
          <w:b w:val="false"/>
          <w:color w:val="000000"/>
          <w:sz w:val="20"/>
        </w:rPr>
        <w:t>means, with respect to any Person, such Person’s and such Person’s Affiliates’ respective directors, managers, general partners, officers, employees, accountants, consultants, advisors, attorneys, agents and other representatives.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ARYA Shareholder Approval</w:t>
      </w:r>
      <w:r>
        <w:rPr>
          <w:color w:val="000000"/>
        </w:rPr>
        <w:t xml:space="preserve">” </w:t>
      </w:r>
      <w:r>
        <w:rPr>
          <w:rFonts w:ascii="Times New Roman;sans-serif" w:hAnsi="Times New Roman;sans-serif"/>
          <w:b w:val="false"/>
          <w:color w:val="000000"/>
          <w:sz w:val="20"/>
        </w:rPr>
        <w:t>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Transaction Proposals</w:t>
      </w:r>
      <w:r>
        <w:rPr>
          <w:color w:val="000000"/>
        </w:rPr>
        <w:t xml:space="preserve">” </w:t>
      </w:r>
      <w:r>
        <w:rPr>
          <w:rFonts w:ascii="Times New Roman;sans-serif" w:hAnsi="Times New Roman;sans-serif"/>
          <w:b w:val="false"/>
          <w:color w:val="000000"/>
          <w:sz w:val="20"/>
        </w:rPr>
        <w:t>means, collectively, the Business Combination Proposal, the Domestication Proposal, the Nasdaq Proposal, the Required Governing Document Proposal, the Incentive Equity Plan Proposal and the Employee Stock Purchase Plan Proposal.</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Governing Document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Rollover Option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Sanctions and Export Control Laws</w:t>
      </w:r>
      <w:r>
        <w:rPr>
          <w:color w:val="000000"/>
        </w:rPr>
        <w:t xml:space="preserve">” </w:t>
      </w:r>
      <w:r>
        <w:rPr>
          <w:rFonts w:ascii="Times New Roman;sans-serif" w:hAnsi="Times New Roman;sans-serif"/>
          <w:b w:val="false"/>
          <w:color w:val="000000"/>
          <w:sz w:val="20"/>
        </w:rPr>
        <w:t>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Sarbanes-Oxley Act</w:t>
      </w:r>
      <w:r>
        <w:rPr>
          <w:color w:val="000000"/>
        </w:rPr>
        <w:t xml:space="preserve">” </w:t>
      </w:r>
      <w:r>
        <w:rPr>
          <w:rFonts w:ascii="Times New Roman;sans-serif" w:hAnsi="Times New Roman;sans-serif"/>
          <w:b w:val="false"/>
          <w:color w:val="000000"/>
          <w:sz w:val="20"/>
        </w:rPr>
        <w:t>means the Sarbanes-Oxley Act of 2002.</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Schedules</w:t>
      </w:r>
      <w:r>
        <w:rPr>
          <w:color w:val="000000"/>
        </w:rPr>
        <w:t xml:space="preserve">” </w:t>
      </w:r>
      <w:r>
        <w:rPr>
          <w:rFonts w:ascii="Times New Roman;sans-serif" w:hAnsi="Times New Roman;sans-serif"/>
          <w:b w:val="false"/>
          <w:color w:val="000000"/>
          <w:sz w:val="20"/>
        </w:rPr>
        <w:t xml:space="preserve">means, collectively, the Company Disclosure Schedules and the ARYA Disclosure Schedules. </w:t>
      </w:r>
    </w:p>
    <w:p>
      <w:pPr>
        <w:pStyle w:val="HorizontalLine"/>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2" name="Frame3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w:t>
      </w:r>
      <w:r>
        <w:rPr>
          <w:color w:val="000000"/>
        </w:rPr>
        <w:t xml:space="preserve">” </w:t>
      </w:r>
      <w:r>
        <w:rPr>
          <w:rFonts w:ascii="Times New Roman;sans-serif" w:hAnsi="Times New Roman;sans-serif"/>
          <w:b w:val="false"/>
          <w:color w:val="000000"/>
          <w:sz w:val="20"/>
        </w:rPr>
        <w:t>means the U.S. Securities and Exchange Commission.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Securities Act</w:t>
      </w:r>
      <w:r>
        <w:rPr>
          <w:color w:val="000000"/>
        </w:rPr>
        <w:t xml:space="preserve">” </w:t>
      </w:r>
      <w:r>
        <w:rPr>
          <w:rFonts w:ascii="Times New Roman;sans-serif" w:hAnsi="Times New Roman;sans-serif"/>
          <w:b w:val="false"/>
          <w:color w:val="000000"/>
          <w:sz w:val="20"/>
        </w:rPr>
        <w:t>means the U.S. Securities Act of 1933.</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Securities Laws</w:t>
      </w:r>
      <w:r>
        <w:rPr>
          <w:color w:val="000000"/>
        </w:rPr>
        <w:t xml:space="preserve">” </w:t>
      </w:r>
      <w:r>
        <w:rPr>
          <w:rFonts w:ascii="Times New Roman;sans-serif" w:hAnsi="Times New Roman;sans-serif"/>
          <w:b w:val="false"/>
          <w:color w:val="000000"/>
          <w:sz w:val="20"/>
        </w:rPr>
        <w:t>means Federal Securities Laws and other applicable foreign and domestic securities or similar Laws.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Signing Filing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Signing Press Release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Software</w:t>
      </w:r>
      <w:r>
        <w:rPr>
          <w:color w:val="000000"/>
        </w:rPr>
        <w:t xml:space="preserve">” </w:t>
      </w:r>
      <w:r>
        <w:rPr>
          <w:rFonts w:ascii="Times New Roman;sans-serif" w:hAnsi="Times New Roman;sans-serif"/>
          <w:b w:val="false"/>
          <w:color w:val="000000"/>
          <w:sz w:val="20"/>
        </w:rPr>
        <w:t xml:space="preserve">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Sponsor Letter Agreement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Supporting Company Shareholders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Surviving Company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Surviving Company Share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w:t>
      </w:r>
      <w:r>
        <w:rPr>
          <w:color w:val="000000"/>
        </w:rPr>
        <w:t xml:space="preserve">” </w:t>
      </w:r>
      <w:r>
        <w:rPr>
          <w:rFonts w:ascii="Times New Roman;sans-serif" w:hAnsi="Times New Roman;sans-serif"/>
          <w:b w:val="false"/>
          <w:color w:val="000000"/>
          <w:sz w:val="20"/>
        </w:rPr>
        <w:t>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 Authority</w:t>
      </w:r>
      <w:r>
        <w:rPr>
          <w:color w:val="000000"/>
        </w:rPr>
        <w:t xml:space="preserve">” </w:t>
      </w:r>
      <w:r>
        <w:rPr>
          <w:rFonts w:ascii="Times New Roman;sans-serif" w:hAnsi="Times New Roman;sans-serif"/>
          <w:b w:val="false"/>
          <w:color w:val="000000"/>
          <w:sz w:val="20"/>
        </w:rPr>
        <w:t>means any Governmental Entity responsible for the collection or administration of Taxes or Tax Returns.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 Return</w:t>
      </w:r>
      <w:r>
        <w:rPr>
          <w:color w:val="000000"/>
        </w:rPr>
        <w:t xml:space="preserve">” </w:t>
      </w:r>
      <w:r>
        <w:rPr>
          <w:rFonts w:ascii="Times New Roman;sans-serif" w:hAnsi="Times New Roman;sans-serif"/>
          <w:b w:val="false"/>
          <w:color w:val="000000"/>
          <w:sz w:val="20"/>
        </w:rPr>
        <w:t>means returns, information returns, statements, declarations, claims for refund, schedules, attachments and reports relating to Taxes required to be filed with any Governmental Entity, including any amendment of any of the foregoing.</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Termination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7.1(d)</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Third Party PIPE Investors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HorizontalLine"/>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3" name="Frame3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Transaction Proposals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Transaction Support Agreements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Account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Account Released Claims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Agreement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Unpaid ARYA Expenses</w:t>
      </w:r>
      <w:r>
        <w:rPr>
          <w:color w:val="000000"/>
        </w:rPr>
        <w:t xml:space="preserve">” </w:t>
      </w:r>
      <w:r>
        <w:rPr>
          <w:rFonts w:ascii="Times New Roman;sans-serif" w:hAnsi="Times New Roman;sans-serif"/>
          <w:b w:val="false"/>
          <w:color w:val="000000"/>
          <w:sz w:val="20"/>
        </w:rPr>
        <w:t>means the ARYA Expenses calculated as of immediately prior to the Closing, in each case, to the extent unpaid as of such time.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Unpaid ARYA Liabilities</w:t>
      </w:r>
      <w:r>
        <w:rPr>
          <w:color w:val="000000"/>
        </w:rPr>
        <w:t xml:space="preserve">” </w:t>
      </w:r>
      <w:r>
        <w:rPr>
          <w:rFonts w:ascii="Times New Roman;sans-serif" w:hAnsi="Times New Roman;sans-serif"/>
          <w:b w:val="false"/>
          <w:color w:val="000000"/>
          <w:sz w:val="20"/>
        </w:rPr>
        <w:t>means the ARYA Liabilities calculated as of immediately prior to the Closing, in each case, to the extent unpaid as of such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Unpaid Company Expenses</w:t>
      </w:r>
      <w:r>
        <w:rPr>
          <w:color w:val="000000"/>
        </w:rPr>
        <w:t xml:space="preserve">” </w:t>
      </w:r>
      <w:r>
        <w:rPr>
          <w:rFonts w:ascii="Times New Roman;sans-serif" w:hAnsi="Times New Roman;sans-serif"/>
          <w:b w:val="false"/>
          <w:color w:val="000000"/>
          <w:sz w:val="20"/>
        </w:rPr>
        <w:t>means the Company Expenses calculated as of immediately prior to the Closing, in each case, to the extent unpaid as of such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Unvested Company Option</w:t>
      </w:r>
      <w:r>
        <w:rPr>
          <w:color w:val="000000"/>
        </w:rPr>
        <w:t xml:space="preserve">” </w:t>
      </w:r>
      <w:r>
        <w:rPr>
          <w:rFonts w:ascii="Times New Roman;sans-serif" w:hAnsi="Times New Roman;sans-serif"/>
          <w:b w:val="false"/>
          <w:color w:val="000000"/>
          <w:sz w:val="20"/>
        </w:rPr>
        <w:t>means each Company Option outstanding as of immediately prior to the Effective Time that is not a Vested Company Option.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Vested Company Option</w:t>
      </w:r>
      <w:r>
        <w:rPr>
          <w:color w:val="000000"/>
        </w:rPr>
        <w:t xml:space="preserve">” </w:t>
      </w:r>
      <w:r>
        <w:rPr>
          <w:rFonts w:ascii="Times New Roman;sans-serif" w:hAnsi="Times New Roman;sans-serif"/>
          <w:b w:val="false"/>
          <w:color w:val="000000"/>
          <w:sz w:val="20"/>
        </w:rPr>
        <w:t>means each Company Option outstanding as of immediately prior to the Effective Time that is vested as of such time or will vest in connection with the consummation of the transactions contemplated hereby (whether at the Effective Time or otherwise).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WARN</w:t>
      </w:r>
      <w:r>
        <w:rPr>
          <w:color w:val="000000"/>
        </w:rPr>
        <w:t xml:space="preserve">” </w:t>
      </w:r>
      <w:r>
        <w:rPr>
          <w:rFonts w:ascii="Times New Roman;sans-serif" w:hAnsi="Times New Roman;sans-serif"/>
          <w:b w:val="false"/>
          <w:color w:val="000000"/>
          <w:sz w:val="20"/>
        </w:rPr>
        <w:t>means the Worker Adjustment Retraining and Notification Act of 1988, as well as similar foreign, state or local Laws.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Willful Breach</w:t>
      </w:r>
      <w:r>
        <w:rPr>
          <w:color w:val="000000"/>
        </w:rPr>
        <w:t xml:space="preserve">” </w:t>
      </w:r>
      <w:r>
        <w:rPr>
          <w:rFonts w:ascii="Times New Roman;sans-serif" w:hAnsi="Times New Roman;sans-serif"/>
          <w:b w:val="false"/>
          <w:color w:val="000000"/>
          <w:sz w:val="20"/>
        </w:rPr>
        <w:t>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2</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MERGER</w:t>
      </w:r>
    </w:p>
    <w:p>
      <w:pPr>
        <w:pStyle w:val="TextBody"/>
        <w:spacing w:lineRule="auto" w:line="288" w:before="0" w:after="180"/>
        <w:ind w:left="0" w:right="0" w:firstLine="720"/>
        <w:jc w:val="both"/>
        <w:rPr/>
      </w:pPr>
      <w:r>
        <w:rPr>
          <w:rFonts w:ascii="Times New Roman;sans-serif" w:hAnsi="Times New Roman;sans-serif"/>
          <w:b/>
          <w:color w:val="000000"/>
          <w:sz w:val="20"/>
        </w:rPr>
        <w:t>Section 2.1</w:t>
      </w:r>
      <w:r>
        <w:rPr>
          <w:rFonts w:ascii="Times New Roman;sans-serif" w:hAnsi="Times New Roman;sans-serif"/>
          <w:b/>
          <w:color w:val="000000"/>
          <w:sz w:val="20"/>
          <w:u w:val="single"/>
        </w:rPr>
        <w:t>Closing Transactions.</w:t>
      </w:r>
      <w:r>
        <w:rPr>
          <w:color w:val="000000"/>
        </w:rPr>
        <w:t xml:space="preserve"> </w:t>
      </w:r>
      <w:r>
        <w:rPr>
          <w:rFonts w:ascii="Times New Roman;sans-serif" w:hAnsi="Times New Roman;sans-serif"/>
          <w:b w:val="false"/>
          <w:color w:val="000000"/>
          <w:sz w:val="20"/>
        </w:rPr>
        <w:t xml:space="preserve">On the terms and subject to the conditions set forth in this Agreement, the following transactions shall occur in the order set forth in this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Domestication</w:t>
      </w:r>
      <w:r>
        <w:rPr>
          <w:rFonts w:ascii="Times New Roman;sans-serif" w:hAnsi="Times New Roman;sans-serif"/>
          <w:b w:val="false"/>
          <w:color w:val="000000"/>
          <w:sz w:val="20"/>
        </w:rPr>
        <w:t xml:space="preserve">.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 (ii) the Governing Documents of ARYA to become the certificate of incorporation, substantially in the form attached hereto as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(with such changes as may be agreed in writing by ARYA and the Company, the “</w:t>
      </w:r>
      <w:r>
        <w:rPr>
          <w:rFonts w:ascii="Times New Roman;sans-serif" w:hAnsi="Times New Roman;sans-serif"/>
          <w:b w:val="false"/>
          <w:color w:val="000000"/>
          <w:sz w:val="20"/>
          <w:u w:val="single"/>
        </w:rPr>
        <w:t>ARYA Certificate of Incorporation</w:t>
      </w:r>
      <w:r>
        <w:rPr>
          <w:color w:val="000000"/>
        </w:rPr>
        <w:t>”</w:t>
      </w:r>
      <w:r>
        <w:rPr>
          <w:rFonts w:ascii="Times New Roman;sans-serif" w:hAnsi="Times New Roman;sans-serif"/>
          <w:b w:val="false"/>
          <w:color w:val="000000"/>
          <w:sz w:val="20"/>
        </w:rPr>
        <w:t xml:space="preserve">), and the bylaws, substantially in the form attached hereto as </w:t>
      </w:r>
      <w:r>
        <w:rPr>
          <w:rFonts w:ascii="Times New Roman;sans-serif" w:hAnsi="Times New Roman;sans-serif"/>
          <w:b w:val="false"/>
          <w:color w:val="000000"/>
          <w:sz w:val="20"/>
          <w:u w:val="single"/>
        </w:rPr>
        <w:t>Exhibit F</w:t>
      </w:r>
      <w:r>
        <w:rPr>
          <w:color w:val="000000"/>
        </w:rPr>
        <w:t xml:space="preserve"> </w:t>
      </w:r>
      <w:r>
        <w:rPr>
          <w:rFonts w:ascii="Times New Roman;sans-serif" w:hAnsi="Times New Roman;sans-serif"/>
          <w:b w:val="false"/>
          <w:color w:val="000000"/>
          <w:sz w:val="20"/>
        </w:rPr>
        <w:t>(with such changes as may be agreed in writing by ARYA and the Company, the “</w:t>
      </w:r>
      <w:r>
        <w:rPr>
          <w:rFonts w:ascii="Times New Roman;sans-serif" w:hAnsi="Times New Roman;sans-serif"/>
          <w:b w:val="false"/>
          <w:color w:val="000000"/>
          <w:sz w:val="20"/>
          <w:u w:val="single"/>
        </w:rPr>
        <w:t>ARYA Bylaws</w:t>
      </w:r>
      <w:r>
        <w:rPr>
          <w:color w:val="000000"/>
        </w:rPr>
        <w:t>”</w:t>
      </w:r>
      <w:r>
        <w:rPr>
          <w:rFonts w:ascii="Times New Roman;sans-serif" w:hAnsi="Times New Roman;sans-serif"/>
          <w:b w:val="false"/>
          <w:color w:val="000000"/>
          <w:sz w:val="20"/>
        </w:rPr>
        <w:t xml:space="preserve">)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 </w:t>
      </w:r>
    </w:p>
    <w:p>
      <w:pPr>
        <w:pStyle w:val="HorizontalLine"/>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04" name="Frame3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its Representatives shall give the Company and its pertinent Representatives a reasonable opportunity to review any applicable documents, certificates or filings in connection with the Domestication and will consider, in good faith, any comments thereto.</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The Merger.</w:t>
      </w:r>
    </w:p>
    <w:p>
      <w:pPr>
        <w:pStyle w:val="TextBody"/>
        <w:spacing w:lineRule="auto" w:line="288" w:before="0" w:after="180"/>
        <w:ind w:left="0" w:right="0" w:firstLine="720"/>
        <w:jc w:val="both"/>
        <w:rPr/>
      </w:pPr>
      <w:r>
        <w:rPr>
          <w:rFonts w:ascii="Times New Roman;sans-serif" w:hAnsi="Times New Roman;sans-serif"/>
          <w:b w:val="false"/>
          <w:color w:val="000000"/>
          <w:sz w:val="20"/>
        </w:rPr>
        <w:t>(i)On the terms and subject to the conditions set forth in this Agreement and in accordance with the DGCL, on the Closing Date promptly following the consummation of the Domestication, Merger Sub shall merge with and into the Company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As a result of the Merger, the separate existence of Merger Sub shall cease, and the Company shall continue as the surviving company of the Merger (the “</w:t>
      </w:r>
      <w:r>
        <w:rPr>
          <w:rFonts w:ascii="Times New Roman;sans-serif" w:hAnsi="Times New Roman;sans-serif"/>
          <w:b w:val="false"/>
          <w:color w:val="000000"/>
          <w:sz w:val="20"/>
          <w:u w:val="single"/>
        </w:rPr>
        <w:t>Surviving Company</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(ii)At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Times New Roman;sans-serif" w:hAnsi="Times New Roman;sans-serif"/>
          <w:b w:val="false"/>
          <w:color w:val="000000"/>
          <w:sz w:val="20"/>
          <w:u w:val="single"/>
        </w:rPr>
        <w:t>Certificate of Merger</w:t>
      </w:r>
      <w:r>
        <w:rPr>
          <w:color w:val="000000"/>
        </w:rPr>
        <w:t>”</w:t>
      </w:r>
      <w:r>
        <w:rPr>
          <w:rFonts w:ascii="Times New Roman;sans-serif" w:hAnsi="Times New Roman;sans-serif"/>
          <w:b w:val="false"/>
          <w:color w:val="000000"/>
          <w:sz w:val="20"/>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(iv)At the Effective Time, the Governing Documents of Merger Sub shall be the Governing Documents of the Surviving Company, in each case, until thereafter changed or amended as provided therein or by applicable Law.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 </w:t>
      </w:r>
    </w:p>
    <w:p>
      <w:pPr>
        <w:pStyle w:val="TextBody"/>
        <w:spacing w:lineRule="auto" w:line="288" w:before="0" w:after="180"/>
        <w:rPr/>
      </w:pPr>
      <w:r>
        <w:rPr>
          <w:rFonts w:ascii="Times New Roman;sans-serif" w:hAnsi="Times New Roman;sans-serif"/>
          <w:b w:val="false"/>
          <w:color w:val="000000"/>
          <w:sz w:val="20"/>
        </w:rPr>
        <w:t>common stock, par value $0.0001, of the Surviving Company (each such share, a “</w:t>
      </w:r>
      <w:r>
        <w:rPr>
          <w:rFonts w:ascii="Times New Roman;sans-serif" w:hAnsi="Times New Roman;sans-serif"/>
          <w:b w:val="false"/>
          <w:color w:val="000000"/>
          <w:sz w:val="20"/>
          <w:u w:val="single"/>
        </w:rPr>
        <w:t>Surviving Company Shar</w:t>
      </w:r>
      <w:r>
        <w:rPr>
          <w:rFonts w:ascii="Times New Roman;sans-serif" w:hAnsi="Times New Roman;sans-serif"/>
          <w:b w:val="false"/>
          <w:color w:val="000000"/>
          <w:sz w:val="20"/>
        </w:rPr>
        <w:t>e”).</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(vii)At the Effective Time, by virtue of the Merger and without any action on the part of any Party or any other Person, each Company Share (other than the Company Shares cancelled and extinguished pursuant to </w:t>
      </w:r>
      <w:r>
        <w:rPr>
          <w:rFonts w:ascii="Times New Roman;sans-serif" w:hAnsi="Times New Roman;sans-serif"/>
          <w:b w:val="false"/>
          <w:color w:val="000000"/>
          <w:sz w:val="20"/>
          <w:u w:val="single"/>
        </w:rPr>
        <w:t>Section 2.1(b)(x)</w:t>
      </w:r>
      <w:r>
        <w:rPr>
          <w:color w:val="000000"/>
        </w:rPr>
        <w:t xml:space="preserve"> </w:t>
      </w:r>
      <w:r>
        <w:rPr>
          <w:rFonts w:ascii="Times New Roman;sans-serif" w:hAnsi="Times New Roman;sans-serif"/>
          <w:b w:val="false"/>
          <w:color w:val="000000"/>
          <w:sz w:val="20"/>
        </w:rPr>
        <w:t>and any Company Dissenting Shares) issued and outstanding as of immediately prior to the Effective Time shall be automatically canceled and extinguished and converted into the right to receive a number of ARYA Shares equal to the Exchange Ratio (the “</w:t>
      </w:r>
      <w:r>
        <w:rPr>
          <w:rFonts w:ascii="Times New Roman;sans-serif" w:hAnsi="Times New Roman;sans-serif"/>
          <w:b w:val="false"/>
          <w:color w:val="000000"/>
          <w:sz w:val="20"/>
          <w:u w:val="single"/>
        </w:rPr>
        <w:t>Per Share Merger Consideration</w:t>
      </w:r>
      <w:r>
        <w:rPr>
          <w:color w:val="000000"/>
        </w:rPr>
        <w:t>”</w:t>
      </w:r>
      <w:r>
        <w:rPr>
          <w:rFonts w:ascii="Times New Roman;sans-serif" w:hAnsi="Times New Roman;sans-serif"/>
          <w:b w:val="false"/>
          <w:color w:val="000000"/>
          <w:sz w:val="20"/>
        </w:rPr>
        <w:t>). From and after the Effective Time, each Company Shareholder’s certificates (the “</w:t>
      </w:r>
      <w:r>
        <w:rPr>
          <w:rFonts w:ascii="Times New Roman;sans-serif" w:hAnsi="Times New Roman;sans-serif"/>
          <w:b w:val="false"/>
          <w:color w:val="000000"/>
          <w:sz w:val="20"/>
          <w:u w:val="single"/>
        </w:rPr>
        <w:t>Certificates</w:t>
      </w:r>
      <w:r>
        <w:rPr>
          <w:color w:val="000000"/>
        </w:rPr>
        <w:t>”</w:t>
      </w:r>
      <w:r>
        <w:rPr>
          <w:rFonts w:ascii="Times New Roman;sans-serif" w:hAnsi="Times New Roman;sans-serif"/>
          <w:b w:val="false"/>
          <w:color w:val="000000"/>
          <w:sz w:val="20"/>
        </w:rPr>
        <w:t xml:space="preserve">), if any, evidencing ownership of the Company Shares and the Company Shares held in book-entry form issued and outstanding immediately prior to the Effective Time shall each cease to have any rights with respect to such </w:t>
      </w:r>
    </w:p>
    <w:p>
      <w:pPr>
        <w:pStyle w:val="HorizontalLine"/>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05" name="Frame3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(viii)For purposes of calculating the aggregate number of ARYA Shares issuable to each holder of Company Shares pursuant to the terms of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 xml:space="preserve">, all Company Shares held by such holder shall be aggregated, and the Exchange Ratio shall be applied to that aggregate number of shares held by such holder, and not on a share-by-share basis and the number of ARYA Shares to be issued shall be rounded down to the nearest whole share. </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provided, however, that this </w:t>
      </w:r>
      <w:r>
        <w:rPr>
          <w:rFonts w:ascii="Times New Roman;sans-serif" w:hAnsi="Times New Roman;sans-serif"/>
          <w:b w:val="false"/>
          <w:color w:val="000000"/>
          <w:sz w:val="20"/>
          <w:u w:val="single"/>
        </w:rPr>
        <w:t>Section 2.1(b)(ix)</w:t>
      </w:r>
      <w:r>
        <w:rPr>
          <w:color w:val="000000"/>
        </w:rPr>
        <w:t xml:space="preserve"> </w:t>
      </w:r>
      <w:r>
        <w:rPr>
          <w:rFonts w:ascii="Times New Roman;sans-serif" w:hAnsi="Times New Roman;sans-serif"/>
          <w:b w:val="false"/>
          <w:color w:val="000000"/>
          <w:sz w:val="20"/>
        </w:rPr>
        <w:t>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pStyle w:val="TextBody"/>
        <w:spacing w:lineRule="auto" w:line="288" w:before="0" w:after="180"/>
        <w:ind w:left="0" w:right="0" w:firstLine="720"/>
        <w:rPr/>
      </w:pPr>
      <w:r>
        <w:rPr>
          <w:rFonts w:ascii="Times New Roman;sans-serif" w:hAnsi="Times New Roman;sans-serif"/>
          <w:b/>
          <w:color w:val="000000"/>
          <w:sz w:val="20"/>
        </w:rPr>
        <w:t>Section 2.2</w:t>
      </w:r>
      <w:r>
        <w:rPr>
          <w:rFonts w:ascii="Times New Roman;sans-serif" w:hAnsi="Times New Roman;sans-serif"/>
          <w:b/>
          <w:color w:val="000000"/>
          <w:sz w:val="20"/>
          <w:u w:val="single"/>
        </w:rPr>
        <w:t>Closing of the Transactions Contemplated by this Agreement.</w:t>
      </w:r>
      <w:r>
        <w:rPr>
          <w:color w:val="000000"/>
        </w:rPr>
        <w:t xml:space="preserve"> </w:t>
      </w:r>
      <w:r>
        <w:rPr>
          <w:rFonts w:ascii="Times New Roman;sans-serif" w:hAnsi="Times New Roman;sans-serif"/>
          <w:b w:val="false"/>
          <w:color w:val="000000"/>
          <w:sz w:val="20"/>
        </w:rPr>
        <w:t xml:space="preserve">The closing of the transactions contemplated by this Agreement (the “Closing”) shall take place electronically by exchange of the closing deliverables by the means provided in </w:t>
      </w:r>
      <w:r>
        <w:rPr>
          <w:rFonts w:ascii="Times New Roman;sans-serif" w:hAnsi="Times New Roman;sans-serif"/>
          <w:b w:val="false"/>
          <w:color w:val="000000"/>
          <w:sz w:val="20"/>
          <w:u w:val="single"/>
        </w:rPr>
        <w:t>Section 8.11</w:t>
      </w:r>
      <w:r>
        <w:rPr>
          <w:color w:val="000000"/>
        </w:rPr>
        <w:t xml:space="preserve"> </w:t>
      </w:r>
      <w:r>
        <w:rPr>
          <w:rFonts w:ascii="Times New Roman;sans-serif" w:hAnsi="Times New Roman;sans-serif"/>
          <w:b w:val="false"/>
          <w:color w:val="000000"/>
          <w:sz w:val="20"/>
        </w:rPr>
        <w:t xml:space="preserve">as promptly as reasonably practicable, but in no event later than the third (3rd) Business Day, following the satisfaction (or, to the extent permitted by applicable Law, waiver) of the conditions set forth in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(other than those conditions that by their nature are to be satisfied at the Closing, but subject to satisfaction or waiver of such conditions) (the date upon which the Closing actually occurs is referred to herein as the “</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xml:space="preserve">) or at such other place, date and/or time as ARYA and the Company may agree in writing. </w:t>
      </w:r>
    </w:p>
    <w:p>
      <w:pPr>
        <w:pStyle w:val="TextBody"/>
        <w:spacing w:lineRule="auto" w:line="288" w:before="0" w:after="180"/>
        <w:ind w:left="0" w:right="0" w:firstLine="720"/>
        <w:jc w:val="both"/>
        <w:rPr/>
      </w:pPr>
      <w:r>
        <w:rPr>
          <w:rFonts w:ascii="Times New Roman;sans-serif" w:hAnsi="Times New Roman;sans-serif"/>
          <w:b/>
          <w:color w:val="000000"/>
          <w:sz w:val="20"/>
        </w:rPr>
        <w:t>Section 2.3</w:t>
      </w:r>
      <w:r>
        <w:rPr>
          <w:rFonts w:ascii="Times New Roman;sans-serif" w:hAnsi="Times New Roman;sans-serif"/>
          <w:b/>
          <w:color w:val="000000"/>
          <w:sz w:val="20"/>
          <w:u w:val="single"/>
        </w:rPr>
        <w:t>Allocation Schedule; Aggregate Transaction Proceeds Schedule.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Allocation Schedule</w:t>
      </w:r>
      <w:r>
        <w:rPr>
          <w:rFonts w:ascii="Times New Roman;sans-serif" w:hAnsi="Times New Roman;sans-serif"/>
          <w:b w:val="false"/>
          <w:color w:val="000000"/>
          <w:sz w:val="20"/>
        </w:rPr>
        <w:t>. At least two (2) Business Days prior to the Closing Date, the Company shall deliver to ARYA an allocation schedule (the “</w:t>
      </w:r>
      <w:r>
        <w:rPr>
          <w:rFonts w:ascii="Times New Roman;sans-serif" w:hAnsi="Times New Roman;sans-serif"/>
          <w:b w:val="false"/>
          <w:color w:val="000000"/>
          <w:sz w:val="20"/>
          <w:u w:val="single"/>
        </w:rPr>
        <w:t>Allocation Schedule</w:t>
      </w:r>
      <w:r>
        <w:rPr>
          <w:color w:val="000000"/>
        </w:rPr>
        <w:t>”</w:t>
      </w:r>
      <w:r>
        <w:rPr>
          <w:rFonts w:ascii="Times New Roman;sans-serif" w:hAnsi="Times New Roman;sans-serif"/>
          <w:b w:val="false"/>
          <w:color w:val="000000"/>
          <w:sz w:val="20"/>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Times New Roman;sans-serif" w:hAnsi="Times New Roman;sans-serif"/>
          <w:b w:val="false"/>
          <w:color w:val="000000"/>
          <w:sz w:val="20"/>
          <w:u w:val="single"/>
        </w:rPr>
        <w:t>Section 2.4(b)</w:t>
      </w:r>
      <w:r>
        <w:rPr>
          <w:color w:val="000000"/>
        </w:rPr>
        <w:t xml:space="preserve"> </w:t>
      </w:r>
      <w:r>
        <w:rPr>
          <w:rFonts w:ascii="Times New Roman;sans-serif" w:hAnsi="Times New Roman;sans-serif"/>
          <w:b w:val="false"/>
          <w:color w:val="000000"/>
          <w:sz w:val="20"/>
        </w:rPr>
        <w:t xml:space="preserve">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Times New Roman;sans-serif" w:hAnsi="Times New Roman;sans-serif"/>
          <w:b w:val="false"/>
          <w:color w:val="000000"/>
          <w:sz w:val="20"/>
          <w:u w:val="single"/>
        </w:rPr>
        <w:t>Section 2.4(a)</w:t>
      </w:r>
      <w:r>
        <w:rPr>
          <w:color w:val="000000"/>
        </w:rPr>
        <w:t xml:space="preserve"> </w:t>
      </w:r>
      <w:r>
        <w:rPr>
          <w:rFonts w:ascii="Times New Roman;sans-serif" w:hAnsi="Times New Roman;sans-serif"/>
          <w:b w:val="false"/>
          <w:color w:val="000000"/>
          <w:sz w:val="20"/>
        </w:rPr>
        <w:t xml:space="preserve">and the portion of the Adjusted Transaction Share Consideration allocated to each Company Share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(including, for the avoidance of doubt, each Company Share that is issued upon exercise of the Company Warrants immediately prior to the Closing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xml:space="preserve">),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 </w:t>
      </w:r>
    </w:p>
    <w:p>
      <w:pPr>
        <w:pStyle w:val="HorizontalLine"/>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406" name="Frame3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the Company Warrant Agreement (collectively, the “</w:t>
      </w:r>
      <w:r>
        <w:rPr>
          <w:rFonts w:ascii="Times New Roman;sans-serif" w:hAnsi="Times New Roman;sans-serif"/>
          <w:b w:val="false"/>
          <w:color w:val="000000"/>
          <w:sz w:val="20"/>
          <w:u w:val="single"/>
        </w:rPr>
        <w:t>Allocation Schedule Principles</w:t>
      </w:r>
      <w:r>
        <w:rPr>
          <w:color w:val="000000"/>
        </w:rPr>
        <w:t>”</w:t>
      </w:r>
      <w:r>
        <w:rPr>
          <w:rFonts w:ascii="Times New Roman;sans-serif" w:hAnsi="Times New Roman;sans-serif"/>
          <w:b w:val="false"/>
          <w:color w:val="000000"/>
          <w:sz w:val="20"/>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Aggregate Transaction Proceeds Schedule</w:t>
      </w:r>
      <w:r>
        <w:rPr>
          <w:rFonts w:ascii="Times New Roman;sans-serif" w:hAnsi="Times New Roman;sans-serif"/>
          <w:b w:val="false"/>
          <w:color w:val="000000"/>
          <w:sz w:val="20"/>
        </w:rPr>
        <w:t>. At least two (2) Business Days prior to the Closing Date, ARYA shall deliver to the Company a reasonably detailed calculation of the Aggregate Transaction Proceeds (the “</w:t>
      </w:r>
      <w:r>
        <w:rPr>
          <w:rFonts w:ascii="Times New Roman;sans-serif" w:hAnsi="Times New Roman;sans-serif"/>
          <w:b w:val="false"/>
          <w:color w:val="000000"/>
          <w:sz w:val="20"/>
          <w:u w:val="single"/>
        </w:rPr>
        <w:t>Aggregate Transaction Proceeds Schedule</w:t>
      </w:r>
      <w:r>
        <w:rPr>
          <w:color w:val="000000"/>
        </w:rPr>
        <w:t>”</w:t>
      </w:r>
      <w:r>
        <w:rPr>
          <w:rFonts w:ascii="Times New Roman;sans-serif" w:hAnsi="Times New Roman;sans-serif"/>
          <w:b w:val="false"/>
          <w:color w:val="000000"/>
          <w:sz w:val="20"/>
        </w:rPr>
        <w:t xml:space="preserve">),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 (ii) 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 </w:t>
      </w:r>
    </w:p>
    <w:p>
      <w:pPr>
        <w:pStyle w:val="TextBody"/>
        <w:spacing w:lineRule="auto" w:line="288" w:before="0" w:after="180"/>
        <w:ind w:left="0" w:right="0" w:firstLine="720"/>
        <w:jc w:val="both"/>
        <w:rPr/>
      </w:pPr>
      <w:r>
        <w:rPr>
          <w:rFonts w:ascii="Times New Roman;sans-serif" w:hAnsi="Times New Roman;sans-serif"/>
          <w:b/>
          <w:color w:val="000000"/>
          <w:sz w:val="20"/>
        </w:rPr>
        <w:t>Section 2.4</w:t>
      </w:r>
      <w:r>
        <w:rPr>
          <w:rFonts w:ascii="Times New Roman;sans-serif" w:hAnsi="Times New Roman;sans-serif"/>
          <w:b/>
          <w:color w:val="000000"/>
          <w:sz w:val="20"/>
          <w:u w:val="single"/>
        </w:rPr>
        <w:t>Treatment of Company Options and Company Warrants.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At the Effective Time, by virtue of the Merger and without any action of any Party or any other Person (but subject to, in the case of the Company, </w:t>
      </w:r>
      <w:r>
        <w:rPr>
          <w:rFonts w:ascii="Times New Roman;sans-serif" w:hAnsi="Times New Roman;sans-serif"/>
          <w:b w:val="false"/>
          <w:color w:val="000000"/>
          <w:sz w:val="20"/>
          <w:u w:val="single"/>
        </w:rPr>
        <w:t>Section 2.4(d)</w:t>
      </w:r>
      <w:r>
        <w:rPr>
          <w:rFonts w:ascii="Times New Roman;sans-serif" w:hAnsi="Times New Roman;sans-serif"/>
          <w:b w:val="false"/>
          <w:color w:val="000000"/>
          <w:sz w:val="20"/>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Times New Roman;sans-serif" w:hAnsi="Times New Roman;sans-serif"/>
          <w:b w:val="false"/>
          <w:color w:val="000000"/>
          <w:sz w:val="20"/>
          <w:u w:val="single"/>
        </w:rPr>
        <w:t>Rollover Option</w:t>
      </w:r>
      <w:r>
        <w:rPr>
          <w:color w:val="000000"/>
        </w:rPr>
        <w:t>”</w:t>
      </w:r>
      <w:r>
        <w:rPr>
          <w:rFonts w:ascii="Times New Roman;sans-serif" w:hAnsi="Times New Roman;sans-serif"/>
          <w:b w:val="false"/>
          <w:color w:val="000000"/>
          <w:sz w:val="20"/>
        </w:rPr>
        <w:t xml:space="preserve">) equal to the product (rounded down to the nearest whole number) of (x) the number of Company Common Shares subject to such Company Option immediately prior to the Effective Time, </w:t>
      </w:r>
      <w:r>
        <w:rPr>
          <w:rFonts w:ascii="Times New Roman;sans-serif" w:hAnsi="Times New Roman;sans-serif"/>
          <w:b w:val="false"/>
          <w:color w:val="000000"/>
          <w:sz w:val="20"/>
          <w:u w:val="single"/>
        </w:rPr>
        <w:t>multiplied</w:t>
      </w:r>
      <w:r>
        <w:rPr>
          <w:color w:val="000000"/>
        </w:rPr>
        <w:t xml:space="preserve"> </w:t>
      </w:r>
      <w:r>
        <w:rPr>
          <w:rFonts w:ascii="Times New Roman;sans-serif" w:hAnsi="Times New Roman;sans-serif"/>
          <w:b w:val="false"/>
          <w:color w:val="000000"/>
          <w:sz w:val="20"/>
        </w:rPr>
        <w:t xml:space="preserve">by (y) the Exchange Ratio, at an exercise price per share (rounded up to the nearest whole cent) equal to the quotient of (i) the exercise price per share of such Company Option immediately prior to the Effective Time, </w:t>
      </w:r>
      <w:r>
        <w:rPr>
          <w:rFonts w:ascii="Times New Roman;sans-serif" w:hAnsi="Times New Roman;sans-serif"/>
          <w:b w:val="false"/>
          <w:color w:val="000000"/>
          <w:sz w:val="20"/>
          <w:u w:val="single"/>
        </w:rPr>
        <w:t>divided</w:t>
      </w:r>
      <w:r>
        <w:rPr>
          <w:color w:val="000000"/>
        </w:rPr>
        <w:t xml:space="preserve"> </w:t>
      </w:r>
      <w:r>
        <w:rPr>
          <w:rFonts w:ascii="Times New Roman;sans-serif" w:hAnsi="Times New Roman;sans-serif"/>
          <w:b w:val="false"/>
          <w:color w:val="000000"/>
          <w:sz w:val="20"/>
        </w:rPr>
        <w:t xml:space="preserve">by (ii) the Exchange Ratio;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 xml:space="preserve">,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Immediately prior to the Closing, all Company Warrants shall be “net” exercised in exchange for Company Common Shares in accordance with the terms of the Company Warrant Agreement and shall </w:t>
      </w:r>
    </w:p>
    <w:p>
      <w:pPr>
        <w:pStyle w:val="HorizontalLine"/>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407" name="Frame3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As of immediately prior to the Effective Time, all Company Equity Plans shall terminate,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Rollover Options shall continue to be governed by the terms of the Company Equity Plan under which the Rollover Option was granted subject to the adjustments in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Times New Roman;sans-serif" w:hAnsi="Times New Roman;sans-serif"/>
          <w:b w:val="false"/>
          <w:color w:val="000000"/>
          <w:sz w:val="20"/>
          <w:u w:val="single"/>
        </w:rPr>
        <w:t>Section 2.4.</w:t>
      </w:r>
      <w:r>
        <w:rPr>
          <w:color w:val="000000"/>
        </w:rPr>
        <w:t xml:space="preserve"> </w:t>
      </w:r>
      <w:r>
        <w:rPr>
          <w:rFonts w:ascii="Times New Roman;sans-serif" w:hAnsi="Times New Roman;sans-serif"/>
          <w:b w:val="false"/>
          <w:color w:val="000000"/>
          <w:sz w:val="20"/>
        </w:rPr>
        <w:t xml:space="preserve">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2.5</w:t>
      </w:r>
      <w:r>
        <w:rPr>
          <w:rFonts w:ascii="Times New Roman;sans-serif" w:hAnsi="Times New Roman;sans-serif"/>
          <w:b/>
          <w:color w:val="000000"/>
          <w:sz w:val="20"/>
          <w:u w:val="single"/>
        </w:rPr>
        <w:t>Company Shareholder Deliverables.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following the date of this Agreement, but in no event later than ten (10) Business Days prior to the Closing Date, ARYA shall appoint an exchange agent reasonably acceptable to the Company (the “</w:t>
      </w:r>
      <w:r>
        <w:rPr>
          <w:rFonts w:ascii="Times New Roman;sans-serif" w:hAnsi="Times New Roman;sans-serif"/>
          <w:b w:val="false"/>
          <w:color w:val="000000"/>
          <w:sz w:val="20"/>
          <w:u w:val="single"/>
        </w:rPr>
        <w:t>Exchange Agent</w:t>
      </w:r>
      <w:r>
        <w:rPr>
          <w:color w:val="000000"/>
        </w:rPr>
        <w:t>”</w:t>
      </w:r>
      <w:r>
        <w:rPr>
          <w:rFonts w:ascii="Times New Roman;sans-serif" w:hAnsi="Times New Roman;sans-serif"/>
          <w:b w:val="false"/>
          <w:color w:val="000000"/>
          <w:sz w:val="20"/>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Times New Roman;sans-serif" w:hAnsi="Times New Roman;sans-serif"/>
          <w:b w:val="false"/>
          <w:color w:val="000000"/>
          <w:sz w:val="20"/>
          <w:u w:val="single"/>
        </w:rPr>
        <w:t>Exchange Agent Agreement</w:t>
      </w:r>
      <w:r>
        <w:rPr>
          <w:color w:val="000000"/>
        </w:rPr>
        <w:t>”</w:t>
      </w:r>
      <w:r>
        <w:rPr>
          <w:rFonts w:ascii="Times New Roman;sans-serif" w:hAnsi="Times New Roman;sans-serif"/>
          <w:b w:val="false"/>
          <w:color w:val="000000"/>
          <w:sz w:val="20"/>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At least three (3) Business Days prior to the Closing Date, the Company shall mail or otherwise deliver, or shall cause to be mailed or otherwise delivered, to the Company Shareholders a Letter of Transmittal.</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At the Effective Time, ARYA shall deposit, or cause to be deposited, with the Exchange Agent, for the benefit of the Company Shareholders and for exchange in accordance with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through the Exchange Agent, evidence of ARYA Shares in book-entry form representing the portion of the Adjusted Transaction Share Consideration issuable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in exchange for the Company Shares outstanding immediately prior to the Effective Time. All shares in book-entry form representing the portion of the Adjusted Transaction Share Consideration issuable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deposited with the Exchange Agent shall be referred to in this Agreement as the “</w:t>
      </w:r>
      <w:r>
        <w:rPr>
          <w:rFonts w:ascii="Times New Roman;sans-serif" w:hAnsi="Times New Roman;sans-serif"/>
          <w:b w:val="false"/>
          <w:color w:val="000000"/>
          <w:sz w:val="20"/>
          <w:u w:val="single"/>
        </w:rPr>
        <w:t>Exchange Fund</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Each Company Shareholder whose Company Shares have been converted into the right to receive a portion of the Adjusted Transaction Share Consideration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shall be entitled to receive the portion of the Adjusted Transaction Share Consideration to which he, she or it is entitled on the date provided in </w:t>
      </w:r>
      <w:r>
        <w:rPr>
          <w:rFonts w:ascii="Times New Roman;sans-serif" w:hAnsi="Times New Roman;sans-serif"/>
          <w:b w:val="false"/>
          <w:color w:val="000000"/>
          <w:sz w:val="20"/>
          <w:u w:val="single"/>
        </w:rPr>
        <w:t>Section 2.5(e)</w:t>
      </w:r>
      <w:r>
        <w:rPr>
          <w:color w:val="000000"/>
        </w:rPr>
        <w:t xml:space="preserve"> </w:t>
      </w:r>
      <w:r>
        <w:rPr>
          <w:rFonts w:ascii="Times New Roman;sans-serif" w:hAnsi="Times New Roman;sans-serif"/>
          <w:b w:val="false"/>
          <w:color w:val="000000"/>
          <w:sz w:val="20"/>
        </w:rPr>
        <w:t xml:space="preserve">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 </w:t>
      </w:r>
    </w:p>
    <w:p>
      <w:pPr>
        <w:pStyle w:val="HorizontalLine"/>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408" name="Frame3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Times New Roman;sans-serif" w:hAnsi="Times New Roman;sans-serif"/>
          <w:b w:val="false"/>
          <w:color w:val="000000"/>
          <w:sz w:val="20"/>
          <w:u w:val="single"/>
        </w:rPr>
        <w:t>Section 2.5(d)</w:t>
      </w:r>
      <w:r>
        <w:rPr>
          <w:color w:val="000000"/>
        </w:rPr>
        <w:t xml:space="preserve"> </w:t>
      </w:r>
      <w:r>
        <w:rPr>
          <w:rFonts w:ascii="Times New Roman;sans-serif" w:hAnsi="Times New Roman;sans-serif"/>
          <w:b w:val="false"/>
          <w:color w:val="000000"/>
          <w:sz w:val="20"/>
        </w:rPr>
        <w:t>(i)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No interest will be paid or accrued on the Adjusted Transaction Share Consideration (or any portion thereof). From and after the Effective Time, until surrendered or transferred, as applicable, in accordance with this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 xml:space="preserve">, each Company Share (other than, for the avoidance of doubt, the Company Shares cancelled and extinguished pursuant to </w:t>
      </w:r>
      <w:r>
        <w:rPr>
          <w:rFonts w:ascii="Times New Roman;sans-serif" w:hAnsi="Times New Roman;sans-serif"/>
          <w:b w:val="false"/>
          <w:color w:val="000000"/>
          <w:sz w:val="20"/>
          <w:u w:val="single"/>
        </w:rPr>
        <w:t>Section 2.1(b)(x)</w:t>
      </w:r>
      <w:r>
        <w:rPr>
          <w:color w:val="000000"/>
        </w:rPr>
        <w:t xml:space="preserve"> </w:t>
      </w:r>
      <w:r>
        <w:rPr>
          <w:rFonts w:ascii="Times New Roman;sans-serif" w:hAnsi="Times New Roman;sans-serif"/>
          <w:b w:val="false"/>
          <w:color w:val="000000"/>
          <w:sz w:val="20"/>
        </w:rPr>
        <w:t xml:space="preserve">or any Company Dissenting Shares) shall solely represent the right to receive a portion of the Adjusted Transaction Share Consideration to which such Company Share is entitled to receive pursuant to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At the Effective Time, the stock transfer books of the Company shall be closed and there shall be no transfers of Company Shares that were outstanding immediately prior to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pStyle w:val="TextBody"/>
        <w:spacing w:lineRule="auto" w:line="288" w:before="0" w:after="180"/>
        <w:ind w:left="0" w:right="0" w:firstLine="720"/>
        <w:jc w:val="both"/>
        <w:rPr/>
      </w:pPr>
      <w:r>
        <w:rPr>
          <w:rFonts w:ascii="Times New Roman;sans-serif" w:hAnsi="Times New Roman;sans-serif"/>
          <w:b/>
          <w:color w:val="000000"/>
          <w:sz w:val="20"/>
        </w:rPr>
        <w:t>Section 2.6</w:t>
      </w:r>
      <w:r>
        <w:rPr>
          <w:rFonts w:ascii="Times New Roman;sans-serif" w:hAnsi="Times New Roman;sans-serif"/>
          <w:b/>
          <w:color w:val="000000"/>
          <w:sz w:val="20"/>
          <w:u w:val="single"/>
        </w:rPr>
        <w:t>Withholding.</w:t>
      </w:r>
      <w:r>
        <w:rPr>
          <w:color w:val="000000"/>
        </w:rPr>
        <w:t xml:space="preserve"> </w:t>
      </w:r>
      <w:r>
        <w:rPr>
          <w:rFonts w:ascii="Times New Roman;sans-serif" w:hAnsi="Times New Roman;sans-serif"/>
          <w:b w:val="false"/>
          <w:color w:val="000000"/>
          <w:sz w:val="20"/>
        </w:rPr>
        <w:t>ARYA, the Group Companies and the Exchange Agent shall be entitled to deduct and withhold (or cause to be 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pStyle w:val="TextBody"/>
        <w:spacing w:lineRule="auto" w:line="288" w:before="0" w:after="180"/>
        <w:ind w:left="0" w:right="0" w:firstLine="720"/>
        <w:jc w:val="both"/>
        <w:rPr/>
      </w:pPr>
      <w:r>
        <w:rPr>
          <w:rFonts w:ascii="Times New Roman;sans-serif" w:hAnsi="Times New Roman;sans-serif"/>
          <w:b/>
          <w:color w:val="000000"/>
          <w:sz w:val="20"/>
        </w:rPr>
        <w:t>Section 2.7</w:t>
      </w:r>
      <w:r>
        <w:rPr>
          <w:rFonts w:ascii="Times New Roman;sans-serif" w:hAnsi="Times New Roman;sans-serif"/>
          <w:b/>
          <w:color w:val="000000"/>
          <w:sz w:val="20"/>
          <w:u w:val="single"/>
        </w:rPr>
        <w:t>Company Dissenting Shares.</w:t>
      </w:r>
      <w:r>
        <w:rPr>
          <w:color w:val="000000"/>
        </w:rPr>
        <w:t xml:space="preserve"> </w:t>
      </w:r>
      <w:r>
        <w:rPr>
          <w:rFonts w:ascii="Times New Roman;sans-serif" w:hAnsi="Times New Roman;sans-serif"/>
          <w:b w:val="false"/>
          <w:color w:val="000000"/>
          <w:sz w:val="20"/>
        </w:rPr>
        <w:t xml:space="preserve">Notwithstanding anything to the contrary herein, any Company Shares for which a Company Shareholder (a) has not voted in favor of the Merger or consented to it in </w:t>
      </w:r>
    </w:p>
    <w:p>
      <w:pPr>
        <w:pStyle w:val="HorizontalLine"/>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409" name="Frame3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writing and (b) has demanded the appraisal of such Company Shares in accordance with, and has complied in all respects with, Section 262 of the DGCL (collectively, such shareholders, the “</w:t>
      </w:r>
      <w:r>
        <w:rPr>
          <w:rFonts w:ascii="Times New Roman;sans-serif" w:hAnsi="Times New Roman;sans-serif"/>
          <w:b w:val="false"/>
          <w:color w:val="000000"/>
          <w:sz w:val="20"/>
          <w:u w:val="single"/>
        </w:rPr>
        <w:t>Company Dissenting Shareholders</w:t>
      </w:r>
      <w:r>
        <w:rPr>
          <w:color w:val="000000"/>
        </w:rPr>
        <w:t>”</w:t>
      </w:r>
      <w:r>
        <w:rPr>
          <w:rFonts w:ascii="Times New Roman;sans-serif" w:hAnsi="Times New Roman;sans-serif"/>
          <w:b w:val="false"/>
          <w:color w:val="000000"/>
          <w:sz w:val="20"/>
        </w:rPr>
        <w:t>, and such shares, the “</w:t>
      </w:r>
      <w:r>
        <w:rPr>
          <w:rFonts w:ascii="Times New Roman;sans-serif" w:hAnsi="Times New Roman;sans-serif"/>
          <w:b w:val="false"/>
          <w:color w:val="000000"/>
          <w:sz w:val="20"/>
          <w:u w:val="single"/>
        </w:rPr>
        <w:t>Company Dissenting Shares</w:t>
      </w:r>
      <w:r>
        <w:rPr>
          <w:color w:val="000000"/>
        </w:rPr>
        <w:t>”</w:t>
      </w:r>
      <w:r>
        <w:rPr>
          <w:rFonts w:ascii="Times New Roman;sans-serif" w:hAnsi="Times New Roman;sans-serif"/>
          <w:b w:val="false"/>
          <w:color w:val="000000"/>
          <w:sz w:val="20"/>
        </w:rPr>
        <w:t xml:space="preserve">) shall not be converted into the right to receive the Per Share Merger Consideration pursuant to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 xml:space="preserve">. From and after the Effective Time, (i) the Company Dissenting Shares shall be cancelled and extinguished and shall cease to exist and (ii) the Company Dissenting Shareholders shall be entitled only to such rights as may be granted to them under </w:t>
      </w:r>
      <w:r>
        <w:rPr>
          <w:rFonts w:ascii="Times New Roman;sans-serif" w:hAnsi="Times New Roman;sans-serif"/>
          <w:b w:val="false"/>
          <w:color w:val="000000"/>
          <w:sz w:val="20"/>
          <w:u w:val="single"/>
        </w:rPr>
        <w:t>Section 262</w:t>
      </w:r>
      <w:r>
        <w:rPr>
          <w:color w:val="000000"/>
        </w:rPr>
        <w:t xml:space="preserve"> </w:t>
      </w:r>
      <w:r>
        <w:rPr>
          <w:rFonts w:ascii="Times New Roman;sans-serif" w:hAnsi="Times New Roman;sans-serif"/>
          <w:b w:val="false"/>
          <w:color w:val="000000"/>
          <w:sz w:val="20"/>
        </w:rPr>
        <w:t xml:space="preserve">of the DGCL and shall not be entitled to exercise any of the voting rights or other rights of a stockholder of ARYA, the Surviving Company or any of its Affiliates (including ARYA);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upon delivery of a properly completed and duly executed Letter of Transmittal (including, for the avoidance of doubt, any other documents or agreements required by the Letter of Transmittal) and the surrender of the applicable documents and other deliverables set forth in</w:t>
      </w:r>
      <w:r>
        <w:rPr>
          <w:color w:val="000000"/>
          <w:u w:val="single"/>
        </w:rPr>
        <w:t xml:space="preserve"> </w:t>
      </w:r>
      <w:r>
        <w:rPr>
          <w:rFonts w:ascii="Times New Roman;sans-serif" w:hAnsi="Times New Roman;sans-serif"/>
          <w:b w:val="false"/>
          <w:color w:val="000000"/>
          <w:sz w:val="20"/>
          <w:u w:val="single"/>
        </w:rPr>
        <w:t>Section 2.5(d)</w:t>
      </w:r>
      <w:r>
        <w:rPr>
          <w:rFonts w:ascii="Times New Roman;sans-serif" w:hAnsi="Times New Roman;sans-serif"/>
          <w:b w:val="false"/>
          <w:color w:val="000000"/>
          <w:sz w:val="20"/>
        </w:rPr>
        <w:t>.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3</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RELATING TO THE GROUP COMPANIES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in the Company Disclosure Schedules (which shall only qualify the representations and warranties in this Article 3 in the manner set forth in Section 8.8), the Company hereby represents and warrants to the ARYA Parties, in each case, as of the date of this Agreement and as of the Closing, as follows:</w:t>
      </w:r>
    </w:p>
    <w:p>
      <w:pPr>
        <w:pStyle w:val="TextBody"/>
        <w:spacing w:lineRule="auto" w:line="288" w:before="0" w:after="180"/>
        <w:ind w:left="0" w:right="0" w:firstLine="720"/>
        <w:jc w:val="both"/>
        <w:rPr/>
      </w:pPr>
      <w:r>
        <w:rPr>
          <w:rFonts w:ascii="Times New Roman;sans-serif" w:hAnsi="Times New Roman;sans-serif"/>
          <w:b/>
          <w:color w:val="000000"/>
          <w:sz w:val="20"/>
        </w:rPr>
        <w:t>Section 3.1</w:t>
      </w:r>
      <w:r>
        <w:rPr>
          <w:rFonts w:ascii="Times New Roman;sans-serif" w:hAnsi="Times New Roman;sans-serif"/>
          <w:b/>
          <w:color w:val="000000"/>
          <w:sz w:val="20"/>
          <w:u w:val="single"/>
        </w:rPr>
        <w:t>Organization and Qualification.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Times New Roman;sans-serif" w:hAnsi="Times New Roman;sans-serif"/>
          <w:b w:val="false"/>
          <w:color w:val="000000"/>
          <w:sz w:val="20"/>
          <w:u w:val="single"/>
        </w:rPr>
        <w:t>Section 3.1(a)</w:t>
      </w:r>
      <w:r>
        <w:rPr>
          <w:color w:val="000000"/>
        </w:rPr>
        <w:t xml:space="preserve"> </w:t>
      </w:r>
      <w:r>
        <w:rPr>
          <w:rFonts w:ascii="Times New Roman;sans-serif" w:hAnsi="Times New Roman;sans-serif"/>
          <w:b w:val="false"/>
          <w:color w:val="000000"/>
          <w:sz w:val="20"/>
        </w:rPr>
        <w:t>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w:t>
      </w:r>
    </w:p>
    <w:p>
      <w:pPr>
        <w:pStyle w:val="HorizontalLine"/>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410" name="Frame3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necessary, except where the failure to be so duly qualified or licensed and in good standing would not have a Company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3.2</w:t>
      </w:r>
      <w:r>
        <w:rPr>
          <w:rFonts w:ascii="Times New Roman;sans-serif" w:hAnsi="Times New Roman;sans-serif"/>
          <w:b/>
          <w:color w:val="000000"/>
          <w:sz w:val="20"/>
          <w:u w:val="single"/>
        </w:rPr>
        <w:t>Capitalization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or for Equity Securities issued or granted after the date hereof either permitted by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as set forth in Section 5.1(b)(v) of the Company Disclosure Schedules), or in accordance with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(i.e., the value of the Adjusted Transaction Share Consideration allocated to each Company Option (determined by reference to, for the avoidance of doubt, the ARYA Share Value) is in excess of the exercise (or similar) price applicable to such Company Option).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for the Company Options and Company Warrants set forth on </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and those either permitted by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as set forth in Section 5.1(b)(v) of the Company Disclosure Schedules), or issued, granted or entered into in accordance with </w:t>
      </w:r>
      <w:r>
        <w:rPr>
          <w:rFonts w:ascii="Times New Roman;sans-serif" w:hAnsi="Times New Roman;sans-serif"/>
          <w:b w:val="false"/>
          <w:color w:val="000000"/>
          <w:sz w:val="20"/>
          <w:u w:val="single"/>
        </w:rPr>
        <w:t>Section 5.1(b)(v)</w:t>
      </w:r>
      <w:r>
        <w:rPr>
          <w:rFonts w:ascii="Times New Roman;sans-serif" w:hAnsi="Times New Roman;sans-serif"/>
          <w:b w:val="false"/>
          <w:color w:val="000000"/>
          <w:sz w:val="20"/>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Section 3.2(c)</w:t>
      </w:r>
      <w:r>
        <w:rPr>
          <w:color w:val="000000"/>
        </w:rPr>
        <w:t xml:space="preserve"> </w:t>
      </w:r>
      <w:r>
        <w:rPr>
          <w:rFonts w:ascii="Times New Roman;sans-serif" w:hAnsi="Times New Roman;sans-serif"/>
          <w:b w:val="false"/>
          <w:color w:val="000000"/>
          <w:sz w:val="20"/>
        </w:rPr>
        <w:t>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Except as set forth on </w:t>
      </w:r>
      <w:r>
        <w:rPr>
          <w:rFonts w:ascii="Times New Roman;sans-serif" w:hAnsi="Times New Roman;sans-serif"/>
          <w:b w:val="false"/>
          <w:color w:val="000000"/>
          <w:sz w:val="20"/>
          <w:u w:val="single"/>
        </w:rPr>
        <w:t>Section 3.2(d)</w:t>
      </w:r>
      <w:r>
        <w:rPr>
          <w:color w:val="000000"/>
        </w:rPr>
        <w:t xml:space="preserve"> </w:t>
      </w:r>
      <w:r>
        <w:rPr>
          <w:rFonts w:ascii="Times New Roman;sans-serif" w:hAnsi="Times New Roman;sans-serif"/>
          <w:b w:val="false"/>
          <w:color w:val="000000"/>
          <w:sz w:val="20"/>
        </w:rPr>
        <w:t>of the Company Disclosure Schedules, there are no voting trusts, proxies or other Contracts with respect to the voting or transfer of the Company’s Equity Securities between the Company and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pStyle w:val="HorizontalLine"/>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411" name="Frame3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Section 3.2(f)</w:t>
      </w:r>
      <w:r>
        <w:rPr>
          <w:color w:val="000000"/>
        </w:rPr>
        <w:t xml:space="preserve"> </w:t>
      </w:r>
      <w:r>
        <w:rPr>
          <w:rFonts w:ascii="Times New Roman;sans-serif" w:hAnsi="Times New Roman;sans-serif"/>
          <w:b w:val="false"/>
          <w:color w:val="000000"/>
          <w:sz w:val="20"/>
        </w:rPr>
        <w:t>of the Company Disclosure Schedules sets forth a list of all Company Change of Control Payments as of the date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Section 3.2(g)</w:t>
      </w:r>
      <w:r>
        <w:rPr>
          <w:color w:val="000000"/>
        </w:rPr>
        <w:t xml:space="preserve"> </w:t>
      </w:r>
      <w:r>
        <w:rPr>
          <w:rFonts w:ascii="Times New Roman;sans-serif" w:hAnsi="Times New Roman;sans-serif"/>
          <w:b w:val="false"/>
          <w:color w:val="000000"/>
          <w:sz w:val="20"/>
        </w:rPr>
        <w:t xml:space="preserve">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 </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Section 3.2(h)</w:t>
      </w:r>
      <w:r>
        <w:rPr>
          <w:color w:val="000000"/>
        </w:rPr>
        <w:t xml:space="preserve"> </w:t>
      </w:r>
      <w:r>
        <w:rPr>
          <w:rFonts w:ascii="Times New Roman;sans-serif" w:hAnsi="Times New Roman;sans-serif"/>
          <w:b w:val="false"/>
          <w:color w:val="000000"/>
          <w:sz w:val="20"/>
        </w:rPr>
        <w:t>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pStyle w:val="TextBody"/>
        <w:spacing w:lineRule="auto" w:line="288" w:before="0" w:after="180"/>
        <w:ind w:left="0" w:right="0" w:firstLine="720"/>
        <w:jc w:val="both"/>
        <w:rPr/>
      </w:pPr>
      <w:r>
        <w:rPr>
          <w:rFonts w:ascii="Times New Roman;sans-serif" w:hAnsi="Times New Roman;sans-serif"/>
          <w:b/>
          <w:color w:val="000000"/>
          <w:sz w:val="20"/>
        </w:rPr>
        <w:t>Section 3.3</w:t>
      </w:r>
      <w:r>
        <w:rPr>
          <w:rFonts w:ascii="Times New Roman;sans-serif" w:hAnsi="Times New Roman;sans-serif"/>
          <w:b/>
          <w:color w:val="000000"/>
          <w:sz w:val="20"/>
          <w:u w:val="single"/>
        </w:rPr>
        <w:t>Authority</w:t>
      </w:r>
      <w:r>
        <w:rPr>
          <w:rFonts w:ascii="Times New Roman;sans-serif" w:hAnsi="Times New Roman;sans-serif"/>
          <w:b w:val="false"/>
          <w:color w:val="000000"/>
          <w:sz w:val="20"/>
        </w:rPr>
        <w:t>. The Company has the requisite corporate power and authority to execute and deliver this Agreement and each Ancillary 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w:t>
      </w:r>
      <w:r>
        <w:rPr>
          <w:rFonts w:ascii="Times New Roman;sans-serif" w:hAnsi="Times New Roman;sans-serif"/>
          <w:b w:val="false"/>
          <w:color w:val="000000"/>
          <w:sz w:val="20"/>
          <w:u w:val="single"/>
        </w:rPr>
        <w:t>Company Required Shareholder Approval</w:t>
      </w:r>
      <w:r>
        <w:rPr>
          <w:color w:val="000000"/>
        </w:rPr>
        <w:t>”</w:t>
      </w:r>
      <w:r>
        <w:rPr>
          <w:rFonts w:ascii="Times New Roman;sans-serif" w:hAnsi="Times New Roman;sans-serif"/>
          <w:b w:val="false"/>
          <w:color w:val="000000"/>
          <w:sz w:val="20"/>
        </w:rPr>
        <w:t xml:space="preserve">)),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 </w:t>
      </w:r>
    </w:p>
    <w:p>
      <w:pPr>
        <w:pStyle w:val="TextBody"/>
        <w:spacing w:lineRule="auto" w:line="288" w:before="0" w:after="180"/>
        <w:ind w:left="0" w:right="0" w:firstLine="720"/>
        <w:jc w:val="both"/>
        <w:rPr/>
      </w:pPr>
      <w:r>
        <w:rPr>
          <w:rFonts w:ascii="Times New Roman;sans-serif" w:hAnsi="Times New Roman;sans-serif"/>
          <w:b/>
          <w:color w:val="000000"/>
          <w:sz w:val="20"/>
        </w:rPr>
        <w:t>Section 3.4</w:t>
      </w:r>
      <w:r>
        <w:rPr>
          <w:rFonts w:ascii="Times New Roman;sans-serif" w:hAnsi="Times New Roman;sans-serif"/>
          <w:b/>
          <w:color w:val="000000"/>
          <w:sz w:val="20"/>
          <w:u w:val="single"/>
        </w:rPr>
        <w:t>Financial Statements; Undisclosed Liabilities.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Company has made available to ARYA a true and complete copy of the audited consolidated balance sheet of the Company as of December 31, 2019 (the “</w:t>
      </w:r>
      <w:r>
        <w:rPr>
          <w:rFonts w:ascii="Times New Roman;sans-serif" w:hAnsi="Times New Roman;sans-serif"/>
          <w:b w:val="false"/>
          <w:color w:val="000000"/>
          <w:sz w:val="20"/>
          <w:u w:val="single"/>
        </w:rPr>
        <w:t>Latest Balance Sheet</w:t>
      </w:r>
      <w:r>
        <w:rPr>
          <w:color w:val="000000"/>
        </w:rPr>
        <w:t>”</w:t>
      </w:r>
      <w:r>
        <w:rPr>
          <w:rFonts w:ascii="Times New Roman;sans-serif" w:hAnsi="Times New Roman;sans-serif"/>
          <w:b w:val="false"/>
          <w:color w:val="000000"/>
          <w:sz w:val="20"/>
        </w:rPr>
        <w:t>) and the related audited consolidated statements of operations and comprehensive loss, convertible preferred stock and stockholders’ deficit and cash flows of the Company for the year then ended (the “</w:t>
      </w:r>
      <w:r>
        <w:rPr>
          <w:rFonts w:ascii="Times New Roman;sans-serif" w:hAnsi="Times New Roman;sans-serif"/>
          <w:b w:val="false"/>
          <w:color w:val="000000"/>
          <w:sz w:val="20"/>
          <w:u w:val="single"/>
        </w:rPr>
        <w:t>Financial Statements</w:t>
      </w:r>
      <w:r>
        <w:rPr>
          <w:color w:val="000000"/>
        </w:rPr>
        <w:t>”</w:t>
      </w:r>
      <w:r>
        <w:rPr>
          <w:rFonts w:ascii="Times New Roman;sans-serif" w:hAnsi="Times New Roman;sans-serif"/>
          <w:b w:val="false"/>
          <w:color w:val="000000"/>
          <w:sz w:val="20"/>
        </w:rPr>
        <w:t xml:space="preserve">), which are attached as </w:t>
      </w:r>
      <w:r>
        <w:rPr>
          <w:rFonts w:ascii="Times New Roman;sans-serif" w:hAnsi="Times New Roman;sans-serif"/>
          <w:b w:val="false"/>
          <w:color w:val="000000"/>
          <w:sz w:val="20"/>
          <w:u w:val="single"/>
        </w:rPr>
        <w:t>Section 3.4(a)</w:t>
      </w:r>
      <w:r>
        <w:rPr>
          <w:color w:val="000000"/>
        </w:rPr>
        <w:t xml:space="preserve"> </w:t>
      </w:r>
      <w:r>
        <w:rPr>
          <w:rFonts w:ascii="Times New Roman;sans-serif" w:hAnsi="Times New Roman;sans-serif"/>
          <w:b w:val="false"/>
          <w:color w:val="000000"/>
          <w:sz w:val="20"/>
        </w:rPr>
        <w:t>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pStyle w:val="HorizontalLine"/>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12" name="Frame3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5.1(b)(i)-(vi)</w:t>
      </w:r>
      <w:r>
        <w:rPr>
          <w:color w:val="000000"/>
        </w:rPr>
        <w:t xml:space="preserve"> </w:t>
      </w:r>
      <w:r>
        <w:rPr>
          <w:rFonts w:ascii="Times New Roman;sans-serif" w:hAnsi="Times New Roman;sans-serif"/>
          <w:b w:val="false"/>
          <w:color w:val="000000"/>
          <w:sz w:val="20"/>
        </w:rPr>
        <w:t>of the Company Disclosure Schedules) and (vi) for Liabilities that are not and would not reasonably be expected to be, individually or in the aggregate, material to the Group Companies, taken as a whole, no Group Company has any Liabilities.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Except as set forth on </w:t>
      </w:r>
      <w:r>
        <w:rPr>
          <w:rFonts w:ascii="Times New Roman;sans-serif" w:hAnsi="Times New Roman;sans-serif"/>
          <w:b w:val="false"/>
          <w:color w:val="000000"/>
          <w:sz w:val="20"/>
          <w:u w:val="single"/>
        </w:rPr>
        <w:t>Section 3.4(d)</w:t>
      </w:r>
      <w:r>
        <w:rPr>
          <w:color w:val="000000"/>
        </w:rPr>
        <w:t xml:space="preserve"> </w:t>
      </w:r>
      <w:r>
        <w:rPr>
          <w:rFonts w:ascii="Times New Roman;sans-serif" w:hAnsi="Times New Roman;sans-serif"/>
          <w:b w:val="false"/>
          <w:color w:val="000000"/>
          <w:sz w:val="20"/>
        </w:rPr>
        <w:t>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pStyle w:val="TextBody"/>
        <w:spacing w:lineRule="auto" w:line="288" w:before="0" w:after="180"/>
        <w:ind w:left="0" w:right="0" w:firstLine="720"/>
        <w:jc w:val="both"/>
        <w:rPr/>
      </w:pPr>
      <w:r>
        <w:rPr>
          <w:rFonts w:ascii="Times New Roman;sans-serif" w:hAnsi="Times New Roman;sans-serif"/>
          <w:b/>
          <w:color w:val="000000"/>
          <w:sz w:val="20"/>
        </w:rPr>
        <w:t>Section 3.5</w:t>
      </w:r>
      <w:r>
        <w:rPr>
          <w:rFonts w:ascii="Times New Roman;sans-serif" w:hAnsi="Times New Roman;sans-serif"/>
          <w:b/>
          <w:color w:val="000000"/>
          <w:sz w:val="20"/>
          <w:u w:val="single"/>
        </w:rPr>
        <w:t>Consents and Requisite Governmental Approvals; No Violations.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above, as would not have a Company Material Adverse Effect.</w:t>
      </w:r>
    </w:p>
    <w:p>
      <w:pPr>
        <w:pStyle w:val="HorizontalLine"/>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3" name="Frame3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rPr/>
      </w:pPr>
      <w:r>
        <w:rPr>
          <w:rFonts w:ascii="Times New Roman;sans-serif" w:hAnsi="Times New Roman;sans-serif"/>
          <w:b/>
          <w:color w:val="000000"/>
          <w:sz w:val="20"/>
        </w:rPr>
        <w:t>Section 3.6</w:t>
      </w:r>
      <w:r>
        <w:rPr>
          <w:rFonts w:ascii="Times New Roman;sans-serif" w:hAnsi="Times New Roman;sans-serif"/>
          <w:b/>
          <w:color w:val="000000"/>
          <w:sz w:val="20"/>
          <w:u w:val="single"/>
        </w:rPr>
        <w:t>Permits.</w:t>
      </w:r>
      <w:r>
        <w:rPr>
          <w:color w:val="000000"/>
        </w:rPr>
        <w:t xml:space="preserve"> </w:t>
      </w:r>
      <w:r>
        <w:rPr>
          <w:rFonts w:ascii="Times New Roman;sans-serif" w:hAnsi="Times New Roman;sans-serif"/>
          <w:b w:val="false"/>
          <w:color w:val="000000"/>
          <w:sz w:val="20"/>
        </w:rPr>
        <w:t xml:space="preserve">Each of the Group Companies has all Permits (the “Material Permits”) that are required to own, lease or operate its 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 </w:t>
      </w:r>
    </w:p>
    <w:p>
      <w:pPr>
        <w:pStyle w:val="TextBody"/>
        <w:spacing w:lineRule="auto" w:line="288" w:before="0" w:after="180"/>
        <w:ind w:left="0" w:right="0" w:firstLine="720"/>
        <w:jc w:val="both"/>
        <w:rPr/>
      </w:pPr>
      <w:r>
        <w:rPr>
          <w:rFonts w:ascii="Times New Roman;sans-serif" w:hAnsi="Times New Roman;sans-serif"/>
          <w:b/>
          <w:color w:val="000000"/>
          <w:sz w:val="20"/>
        </w:rPr>
        <w:t>Section 3.7</w:t>
      </w:r>
      <w:r>
        <w:rPr>
          <w:rFonts w:ascii="Times New Roman;sans-serif" w:hAnsi="Times New Roman;sans-serif"/>
          <w:b/>
          <w:color w:val="000000"/>
          <w:sz w:val="20"/>
          <w:u w:val="single"/>
        </w:rPr>
        <w:t>Material Contracts.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3.7(a)</w:t>
      </w:r>
      <w:r>
        <w:rPr>
          <w:color w:val="000000"/>
        </w:rPr>
        <w:t xml:space="preserve"> </w:t>
      </w:r>
      <w:r>
        <w:rPr>
          <w:rFonts w:ascii="Times New Roman;sans-serif" w:hAnsi="Times New Roman;sans-serif"/>
          <w:b w:val="false"/>
          <w:color w:val="000000"/>
          <w:sz w:val="20"/>
        </w:rPr>
        <w:t xml:space="preserve">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Times New Roman;sans-serif" w:hAnsi="Times New Roman;sans-serif"/>
          <w:b w:val="false"/>
          <w:color w:val="000000"/>
          <w:sz w:val="20"/>
          <w:u w:val="single"/>
        </w:rPr>
        <w:t>Section 3.7(a)</w:t>
      </w:r>
      <w:r>
        <w:rPr>
          <w:color w:val="000000"/>
        </w:rPr>
        <w:t xml:space="preserve"> </w:t>
      </w:r>
      <w:r>
        <w:rPr>
          <w:rFonts w:ascii="Times New Roman;sans-serif" w:hAnsi="Times New Roman;sans-serif"/>
          <w:b w:val="false"/>
          <w:color w:val="000000"/>
          <w:sz w:val="20"/>
        </w:rPr>
        <w:t>of the Company Disclosure Schedules, the “</w:t>
      </w:r>
      <w:r>
        <w:rPr>
          <w:rFonts w:ascii="Times New Roman;sans-serif" w:hAnsi="Times New Roman;sans-serif"/>
          <w:b w:val="false"/>
          <w:color w:val="000000"/>
          <w:sz w:val="20"/>
          <w:u w:val="single"/>
        </w:rPr>
        <w:t>Material Contracts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(i)any Contract relating to Indebtedness for borrowed money of any Group Company or to the placing of a Lien (other than a Permitted Lien) on any material assets or properties of any Group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(ii)any Contract under which any Group Company is lessee of or holds or operates, in each case, any tangible property (other than real property), owned by any other Person, except for any lease or agreement under which the aggregate annual rental payments do not exceed $2,000,000;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(vi)any Contract requiring any future capital commitment or capital expenditure (or series of capital expenditures) by any Group Company in an amount in excess of (A) $2,000,000 annually or (B) $5,000,000 over the life of the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(vii)any Contract requiring any Group Company to guarantee the Liabilities of any Person (other than the Company or a Subsidiary) or pursuant to which any Person (other than the Company or a Subsidiary) has guaranteed the Liabilities of a Group Company, in each case in excess of $2,000,000; </w:t>
      </w:r>
    </w:p>
    <w:p>
      <w:pPr>
        <w:pStyle w:val="HorizontalLine"/>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14" name="Frame3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(ix)any Contract required to be disclosed on </w:t>
      </w:r>
      <w:r>
        <w:rPr>
          <w:rFonts w:ascii="Times New Roman;sans-serif" w:hAnsi="Times New Roman;sans-serif"/>
          <w:b w:val="false"/>
          <w:color w:val="000000"/>
          <w:sz w:val="20"/>
          <w:u w:val="single"/>
        </w:rPr>
        <w:t>Section 3.19</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(xi)any Contract providing for any Company Change of Control Payment;</w:t>
      </w:r>
    </w:p>
    <w:p>
      <w:pPr>
        <w:pStyle w:val="TextBody"/>
        <w:spacing w:lineRule="auto" w:line="288" w:before="0" w:after="180"/>
        <w:ind w:left="0" w:right="0" w:firstLine="720"/>
        <w:jc w:val="both"/>
        <w:rPr/>
      </w:pPr>
      <w:r>
        <w:rPr>
          <w:rFonts w:ascii="Times New Roman;sans-serif" w:hAnsi="Times New Roman;sans-serif"/>
          <w:b w:val="false"/>
          <w:color w:val="000000"/>
          <w:sz w:val="20"/>
        </w:rPr>
        <w:t>(xii)</w:t>
      </w:r>
      <w:r>
        <w:rPr>
          <w:color w:val="000000"/>
        </w:rPr>
        <w:t xml:space="preserve"> </w:t>
      </w:r>
      <w:r>
        <w:rPr>
          <w:rFonts w:ascii="Times New Roman;sans-serif" w:hAnsi="Times New Roman;sans-serif"/>
          <w:b w:val="false"/>
          <w:color w:val="000000"/>
          <w:sz w:val="20"/>
        </w:rPr>
        <w:t xml:space="preserve">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(xiii)any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(xiv)any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pStyle w:val="TextBody"/>
        <w:spacing w:lineRule="auto" w:line="288" w:before="0" w:after="180"/>
        <w:ind w:left="0" w:right="0" w:firstLine="720"/>
        <w:jc w:val="both"/>
        <w:rPr/>
      </w:pPr>
      <w:r>
        <w:rPr>
          <w:rFonts w:ascii="Times New Roman;sans-serif" w:hAnsi="Times New Roman;sans-serif"/>
          <w:b/>
          <w:color w:val="000000"/>
          <w:sz w:val="20"/>
        </w:rPr>
        <w:t>Section 3.8</w:t>
      </w:r>
      <w:r>
        <w:rPr>
          <w:rFonts w:ascii="Times New Roman;sans-serif" w:hAnsi="Times New Roman;sans-serif"/>
          <w:b/>
          <w:color w:val="000000"/>
          <w:sz w:val="20"/>
          <w:u w:val="single"/>
        </w:rPr>
        <w:t>Absence of Changes.</w:t>
      </w:r>
      <w:r>
        <w:rPr>
          <w:color w:val="000000"/>
        </w:rPr>
        <w:t xml:space="preserve"> </w:t>
      </w:r>
      <w:r>
        <w:rPr>
          <w:rFonts w:ascii="Times New Roman;sans-serif" w:hAnsi="Times New Roman;sans-serif"/>
          <w:b w:val="false"/>
          <w:color w:val="000000"/>
          <w:sz w:val="20"/>
        </w:rPr>
        <w:t xml:space="preserve">During the period beginning on January 1, 2020 and ending on the date of this Agreement, (a) no Company 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w:t>
      </w:r>
      <w:r>
        <w:rPr>
          <w:rFonts w:ascii="Times New Roman;sans-serif" w:hAnsi="Times New Roman;sans-serif"/>
          <w:b w:val="false"/>
          <w:color w:val="000000"/>
          <w:sz w:val="20"/>
          <w:u w:val="single"/>
        </w:rPr>
        <w:t>Section 5.1(b)(iv)(A)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any of the foregoing) and (iii) no Group Company </w:t>
      </w:r>
    </w:p>
    <w:p>
      <w:pPr>
        <w:pStyle w:val="HorizontalLine"/>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15" name="Frame3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has taken any action that would require the consent of ARYA if taken during the period from the date of this Agreement until the Closing pursuant to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w:t>
      </w:r>
      <w:r>
        <w:rPr>
          <w:rFonts w:ascii="Times New Roman;sans-serif" w:hAnsi="Times New Roman;sans-serif"/>
          <w:b w:val="false"/>
          <w:color w:val="000000"/>
          <w:sz w:val="20"/>
          <w:u w:val="single"/>
        </w:rPr>
        <w:t>Section 5.1(b)(i)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3.9</w:t>
      </w:r>
      <w:r>
        <w:rPr>
          <w:rFonts w:ascii="Times New Roman;sans-serif" w:hAnsi="Times New Roman;sans-serif"/>
          <w:b/>
          <w:color w:val="000000"/>
          <w:sz w:val="20"/>
          <w:u w:val="single"/>
        </w:rPr>
        <w:t>Litigation</w:t>
      </w:r>
      <w:r>
        <w:rPr>
          <w:rFonts w:ascii="Times New Roman;sans-serif" w:hAnsi="Times New Roman;sans-serif"/>
          <w:b w:val="false"/>
          <w:color w:val="000000"/>
          <w:sz w:val="20"/>
        </w:rPr>
        <w:t xml:space="preserve">. There is (and since January 1, 2018 there has been) no Proceeding, by any counterparty not a Party hereto, pending or, to 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 </w:t>
      </w:r>
    </w:p>
    <w:p>
      <w:pPr>
        <w:pStyle w:val="TextBody"/>
        <w:spacing w:lineRule="auto" w:line="288" w:before="0" w:after="180"/>
        <w:ind w:left="0" w:right="0" w:firstLine="720"/>
        <w:rPr/>
      </w:pPr>
      <w:r>
        <w:rPr>
          <w:rFonts w:ascii="Times New Roman;sans-serif" w:hAnsi="Times New Roman;sans-serif"/>
          <w:b/>
          <w:color w:val="000000"/>
          <w:sz w:val="20"/>
        </w:rPr>
        <w:t>Section 3.10</w:t>
      </w:r>
      <w:r>
        <w:rPr>
          <w:rFonts w:ascii="Times New Roman;sans-serif" w:hAnsi="Times New Roman;sans-serif"/>
          <w:b/>
          <w:color w:val="000000"/>
          <w:sz w:val="20"/>
          <w:u w:val="single"/>
        </w:rPr>
        <w:t>Compliance with Applicable Law.</w:t>
      </w:r>
      <w:r>
        <w:rPr>
          <w:color w:val="000000"/>
        </w:rPr>
        <w:t xml:space="preserve"> </w:t>
      </w:r>
      <w:r>
        <w:rPr>
          <w:rFonts w:ascii="Times New Roman;sans-serif" w:hAnsi="Times New Roman;sans-serif"/>
          <w:b w:val="false"/>
          <w:color w:val="000000"/>
          <w:sz w:val="20"/>
        </w:rPr>
        <w:t xml:space="preserve">Each Group Company (a) conducts (and since January 1, 2018 has conducted) its business 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 </w:t>
      </w:r>
    </w:p>
    <w:p>
      <w:pPr>
        <w:pStyle w:val="TextBody"/>
        <w:spacing w:lineRule="auto" w:line="288" w:before="0" w:after="180"/>
        <w:ind w:left="0" w:right="0" w:firstLine="720"/>
        <w:jc w:val="both"/>
        <w:rPr/>
      </w:pPr>
      <w:r>
        <w:rPr>
          <w:rFonts w:ascii="Times New Roman;sans-serif" w:hAnsi="Times New Roman;sans-serif"/>
          <w:b/>
          <w:color w:val="000000"/>
          <w:sz w:val="20"/>
        </w:rPr>
        <w:t>Section 3.11</w:t>
      </w:r>
      <w:r>
        <w:rPr>
          <w:rFonts w:ascii="Times New Roman;sans-serif" w:hAnsi="Times New Roman;sans-serif"/>
          <w:b/>
          <w:color w:val="000000"/>
          <w:sz w:val="20"/>
          <w:u w:val="single"/>
        </w:rPr>
        <w:t>Employee Plans.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3.11(a)</w:t>
      </w:r>
      <w:r>
        <w:rPr>
          <w:color w:val="000000"/>
        </w:rPr>
        <w:t xml:space="preserve"> </w:t>
      </w:r>
      <w:r>
        <w:rPr>
          <w:rFonts w:ascii="Times New Roman;sans-serif" w:hAnsi="Times New Roman;sans-serif"/>
          <w:b w:val="false"/>
          <w:color w:val="000000"/>
          <w:sz w:val="20"/>
        </w:rPr>
        <w:t>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 </w:t>
      </w:r>
    </w:p>
    <w:p>
      <w:pPr>
        <w:pStyle w:val="HorizontalLine"/>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16" name="Frame3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are due have been timely made,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The Group Companies have no material obligation to make a “gross-up” or similar payment in respect of any taxes that may become payable under Section 4999 or 409A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pStyle w:val="TextBody"/>
        <w:spacing w:lineRule="auto" w:line="288" w:before="0" w:after="180"/>
        <w:ind w:left="0" w:right="0" w:firstLine="720"/>
        <w:jc w:val="both"/>
        <w:rPr/>
      </w:pPr>
      <w:r>
        <w:rPr>
          <w:rFonts w:ascii="Times New Roman;sans-serif" w:hAnsi="Times New Roman;sans-serif"/>
          <w:b/>
          <w:color w:val="000000"/>
          <w:sz w:val="20"/>
        </w:rPr>
        <w:t>Section 3.12</w:t>
      </w:r>
      <w:r>
        <w:rPr>
          <w:rFonts w:ascii="Times New Roman;sans-serif" w:hAnsi="Times New Roman;sans-serif"/>
          <w:b/>
          <w:color w:val="000000"/>
          <w:sz w:val="20"/>
          <w:u w:val="single"/>
        </w:rPr>
        <w:t>Environmental Matters.</w:t>
      </w:r>
      <w:r>
        <w:rPr>
          <w:color w:val="000000"/>
        </w:rPr>
        <w:t xml:space="preserve"> </w:t>
      </w:r>
      <w:r>
        <w:rPr>
          <w:rFonts w:ascii="Times New Roman;sans-serif" w:hAnsi="Times New Roman;sans-serif"/>
          <w:b w:val="false"/>
          <w:color w:val="000000"/>
          <w:sz w:val="20"/>
        </w:rPr>
        <w:t>Except as would not have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There is (and since January 1, 2018 there has been) no Proceeding pending or, to the Company’s knowledge, threatened in writing against or involving any Group Company in respect to any Environmental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pStyle w:val="TextBody"/>
        <w:spacing w:lineRule="auto" w:line="288" w:before="0" w:after="180"/>
        <w:ind w:left="0" w:right="0" w:firstLine="720"/>
        <w:jc w:val="both"/>
        <w:rPr/>
      </w:pPr>
      <w:r>
        <w:rPr>
          <w:rFonts w:ascii="Times New Roman;sans-serif" w:hAnsi="Times New Roman;sans-serif"/>
          <w:b/>
          <w:color w:val="000000"/>
          <w:sz w:val="20"/>
        </w:rPr>
        <w:t>Section 3.13</w:t>
      </w:r>
      <w:r>
        <w:rPr>
          <w:rFonts w:ascii="Times New Roman;sans-serif" w:hAnsi="Times New Roman;sans-serif"/>
          <w:b/>
          <w:color w:val="000000"/>
          <w:sz w:val="20"/>
          <w:u w:val="single"/>
        </w:rPr>
        <w:t>Intellectual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3.13(a)</w:t>
      </w:r>
      <w:r>
        <w:rPr>
          <w:color w:val="000000"/>
        </w:rPr>
        <w:t xml:space="preserve"> </w:t>
      </w:r>
      <w:r>
        <w:rPr>
          <w:rFonts w:ascii="Times New Roman;sans-serif" w:hAnsi="Times New Roman;sans-serif"/>
          <w:b w:val="false"/>
          <w:color w:val="000000"/>
          <w:sz w:val="20"/>
        </w:rPr>
        <w:t xml:space="preserve">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Times New Roman;sans-serif" w:hAnsi="Times New Roman;sans-serif"/>
          <w:b w:val="false"/>
          <w:color w:val="000000"/>
          <w:sz w:val="20"/>
          <w:u w:val="single"/>
        </w:rPr>
        <w:t>Section 3.13(a)</w:t>
      </w:r>
      <w:r>
        <w:rPr>
          <w:color w:val="000000"/>
        </w:rPr>
        <w:t xml:space="preserve"> </w:t>
      </w:r>
      <w:r>
        <w:rPr>
          <w:rFonts w:ascii="Times New Roman;sans-serif" w:hAnsi="Times New Roman;sans-serif"/>
          <w:b w:val="false"/>
          <w:color w:val="000000"/>
          <w:sz w:val="20"/>
        </w:rPr>
        <w:t xml:space="preserve">of the Company Disclosure Schedules lists, for each item of Company Registered Intellectual Property as of the date of this Agreement (A) the record owner of such item, (B) the jurisdictions in which such item has been issued or </w:t>
      </w:r>
    </w:p>
    <w:p>
      <w:pPr>
        <w:pStyle w:val="HorizontalLine"/>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17" name="Frame3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registered or filed, (C) the issuance, registration or application date, as applicable, for such item and (D) the issuance, registration or application number, as applicable, for such item.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Times New Roman;sans-serif" w:hAnsi="Times New Roman;sans-serif"/>
          <w:b w:val="false"/>
          <w:color w:val="000000"/>
          <w:sz w:val="20"/>
          <w:u w:val="single"/>
        </w:rPr>
        <w:t>Section 3.13(c)</w:t>
      </w:r>
      <w:r>
        <w:rPr>
          <w:color w:val="000000"/>
        </w:rPr>
        <w:t xml:space="preserve"> </w:t>
      </w:r>
      <w:r>
        <w:rPr>
          <w:rFonts w:ascii="Times New Roman;sans-serif" w:hAnsi="Times New Roman;sans-serif"/>
          <w:b w:val="false"/>
          <w:color w:val="000000"/>
          <w:sz w:val="20"/>
        </w:rPr>
        <w:t>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Times New Roman;sans-serif" w:hAnsi="Times New Roman;sans-serif"/>
          <w:b w:val="false"/>
          <w:color w:val="000000"/>
          <w:sz w:val="20"/>
          <w:u w:val="single"/>
        </w:rPr>
        <w:t>Non-Scheduled Contracts</w:t>
      </w:r>
      <w:r>
        <w:rPr>
          <w:color w:val="000000"/>
        </w:rPr>
        <w:t>”</w:t>
      </w:r>
      <w:r>
        <w:rPr>
          <w:rFonts w:ascii="Times New Roman;sans-serif" w:hAnsi="Times New Roman;sans-serif"/>
          <w:b w:val="false"/>
          <w:color w:val="000000"/>
          <w:sz w:val="20"/>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Times New Roman;sans-serif" w:hAnsi="Times New Roman;sans-serif"/>
          <w:b w:val="false"/>
          <w:color w:val="000000"/>
          <w:sz w:val="20"/>
          <w:u w:val="single"/>
        </w:rPr>
        <w:t>Creator</w:t>
      </w:r>
      <w:r>
        <w:rPr>
          <w:color w:val="000000"/>
        </w:rPr>
        <w:t>”</w:t>
      </w:r>
      <w:r>
        <w:rPr>
          <w:rFonts w:ascii="Times New Roman;sans-serif" w:hAnsi="Times New Roman;sans-serif"/>
          <w:b w:val="false"/>
          <w:color w:val="000000"/>
          <w:sz w:val="20"/>
        </w:rPr>
        <w:t xml:space="preserve">)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w:t>
      </w:r>
    </w:p>
    <w:p>
      <w:pPr>
        <w:pStyle w:val="HorizontalLine"/>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18" name="Frame4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engagement with such Group Company, other than such Intellectual Property Rights that cannot be assigned under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pStyle w:val="HorizontalLine"/>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19" name="Frame4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3.14</w:t>
      </w:r>
      <w:r>
        <w:rPr>
          <w:rFonts w:ascii="Times New Roman;sans-serif" w:hAnsi="Times New Roman;sans-serif"/>
          <w:b/>
          <w:color w:val="000000"/>
          <w:sz w:val="20"/>
          <w:u w:val="single"/>
        </w:rPr>
        <w:t>Labor Matters</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pStyle w:val="HorizontalLine"/>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20" name="Frame4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3.15</w:t>
      </w:r>
      <w:r>
        <w:rPr>
          <w:rFonts w:ascii="Times New Roman;sans-serif" w:hAnsi="Times New Roman;sans-serif"/>
          <w:b/>
          <w:color w:val="000000"/>
          <w:sz w:val="20"/>
          <w:u w:val="single"/>
        </w:rPr>
        <w:t>Insurance.</w:t>
      </w:r>
      <w:r>
        <w:rPr>
          <w:color w:val="000000"/>
        </w:rPr>
        <w:t xml:space="preserve"> </w:t>
      </w:r>
      <w:r>
        <w:rPr>
          <w:rFonts w:ascii="Times New Roman;sans-serif" w:hAnsi="Times New Roman;sans-serif"/>
          <w:b w:val="false"/>
          <w:color w:val="000000"/>
          <w:sz w:val="20"/>
          <w:u w:val="single"/>
        </w:rPr>
        <w:t>Section 3.15</w:t>
      </w:r>
      <w:r>
        <w:rPr>
          <w:color w:val="000000"/>
        </w:rPr>
        <w:t xml:space="preserve"> </w:t>
      </w:r>
      <w:r>
        <w:rPr>
          <w:rFonts w:ascii="Times New Roman;sans-serif" w:hAnsi="Times New Roman;sans-serif"/>
          <w:b w:val="false"/>
          <w:color w:val="000000"/>
          <w:sz w:val="20"/>
        </w:rPr>
        <w:t>of the Company Disclosure Schedules sets forth a list of all material policies of fire, liability, workers’ 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3.16</w:t>
      </w:r>
      <w:r>
        <w:rPr>
          <w:rFonts w:ascii="Times New Roman;sans-serif" w:hAnsi="Times New Roman;sans-serif"/>
          <w:b/>
          <w:color w:val="000000"/>
          <w:sz w:val="20"/>
          <w:u w:val="single"/>
        </w:rPr>
        <w:t>Tax Matters.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 Group Company is or has been a party to any “listed transaction” as defined in Section 6707A of the Code and Treasury Regulations Section 1.6011-4 (or any corresponding or similar provision of state, local or non-U.S. income Tax Law).</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There are no Liens for material Taxes on any assets of the Group Companies other than Permitted Liens.</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During the two (2)-year period ending on the date of this Agreement, no Group Company was a distributing corporation or a controlled corporation in a transaction purported or intended to be governed by Section 355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No written claims have ever been made by any Tax Authority in a jurisdiction where a Group Company does not file Tax Returns that such Group Company is or may be subject to taxation by that jurisdiction, which claims have not been resolved or withdrawn.</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No Group Company is a party to any Tax allocation, Tax sharing or Tax indemnity or similar agreements (other than one that is included in a Contract entered into in the ordinary course of business that </w:t>
      </w:r>
    </w:p>
    <w:p>
      <w:pPr>
        <w:pStyle w:val="HorizontalLine"/>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21" name="Frame4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is not primarily related to Taxes) and no Group Company is a party to any joint venture, partnership or other arrangement that is treated as a partnership for U.S. federal income Tax purposes.</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Each Group Company is tax resident only in its jurisdiction of formation.</w:t>
      </w:r>
    </w:p>
    <w:p>
      <w:pPr>
        <w:pStyle w:val="TextBody"/>
        <w:spacing w:lineRule="auto" w:line="288"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No Group Company has a permanent establishment (within the meaning of an applicable Tax treaty) or otherwise has an office or fixed place of business in a country other than the country in which it is organized.</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pStyle w:val="TextBody"/>
        <w:spacing w:lineRule="auto" w:line="288" w:before="0" w:after="180"/>
        <w:ind w:left="0" w:right="0" w:firstLine="720"/>
        <w:jc w:val="both"/>
        <w:rPr/>
      </w:pPr>
      <w:r>
        <w:rPr>
          <w:rFonts w:ascii="Times New Roman;sans-serif" w:hAnsi="Times New Roman;sans-serif"/>
          <w:b/>
          <w:color w:val="000000"/>
          <w:sz w:val="20"/>
        </w:rPr>
        <w:t>Section 3.17</w:t>
      </w:r>
      <w:r>
        <w:rPr>
          <w:rFonts w:ascii="Times New Roman;sans-serif" w:hAnsi="Times New Roman;sans-serif"/>
          <w:b/>
          <w:color w:val="000000"/>
          <w:sz w:val="20"/>
          <w:u w:val="single"/>
        </w:rPr>
        <w:t>Brokers.</w:t>
      </w:r>
      <w:r>
        <w:rPr>
          <w:color w:val="000000"/>
        </w:rPr>
        <w:t xml:space="preserve"> </w:t>
      </w:r>
      <w:r>
        <w:rPr>
          <w:rFonts w:ascii="Times New Roman;sans-serif" w:hAnsi="Times New Roman;sans-serif"/>
          <w:b w:val="false"/>
          <w:color w:val="000000"/>
          <w:sz w:val="20"/>
        </w:rPr>
        <w:t xml:space="preserve">Except for fees (including a good faith estimate of the amounts due and payable assuming the Closing occurs) set forth on </w:t>
      </w:r>
      <w:r>
        <w:rPr>
          <w:rFonts w:ascii="Times New Roman;sans-serif" w:hAnsi="Times New Roman;sans-serif"/>
          <w:b w:val="false"/>
          <w:color w:val="000000"/>
          <w:sz w:val="20"/>
          <w:u w:val="single"/>
        </w:rPr>
        <w:t>Section 3.17</w:t>
      </w:r>
      <w:r>
        <w:rPr>
          <w:color w:val="000000"/>
        </w:rPr>
        <w:t xml:space="preserve"> </w:t>
      </w:r>
      <w:r>
        <w:rPr>
          <w:rFonts w:ascii="Times New Roman;sans-serif" w:hAnsi="Times New Roman;sans-serif"/>
          <w:b w:val="false"/>
          <w:color w:val="000000"/>
          <w:sz w:val="20"/>
        </w:rPr>
        <w:t>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pStyle w:val="TextBody"/>
        <w:spacing w:lineRule="auto" w:line="288" w:before="0" w:after="180"/>
        <w:ind w:left="0" w:right="0" w:firstLine="720"/>
        <w:jc w:val="both"/>
        <w:rPr/>
      </w:pPr>
      <w:r>
        <w:rPr>
          <w:rFonts w:ascii="Times New Roman;sans-serif" w:hAnsi="Times New Roman;sans-serif"/>
          <w:b/>
          <w:color w:val="000000"/>
          <w:sz w:val="20"/>
        </w:rPr>
        <w:t>Section 3.18</w:t>
      </w:r>
      <w:r>
        <w:rPr>
          <w:rFonts w:ascii="Times New Roman;sans-serif" w:hAnsi="Times New Roman;sans-serif"/>
          <w:b/>
          <w:color w:val="000000"/>
          <w:sz w:val="20"/>
          <w:u w:val="single"/>
        </w:rPr>
        <w:t>Real and Personal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Owned Real Property</w:t>
      </w:r>
      <w:r>
        <w:rPr>
          <w:rFonts w:ascii="Times New Roman;sans-serif" w:hAnsi="Times New Roman;sans-serif"/>
          <w:b w:val="false"/>
          <w:color w:val="000000"/>
          <w:sz w:val="20"/>
        </w:rPr>
        <w:t>. No Group Company owns any real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Leased Real Property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3.18(b</w:t>
      </w:r>
      <w:r>
        <w:rPr>
          <w:rFonts w:ascii="Times New Roman;sans-serif" w:hAnsi="Times New Roman;sans-serif"/>
          <w:b w:val="false"/>
          <w:color w:val="000000"/>
          <w:sz w:val="20"/>
        </w:rPr>
        <w:t>) of the Company Disclosure Schedules sets forth a true and complete list (including street addresses) of all real property leased by any of the Group Companies (the “</w:t>
      </w:r>
      <w:r>
        <w:rPr>
          <w:rFonts w:ascii="Times New Roman;sans-serif" w:hAnsi="Times New Roman;sans-serif"/>
          <w:b w:val="false"/>
          <w:color w:val="000000"/>
          <w:sz w:val="20"/>
          <w:u w:val="single"/>
        </w:rPr>
        <w:t>Leased Real Property</w:t>
      </w:r>
      <w:r>
        <w:rPr>
          <w:color w:val="000000"/>
        </w:rPr>
        <w:t>”</w:t>
      </w:r>
      <w:r>
        <w:rPr>
          <w:rFonts w:ascii="Times New Roman;sans-serif" w:hAnsi="Times New Roman;sans-serif"/>
          <w:b w:val="false"/>
          <w:color w:val="000000"/>
          <w:sz w:val="20"/>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Personal Property</w:t>
      </w:r>
      <w:r>
        <w:rPr>
          <w:rFonts w:ascii="Times New Roman;sans-serif" w:hAnsi="Times New Roman;sans-serif"/>
          <w:b w:val="false"/>
          <w:color w:val="000000"/>
          <w:sz w:val="20"/>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Assets</w:t>
      </w:r>
      <w:r>
        <w:rPr>
          <w:rFonts w:ascii="Times New Roman;sans-serif" w:hAnsi="Times New Roman;sans-serif"/>
          <w:b w:val="false"/>
          <w:color w:val="000000"/>
          <w:sz w:val="20"/>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3.19</w:t>
      </w:r>
      <w:r>
        <w:rPr>
          <w:rFonts w:ascii="Times New Roman;sans-serif" w:hAnsi="Times New Roman;sans-serif"/>
          <w:b/>
          <w:color w:val="000000"/>
          <w:sz w:val="20"/>
          <w:u w:val="single"/>
        </w:rPr>
        <w:t>Transactions with Affiliates.</w:t>
      </w:r>
      <w:r>
        <w:rPr>
          <w:color w:val="000000"/>
        </w:rPr>
        <w:t xml:space="preserve"> </w:t>
      </w:r>
      <w:r>
        <w:rPr>
          <w:rFonts w:ascii="Times New Roman;sans-serif" w:hAnsi="Times New Roman;sans-serif"/>
          <w:b w:val="false"/>
          <w:color w:val="000000"/>
          <w:sz w:val="20"/>
        </w:rPr>
        <w:t>Section 3.19 of the Company Disclosure Schedules sets forth all Contracts between (a) any Group Company, on the one hand, and (b) any employee, officer, director, equityholder or Affiliate of any Group Company or any spouse, child or member of the same house</w:t>
      </w:r>
    </w:p>
    <w:p>
      <w:pPr>
        <w:pStyle w:val="HorizontalLine"/>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422" name="Frame4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hold of any officer, director or employee of any Group Company or any Affiliate of any Group Company, on the other hand (each Person identified in this clause (b), a “</w:t>
      </w:r>
      <w:r>
        <w:rPr>
          <w:rFonts w:ascii="Times New Roman;sans-serif" w:hAnsi="Times New Roman;sans-serif"/>
          <w:b w:val="false"/>
          <w:color w:val="000000"/>
          <w:sz w:val="20"/>
          <w:u w:val="single"/>
        </w:rPr>
        <w:t>Company Affiliated Party</w:t>
      </w:r>
      <w:r>
        <w:rPr>
          <w:color w:val="000000"/>
        </w:rPr>
        <w:t>”</w:t>
      </w:r>
      <w:r>
        <w:rPr>
          <w:rFonts w:ascii="Times New Roman;sans-serif" w:hAnsi="Times New Roman;sans-serif"/>
          <w:b w:val="false"/>
          <w:color w:val="000000"/>
          <w:sz w:val="20"/>
        </w:rPr>
        <w:t xml:space="preserve">),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5.1(b)(i)-(vi)</w:t>
      </w:r>
      <w:r>
        <w:rPr>
          <w:color w:val="000000"/>
        </w:rPr>
        <w:t xml:space="preserve"> </w:t>
      </w:r>
      <w:r>
        <w:rPr>
          <w:rFonts w:ascii="Times New Roman;sans-serif" w:hAnsi="Times New Roman;sans-serif"/>
          <w:b w:val="false"/>
          <w:color w:val="000000"/>
          <w:sz w:val="20"/>
        </w:rPr>
        <w:t xml:space="preserve">of the Company Disclosure Schedules) or entered into in accordance with </w:t>
      </w:r>
      <w:r>
        <w:rPr>
          <w:rFonts w:ascii="Times New Roman;sans-serif" w:hAnsi="Times New Roman;sans-serif"/>
          <w:b w:val="false"/>
          <w:color w:val="000000"/>
          <w:sz w:val="20"/>
          <w:u w:val="single"/>
        </w:rPr>
        <w:t>Section 5.1(b)</w:t>
      </w:r>
      <w:r>
        <w:rPr>
          <w:rFonts w:ascii="Times New Roman;sans-serif" w:hAnsi="Times New Roman;sans-serif"/>
          <w:b w:val="false"/>
          <w:color w:val="000000"/>
          <w:sz w:val="20"/>
        </w:rPr>
        <w:t xml:space="preserve">, (iii) Contracts with respect to a Company Shareholder’s or a holder of Company Equity Award’s status as a holder of Equity Securities of the Company, and (iv) customary director and officer indemnification agreements that have been made available to ARYA.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Times New Roman;sans-serif" w:hAnsi="Times New Roman;sans-serif"/>
          <w:b w:val="false"/>
          <w:color w:val="000000"/>
          <w:sz w:val="20"/>
          <w:u w:val="single"/>
        </w:rPr>
        <w:t>Section 3.19</w:t>
      </w:r>
      <w:r>
        <w:rPr>
          <w:color w:val="000000"/>
        </w:rPr>
        <w:t xml:space="preserve"> </w:t>
      </w:r>
      <w:r>
        <w:rPr>
          <w:rFonts w:ascii="Times New Roman;sans-serif" w:hAnsi="Times New Roman;sans-serif"/>
          <w:b w:val="false"/>
          <w:color w:val="000000"/>
          <w:sz w:val="20"/>
        </w:rPr>
        <w:t xml:space="preserve">(including, for the avoidance of doubt, pursuant to the second sentence of this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 are referred to herein as “</w:t>
      </w:r>
      <w:r>
        <w:rPr>
          <w:rFonts w:ascii="Times New Roman;sans-serif" w:hAnsi="Times New Roman;sans-serif"/>
          <w:b w:val="false"/>
          <w:color w:val="000000"/>
          <w:sz w:val="20"/>
          <w:u w:val="single"/>
        </w:rPr>
        <w:t>Company Affiliated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color w:val="000000"/>
          <w:sz w:val="20"/>
        </w:rPr>
        <w:t>Section 3.20</w:t>
      </w:r>
      <w:r>
        <w:rPr>
          <w:rFonts w:ascii="Times New Roman;sans-serif" w:hAnsi="Times New Roman;sans-serif"/>
          <w:b/>
          <w:color w:val="000000"/>
          <w:sz w:val="20"/>
          <w:u w:val="single"/>
        </w:rPr>
        <w:t>Data Privacy and Security.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 (ii) 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pStyle w:val="TextBody"/>
        <w:spacing w:lineRule="auto" w:line="288" w:before="0" w:after="180"/>
        <w:ind w:left="0" w:right="0" w:firstLine="720"/>
        <w:jc w:val="both"/>
        <w:rPr/>
      </w:pPr>
      <w:r>
        <w:rPr>
          <w:rFonts w:ascii="Times New Roman;sans-serif" w:hAnsi="Times New Roman;sans-serif"/>
          <w:b/>
          <w:color w:val="000000"/>
          <w:sz w:val="20"/>
        </w:rPr>
        <w:t>Section 3.21</w:t>
      </w:r>
      <w:r>
        <w:rPr>
          <w:rFonts w:ascii="Times New Roman;sans-serif" w:hAnsi="Times New Roman;sans-serif"/>
          <w:b/>
          <w:color w:val="000000"/>
          <w:sz w:val="20"/>
          <w:u w:val="single"/>
        </w:rPr>
        <w:t xml:space="preserve">Compliance with International Trade &amp; Anti-Corruption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pStyle w:val="HorizontalLine"/>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423" name="Frame4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pStyle w:val="TextBody"/>
        <w:spacing w:lineRule="auto" w:line="288" w:before="0" w:after="180"/>
        <w:ind w:left="0" w:right="0" w:firstLine="720"/>
        <w:jc w:val="both"/>
        <w:rPr/>
      </w:pPr>
      <w:r>
        <w:rPr>
          <w:rFonts w:ascii="Times New Roman;sans-serif" w:hAnsi="Times New Roman;sans-serif"/>
          <w:b/>
          <w:color w:val="000000"/>
          <w:sz w:val="20"/>
        </w:rPr>
        <w:t>Section 3.22</w:t>
      </w:r>
      <w:r>
        <w:rPr>
          <w:rFonts w:ascii="Times New Roman;sans-serif" w:hAnsi="Times New Roman;sans-serif"/>
          <w:b/>
          <w:color w:val="000000"/>
          <w:sz w:val="20"/>
          <w:u w:val="single"/>
        </w:rPr>
        <w:t>Information Supplied.</w:t>
      </w:r>
      <w:r>
        <w:rPr>
          <w:color w:val="000000"/>
        </w:rPr>
        <w:t xml:space="preserve"> </w:t>
      </w:r>
      <w:r>
        <w:rPr>
          <w:rFonts w:ascii="Times New Roman;sans-serif" w:hAnsi="Times New Roman;sans-serif"/>
          <w:b w:val="false"/>
          <w:color w:val="000000"/>
          <w:sz w:val="20"/>
        </w:rPr>
        <w:t xml:space="preserve">None of the information supplied or to be supplied by or on behalf of the Group Companies expressly 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provisions of this </w:t>
      </w:r>
      <w:r>
        <w:rPr>
          <w:rFonts w:ascii="Times New Roman;sans-serif" w:hAnsi="Times New Roman;sans-serif"/>
          <w:b w:val="false"/>
          <w:color w:val="000000"/>
          <w:sz w:val="20"/>
          <w:u w:val="single"/>
        </w:rPr>
        <w:t>Section 3.22</w:t>
      </w:r>
      <w:r>
        <w:rPr>
          <w:rFonts w:ascii="Times New Roman;sans-serif" w:hAnsi="Times New Roman;sans-serif"/>
          <w:b w:val="false"/>
          <w:color w:val="000000"/>
          <w:sz w:val="20"/>
        </w:rPr>
        <w:t>,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pStyle w:val="TextBody"/>
        <w:spacing w:lineRule="auto" w:line="288" w:before="0" w:after="180"/>
        <w:ind w:left="0" w:right="0" w:firstLine="720"/>
        <w:rPr/>
      </w:pPr>
      <w:r>
        <w:rPr>
          <w:rFonts w:ascii="Times New Roman;sans-serif" w:hAnsi="Times New Roman;sans-serif"/>
          <w:b/>
          <w:color w:val="000000"/>
          <w:sz w:val="20"/>
        </w:rPr>
        <w:t>Section 3.23</w:t>
      </w:r>
      <w:r>
        <w:rPr>
          <w:rFonts w:ascii="Times New Roman;sans-serif" w:hAnsi="Times New Roman;sans-serif"/>
          <w:b/>
          <w:color w:val="000000"/>
          <w:sz w:val="20"/>
          <w:u w:val="single"/>
        </w:rPr>
        <w:t>Regulatory Compliance.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Since January 1, 2018, no Group Company has undergone, or is currently undergoing, any inspection related to any Company Product or any other Governmental Entity investigation under any Public Health Law.</w:t>
      </w:r>
    </w:p>
    <w:p>
      <w:pPr>
        <w:pStyle w:val="TextBody"/>
        <w:spacing w:lineRule="auto" w:line="288" w:before="0" w:after="180"/>
        <w:ind w:left="0" w:right="0" w:firstLine="720"/>
        <w:jc w:val="both"/>
        <w:rPr/>
      </w:pPr>
      <w:r>
        <w:rPr>
          <w:rFonts w:ascii="Times New Roman;sans-serif" w:hAnsi="Times New Roman;sans-serif"/>
          <w:b/>
          <w:color w:val="000000"/>
          <w:sz w:val="20"/>
        </w:rPr>
        <w:t>Section 3.24</w:t>
      </w:r>
      <w:r>
        <w:rPr>
          <w:rFonts w:ascii="Times New Roman;sans-serif" w:hAnsi="Times New Roman;sans-serif"/>
          <w:b/>
          <w:color w:val="000000"/>
          <w:sz w:val="20"/>
          <w:u w:val="single"/>
        </w:rPr>
        <w:t xml:space="preserve">Investigation; No Other Representations.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pStyle w:val="HorizontalLine"/>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424" name="Frame4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color w:val="000000"/>
          <w:sz w:val="20"/>
        </w:rPr>
        <w:t>Section 3.25</w:t>
      </w:r>
      <w:r>
        <w:rPr>
          <w:rFonts w:ascii="Times New Roman;sans-serif" w:hAnsi="Times New Roman;sans-serif"/>
          <w:b/>
          <w:color w:val="000000"/>
          <w:sz w:val="20"/>
          <w:u w:val="single"/>
        </w:rPr>
        <w:t>EXCLUSIVITY OF REPRESENTATIONS AND WARRANTIES.</w:t>
      </w:r>
      <w:r>
        <w:rPr>
          <w:color w:val="000000"/>
        </w:rPr>
        <w:t xml:space="preserve"> </w:t>
      </w:r>
      <w:r>
        <w:rPr>
          <w:rFonts w:ascii="Times New Roman;sans-serif" w:hAnsi="Times New Roman;sans-serif"/>
          <w:b w:val="false"/>
          <w:color w:val="000000"/>
          <w:sz w:val="20"/>
        </w:rPr>
        <w:t xml:space="preserve">NOTWITHSTANDING THE DELIVERY OR DISCLOSURE 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4</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RELATING TO THE ARYA PARTIES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Except (a) as set forth on the ARYA Disclosure Schedules, (which will only qualify the representations and warranties set forth in this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manner set forth in </w:t>
      </w:r>
      <w:r>
        <w:rPr>
          <w:rFonts w:ascii="Times New Roman;sans-serif" w:hAnsi="Times New Roman;sans-serif"/>
          <w:b w:val="false"/>
          <w:color w:val="000000"/>
          <w:sz w:val="20"/>
          <w:u w:val="single"/>
        </w:rPr>
        <w:t>Section 8.8</w:t>
      </w:r>
      <w:r>
        <w:rPr>
          <w:rFonts w:ascii="Times New Roman;sans-serif" w:hAnsi="Times New Roman;sans-serif"/>
          <w:b w:val="false"/>
          <w:color w:val="000000"/>
          <w:sz w:val="20"/>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nothing set forth in or disclosed in the ARYA SEC Reports will qualify, or been deemed to qualify, the representations and warranties set forth in </w:t>
      </w:r>
      <w:r>
        <w:rPr>
          <w:rFonts w:ascii="Times New Roman;sans-serif" w:hAnsi="Times New Roman;sans-serif"/>
          <w:b w:val="false"/>
          <w:color w:val="000000"/>
          <w:sz w:val="20"/>
          <w:u w:val="single"/>
        </w:rPr>
        <w:t>Section 4.6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4.11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4.17</w:t>
      </w:r>
      <w:r>
        <w:rPr>
          <w:rFonts w:ascii="Times New Roman;sans-serif" w:hAnsi="Times New Roman;sans-serif"/>
          <w:b w:val="false"/>
          <w:color w:val="000000"/>
          <w:sz w:val="20"/>
        </w:rPr>
        <w:t>, each ARYA Party hereby represents and warrants to the Company, in each case, as of the date of this Agreement and as of the Closing, as follows:</w:t>
      </w:r>
    </w:p>
    <w:p>
      <w:pPr>
        <w:pStyle w:val="HorizontalLine"/>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425" name="Frame4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4.1</w:t>
      </w:r>
      <w:r>
        <w:rPr>
          <w:rFonts w:ascii="Times New Roman;sans-serif" w:hAnsi="Times New Roman;sans-serif"/>
          <w:b/>
          <w:color w:val="000000"/>
          <w:sz w:val="20"/>
          <w:u w:val="single"/>
        </w:rPr>
        <w:t>Organization and Qualification.</w:t>
      </w:r>
      <w:r>
        <w:rPr>
          <w:color w:val="000000"/>
        </w:rPr>
        <w:t xml:space="preserve"> </w:t>
      </w:r>
      <w:r>
        <w:rPr>
          <w:rFonts w:ascii="Times New Roman;sans-serif" w:hAnsi="Times New Roman;sans-serif"/>
          <w:b w:val="false"/>
          <w:color w:val="000000"/>
          <w:sz w:val="20"/>
        </w:rPr>
        <w:t xml:space="preserve">Each ARYA Party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 </w:t>
      </w:r>
    </w:p>
    <w:p>
      <w:pPr>
        <w:pStyle w:val="TextBody"/>
        <w:spacing w:lineRule="auto" w:line="288" w:before="0" w:after="180"/>
        <w:ind w:left="0" w:right="0" w:firstLine="720"/>
        <w:jc w:val="both"/>
        <w:rPr/>
      </w:pPr>
      <w:r>
        <w:rPr>
          <w:rFonts w:ascii="Times New Roman;sans-serif" w:hAnsi="Times New Roman;sans-serif"/>
          <w:b/>
          <w:color w:val="000000"/>
          <w:sz w:val="20"/>
        </w:rPr>
        <w:t>Section 4.2</w:t>
      </w:r>
      <w:r>
        <w:rPr>
          <w:rFonts w:ascii="Times New Roman;sans-serif" w:hAnsi="Times New Roman;sans-serif"/>
          <w:b/>
          <w:color w:val="000000"/>
          <w:sz w:val="20"/>
          <w:u w:val="single"/>
        </w:rPr>
        <w:t>Authority.</w:t>
      </w:r>
      <w:r>
        <w:rPr>
          <w:color w:val="000000"/>
        </w:rPr>
        <w:t xml:space="preserve"> </w:t>
      </w:r>
      <w:r>
        <w:rPr>
          <w:rFonts w:ascii="Times New Roman;sans-serif" w:hAnsi="Times New Roman;sans-serif"/>
          <w:b w:val="false"/>
          <w:color w:val="000000"/>
          <w:sz w:val="20"/>
        </w:rPr>
        <w:t xml:space="preserve">Each ARYA Party has the requisite exempted company, corporate, limited liability company or other similar power and 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w:t>
      </w:r>
      <w:r>
        <w:rPr>
          <w:rFonts w:ascii="Times New Roman;sans-serif" w:hAnsi="Times New Roman;sans-serif"/>
          <w:b w:val="false"/>
          <w:color w:val="000000"/>
          <w:sz w:val="20"/>
          <w:u w:val="single"/>
        </w:rPr>
        <w:t>Section 5.10</w:t>
      </w:r>
      <w:r>
        <w:rPr>
          <w:color w:val="000000"/>
        </w:rPr>
        <w:t xml:space="preserve"> </w:t>
      </w:r>
      <w:r>
        <w:rPr>
          <w:rFonts w:ascii="Times New Roman;sans-serif" w:hAnsi="Times New Roman;sans-serif"/>
          <w:b w:val="false"/>
          <w:color w:val="000000"/>
          <w:sz w:val="20"/>
        </w:rPr>
        <w:t xml:space="preserve">(which,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w:t>
      </w:r>
      <w:r>
        <w:rPr>
          <w:rFonts w:ascii="Times New Roman;sans-serif" w:hAnsi="Times New Roman;sans-serif"/>
          <w:b w:val="false"/>
          <w:color w:val="000000"/>
          <w:sz w:val="20"/>
          <w:u w:val="single"/>
        </w:rPr>
        <w:t>Section 5.10</w:t>
      </w:r>
      <w:r>
        <w:rPr>
          <w:color w:val="000000"/>
        </w:rPr>
        <w:t xml:space="preserve"> </w:t>
      </w:r>
      <w:r>
        <w:rPr>
          <w:rFonts w:ascii="Times New Roman;sans-serif" w:hAnsi="Times New Roman;sans-serif"/>
          <w:b w:val="false"/>
          <w:color w:val="000000"/>
          <w:sz w:val="20"/>
        </w:rPr>
        <w:t xml:space="preserve">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 </w:t>
      </w:r>
    </w:p>
    <w:p>
      <w:pPr>
        <w:pStyle w:val="TextBody"/>
        <w:spacing w:lineRule="auto" w:line="288" w:before="0" w:after="180"/>
        <w:ind w:left="0" w:right="0" w:firstLine="720"/>
        <w:jc w:val="both"/>
        <w:rPr/>
      </w:pPr>
      <w:r>
        <w:rPr>
          <w:rFonts w:ascii="Times New Roman;sans-serif" w:hAnsi="Times New Roman;sans-serif"/>
          <w:b/>
          <w:color w:val="000000"/>
          <w:sz w:val="20"/>
        </w:rPr>
        <w:t>Section 4.3</w:t>
      </w:r>
      <w:r>
        <w:rPr>
          <w:rFonts w:ascii="Times New Roman;sans-serif" w:hAnsi="Times New Roman;sans-serif"/>
          <w:b/>
          <w:color w:val="000000"/>
          <w:sz w:val="20"/>
          <w:u w:val="single"/>
        </w:rPr>
        <w:t>Consents and Requisite Governmental Approvals; No Violations.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 (v) the filing of the Certificate of Merger, or (vi) any other consents, approvals, authorizations, designations, declarations, waivers or filings, the </w:t>
      </w:r>
    </w:p>
    <w:p>
      <w:pPr>
        <w:pStyle w:val="HorizontalLine"/>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426" name="Frame4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absence of which would not have an ARYA Material Adverse Effect. ARYA is its own ultimate parent entity (as such term is defined in the HSR Act).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above, as would not have an ARYA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4.4</w:t>
      </w:r>
      <w:r>
        <w:rPr>
          <w:rFonts w:ascii="Times New Roman;sans-serif" w:hAnsi="Times New Roman;sans-serif"/>
          <w:b/>
          <w:color w:val="000000"/>
          <w:sz w:val="20"/>
          <w:u w:val="single"/>
        </w:rPr>
        <w:t>Brokers.</w:t>
      </w:r>
      <w:r>
        <w:rPr>
          <w:color w:val="000000"/>
        </w:rPr>
        <w:t xml:space="preserve"> </w:t>
      </w:r>
      <w:r>
        <w:rPr>
          <w:rFonts w:ascii="Times New Roman;sans-serif" w:hAnsi="Times New Roman;sans-serif"/>
          <w:b w:val="false"/>
          <w:color w:val="000000"/>
          <w:sz w:val="20"/>
        </w:rPr>
        <w:t xml:space="preserve">Except for fees (including a good faith estimate of the amounts due and payable assuming the Closing occurs) set forth on </w:t>
      </w:r>
      <w:r>
        <w:rPr>
          <w:rFonts w:ascii="Times New Roman;sans-serif" w:hAnsi="Times New Roman;sans-serif"/>
          <w:b w:val="false"/>
          <w:color w:val="000000"/>
          <w:sz w:val="20"/>
          <w:u w:val="single"/>
        </w:rPr>
        <w:t>Section 4.4</w:t>
      </w:r>
      <w:r>
        <w:rPr>
          <w:color w:val="000000"/>
        </w:rPr>
        <w:t xml:space="preserve"> </w:t>
      </w:r>
      <w:r>
        <w:rPr>
          <w:rFonts w:ascii="Times New Roman;sans-serif" w:hAnsi="Times New Roman;sans-serif"/>
          <w:b w:val="false"/>
          <w:color w:val="000000"/>
          <w:sz w:val="20"/>
        </w:rPr>
        <w:t>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pStyle w:val="TextBody"/>
        <w:spacing w:lineRule="auto" w:line="288" w:before="0" w:after="180"/>
        <w:ind w:left="0" w:right="0" w:firstLine="720"/>
        <w:jc w:val="both"/>
        <w:rPr/>
      </w:pPr>
      <w:r>
        <w:rPr>
          <w:rFonts w:ascii="Times New Roman;sans-serif" w:hAnsi="Times New Roman;sans-serif"/>
          <w:b/>
          <w:color w:val="000000"/>
          <w:sz w:val="20"/>
        </w:rPr>
        <w:t>Section 4.5</w:t>
      </w:r>
      <w:r>
        <w:rPr>
          <w:rFonts w:ascii="Times New Roman;sans-serif" w:hAnsi="Times New Roman;sans-serif"/>
          <w:b/>
          <w:color w:val="000000"/>
          <w:sz w:val="20"/>
          <w:u w:val="single"/>
        </w:rPr>
        <w:t>Information Supplied.</w:t>
      </w:r>
      <w:r>
        <w:rPr>
          <w:color w:val="000000"/>
        </w:rPr>
        <w:t xml:space="preserve"> </w:t>
      </w:r>
      <w:r>
        <w:rPr>
          <w:rFonts w:ascii="Times New Roman;sans-serif" w:hAnsi="Times New Roman;sans-serif"/>
          <w:b w:val="false"/>
          <w:color w:val="000000"/>
          <w:sz w:val="20"/>
        </w:rPr>
        <w:t xml:space="preserve">None of the information supplied or to be supplied by or on behalf of either ARYA Party expressly 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provisions of this </w:t>
      </w:r>
      <w:r>
        <w:rPr>
          <w:rFonts w:ascii="Times New Roman;sans-serif" w:hAnsi="Times New Roman;sans-serif"/>
          <w:b w:val="false"/>
          <w:color w:val="000000"/>
          <w:sz w:val="20"/>
          <w:u w:val="single"/>
        </w:rPr>
        <w:t>Section 4.5</w:t>
      </w:r>
      <w:r>
        <w:rPr>
          <w:rFonts w:ascii="Times New Roman;sans-serif" w:hAnsi="Times New Roman;sans-serif"/>
          <w:b w:val="false"/>
          <w:color w:val="000000"/>
          <w:sz w:val="20"/>
        </w:rPr>
        <w:t>, no representation or warranty is made by either ARYA Party with respect to information or statements made or incorporated by reference in the Registration Statement / Proxy Statement that were not supplied by or on behalf of the ARYA Parties for use therein.</w:t>
      </w:r>
    </w:p>
    <w:p>
      <w:pPr>
        <w:pStyle w:val="TextBody"/>
        <w:spacing w:lineRule="auto" w:line="288" w:before="0" w:after="180"/>
        <w:ind w:left="0" w:right="0" w:firstLine="720"/>
        <w:jc w:val="both"/>
        <w:rPr/>
      </w:pPr>
      <w:r>
        <w:rPr>
          <w:rFonts w:ascii="Times New Roman;sans-serif" w:hAnsi="Times New Roman;sans-serif"/>
          <w:b/>
          <w:color w:val="000000"/>
          <w:sz w:val="20"/>
        </w:rPr>
        <w:t>Section 4.6</w:t>
      </w:r>
      <w:r>
        <w:rPr>
          <w:rFonts w:ascii="Times New Roman;sans-serif" w:hAnsi="Times New Roman;sans-serif"/>
          <w:b/>
          <w:color w:val="000000"/>
          <w:sz w:val="20"/>
          <w:u w:val="single"/>
        </w:rPr>
        <w:t>Capitalization of the ARYA Parties.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 xml:space="preserve">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pStyle w:val="HorizontalLine"/>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427" name="Frame4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Times New Roman;sans-serif" w:hAnsi="Times New Roman;sans-serif"/>
          <w:b w:val="false"/>
          <w:color w:val="000000"/>
          <w:sz w:val="20"/>
          <w:u w:val="single"/>
        </w:rPr>
        <w:t>Section 2.3(a)</w:t>
      </w:r>
      <w:r>
        <w:rPr>
          <w:color w:val="000000"/>
        </w:rPr>
        <w:t xml:space="preserve"> </w:t>
      </w:r>
      <w:r>
        <w:rPr>
          <w:rFonts w:ascii="Times New Roman;sans-serif" w:hAnsi="Times New Roman;sans-serif"/>
          <w:b w:val="false"/>
          <w:color w:val="000000"/>
          <w:sz w:val="20"/>
        </w:rPr>
        <w:t xml:space="preserve">and the Company has complied in all respects with </w:t>
      </w:r>
      <w:r>
        <w:rPr>
          <w:rFonts w:ascii="Times New Roman;sans-serif" w:hAnsi="Times New Roman;sans-serif"/>
          <w:b w:val="false"/>
          <w:color w:val="000000"/>
          <w:sz w:val="20"/>
          <w:u w:val="single"/>
        </w:rPr>
        <w:t>Section 2.4(d)</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and (B) other than the Rollover Options, any Equity Securities either permitted to be issued or granted pursuant to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of the ARYA Disclosure Schedules or in accordance with Section 5.11(h))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Except (w) as set forth on </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 xml:space="preserve">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of the ARYA Disclosure Schedules) in accordance with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pStyle w:val="HorizontalLine"/>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428" name="Frame4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pStyle w:val="TextBody"/>
        <w:spacing w:lineRule="auto" w:line="288" w:before="0" w:after="180"/>
        <w:ind w:left="0" w:right="0" w:firstLine="720"/>
        <w:jc w:val="both"/>
        <w:rPr/>
      </w:pPr>
      <w:r>
        <w:rPr>
          <w:rFonts w:ascii="Times New Roman;sans-serif" w:hAnsi="Times New Roman;sans-serif"/>
          <w:b/>
          <w:color w:val="000000"/>
          <w:sz w:val="20"/>
        </w:rPr>
        <w:t>Section 4.7</w:t>
      </w:r>
      <w:r>
        <w:rPr>
          <w:rFonts w:ascii="Times New Roman;sans-serif" w:hAnsi="Times New Roman;sans-serif"/>
          <w:b/>
          <w:color w:val="000000"/>
          <w:sz w:val="20"/>
          <w:u w:val="single"/>
        </w:rPr>
        <w:t>SEC Filings.</w:t>
      </w:r>
      <w:r>
        <w:rPr>
          <w:color w:val="000000"/>
        </w:rPr>
        <w:t xml:space="preserve"> </w:t>
      </w:r>
      <w:r>
        <w:rPr>
          <w:rFonts w:ascii="Times New Roman;sans-serif" w:hAnsi="Times New Roman;sans-serif"/>
          <w:b w:val="false"/>
          <w:color w:val="000000"/>
          <w:sz w:val="20"/>
        </w:rPr>
        <w:t>ARYA has timely filed or furnished all statements, forms, reports and documents required to be filed or furnished 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Times New Roman;sans-serif" w:hAnsi="Times New Roman;sans-serif"/>
          <w:b w:val="false"/>
          <w:color w:val="000000"/>
          <w:sz w:val="20"/>
          <w:u w:val="single"/>
        </w:rPr>
        <w:t>ARYA SEC Reports</w:t>
      </w:r>
      <w:r>
        <w:rPr>
          <w:color w:val="000000"/>
        </w:rPr>
        <w:t>”</w:t>
      </w:r>
      <w:r>
        <w:rPr>
          <w:rFonts w:ascii="Times New Roman;sans-serif" w:hAnsi="Times New Roman;sans-serif"/>
          <w:b w:val="false"/>
          <w:color w:val="000000"/>
          <w:sz w:val="20"/>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Times New Roman;sans-serif" w:hAnsi="Times New Roman;sans-serif"/>
          <w:b w:val="false"/>
          <w:color w:val="000000"/>
          <w:sz w:val="20"/>
          <w:u w:val="single"/>
        </w:rPr>
        <w:t>Additional ARYA SEC Reports</w:t>
      </w:r>
      <w:r>
        <w:rPr>
          <w:color w:val="000000"/>
        </w:rPr>
        <w:t>”</w:t>
      </w:r>
      <w:r>
        <w:rPr>
          <w:rFonts w:ascii="Times New Roman;sans-serif" w:hAnsi="Times New Roman;sans-serif"/>
          <w:b w:val="false"/>
          <w:color w:val="000000"/>
          <w:sz w:val="20"/>
        </w:rPr>
        <w:t xml:space="preserve">).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 xml:space="preserve">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 xml:space="preserve">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 </w:t>
      </w:r>
    </w:p>
    <w:p>
      <w:pPr>
        <w:pStyle w:val="TextBody"/>
        <w:spacing w:lineRule="auto" w:line="288" w:before="0" w:after="180"/>
        <w:ind w:left="0" w:right="0" w:firstLine="720"/>
        <w:jc w:val="both"/>
        <w:rPr/>
      </w:pPr>
      <w:r>
        <w:rPr>
          <w:rFonts w:ascii="Times New Roman;sans-serif" w:hAnsi="Times New Roman;sans-serif"/>
          <w:b/>
          <w:color w:val="000000"/>
          <w:sz w:val="20"/>
        </w:rPr>
        <w:t>Section 4.8</w:t>
      </w:r>
      <w:r>
        <w:rPr>
          <w:rFonts w:ascii="Times New Roman;sans-serif" w:hAnsi="Times New Roman;sans-serif"/>
          <w:b/>
          <w:color w:val="000000"/>
          <w:sz w:val="20"/>
          <w:u w:val="single"/>
        </w:rPr>
        <w:t>Absence of Changes.</w:t>
      </w:r>
      <w:r>
        <w:rPr>
          <w:color w:val="000000"/>
        </w:rPr>
        <w:t xml:space="preserve"> </w:t>
      </w:r>
      <w:r>
        <w:rPr>
          <w:rFonts w:ascii="Times New Roman;sans-serif" w:hAnsi="Times New Roman;sans-serif"/>
          <w:b w:val="false"/>
          <w:color w:val="000000"/>
          <w:sz w:val="20"/>
        </w:rPr>
        <w:t xml:space="preserve">During the period beginning on March 27, 2020 and ending on the date of this Agreement, no ARYA Material Adverse Effect has occurred. </w:t>
      </w:r>
    </w:p>
    <w:p>
      <w:pPr>
        <w:pStyle w:val="TextBody"/>
        <w:spacing w:lineRule="auto" w:line="288" w:before="0" w:after="180"/>
        <w:ind w:left="0" w:right="0" w:firstLine="720"/>
        <w:rPr/>
      </w:pPr>
      <w:r>
        <w:rPr>
          <w:rFonts w:ascii="Times New Roman;sans-serif" w:hAnsi="Times New Roman;sans-serif"/>
          <w:b/>
          <w:color w:val="000000"/>
          <w:sz w:val="20"/>
        </w:rPr>
        <w:t>Section 4.9</w:t>
      </w:r>
      <w:r>
        <w:rPr>
          <w:rFonts w:ascii="Times New Roman;sans-serif" w:hAnsi="Times New Roman;sans-serif"/>
          <w:b/>
          <w:color w:val="000000"/>
          <w:sz w:val="20"/>
          <w:u w:val="single"/>
        </w:rPr>
        <w:t>Contracts; No Defaults.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4.9(a)</w:t>
      </w:r>
      <w:r>
        <w:rPr>
          <w:color w:val="000000"/>
        </w:rPr>
        <w:t xml:space="preserve"> </w:t>
      </w:r>
      <w:r>
        <w:rPr>
          <w:rFonts w:ascii="Times New Roman;sans-serif" w:hAnsi="Times New Roman;sans-serif"/>
          <w:b w:val="false"/>
          <w:color w:val="000000"/>
          <w:sz w:val="20"/>
        </w:rPr>
        <w:t>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Contract of a type required to be listed on </w:t>
      </w:r>
      <w:r>
        <w:rPr>
          <w:rFonts w:ascii="Times New Roman;sans-serif" w:hAnsi="Times New Roman;sans-serif"/>
          <w:b w:val="false"/>
          <w:color w:val="000000"/>
          <w:sz w:val="20"/>
          <w:u w:val="single"/>
        </w:rPr>
        <w:t>Section 4.9(a)</w:t>
      </w:r>
      <w:r>
        <w:rPr>
          <w:color w:val="000000"/>
        </w:rPr>
        <w:t xml:space="preserve"> </w:t>
      </w:r>
      <w:r>
        <w:rPr>
          <w:rFonts w:ascii="Times New Roman;sans-serif" w:hAnsi="Times New Roman;sans-serif"/>
          <w:b w:val="false"/>
          <w:color w:val="000000"/>
          <w:sz w:val="20"/>
        </w:rPr>
        <w:t>of the ARYA Disclosure Schedules (each, an “</w:t>
      </w:r>
      <w:r>
        <w:rPr>
          <w:rFonts w:ascii="Times New Roman;sans-serif" w:hAnsi="Times New Roman;sans-serif"/>
          <w:b w:val="false"/>
          <w:color w:val="000000"/>
          <w:sz w:val="20"/>
          <w:u w:val="single"/>
        </w:rPr>
        <w:t>ARYA Material Contract</w:t>
      </w:r>
      <w:r>
        <w:rPr>
          <w:color w:val="000000"/>
        </w:rPr>
        <w:t>”</w:t>
      </w:r>
      <w:r>
        <w:rPr>
          <w:rFonts w:ascii="Times New Roman;sans-serif" w:hAnsi="Times New Roman;sans-serif"/>
          <w:b w:val="false"/>
          <w:color w:val="000000"/>
          <w:sz w:val="20"/>
        </w:rPr>
        <w:t>), (i) 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pStyle w:val="HorizontalLine"/>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429" name="Frame4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4.10</w:t>
      </w:r>
      <w:r>
        <w:rPr>
          <w:rFonts w:ascii="Times New Roman;sans-serif" w:hAnsi="Times New Roman;sans-serif"/>
          <w:b/>
          <w:color w:val="000000"/>
          <w:sz w:val="20"/>
          <w:u w:val="single"/>
        </w:rPr>
        <w:t>Investment Company Act.</w:t>
      </w:r>
      <w:r>
        <w:rPr>
          <w:color w:val="000000"/>
        </w:rPr>
        <w:t xml:space="preserve"> </w:t>
      </w:r>
      <w:r>
        <w:rPr>
          <w:rFonts w:ascii="Times New Roman;sans-serif" w:hAnsi="Times New Roman;sans-serif"/>
          <w:b w:val="false"/>
          <w:color w:val="000000"/>
          <w:sz w:val="20"/>
        </w:rPr>
        <w:t>No ARYA Party is an “investment company” within the meaning of the Investment Company Act.</w:t>
      </w:r>
    </w:p>
    <w:p>
      <w:pPr>
        <w:pStyle w:val="TextBody"/>
        <w:spacing w:lineRule="auto" w:line="288" w:before="0" w:after="180"/>
        <w:ind w:left="0" w:right="0" w:firstLine="720"/>
        <w:jc w:val="both"/>
        <w:rPr/>
      </w:pPr>
      <w:r>
        <w:rPr>
          <w:rFonts w:ascii="Times New Roman;sans-serif" w:hAnsi="Times New Roman;sans-serif"/>
          <w:b/>
          <w:color w:val="000000"/>
          <w:sz w:val="20"/>
        </w:rPr>
        <w:t>Section 4.11</w:t>
      </w:r>
      <w:r>
        <w:rPr>
          <w:rFonts w:ascii="Times New Roman;sans-serif" w:hAnsi="Times New Roman;sans-serif"/>
          <w:b/>
          <w:color w:val="000000"/>
          <w:sz w:val="20"/>
          <w:u w:val="single"/>
        </w:rPr>
        <w:t>Trust Account; Financial Ability.</w:t>
      </w:r>
      <w:r>
        <w:rPr>
          <w:color w:val="000000"/>
        </w:rPr>
        <w:t xml:space="preserve"> </w:t>
      </w:r>
      <w:r>
        <w:rPr>
          <w:rFonts w:ascii="Times New Roman;sans-serif" w:hAnsi="Times New Roman;sans-serif"/>
          <w:b w:val="false"/>
          <w:color w:val="000000"/>
          <w:sz w:val="20"/>
        </w:rPr>
        <w:t>As of the date of this Agreement, ARYA has an amount in cash in the Trust Account equal to at 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w:t>
      </w:r>
      <w:r>
        <w:rPr>
          <w:rFonts w:ascii="Times New Roman;sans-serif" w:hAnsi="Times New Roman;sans-serif"/>
          <w:b w:val="false"/>
          <w:color w:val="000000"/>
          <w:sz w:val="20"/>
          <w:u w:val="single"/>
        </w:rPr>
        <w:t>Trust Agreement</w:t>
      </w:r>
      <w:r>
        <w:rPr>
          <w:color w:val="000000"/>
        </w:rPr>
        <w:t>”</w:t>
      </w:r>
      <w:r>
        <w:rPr>
          <w:rFonts w:ascii="Times New Roman;sans-serif" w:hAnsi="Times New Roman;sans-serif"/>
          <w:b w:val="false"/>
          <w:color w:val="000000"/>
          <w:sz w:val="20"/>
        </w:rPr>
        <w:t>), between ARYA and Continental Stock Transfer &amp; Trust Company, as trustee (the “</w:t>
      </w:r>
      <w:r>
        <w:rPr>
          <w:rFonts w:ascii="Times New Roman;sans-serif" w:hAnsi="Times New Roman;sans-serif"/>
          <w:b w:val="false"/>
          <w:color w:val="000000"/>
          <w:sz w:val="20"/>
          <w:u w:val="single"/>
        </w:rPr>
        <w:t>Trustee</w:t>
      </w:r>
      <w:r>
        <w:rPr>
          <w:color w:val="000000"/>
        </w:rPr>
        <w:t>”</w:t>
      </w:r>
      <w:r>
        <w:rPr>
          <w:rFonts w:ascii="Times New Roman;sans-serif" w:hAnsi="Times New Roman;sans-serif"/>
          <w:b w:val="false"/>
          <w:color w:val="000000"/>
          <w:sz w:val="20"/>
        </w:rPr>
        <w:t>).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pStyle w:val="TextBody"/>
        <w:spacing w:lineRule="auto" w:line="288" w:before="0" w:after="180"/>
        <w:ind w:left="0" w:right="0" w:firstLine="720"/>
        <w:jc w:val="both"/>
        <w:rPr/>
      </w:pPr>
      <w:r>
        <w:rPr>
          <w:rFonts w:ascii="Times New Roman;sans-serif" w:hAnsi="Times New Roman;sans-serif"/>
          <w:b/>
          <w:color w:val="000000"/>
          <w:sz w:val="20"/>
        </w:rPr>
        <w:t>Section 4.12</w:t>
      </w:r>
      <w:r>
        <w:rPr>
          <w:rFonts w:ascii="Times New Roman;sans-serif" w:hAnsi="Times New Roman;sans-serif"/>
          <w:b/>
          <w:color w:val="000000"/>
          <w:sz w:val="20"/>
          <w:u w:val="single"/>
        </w:rPr>
        <w:t>Transactions with Affiliates.</w:t>
      </w:r>
      <w:r>
        <w:rPr>
          <w:color w:val="000000"/>
        </w:rPr>
        <w:t xml:space="preserve"> </w:t>
      </w:r>
      <w:r>
        <w:rPr>
          <w:rFonts w:ascii="Times New Roman;sans-serif" w:hAnsi="Times New Roman;sans-serif"/>
          <w:b w:val="false"/>
          <w:color w:val="000000"/>
          <w:sz w:val="20"/>
          <w:u w:val="single"/>
        </w:rPr>
        <w:t>Section 4.12</w:t>
      </w:r>
      <w:r>
        <w:rPr>
          <w:color w:val="000000"/>
        </w:rPr>
        <w:t xml:space="preserve"> </w:t>
      </w:r>
      <w:r>
        <w:rPr>
          <w:rFonts w:ascii="Times New Roman;sans-serif" w:hAnsi="Times New Roman;sans-serif"/>
          <w:b w:val="false"/>
          <w:color w:val="000000"/>
          <w:sz w:val="20"/>
        </w:rPr>
        <w:t>of the ARYA Disclosure Schedules sets forth all Contracts between (a) ARYA, on the one 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w:t>
      </w:r>
      <w:r>
        <w:rPr>
          <w:rFonts w:ascii="Times New Roman;sans-serif" w:hAnsi="Times New Roman;sans-serif"/>
          <w:b w:val="false"/>
          <w:color w:val="000000"/>
          <w:sz w:val="20"/>
          <w:u w:val="single"/>
        </w:rPr>
        <w:t>ARYA Affiliated Party</w:t>
      </w:r>
      <w:r>
        <w:rPr>
          <w:color w:val="000000"/>
        </w:rPr>
        <w:t>”</w:t>
      </w:r>
      <w:r>
        <w:rPr>
          <w:rFonts w:ascii="Times New Roman;sans-serif" w:hAnsi="Times New Roman;sans-serif"/>
          <w:b w:val="false"/>
          <w:color w:val="000000"/>
          <w:sz w:val="20"/>
        </w:rPr>
        <w:t xml:space="preserve">),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5.11(a)-(r)</w:t>
      </w:r>
      <w:r>
        <w:rPr>
          <w:color w:val="000000"/>
        </w:rPr>
        <w:t xml:space="preserve"> </w:t>
      </w:r>
      <w:r>
        <w:rPr>
          <w:rFonts w:ascii="Times New Roman;sans-serif" w:hAnsi="Times New Roman;sans-serif"/>
          <w:b w:val="false"/>
          <w:color w:val="000000"/>
          <w:sz w:val="20"/>
        </w:rPr>
        <w:t xml:space="preserve">of the ARYA Disclosure Schedules) or entered into in accordance with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 xml:space="preserve">, (iii) Contracts with respect to a Person’s status as a holder of ARYA Shares and (iv) 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w:t>
      </w:r>
      <w:r>
        <w:rPr>
          <w:rFonts w:ascii="Times New Roman;sans-serif" w:hAnsi="Times New Roman;sans-serif"/>
          <w:b w:val="false"/>
          <w:color w:val="000000"/>
          <w:sz w:val="20"/>
          <w:u w:val="single"/>
        </w:rPr>
        <w:t>Section 4.12</w:t>
      </w:r>
      <w:r>
        <w:rPr>
          <w:color w:val="000000"/>
        </w:rPr>
        <w:t xml:space="preserve"> </w:t>
      </w:r>
      <w:r>
        <w:rPr>
          <w:rFonts w:ascii="Times New Roman;sans-serif" w:hAnsi="Times New Roman;sans-serif"/>
          <w:b w:val="false"/>
          <w:color w:val="000000"/>
          <w:sz w:val="20"/>
        </w:rPr>
        <w:t xml:space="preserve">(including, for the avoidance of doubt, pursuant to the second sentence of this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 are referred to herein as “</w:t>
      </w:r>
      <w:r>
        <w:rPr>
          <w:rFonts w:ascii="Times New Roman;sans-serif" w:hAnsi="Times New Roman;sans-serif"/>
          <w:b w:val="false"/>
          <w:color w:val="000000"/>
          <w:sz w:val="20"/>
          <w:u w:val="single"/>
        </w:rPr>
        <w:t>ARYA Affiliated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4.13</w:t>
      </w:r>
      <w:r>
        <w:rPr>
          <w:rFonts w:ascii="Times New Roman;sans-serif" w:hAnsi="Times New Roman;sans-serif"/>
          <w:b/>
          <w:color w:val="000000"/>
          <w:sz w:val="20"/>
          <w:u w:val="single"/>
        </w:rPr>
        <w:t>Litigation.</w:t>
      </w:r>
      <w:r>
        <w:rPr>
          <w:color w:val="000000"/>
        </w:rPr>
        <w:t xml:space="preserve"> </w:t>
      </w:r>
      <w:r>
        <w:rPr>
          <w:rFonts w:ascii="Times New Roman;sans-serif" w:hAnsi="Times New Roman;sans-serif"/>
          <w:b w:val="false"/>
          <w:color w:val="000000"/>
          <w:sz w:val="20"/>
        </w:rPr>
        <w:t xml:space="preserve">There is (and since its organization, incorporation or formation, as applicable, there has been) no Proceeding by any counterparty not a Party hereto, pending or, to ARYA’s knowledge, threatened </w:t>
      </w:r>
    </w:p>
    <w:p>
      <w:pPr>
        <w:pStyle w:val="HorizontalLine"/>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30" name="Frame4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pStyle w:val="TextBody"/>
        <w:spacing w:lineRule="auto" w:line="288" w:before="0" w:after="180"/>
        <w:ind w:left="0" w:right="0" w:firstLine="720"/>
        <w:jc w:val="both"/>
        <w:rPr/>
      </w:pPr>
      <w:r>
        <w:rPr>
          <w:rFonts w:ascii="Times New Roman;sans-serif" w:hAnsi="Times New Roman;sans-serif"/>
          <w:b/>
          <w:color w:val="000000"/>
          <w:sz w:val="20"/>
        </w:rPr>
        <w:t>Section 4.14</w:t>
      </w:r>
      <w:r>
        <w:rPr>
          <w:rFonts w:ascii="Times New Roman;sans-serif" w:hAnsi="Times New Roman;sans-serif"/>
          <w:b/>
          <w:color w:val="000000"/>
          <w:sz w:val="20"/>
          <w:u w:val="single"/>
        </w:rPr>
        <w:t>Compliance with Applicable Law</w:t>
      </w:r>
      <w:r>
        <w:rPr>
          <w:rFonts w:ascii="Times New Roman;sans-serif" w:hAnsi="Times New Roman;sans-serif"/>
          <w:b w:val="false"/>
          <w:color w:val="000000"/>
          <w:sz w:val="20"/>
        </w:rPr>
        <w:t>. Each ARYA Party (a) is (and since its organization, incorporation or formation, as applicable, 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4.15</w:t>
      </w:r>
      <w:r>
        <w:rPr>
          <w:rFonts w:ascii="Times New Roman;sans-serif" w:hAnsi="Times New Roman;sans-serif"/>
          <w:b/>
          <w:color w:val="000000"/>
          <w:sz w:val="20"/>
          <w:u w:val="single"/>
        </w:rPr>
        <w:t>ARYA Party Activities.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pStyle w:val="TextBody"/>
        <w:spacing w:lineRule="auto" w:line="288" w:before="0" w:after="180"/>
        <w:ind w:left="0" w:right="0" w:firstLine="720"/>
        <w:jc w:val="both"/>
        <w:rPr/>
      </w:pPr>
      <w:r>
        <w:rPr>
          <w:rFonts w:ascii="Times New Roman;sans-serif" w:hAnsi="Times New Roman;sans-serif"/>
          <w:b/>
          <w:color w:val="000000"/>
          <w:sz w:val="20"/>
        </w:rPr>
        <w:t xml:space="preserve">Section 4.16 </w:t>
      </w:r>
      <w:r>
        <w:rPr>
          <w:rFonts w:ascii="Times New Roman;sans-serif" w:hAnsi="Times New Roman;sans-serif"/>
          <w:b/>
          <w:color w:val="000000"/>
          <w:sz w:val="20"/>
          <w:u w:val="single"/>
        </w:rPr>
        <w:t>Internal Controls; Listing; Financial Statements.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has not taken any action prohibited by Section 402 of the Sarbanes-Oxley Act. There are no outstanding loans or other extensions of credit made by ARYA to any executive officer (as defined in Rule 3b-7 under the Exchange Act) or director of ARYA.</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Since its initial public offering, except as set forth on </w:t>
      </w:r>
      <w:r>
        <w:rPr>
          <w:rFonts w:ascii="Times New Roman;sans-serif" w:hAnsi="Times New Roman;sans-serif"/>
          <w:b w:val="false"/>
          <w:color w:val="000000"/>
          <w:sz w:val="20"/>
          <w:u w:val="single"/>
        </w:rPr>
        <w:t>Section 4.16(c)</w:t>
      </w:r>
      <w:r>
        <w:rPr>
          <w:color w:val="000000"/>
        </w:rPr>
        <w:t xml:space="preserve"> </w:t>
      </w:r>
      <w:r>
        <w:rPr>
          <w:rFonts w:ascii="Times New Roman;sans-serif" w:hAnsi="Times New Roman;sans-serif"/>
          <w:b w:val="false"/>
          <w:color w:val="000000"/>
          <w:sz w:val="20"/>
        </w:rPr>
        <w:t xml:space="preserve">of the ARYA Disclosure Schedules, ARYA has complied in all material respects with all applicable listing and corporate </w:t>
      </w:r>
    </w:p>
    <w:p>
      <w:pPr>
        <w:pStyle w:val="HorizontalLine"/>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31" name="Frame4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 (iii) fraud, whether or not material, that involves management or other employees of ARYA who have a significant role in the internal controls over financial reporting of ARYA.</w:t>
      </w:r>
    </w:p>
    <w:p>
      <w:pPr>
        <w:pStyle w:val="TextBody"/>
        <w:spacing w:lineRule="auto" w:line="288" w:before="0" w:after="180"/>
        <w:ind w:left="0" w:right="0" w:firstLine="720"/>
        <w:rPr/>
      </w:pPr>
      <w:r>
        <w:rPr>
          <w:rFonts w:ascii="Times New Roman;sans-serif" w:hAnsi="Times New Roman;sans-serif"/>
          <w:b/>
          <w:color w:val="000000"/>
          <w:sz w:val="20"/>
        </w:rPr>
        <w:t>Section 4.17</w:t>
      </w:r>
      <w:r>
        <w:rPr>
          <w:rFonts w:ascii="Times New Roman;sans-serif" w:hAnsi="Times New Roman;sans-serif"/>
          <w:b/>
          <w:color w:val="000000"/>
          <w:sz w:val="20"/>
          <w:u w:val="single"/>
        </w:rPr>
        <w:t>No Undisclosed Liabilities.</w:t>
      </w:r>
      <w:r>
        <w:rPr>
          <w:color w:val="000000"/>
        </w:rPr>
        <w:t xml:space="preserve"> </w:t>
      </w:r>
      <w:r>
        <w:rPr>
          <w:rFonts w:ascii="Times New Roman;sans-serif" w:hAnsi="Times New Roman;sans-serif"/>
          <w:b w:val="false"/>
          <w:color w:val="000000"/>
          <w:sz w:val="20"/>
        </w:rPr>
        <w:t xml:space="preserve">Except for the Liabilities (a) set forth in </w:t>
      </w:r>
      <w:r>
        <w:rPr>
          <w:rFonts w:ascii="Times New Roman;sans-serif" w:hAnsi="Times New Roman;sans-serif"/>
          <w:b w:val="false"/>
          <w:color w:val="000000"/>
          <w:sz w:val="20"/>
          <w:u w:val="single"/>
        </w:rPr>
        <w:t>Section 4.17</w:t>
      </w:r>
      <w:r>
        <w:rPr>
          <w:color w:val="000000"/>
        </w:rPr>
        <w:t xml:space="preserve"> </w:t>
      </w:r>
      <w:r>
        <w:rPr>
          <w:rFonts w:ascii="Times New Roman;sans-serif" w:hAnsi="Times New Roman;sans-serif"/>
          <w:b w:val="false"/>
          <w:color w:val="000000"/>
          <w:sz w:val="20"/>
        </w:rPr>
        <w:t xml:space="preserve">of the ARYA Disclosure Schedules, (b) ARYA 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Times New Roman;sans-serif" w:hAnsi="Times New Roman;sans-serif"/>
          <w:b w:val="false"/>
          <w:color w:val="000000"/>
          <w:sz w:val="20"/>
          <w:u w:val="single"/>
        </w:rPr>
        <w:t>Section 4.17</w:t>
      </w:r>
      <w:r>
        <w:rPr>
          <w:color w:val="000000"/>
        </w:rPr>
        <w:t xml:space="preserve"> </w:t>
      </w:r>
      <w:r>
        <w:rPr>
          <w:rFonts w:ascii="Times New Roman;sans-serif" w:hAnsi="Times New Roman;sans-serif"/>
          <w:b w:val="false"/>
          <w:color w:val="000000"/>
          <w:sz w:val="20"/>
        </w:rPr>
        <w:t>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 (e) set forth on (or in the notes to) the balance sheet of ARYA contained in the Quarterly Report on Form 10-Q, filed with the SEC on November 13, 2020 (the “</w:t>
      </w:r>
      <w:r>
        <w:rPr>
          <w:rFonts w:ascii="Times New Roman;sans-serif" w:hAnsi="Times New Roman;sans-serif"/>
          <w:b w:val="false"/>
          <w:color w:val="000000"/>
          <w:sz w:val="20"/>
          <w:u w:val="single"/>
        </w:rPr>
        <w:t>Latest ARYA Balance Sheet</w:t>
      </w:r>
      <w:r>
        <w:rPr>
          <w:color w:val="000000"/>
        </w:rPr>
        <w:t>”</w:t>
      </w:r>
      <w:r>
        <w:rPr>
          <w:rFonts w:ascii="Times New Roman;sans-serif" w:hAnsi="Times New Roman;sans-serif"/>
          <w:b w:val="false"/>
          <w:color w:val="000000"/>
          <w:sz w:val="20"/>
        </w:rPr>
        <w:t xml:space="preserve">),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Times New Roman;sans-serif" w:hAnsi="Times New Roman;sans-serif"/>
          <w:b w:val="false"/>
          <w:color w:val="000000"/>
          <w:sz w:val="20"/>
          <w:u w:val="single"/>
        </w:rPr>
        <w:t xml:space="preserve">Section 5.11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5.11(a)-(r)</w:t>
      </w:r>
      <w:r>
        <w:rPr>
          <w:color w:val="000000"/>
        </w:rPr>
        <w:t xml:space="preserve"> </w:t>
      </w:r>
      <w:r>
        <w:rPr>
          <w:rFonts w:ascii="Times New Roman;sans-serif" w:hAnsi="Times New Roman;sans-serif"/>
          <w:b w:val="false"/>
          <w:color w:val="000000"/>
          <w:sz w:val="20"/>
        </w:rPr>
        <w:t xml:space="preserve">of the ARYA Disclosure Schedules), or incurred in accordance with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or (h) that are not, and would not reasonably be expected to be, individually or in the aggregate, material to the ARYA Parties, taken as a whole, the ARYA Parties do not have any Liabilities.</w:t>
      </w:r>
    </w:p>
    <w:p>
      <w:pPr>
        <w:pStyle w:val="TextBody"/>
        <w:spacing w:lineRule="auto" w:line="288" w:before="0" w:after="180"/>
        <w:ind w:left="0" w:right="0" w:firstLine="720"/>
        <w:jc w:val="both"/>
        <w:rPr/>
      </w:pPr>
      <w:r>
        <w:rPr>
          <w:rFonts w:ascii="Times New Roman;sans-serif" w:hAnsi="Times New Roman;sans-serif"/>
          <w:b/>
          <w:color w:val="000000"/>
          <w:sz w:val="20"/>
        </w:rPr>
        <w:t>Section 4.18</w:t>
      </w:r>
      <w:r>
        <w:rPr>
          <w:rFonts w:ascii="Times New Roman;sans-serif" w:hAnsi="Times New Roman;sans-serif"/>
          <w:b/>
          <w:color w:val="000000"/>
          <w:sz w:val="20"/>
          <w:u w:val="single"/>
        </w:rPr>
        <w:t>Employees.</w:t>
      </w:r>
      <w:r>
        <w:rPr>
          <w:color w:val="000000"/>
        </w:rPr>
        <w:t xml:space="preserve"> </w:t>
      </w:r>
      <w:r>
        <w:rPr>
          <w:rFonts w:ascii="Times New Roman;sans-serif" w:hAnsi="Times New Roman;sans-serif"/>
          <w:b w:val="false"/>
          <w:color w:val="000000"/>
          <w:sz w:val="20"/>
        </w:rPr>
        <w:t xml:space="preserve">Other than any officers as described in the ARYA SEC Reports, ARYA and Merger Sub have never employed any employees or retained any contractors. ARYA and Merger Sub have never </w:t>
      </w:r>
    </w:p>
    <w:p>
      <w:pPr>
        <w:pStyle w:val="HorizontalLine"/>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432" name="Frame4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409A(a)(1)(B) of the Code. There is no contract, agreement, plan or arrangement to which ARYA or Merger Sub is a party which requires payment by any party of a Tax gross-up or Tax reimbursement payment to any person, including under Section 4999 or 409A of the Code.</w:t>
      </w:r>
    </w:p>
    <w:p>
      <w:pPr>
        <w:pStyle w:val="TextBody"/>
        <w:spacing w:lineRule="auto" w:line="288" w:before="0" w:after="180"/>
        <w:ind w:left="0" w:right="0" w:firstLine="720"/>
        <w:jc w:val="both"/>
        <w:rPr/>
      </w:pPr>
      <w:r>
        <w:rPr>
          <w:rFonts w:ascii="Times New Roman;sans-serif" w:hAnsi="Times New Roman;sans-serif"/>
          <w:b/>
          <w:color w:val="000000"/>
          <w:sz w:val="20"/>
        </w:rPr>
        <w:t>Section 4.19</w:t>
      </w:r>
      <w:r>
        <w:rPr>
          <w:rFonts w:ascii="Times New Roman;sans-serif" w:hAnsi="Times New Roman;sans-serif"/>
          <w:b/>
          <w:color w:val="000000"/>
          <w:sz w:val="20"/>
          <w:u w:val="single"/>
        </w:rPr>
        <w:t>Tax Matters.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Each ARYA Party is tax resident only in its jurisdiction of organization, incorporation or formation,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pStyle w:val="TextBody"/>
        <w:spacing w:lineRule="auto" w:line="288" w:before="0" w:after="180"/>
        <w:ind w:left="0" w:right="0" w:firstLine="720"/>
        <w:jc w:val="both"/>
        <w:rPr/>
      </w:pPr>
      <w:r>
        <w:rPr>
          <w:rFonts w:ascii="Times New Roman;sans-serif" w:hAnsi="Times New Roman;sans-serif"/>
          <w:b/>
          <w:color w:val="000000"/>
          <w:sz w:val="20"/>
        </w:rPr>
        <w:t>Section 4.20</w:t>
      </w:r>
      <w:r>
        <w:rPr>
          <w:rFonts w:ascii="Times New Roman;sans-serif" w:hAnsi="Times New Roman;sans-serif"/>
          <w:b/>
          <w:color w:val="000000"/>
          <w:sz w:val="20"/>
          <w:u w:val="single"/>
        </w:rPr>
        <w:t>CFIUS Foreign Person Status</w:t>
      </w:r>
      <w:r>
        <w:rPr>
          <w:rFonts w:ascii="Times New Roman;sans-serif" w:hAnsi="Times New Roman;sans-serif"/>
          <w:b w:val="false"/>
          <w:color w:val="000000"/>
          <w:sz w:val="20"/>
        </w:rPr>
        <w:t xml:space="preserve">. No ARYA Party is a “foreign person” or a “foreign entity,” as defined in Section 721 of the Defense Production Act of 1950, including all implementing regulations </w:t>
      </w:r>
    </w:p>
    <w:p>
      <w:pPr>
        <w:pStyle w:val="HorizontalLine"/>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3" name="Frame4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thereof (the “</w:t>
      </w:r>
      <w:r>
        <w:rPr>
          <w:rFonts w:ascii="Times New Roman;sans-serif" w:hAnsi="Times New Roman;sans-serif"/>
          <w:b w:val="false"/>
          <w:color w:val="000000"/>
          <w:sz w:val="20"/>
          <w:u w:val="single"/>
        </w:rPr>
        <w:t>DPA</w:t>
      </w:r>
      <w:r>
        <w:rPr>
          <w:color w:val="000000"/>
        </w:rPr>
        <w:t>”</w:t>
      </w:r>
      <w:r>
        <w:rPr>
          <w:rFonts w:ascii="Times New Roman;sans-serif" w:hAnsi="Times New Roman;sans-serif"/>
          <w:b w:val="false"/>
          <w:color w:val="000000"/>
          <w:sz w:val="20"/>
        </w:rPr>
        <w:t xml:space="preserve">).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 (ii) membership or observer rights on the Board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pStyle w:val="TextBody"/>
        <w:spacing w:lineRule="auto" w:line="288" w:before="0" w:after="180"/>
        <w:ind w:left="0" w:right="0" w:firstLine="720"/>
        <w:jc w:val="both"/>
        <w:rPr/>
      </w:pPr>
      <w:r>
        <w:rPr>
          <w:rFonts w:ascii="Times New Roman;sans-serif" w:hAnsi="Times New Roman;sans-serif"/>
          <w:b/>
          <w:color w:val="000000"/>
          <w:sz w:val="20"/>
        </w:rPr>
        <w:t>Section 4.21</w:t>
      </w:r>
      <w:r>
        <w:rPr>
          <w:rFonts w:ascii="Times New Roman;sans-serif" w:hAnsi="Times New Roman;sans-serif"/>
          <w:b/>
          <w:color w:val="000000"/>
          <w:sz w:val="20"/>
          <w:u w:val="single"/>
        </w:rPr>
        <w:t>Compliance with International Trade &amp; Anti-Corruption Laws.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pStyle w:val="TextBody"/>
        <w:spacing w:lineRule="auto" w:line="288" w:before="0" w:after="180"/>
        <w:ind w:left="0" w:right="0" w:firstLine="720"/>
        <w:jc w:val="both"/>
        <w:rPr/>
      </w:pPr>
      <w:r>
        <w:rPr>
          <w:rFonts w:ascii="Times New Roman;sans-serif" w:hAnsi="Times New Roman;sans-serif"/>
          <w:b/>
          <w:color w:val="000000"/>
          <w:sz w:val="20"/>
        </w:rPr>
        <w:t>Section 4.22</w:t>
      </w:r>
      <w:r>
        <w:rPr>
          <w:rFonts w:ascii="Times New Roman;sans-serif" w:hAnsi="Times New Roman;sans-serif"/>
          <w:b/>
          <w:color w:val="000000"/>
          <w:sz w:val="20"/>
          <w:u w:val="single"/>
        </w:rPr>
        <w:t>Change of Control Payments.</w:t>
      </w:r>
      <w:r>
        <w:rPr>
          <w:color w:val="000000"/>
        </w:rPr>
        <w:t xml:space="preserve">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of the ARYA Disclosure Schedules sets forth a list of all ARYA Change of Control Payments as of the date of this Agreement.</w:t>
      </w:r>
    </w:p>
    <w:p>
      <w:pPr>
        <w:pStyle w:val="TextBody"/>
        <w:spacing w:lineRule="auto" w:line="288" w:before="0" w:after="180"/>
        <w:ind w:left="0" w:right="0" w:firstLine="720"/>
        <w:jc w:val="both"/>
        <w:rPr/>
      </w:pPr>
      <w:r>
        <w:rPr>
          <w:rFonts w:ascii="Times New Roman;sans-serif" w:hAnsi="Times New Roman;sans-serif"/>
          <w:b/>
          <w:color w:val="000000"/>
          <w:sz w:val="20"/>
        </w:rPr>
        <w:t>Section 4.23</w:t>
      </w:r>
      <w:r>
        <w:rPr>
          <w:rFonts w:ascii="Times New Roman;sans-serif" w:hAnsi="Times New Roman;sans-serif"/>
          <w:b/>
          <w:color w:val="000000"/>
          <w:sz w:val="20"/>
          <w:u w:val="single"/>
        </w:rPr>
        <w:t>PIPE Financing.</w:t>
      </w:r>
      <w:r>
        <w:rPr>
          <w:color w:val="000000"/>
        </w:rPr>
        <w:t xml:space="preserve"> </w:t>
      </w:r>
      <w:r>
        <w:rPr>
          <w:rFonts w:ascii="Times New Roman;sans-serif" w:hAnsi="Times New Roman;sans-serif"/>
          <w:b w:val="false"/>
          <w:color w:val="000000"/>
          <w:sz w:val="20"/>
        </w:rPr>
        <w:t xml:space="preserve">ARYA has delivered to the Company a true, correct and complete copy of the fully executed PIPE Subscription Agreements as in effect as of the date hereof, each of which is substantially in the form as </w:t>
      </w:r>
      <w:r>
        <w:rPr>
          <w:rFonts w:ascii="Times New Roman;sans-serif" w:hAnsi="Times New Roman;sans-serif"/>
          <w:b w:val="false"/>
          <w:color w:val="000000"/>
          <w:sz w:val="20"/>
          <w:u w:val="single"/>
        </w:rPr>
        <w:t>Exhibit A-1</w:t>
      </w:r>
      <w:r>
        <w:rPr>
          <w:rFonts w:ascii="Times New Roman;sans-serif" w:hAnsi="Times New Roman;sans-serif"/>
          <w:b w:val="false"/>
          <w:color w:val="000000"/>
          <w:sz w:val="20"/>
        </w:rPr>
        <w:t xml:space="preserve">, in the case of the Perceptive PIPE Investor, or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xml:space="preserve">,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all material respects and, with respect to each PIPE Investor (other than the Perceptive PIPE Investor), the representations and </w:t>
      </w:r>
    </w:p>
    <w:p>
      <w:pPr>
        <w:pStyle w:val="HorizontalLine"/>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34" name="Frame4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 </w:t>
      </w:r>
    </w:p>
    <w:p>
      <w:pPr>
        <w:pStyle w:val="TextBody"/>
        <w:spacing w:lineRule="auto" w:line="288" w:before="0" w:after="180"/>
        <w:ind w:left="0" w:right="0" w:firstLine="720"/>
        <w:jc w:val="both"/>
        <w:rPr/>
      </w:pPr>
      <w:r>
        <w:rPr>
          <w:rFonts w:ascii="Times New Roman;sans-serif" w:hAnsi="Times New Roman;sans-serif"/>
          <w:b/>
          <w:color w:val="000000"/>
          <w:sz w:val="20"/>
        </w:rPr>
        <w:t>Section 4.24</w:t>
      </w:r>
      <w:r>
        <w:rPr>
          <w:rFonts w:ascii="Times New Roman;sans-serif" w:hAnsi="Times New Roman;sans-serif"/>
          <w:b/>
          <w:color w:val="000000"/>
          <w:sz w:val="20"/>
          <w:u w:val="single"/>
        </w:rPr>
        <w:t>Investigation; No Other Representations</w:t>
      </w:r>
      <w:r>
        <w:rPr>
          <w:rFonts w:ascii="Times New Roman;sans-serif" w:hAnsi="Times New Roman;sans-serif"/>
          <w:b/>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color w:val="000000"/>
          <w:sz w:val="20"/>
        </w:rPr>
        <w:t>Section 4.25</w:t>
      </w:r>
      <w:r>
        <w:rPr>
          <w:rFonts w:ascii="Times New Roman;sans-serif" w:hAnsi="Times New Roman;sans-serif"/>
          <w:b/>
          <w:color w:val="000000"/>
          <w:sz w:val="20"/>
          <w:u w:val="single"/>
        </w:rPr>
        <w:t>EXCLUSIVITY OF REPRESENTATIONS AND WARRANTIES.</w:t>
      </w:r>
      <w:r>
        <w:rPr>
          <w:color w:val="000000"/>
        </w:rPr>
        <w:t xml:space="preserve"> </w:t>
      </w:r>
      <w:r>
        <w:rPr>
          <w:rFonts w:ascii="Times New Roman;sans-serif" w:hAnsi="Times New Roman;sans-serif"/>
          <w:b w:val="false"/>
          <w:color w:val="000000"/>
          <w:sz w:val="20"/>
        </w:rPr>
        <w:t xml:space="preserve">NOTWITHSTANDING THE DELIVERY OR DISCLOSURE TO THE COMPANY OR ANY OF ITS REPRESENTATIVES OF ANY DOCUMENTATION OR OTHER INFORMATION (INCLUDING ANY FINANCIAL PROJECTIONS OR OTHER SUPPLEMENTAL DATA), EXCEPT AS OTHERWISE EXPRESSLY SET FORTH IN THIS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 </w:t>
      </w:r>
    </w:p>
    <w:p>
      <w:pPr>
        <w:pStyle w:val="HorizontalLine"/>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35" name="Frame4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5</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spacing w:lineRule="auto" w:line="288" w:before="0" w:after="180"/>
        <w:ind w:left="0" w:right="0" w:firstLine="720"/>
        <w:jc w:val="both"/>
        <w:rPr/>
      </w:pPr>
      <w:r>
        <w:rPr>
          <w:rFonts w:ascii="Times New Roman;sans-serif" w:hAnsi="Times New Roman;sans-serif"/>
          <w:b/>
          <w:color w:val="000000"/>
          <w:sz w:val="20"/>
        </w:rPr>
        <w:t>Section 5.1</w:t>
      </w:r>
      <w:r>
        <w:rPr>
          <w:rFonts w:ascii="Times New Roman;sans-serif" w:hAnsi="Times New Roman;sans-serif"/>
          <w:b/>
          <w:color w:val="000000"/>
          <w:sz w:val="20"/>
          <w:u w:val="single"/>
        </w:rPr>
        <w:t>Conduct of Business of the Company</w:t>
      </w:r>
      <w:r>
        <w:rPr>
          <w:rFonts w:ascii="Times New Roman;sans-serif" w:hAnsi="Times New Roman;sans-serif"/>
          <w:b/>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sans-serif" w:hAnsi="Times New Roman;sans-serif"/>
          <w:b w:val="false"/>
          <w:color w:val="000000"/>
          <w:sz w:val="20"/>
          <w:u w:val="single"/>
        </w:rPr>
        <w:t>Section 5.1(a)</w:t>
      </w:r>
      <w:r>
        <w:rPr>
          <w:color w:val="000000"/>
        </w:rPr>
        <w:t xml:space="preserve"> </w:t>
      </w:r>
      <w:r>
        <w:rPr>
          <w:rFonts w:ascii="Times New Roman;sans-serif" w:hAnsi="Times New Roman;sans-serif"/>
          <w:b w:val="false"/>
          <w:color w:val="000000"/>
          <w:sz w:val="20"/>
        </w:rPr>
        <w:t>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of the Company Disclosure Schedules or as consented to in writing by ARYA (such consent, other than in the case of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5.1(b)(iv)(A)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any of the foregoing) not to be unreasonably withheld, conditioned or delayed), not do any of the following: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(iii)adopt any amendments, supplements, restatements or modifications to any Group Company’s Governing Documents or the Company Shareholders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(iv)(A) sell, assign, abandon, lease, exclusively license or otherwise dispose of any material assets or properties of the Group Companies, other than inventory or obsolete equipment </w:t>
      </w:r>
    </w:p>
    <w:p>
      <w:pPr>
        <w:pStyle w:val="HorizontalLine"/>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36" name="Frame4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or (B) subject any material assets or properties of the Group Companies to any Lien (other than any Permitted Liens);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(vi)incur, create or assume any Indebtedness, other than ordinary course trade payables, or guarantee any Liability of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(vii)(A) amend or modify, in either case in a manner materially adverse to the Company, or terminate any Material Contract of the type described in </w:t>
      </w:r>
      <w:r>
        <w:rPr>
          <w:rFonts w:ascii="Times New Roman;sans-serif" w:hAnsi="Times New Roman;sans-serif"/>
          <w:b w:val="false"/>
          <w:color w:val="000000"/>
          <w:sz w:val="20"/>
          <w:u w:val="single"/>
        </w:rPr>
        <w:t>Section 3.7(a)(iv)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3.7(a)(ix)</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3.7(a)(x)</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3.7(a)(xi)</w:t>
      </w:r>
      <w:r>
        <w:rPr>
          <w:color w:val="000000"/>
        </w:rPr>
        <w:t xml:space="preserve"> </w:t>
      </w:r>
      <w:r>
        <w:rPr>
          <w:rFonts w:ascii="Times New Roman;sans-serif" w:hAnsi="Times New Roman;sans-serif"/>
          <w:b w:val="false"/>
          <w:color w:val="000000"/>
          <w:sz w:val="20"/>
        </w:rPr>
        <w:t>(such types of Material Contracts, collectively, the “</w:t>
      </w:r>
      <w:r>
        <w:rPr>
          <w:rFonts w:ascii="Times New Roman;sans-serif" w:hAnsi="Times New Roman;sans-serif"/>
          <w:b w:val="false"/>
          <w:color w:val="000000"/>
          <w:sz w:val="20"/>
          <w:u w:val="single"/>
        </w:rPr>
        <w:t>Designated Material Contracts</w:t>
      </w:r>
      <w:r>
        <w:rPr>
          <w:color w:val="000000"/>
        </w:rPr>
        <w:t>”</w:t>
      </w:r>
      <w:r>
        <w:rPr>
          <w:rFonts w:ascii="Times New Roman;sans-serif" w:hAnsi="Times New Roman;sans-serif"/>
          <w:b w:val="false"/>
          <w:color w:val="000000"/>
          <w:sz w:val="20"/>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 </w:t>
      </w:r>
    </w:p>
    <w:p>
      <w:pPr>
        <w:pStyle w:val="HorizontalLine"/>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37" name="Frame4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(xii)authorize,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(xiii)change any Group Company’s methods of accounting in any material respect, other than changes that are made in accordance with PCAOB standards;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(xiv)enter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(xv)make any material Company Change of Control Payment that is not set forth on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of the Company Disclosure Schedules or make any material payment with respect to a Company Affiliated Party Transaction that is not set forth on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of the Company Disclosure Schedules; or</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(xvi)enter into any Contract to take, or cause to be taken, any of the actions set forth in this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Notwithstanding anything in this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(to the extent related to any of the foregoing).</w:t>
      </w:r>
    </w:p>
    <w:p>
      <w:pPr>
        <w:pStyle w:val="TextBody"/>
        <w:spacing w:lineRule="auto" w:line="288" w:before="0" w:after="180"/>
        <w:ind w:left="0" w:right="0" w:firstLine="720"/>
        <w:jc w:val="both"/>
        <w:rPr/>
      </w:pPr>
      <w:r>
        <w:rPr>
          <w:rFonts w:ascii="Times New Roman;sans-serif" w:hAnsi="Times New Roman;sans-serif"/>
          <w:b/>
          <w:color w:val="000000"/>
          <w:sz w:val="20"/>
        </w:rPr>
        <w:t>Section 5.2</w:t>
      </w:r>
      <w:r>
        <w:rPr>
          <w:rFonts w:ascii="Times New Roman;sans-serif" w:hAnsi="Times New Roman;sans-serif"/>
          <w:b/>
          <w:color w:val="000000"/>
          <w:sz w:val="20"/>
          <w:u w:val="single"/>
        </w:rPr>
        <w:t>Efforts to Consummate; Transaction Litigation.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Subject to the terms and conditions herein provided, each of the Parties shall use reasonable best efforts to take, or cause to be taken, all actions and to do, or cause to be done, all things reasonably </w:t>
      </w:r>
    </w:p>
    <w:p>
      <w:pPr>
        <w:pStyle w:val="HorizontalLine"/>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38" name="Frame4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necessary or advisable to consummate and make effective as promptly as reasonably practicable the transactions contemplated by this Agreement (including (i) by using reasonable best efforts with respect to the satisfaction, but not waiver, of the closing conditions set forth in Article 6)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Times New Roman;sans-serif" w:hAnsi="Times New Roman;sans-serif"/>
          <w:b w:val="false"/>
          <w:color w:val="000000"/>
          <w:sz w:val="20"/>
          <w:u w:val="single"/>
        </w:rPr>
        <w:t>Section 5.2(a)</w:t>
      </w:r>
      <w:r>
        <w:rPr>
          <w:color w:val="000000"/>
        </w:rPr>
        <w:t xml:space="preserve"> </w:t>
      </w:r>
      <w:r>
        <w:rPr>
          <w:rFonts w:ascii="Times New Roman;sans-serif" w:hAnsi="Times New Roman;sans-serif"/>
          <w:b w:val="false"/>
          <w:color w:val="000000"/>
          <w:sz w:val="20"/>
        </w:rPr>
        <w:t xml:space="preserve">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Times New Roman;sans-serif" w:hAnsi="Times New Roman;sans-serif"/>
          <w:b w:val="false"/>
          <w:color w:val="000000"/>
          <w:sz w:val="20"/>
          <w:u w:val="single"/>
        </w:rPr>
        <w:t>Section 8.6</w:t>
      </w:r>
      <w:r>
        <w:rPr>
          <w:rFonts w:ascii="Times New Roman;sans-serif" w:hAnsi="Times New Roman;sans-serif"/>
          <w:b w:val="false"/>
          <w:color w:val="000000"/>
          <w:sz w:val="20"/>
        </w:rPr>
        <w:t xml:space="preserve">,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 (ii) 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pStyle w:val="HorizontalLine"/>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39" name="Frame4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Notwithstanding anything to the contrary in the Agreement, in the event that this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 xml:space="preserve">conflicts with any other covenant or agreement in this </w:t>
      </w:r>
      <w:r>
        <w:rPr>
          <w:rFonts w:ascii="Times New Roman;sans-serif" w:hAnsi="Times New Roman;sans-serif"/>
          <w:b w:val="false"/>
          <w:color w:val="000000"/>
          <w:sz w:val="20"/>
          <w:u w:val="single"/>
        </w:rPr>
        <w:t>Article 5</w:t>
      </w:r>
      <w:r>
        <w:rPr>
          <w:color w:val="000000"/>
        </w:rPr>
        <w:t xml:space="preserve"> </w:t>
      </w:r>
      <w:r>
        <w:rPr>
          <w:rFonts w:ascii="Times New Roman;sans-serif" w:hAnsi="Times New Roman;sans-serif"/>
          <w:b w:val="false"/>
          <w:color w:val="000000"/>
          <w:sz w:val="20"/>
        </w:rPr>
        <w:t>that is intended to specifically address any subject matter, then such other covenant or agreement shall govern and control solely to the extent of such conflict.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sans-serif" w:hAnsi="Times New Roman;sans-serif"/>
          <w:b w:val="false"/>
          <w:color w:val="000000"/>
          <w:sz w:val="20"/>
          <w:u w:val="single"/>
        </w:rPr>
        <w:t>Transaction Litigation</w:t>
      </w:r>
      <w:r>
        <w:rPr>
          <w:color w:val="000000"/>
        </w:rPr>
        <w:t>”</w:t>
      </w:r>
      <w:r>
        <w:rPr>
          <w:rFonts w:ascii="Times New Roman;sans-serif" w:hAnsi="Times New Roman;sans-serif"/>
          <w:b w:val="false"/>
          <w:color w:val="000000"/>
          <w:sz w:val="20"/>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pStyle w:val="TextBody"/>
        <w:spacing w:lineRule="auto" w:line="288" w:before="0" w:after="180"/>
        <w:ind w:left="0" w:right="0" w:firstLine="720"/>
        <w:jc w:val="both"/>
        <w:rPr/>
      </w:pPr>
      <w:r>
        <w:rPr>
          <w:rFonts w:ascii="Times New Roman;sans-serif" w:hAnsi="Times New Roman;sans-serif"/>
          <w:b/>
          <w:color w:val="000000"/>
          <w:sz w:val="20"/>
        </w:rPr>
        <w:t>Section 5.3</w:t>
      </w:r>
      <w:r>
        <w:rPr>
          <w:rFonts w:ascii="Times New Roman;sans-serif" w:hAnsi="Times New Roman;sans-serif"/>
          <w:b/>
          <w:color w:val="000000"/>
          <w:sz w:val="20"/>
          <w:u w:val="single"/>
        </w:rPr>
        <w:t>Confidentiality and Access to Information</w:t>
      </w:r>
      <w:r>
        <w:rPr>
          <w:rFonts w:ascii="Times New Roman;sans-serif" w:hAnsi="Times New Roman;sans-serif"/>
          <w:b/>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Times New Roman;sans-serif" w:hAnsi="Times New Roman;sans-serif"/>
          <w:b w:val="false"/>
          <w:color w:val="000000"/>
          <w:sz w:val="20"/>
          <w:u w:val="single"/>
        </w:rPr>
        <w:t>Section 5.3(b)</w:t>
      </w:r>
      <w:r>
        <w:rPr>
          <w:color w:val="000000"/>
        </w:rPr>
        <w:t xml:space="preserve"> </w:t>
      </w:r>
      <w:r>
        <w:rPr>
          <w:rFonts w:ascii="Times New Roman;sans-serif" w:hAnsi="Times New Roman;sans-serif"/>
          <w:b w:val="false"/>
          <w:color w:val="000000"/>
          <w:sz w:val="20"/>
        </w:rPr>
        <w:t>to provide, or caused to be provided, to ARYA or any of its Representatives any information (i) if and to the extent doing so would (A) 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case of each of clauses </w:t>
      </w:r>
      <w:r>
        <w:rPr>
          <w:rFonts w:ascii="Times New Roman;sans-serif" w:hAnsi="Times New Roman;sans-serif"/>
          <w:b w:val="false"/>
          <w:color w:val="000000"/>
          <w:sz w:val="20"/>
          <w:u w:val="single"/>
        </w:rPr>
        <w:t>(A)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Times New Roman;sans-serif" w:hAnsi="Times New Roman;sans-serif"/>
          <w:b w:val="false"/>
          <w:color w:val="000000"/>
          <w:sz w:val="20"/>
          <w:u w:val="single"/>
        </w:rPr>
        <w:t xml:space="preserve">provided </w:t>
      </w:r>
      <w:r>
        <w:rPr>
          <w:rFonts w:ascii="Times New Roman;sans-serif" w:hAnsi="Times New Roman;sans-serif"/>
          <w:b w:val="false"/>
          <w:color w:val="000000"/>
          <w:sz w:val="20"/>
        </w:rPr>
        <w:t xml:space="preserve">that the Company shall, in the case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provide prompt written notice of the withholding of access or information on any such basis unless such written notice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From and after the date of this Agreement until the earlier of the Closing Date or the termination of this Agreement in accordance with its terms, upon reasonable advance written notice, ARYA shall </w:t>
      </w:r>
    </w:p>
    <w:p>
      <w:pPr>
        <w:pStyle w:val="HorizontalLine"/>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440" name="Frame4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Times New Roman;sans-serif" w:hAnsi="Times New Roman;sans-serif"/>
          <w:b w:val="false"/>
          <w:color w:val="000000"/>
          <w:sz w:val="20"/>
          <w:u w:val="single"/>
        </w:rPr>
        <w:t>Section 5.3(c)</w:t>
      </w:r>
      <w:r>
        <w:rPr>
          <w:color w:val="000000"/>
        </w:rPr>
        <w:t xml:space="preserve"> </w:t>
      </w:r>
      <w:r>
        <w:rPr>
          <w:rFonts w:ascii="Times New Roman;sans-serif" w:hAnsi="Times New Roman;sans-serif"/>
          <w:b w:val="false"/>
          <w:color w:val="000000"/>
          <w:sz w:val="20"/>
        </w:rPr>
        <w:t xml:space="preserve">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case of each of clauses (A) through (D),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ARYA shall, in the case of clause (i) or (ii), provide prompt written notice of the withholding of access or information on any such basis unless such written notice is prohibited by applicable Law.</w:t>
      </w:r>
    </w:p>
    <w:p>
      <w:pPr>
        <w:pStyle w:val="TextBody"/>
        <w:spacing w:lineRule="auto" w:line="288" w:before="0" w:after="180"/>
        <w:ind w:left="0" w:right="0" w:firstLine="720"/>
        <w:jc w:val="both"/>
        <w:rPr/>
      </w:pPr>
      <w:r>
        <w:rPr>
          <w:rFonts w:ascii="Times New Roman;sans-serif" w:hAnsi="Times New Roman;sans-serif"/>
          <w:b/>
          <w:color w:val="000000"/>
          <w:sz w:val="20"/>
        </w:rPr>
        <w:t>Section 5.4</w:t>
      </w:r>
      <w:r>
        <w:rPr>
          <w:rFonts w:ascii="Times New Roman;sans-serif" w:hAnsi="Times New Roman;sans-serif"/>
          <w:b/>
          <w:color w:val="000000"/>
          <w:sz w:val="20"/>
          <w:u w:val="single"/>
        </w:rPr>
        <w:t>Public Announcements.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5.8</w:t>
      </w:r>
      <w:r>
        <w:rPr>
          <w:rFonts w:ascii="Times New Roman;sans-serif" w:hAnsi="Times New Roman;sans-serif"/>
          <w:b w:val="false"/>
          <w:color w:val="000000"/>
          <w:sz w:val="20"/>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Times New Roman;sans-serif" w:hAnsi="Times New Roman;sans-serif"/>
          <w:b w:val="false"/>
          <w:color w:val="000000"/>
          <w:sz w:val="20"/>
          <w:u w:val="single"/>
        </w:rPr>
        <w:t>Section 5.4</w:t>
      </w:r>
      <w:r>
        <w:rPr>
          <w:color w:val="000000"/>
        </w:rPr>
        <w:t xml:space="preserve"> </w:t>
      </w:r>
      <w:r>
        <w:rPr>
          <w:rFonts w:ascii="Times New Roman;sans-serif" w:hAnsi="Times New Roman;sans-serif"/>
          <w:b w:val="false"/>
          <w:color w:val="000000"/>
          <w:sz w:val="20"/>
        </w:rPr>
        <w:t xml:space="preserve">and (iii) to Governmental Entities in connection with any Consents required to be made under this Agreement, the Ancillary Documents or the transactions contemplated hereby or thereby. Notwithstanding anything to the contrary in this </w:t>
      </w:r>
      <w:r>
        <w:rPr>
          <w:rFonts w:ascii="Times New Roman;sans-serif" w:hAnsi="Times New Roman;sans-serif"/>
          <w:b w:val="false"/>
          <w:color w:val="000000"/>
          <w:sz w:val="20"/>
          <w:u w:val="single"/>
        </w:rPr>
        <w:t>Section 5.4</w:t>
      </w:r>
      <w:r>
        <w:rPr>
          <w:color w:val="000000"/>
        </w:rPr>
        <w:t xml:space="preserve"> </w:t>
      </w:r>
      <w:r>
        <w:rPr>
          <w:rFonts w:ascii="Times New Roman;sans-serif" w:hAnsi="Times New Roman;sans-serif"/>
          <w:b w:val="false"/>
          <w:color w:val="000000"/>
          <w:sz w:val="20"/>
        </w:rPr>
        <w:t>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initial press release concerning this Agreement and the transactions contemplated hereby shall be a joint press release in the form agreed by the Company and ARYA prior to the execution of this Agreement and such initial press release (the “</w:t>
      </w:r>
      <w:r>
        <w:rPr>
          <w:rFonts w:ascii="Times New Roman;sans-serif" w:hAnsi="Times New Roman;sans-serif"/>
          <w:b w:val="false"/>
          <w:color w:val="000000"/>
          <w:sz w:val="20"/>
          <w:u w:val="single"/>
        </w:rPr>
        <w:t>Signing Press Release</w:t>
      </w:r>
      <w:r>
        <w:rPr>
          <w:color w:val="000000"/>
        </w:rPr>
        <w:t>”</w:t>
      </w:r>
      <w:r>
        <w:rPr>
          <w:rFonts w:ascii="Times New Roman;sans-serif" w:hAnsi="Times New Roman;sans-serif"/>
          <w:b w:val="false"/>
          <w:color w:val="000000"/>
          <w:sz w:val="20"/>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Times New Roman;sans-serif" w:hAnsi="Times New Roman;sans-serif"/>
          <w:b w:val="false"/>
          <w:color w:val="000000"/>
          <w:sz w:val="20"/>
          <w:u w:val="single"/>
        </w:rPr>
        <w:t>Signing Filing</w:t>
      </w:r>
      <w:r>
        <w:rPr>
          <w:color w:val="000000"/>
        </w:rPr>
        <w:t>”</w:t>
      </w:r>
      <w:r>
        <w:rPr>
          <w:rFonts w:ascii="Times New Roman;sans-serif" w:hAnsi="Times New Roman;sans-serif"/>
          <w:b w:val="false"/>
          <w:color w:val="000000"/>
          <w:sz w:val="20"/>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Times New Roman;sans-serif" w:hAnsi="Times New Roman;sans-serif"/>
          <w:b w:val="false"/>
          <w:color w:val="000000"/>
          <w:sz w:val="20"/>
          <w:u w:val="single"/>
        </w:rPr>
        <w:t>Closing Press Release</w:t>
      </w:r>
      <w:r>
        <w:rPr>
          <w:color w:val="000000"/>
        </w:rPr>
        <w:t>”</w:t>
      </w:r>
      <w:r>
        <w:rPr>
          <w:rFonts w:ascii="Times New Roman;sans-serif" w:hAnsi="Times New Roman;sans-serif"/>
          <w:b w:val="false"/>
          <w:color w:val="000000"/>
          <w:sz w:val="20"/>
        </w:rPr>
        <w:t xml:space="preserve">) prior to the </w:t>
      </w:r>
    </w:p>
    <w:p>
      <w:pPr>
        <w:pStyle w:val="HorizontalLine"/>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441" name="Frame4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Times New Roman;sans-serif" w:hAnsi="Times New Roman;sans-serif"/>
          <w:b w:val="false"/>
          <w:color w:val="000000"/>
          <w:sz w:val="20"/>
          <w:u w:val="single"/>
        </w:rPr>
        <w:t>Closing Filing</w:t>
      </w:r>
      <w:r>
        <w:rPr>
          <w:color w:val="000000"/>
        </w:rPr>
        <w:t>”</w:t>
      </w:r>
      <w:r>
        <w:rPr>
          <w:rFonts w:ascii="Times New Roman;sans-serif" w:hAnsi="Times New Roman;sans-serif"/>
          <w:b w:val="false"/>
          <w:color w:val="000000"/>
          <w:sz w:val="20"/>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pStyle w:val="TextBody"/>
        <w:spacing w:lineRule="auto" w:line="288" w:before="0" w:after="180"/>
        <w:ind w:left="0" w:right="0" w:firstLine="720"/>
        <w:jc w:val="both"/>
        <w:rPr/>
      </w:pPr>
      <w:r>
        <w:rPr>
          <w:rFonts w:ascii="Times New Roman;sans-serif" w:hAnsi="Times New Roman;sans-serif"/>
          <w:b/>
          <w:color w:val="000000"/>
          <w:sz w:val="20"/>
        </w:rPr>
        <w:t>Section 5.5</w:t>
      </w:r>
      <w:r>
        <w:rPr>
          <w:rFonts w:ascii="Times New Roman;sans-serif" w:hAnsi="Times New Roman;sans-serif"/>
          <w:b/>
          <w:color w:val="000000"/>
          <w:sz w:val="20"/>
          <w:u w:val="single"/>
        </w:rPr>
        <w:t>Tax Matters</w:t>
      </w:r>
      <w:r>
        <w:rPr>
          <w:rFonts w:ascii="Times New Roman;sans-serif" w:hAnsi="Times New Roman;sans-serif"/>
          <w:b/>
          <w:color w:val="000000"/>
          <w:sz w:val="20"/>
        </w:rPr>
        <w:t>.</w:t>
      </w:r>
      <w:r>
        <w:rPr>
          <w:color w:val="000000"/>
        </w:rPr>
        <w:t xml:space="preserve">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Tax Treatment</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(i)The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Times New Roman;sans-serif" w:hAnsi="Times New Roman;sans-serif"/>
          <w:b w:val="false"/>
          <w:color w:val="000000"/>
          <w:sz w:val="20"/>
          <w:u w:val="single"/>
        </w:rPr>
        <w:t>Alternative Merger Structure</w:t>
      </w:r>
      <w:r>
        <w:rPr>
          <w:color w:val="000000"/>
        </w:rPr>
        <w:t>”</w:t>
      </w:r>
      <w:r>
        <w:rPr>
          <w:rFonts w:ascii="Times New Roman;sans-serif" w:hAnsi="Times New Roman;sans-serif"/>
          <w:b w:val="false"/>
          <w:color w:val="000000"/>
          <w:sz w:val="20"/>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(“Newco”), with Newco being the surviving company in such second merger.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ARYA, the Domestication qualifying for the Intended Tax Treatment.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pStyle w:val="HorizontalLine"/>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442" name="Frame4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Tax Matters Cooperation</w:t>
      </w:r>
      <w:r>
        <w:rPr>
          <w:rFonts w:ascii="Times New Roman;sans-serif" w:hAnsi="Times New Roman;sans-serif"/>
          <w:b w:val="false"/>
          <w:color w:val="000000"/>
          <w:sz w:val="20"/>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ARYA Shareholders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ARYA Taxable Year</w:t>
      </w:r>
      <w:r>
        <w:rPr>
          <w:rFonts w:ascii="Times New Roman;sans-serif" w:hAnsi="Times New Roman;sans-serif"/>
          <w:b w:val="false"/>
          <w:color w:val="000000"/>
          <w:sz w:val="20"/>
        </w:rPr>
        <w:t>. The Parties agree to treat the taxable year of ARYA as ending on the date that the Domestication is consummated for U.S. federal income tax purposes.</w:t>
      </w:r>
    </w:p>
    <w:p>
      <w:pPr>
        <w:pStyle w:val="TextBody"/>
        <w:spacing w:lineRule="auto" w:line="288" w:before="0" w:after="180"/>
        <w:ind w:left="0" w:right="0" w:firstLine="720"/>
        <w:jc w:val="both"/>
        <w:rPr/>
      </w:pPr>
      <w:r>
        <w:rPr>
          <w:rFonts w:ascii="Times New Roman;sans-serif" w:hAnsi="Times New Roman;sans-serif"/>
          <w:b/>
          <w:color w:val="000000"/>
          <w:sz w:val="20"/>
        </w:rPr>
        <w:t>Section 5.6</w:t>
      </w:r>
      <w:r>
        <w:rPr>
          <w:rFonts w:ascii="Times New Roman;sans-serif" w:hAnsi="Times New Roman;sans-serif"/>
          <w:b/>
          <w:color w:val="000000"/>
          <w:sz w:val="20"/>
          <w:u w:val="single"/>
        </w:rPr>
        <w:t>Company Exclusive Dealing.</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Section 5.6).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 </w:t>
      </w:r>
    </w:p>
    <w:p>
      <w:pPr>
        <w:pStyle w:val="TextBody"/>
        <w:spacing w:lineRule="auto" w:line="288" w:before="0" w:after="180"/>
        <w:ind w:left="0" w:right="0" w:firstLine="720"/>
        <w:jc w:val="both"/>
        <w:rPr/>
      </w:pPr>
      <w:r>
        <w:rPr>
          <w:rFonts w:ascii="Times New Roman;sans-serif" w:hAnsi="Times New Roman;sans-serif"/>
          <w:b/>
          <w:color w:val="000000"/>
          <w:sz w:val="20"/>
        </w:rPr>
        <w:t>Section 5.7</w:t>
      </w:r>
      <w:r>
        <w:rPr>
          <w:rFonts w:ascii="Times New Roman;sans-serif" w:hAnsi="Times New Roman;sans-serif"/>
          <w:b/>
          <w:color w:val="000000"/>
          <w:sz w:val="20"/>
          <w:u w:val="single"/>
        </w:rPr>
        <w:t>ARYA Exclusive Dealing.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 </w:t>
      </w:r>
    </w:p>
    <w:p>
      <w:pPr>
        <w:pStyle w:val="HorizontalLine"/>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443" name="Frame4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80"/>
        <w:jc w:val="right"/>
        <w:rPr/>
      </w:pPr>
      <w:r>
        <w:rPr/>
      </w:r>
    </w:p>
    <w:p>
      <w:pPr>
        <w:pStyle w:val="TextBody"/>
        <w:spacing w:lineRule="auto" w:line="288" w:before="0" w:after="180"/>
        <w:rPr/>
      </w:pPr>
      <w:r>
        <w:rPr>
          <w:rFonts w:ascii="Times New Roman;sans-serif" w:hAnsi="Times New Roman;sans-serif"/>
          <w:b w:val="false"/>
          <w:color w:val="000000"/>
          <w:sz w:val="20"/>
        </w:rPr>
        <w:t xml:space="preserve">any negotiations or discussions with, any Person in connection any ARYA Acquisition Proposal or a transaction of the type in clause (iv) (other than to inform such Person of the existence of the ARYA Parties’ obligations under this </w:t>
      </w:r>
      <w:r>
        <w:rPr>
          <w:rFonts w:ascii="Times New Roman;sans-serif" w:hAnsi="Times New Roman;sans-serif"/>
          <w:b w:val="false"/>
          <w:color w:val="000000"/>
          <w:sz w:val="20"/>
          <w:u w:val="single"/>
        </w:rPr>
        <w:t>Section 5.7</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pStyle w:val="TextBody"/>
        <w:spacing w:lineRule="auto" w:line="288" w:before="0" w:after="180"/>
        <w:ind w:left="0" w:right="0" w:firstLine="720"/>
        <w:jc w:val="both"/>
        <w:rPr/>
      </w:pPr>
      <w:r>
        <w:rPr>
          <w:rFonts w:ascii="Times New Roman;sans-serif" w:hAnsi="Times New Roman;sans-serif"/>
          <w:b/>
          <w:color w:val="000000"/>
          <w:sz w:val="20"/>
        </w:rPr>
        <w:t>Section 5.8</w:t>
      </w:r>
      <w:r>
        <w:rPr>
          <w:rFonts w:ascii="Times New Roman;sans-serif" w:hAnsi="Times New Roman;sans-serif"/>
          <w:b/>
          <w:color w:val="000000"/>
          <w:sz w:val="20"/>
          <w:u w:val="single"/>
        </w:rPr>
        <w:t>Preparation of Registration Statement / Proxy Statement.</w:t>
      </w:r>
      <w:r>
        <w:rPr>
          <w:color w:val="000000"/>
        </w:rPr>
        <w:t xml:space="preserve"> </w:t>
      </w:r>
      <w:r>
        <w:rPr>
          <w:rFonts w:ascii="Times New Roman;sans-serif" w:hAnsi="Times New Roman;sans-serif"/>
          <w:b w:val="false"/>
          <w:color w:val="000000"/>
          <w:sz w:val="20"/>
        </w:rPr>
        <w:t xml:space="preserve">As promptly as reasonably practicable following the date of this 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Times New Roman;sans-serif" w:hAnsi="Times New Roman;sans-serif"/>
          <w:b w:val="false"/>
          <w:color w:val="000000"/>
          <w:sz w:val="20"/>
          <w:u w:val="single"/>
        </w:rPr>
        <w:t>Section 5.8</w:t>
      </w:r>
      <w:r>
        <w:rPr>
          <w:color w:val="000000"/>
        </w:rPr>
        <w:t xml:space="preserve"> </w:t>
      </w:r>
      <w:r>
        <w:rPr>
          <w:rFonts w:ascii="Times New Roman;sans-serif" w:hAnsi="Times New Roman;sans-serif"/>
          <w:b w:val="false"/>
          <w:color w:val="000000"/>
          <w:sz w:val="20"/>
        </w:rPr>
        <w:t xml:space="preserve">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w:t>
      </w:r>
      <w:r>
        <w:rPr>
          <w:rFonts w:ascii="Times New Roman;sans-serif" w:hAnsi="Times New Roman;sans-serif"/>
          <w:b w:val="false"/>
          <w:color w:val="000000"/>
          <w:sz w:val="20"/>
          <w:u w:val="single"/>
        </w:rPr>
        <w:t>Section 5.5(a)(iii)</w:t>
      </w:r>
      <w:r>
        <w:rPr>
          <w:rFonts w:ascii="Times New Roman;sans-serif" w:hAnsi="Times New Roman;sans-serif"/>
          <w:b w:val="false"/>
          <w:color w:val="000000"/>
          <w:sz w:val="20"/>
        </w:rPr>
        <w:t>. If any Party becomes aware of any information that should be disclosed in an amendment or supplement to the Registration Statement / Proxy Statement, then (i) such Party shall promptly inform, in the case of any ARYA Party, the Company, or, in the case of the Company, ARYA, thereof; (ii) 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pStyle w:val="HorizontalLine"/>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444" name="Frame4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5.9</w:t>
      </w:r>
      <w:r>
        <w:rPr>
          <w:rFonts w:ascii="Times New Roman;sans-serif" w:hAnsi="Times New Roman;sans-serif"/>
          <w:b/>
          <w:color w:val="000000"/>
          <w:sz w:val="20"/>
          <w:u w:val="single"/>
        </w:rPr>
        <w:t>ARYA Shareholder Approval.</w:t>
      </w:r>
      <w:r>
        <w:rPr>
          <w:color w:val="000000"/>
        </w:rPr>
        <w:t xml:space="preserve"> </w:t>
      </w:r>
      <w:r>
        <w:rPr>
          <w:rFonts w:ascii="Times New Roman;sans-serif" w:hAnsi="Times New Roman;sans-serif"/>
          <w:b w:val="false"/>
          <w:color w:val="000000"/>
          <w:sz w:val="20"/>
        </w:rPr>
        <w:t>As promptly as reasonably practicable following the time at which the Registration Statement / Proxy Statement is declared effective under the Securities Act, (A) ARYA shall (a) duly give not less than five clear days’ notice of a meeting of the ARYA shareholders (the “</w:t>
      </w:r>
      <w:r>
        <w:rPr>
          <w:rFonts w:ascii="Times New Roman;sans-serif" w:hAnsi="Times New Roman;sans-serif"/>
          <w:b w:val="false"/>
          <w:color w:val="000000"/>
          <w:sz w:val="20"/>
          <w:u w:val="single"/>
        </w:rPr>
        <w:t>ARYA Shareholders Meeting</w:t>
      </w:r>
      <w:r>
        <w:rPr>
          <w:color w:val="000000"/>
        </w:rPr>
        <w:t>”</w:t>
      </w:r>
      <w:r>
        <w:rPr>
          <w:rFonts w:ascii="Times New Roman;sans-serif" w:hAnsi="Times New Roman;sans-serif"/>
          <w:b w:val="false"/>
          <w:color w:val="000000"/>
          <w:sz w:val="20"/>
        </w:rPr>
        <w:t>),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w:t>
      </w:r>
      <w:r>
        <w:rPr>
          <w:rFonts w:ascii="Times New Roman;sans-serif" w:hAnsi="Times New Roman;sans-serif"/>
          <w:b w:val="false"/>
          <w:color w:val="000000"/>
          <w:sz w:val="20"/>
          <w:u w:val="single"/>
        </w:rPr>
        <w:t>ARYA Board Recommendation</w:t>
      </w:r>
      <w:r>
        <w:rPr>
          <w:color w:val="000000"/>
        </w:rPr>
        <w:t>”</w:t>
      </w:r>
      <w:r>
        <w:rPr>
          <w:rFonts w:ascii="Times New Roman;sans-serif" w:hAnsi="Times New Roman;sans-serif"/>
          <w:b w:val="false"/>
          <w:color w:val="000000"/>
          <w:sz w:val="20"/>
        </w:rPr>
        <w:t>): (A) the adoption and approval of this Agreement and the transactions contemplated hereby (including the Merger) (the “</w:t>
      </w:r>
      <w:r>
        <w:rPr>
          <w:rFonts w:ascii="Times New Roman;sans-serif" w:hAnsi="Times New Roman;sans-serif"/>
          <w:b w:val="false"/>
          <w:color w:val="000000"/>
          <w:sz w:val="20"/>
          <w:u w:val="single"/>
        </w:rPr>
        <w:t>Business Combination Proposal</w:t>
      </w:r>
      <w:r>
        <w:rPr>
          <w:color w:val="000000"/>
        </w:rPr>
        <w:t>”</w:t>
      </w:r>
      <w:r>
        <w:rPr>
          <w:rFonts w:ascii="Times New Roman;sans-serif" w:hAnsi="Times New Roman;sans-serif"/>
          <w:b w:val="false"/>
          <w:color w:val="000000"/>
          <w:sz w:val="20"/>
        </w:rPr>
        <w:t>); (B) the adoption and the approval of the Domestication in accordance with applicable Law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Times New Roman;sans-serif" w:hAnsi="Times New Roman;sans-serif"/>
          <w:b w:val="false"/>
          <w:color w:val="000000"/>
          <w:sz w:val="20"/>
          <w:u w:val="single"/>
        </w:rPr>
        <w:t>Required Governing Document Proposal</w:t>
      </w:r>
      <w:r>
        <w:rPr>
          <w:color w:val="000000"/>
        </w:rPr>
        <w:t>”</w:t>
      </w:r>
      <w:r>
        <w:rPr>
          <w:rFonts w:ascii="Times New Roman;sans-serif" w:hAnsi="Times New Roman;sans-serif"/>
          <w:b w:val="false"/>
          <w:color w:val="000000"/>
          <w:sz w:val="20"/>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Times New Roman;sans-serif" w:hAnsi="Times New Roman;sans-serif"/>
          <w:b w:val="false"/>
          <w:color w:val="000000"/>
          <w:sz w:val="20"/>
          <w:u w:val="single"/>
        </w:rPr>
        <w:t>Employee Stock Purchase Plan Proposal</w:t>
      </w:r>
      <w:r>
        <w:rPr>
          <w:color w:val="000000"/>
        </w:rPr>
        <w:t>”</w:t>
      </w:r>
      <w:r>
        <w:rPr>
          <w:rFonts w:ascii="Times New Roman;sans-serif" w:hAnsi="Times New Roman;sans-serif"/>
          <w:b w:val="false"/>
          <w:color w:val="000000"/>
          <w:sz w:val="20"/>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Times New Roman;sans-serif" w:hAnsi="Times New Roman;sans-serif"/>
          <w:b w:val="false"/>
          <w:color w:val="000000"/>
          <w:sz w:val="20"/>
          <w:u w:val="single"/>
        </w:rPr>
        <w:t>Transaction Proposals</w:t>
      </w:r>
      <w:r>
        <w:rPr>
          <w:color w:val="000000"/>
        </w:rPr>
        <w:t>”</w:t>
      </w:r>
      <w:r>
        <w:rPr>
          <w:rFonts w:ascii="Times New Roman;sans-serif" w:hAnsi="Times New Roman;sans-serif"/>
          <w:b w:val="false"/>
          <w:color w:val="000000"/>
          <w:sz w:val="20"/>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 xml:space="preserve">not being satisfied (assuming for purposes of this clause (4) that the full PIPE Financing Amount will be funded pursuant to the terms of the PIPE Subscription Agreements);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Times New Roman;sans-serif" w:hAnsi="Times New Roman;sans-serif"/>
          <w:b w:val="false"/>
          <w:color w:val="000000"/>
          <w:sz w:val="20"/>
          <w:u w:val="single"/>
        </w:rPr>
        <w:t>ARYA Change in Recommendation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color w:val="000000"/>
          <w:sz w:val="20"/>
        </w:rPr>
        <w:t>Section 5.10</w:t>
      </w:r>
      <w:r>
        <w:rPr>
          <w:rFonts w:ascii="Times New Roman;sans-serif" w:hAnsi="Times New Roman;sans-serif"/>
          <w:b/>
          <w:color w:val="000000"/>
          <w:sz w:val="20"/>
          <w:u w:val="single"/>
        </w:rPr>
        <w:t>Merger Sub Shareholder Approval.</w:t>
      </w:r>
      <w:r>
        <w:rPr>
          <w:color w:val="000000"/>
        </w:rPr>
        <w:t xml:space="preserve"> </w:t>
      </w:r>
      <w:r>
        <w:rPr>
          <w:rFonts w:ascii="Times New Roman;sans-serif" w:hAnsi="Times New Roman;sans-serif"/>
          <w:b w:val="false"/>
          <w:color w:val="000000"/>
          <w:sz w:val="20"/>
        </w:rPr>
        <w:t xml:space="preserve">As promptly as reasonably practicable (and in any event within one Business Day) following the date of this Agreement, ARYA, as the sole stockholder of Merger </w:t>
      </w:r>
    </w:p>
    <w:p>
      <w:pPr>
        <w:pStyle w:val="HorizontalLine"/>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445" name="Frame4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 will approve and adopt this Agreement, the Ancillary Documents to which Merger Sub is or will be a party and the transactions contemplated hereby and thereby (including the Merger).</w:t>
      </w:r>
    </w:p>
    <w:p>
      <w:pPr>
        <w:pStyle w:val="TextBody"/>
        <w:spacing w:lineRule="auto" w:line="288" w:before="0" w:after="180"/>
        <w:ind w:left="0" w:right="0" w:firstLine="720"/>
        <w:jc w:val="both"/>
        <w:rPr/>
      </w:pPr>
      <w:r>
        <w:rPr>
          <w:rFonts w:ascii="Times New Roman;sans-serif" w:hAnsi="Times New Roman;sans-serif"/>
          <w:b/>
          <w:color w:val="000000"/>
          <w:sz w:val="20"/>
        </w:rPr>
        <w:t>Section 5.11</w:t>
      </w:r>
      <w:r>
        <w:rPr>
          <w:rFonts w:ascii="Times New Roman;sans-serif" w:hAnsi="Times New Roman;sans-serif"/>
          <w:b/>
          <w:color w:val="000000"/>
          <w:sz w:val="20"/>
          <w:u w:val="single"/>
        </w:rPr>
        <w:t>Conduct of Business of ARYA.</w:t>
      </w:r>
      <w:r>
        <w:rPr>
          <w:color w:val="000000"/>
        </w:rPr>
        <w:t xml:space="preserve"> </w:t>
      </w:r>
      <w:r>
        <w:rPr>
          <w:rFonts w:ascii="Times New Roman;sans-serif" w:hAnsi="Times New Roman;sans-serif"/>
          <w:b w:val="false"/>
          <w:color w:val="000000"/>
          <w:sz w:val="20"/>
        </w:rPr>
        <w:t xml:space="preserve">From and after the date of this Agreement until the earlier of the Closing or the termination of this 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of the ARYA Disclosure Schedules or as consented to in writing by the Company (such consent, other than in the case of </w:t>
      </w:r>
      <w:r>
        <w:rPr>
          <w:rFonts w:ascii="Times New Roman;sans-serif" w:hAnsi="Times New Roman;sans-serif"/>
          <w:b w:val="false"/>
          <w:color w:val="000000"/>
          <w:sz w:val="20"/>
          <w:u w:val="single"/>
        </w:rPr>
        <w:t>Section 5.11(a)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5.11(h)</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Section 5.11(j)</w:t>
      </w:r>
      <w:r>
        <w:rPr>
          <w:rFonts w:ascii="Times New Roman;sans-serif" w:hAnsi="Times New Roman;sans-serif"/>
          <w:b w:val="false"/>
          <w:color w:val="000000"/>
          <w:sz w:val="20"/>
        </w:rPr>
        <w:t xml:space="preserve">, not to be unreasonably withheld, conditioned or delayed), do any of the following: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adopt any amendments, supplements, restatements or modifications to the Trust Agreement or the Governing Documents of any ARYA Party;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create or form any Subsidiary;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split, combine or reclassify any of its, or any of its Subsidiaries’, capital stock or other Equity Securities or issue any other security in respect of, in lieu of or in substitution for shares of its, or any of its Subsidiaries’, capital stock;</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incur, create or assume any Indebtedness, or guarantee any Liability of any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make any loans or advances to, or capital contributions in, any other Person, other than to, or in, ARYA or any of its Subsidiaries;</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issue any Equity Securities or grant any additional options, warrants or stock appreciation rights with respect to its Equity Securities; </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Times New Roman;sans-serif" w:hAnsi="Times New Roman;sans-serif"/>
          <w:b w:val="false"/>
          <w:color w:val="000000"/>
          <w:sz w:val="20"/>
          <w:u w:val="single"/>
        </w:rPr>
        <w:t>Schedule 4.12</w:t>
      </w:r>
      <w:r>
        <w:rPr>
          <w:color w:val="000000"/>
        </w:rPr>
        <w:t xml:space="preserve"> </w:t>
      </w:r>
      <w:r>
        <w:rPr>
          <w:rFonts w:ascii="Times New Roman;sans-serif" w:hAnsi="Times New Roman;sans-serif"/>
          <w:b w:val="false"/>
          <w:color w:val="000000"/>
          <w:sz w:val="20"/>
        </w:rPr>
        <w:t>of the ARYA Disclosure Schedules), or (ii) enter into any Contract that would constitute an ARYA Affiliated Party Transaction;</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or (iii) those that are administrative or ministerial in nature and less than $20,000 individually, or in the aggregate;</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enter into, or amend or modify any material term of (in a manner adverse to any ARYA Party), terminate (excluding any expiration in accordance with its terms), or waive or release any material rights, </w:t>
      </w:r>
    </w:p>
    <w:p>
      <w:pPr>
        <w:pStyle w:val="HorizontalLine"/>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446" name="Frame4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claims or benefits under, any Contract of a type required to be listed on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 xml:space="preserve">of the ARYA Disclosure Schedules (or any Contract, that if existing on the date hereof, would have been required to be listed on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of the ARYA Disclosure Schedules);</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(i) adopt or amend any ARYA Benefit Plan, or enter into any employment contract or collective bargaining agreement or (ii) hire any person as an employee of ARYA or Merger Sub;</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change any ARYA Party’s methods of accounting in any material respect, other than changes that are made in accordance with PCAOB standards;</w:t>
      </w:r>
    </w:p>
    <w:p>
      <w:pPr>
        <w:pStyle w:val="TextBody"/>
        <w:spacing w:lineRule="auto" w:line="288" w:before="0" w:after="18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authorize, recommend, propose or announce an intention to adopt a plan of complete or partial liquidation or dissolution;</w:t>
      </w:r>
    </w:p>
    <w:p>
      <w:pPr>
        <w:pStyle w:val="TextBody"/>
        <w:spacing w:lineRule="auto" w:line="288" w:before="0" w:after="18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 xml:space="preserve">enter into any Contract with any broker, finder, investment banker or other Person under which such Person is or will be entitled to any brokerage fee, finders’ fee or other commission in connection with the transactions contemplated by this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 xml:space="preserve">make any ARYA Change of Control Payment that is not set forth on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of the ARYA Disclosure Schedules; or</w:t>
      </w:r>
    </w:p>
    <w:p>
      <w:pPr>
        <w:pStyle w:val="TextBody"/>
        <w:spacing w:lineRule="auto" w:line="288" w:before="0" w:after="180"/>
        <w:ind w:left="0" w:right="0" w:firstLine="144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 xml:space="preserve">enter into any Contract to take, or cause to be taken, any of the actions set forth in this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 xml:space="preserve">Notwithstanding anything in this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or this Agreement to the contrary, but without limiting the terms of this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 nothing set forth in this Agreement shall give the Company, directly or indirectly, the right to control or direct the operations of any ARYA Party</w:t>
      </w:r>
    </w:p>
    <w:p>
      <w:pPr>
        <w:pStyle w:val="TextBody"/>
        <w:spacing w:lineRule="auto" w:line="288" w:before="0" w:after="180"/>
        <w:ind w:left="0" w:right="0" w:firstLine="720"/>
        <w:jc w:val="both"/>
        <w:rPr/>
      </w:pPr>
      <w:r>
        <w:rPr>
          <w:rFonts w:ascii="Times New Roman;sans-serif" w:hAnsi="Times New Roman;sans-serif"/>
          <w:b/>
          <w:color w:val="000000"/>
          <w:sz w:val="20"/>
        </w:rPr>
        <w:t>Section 5.12</w:t>
      </w:r>
      <w:r>
        <w:rPr>
          <w:rFonts w:ascii="Times New Roman;sans-serif" w:hAnsi="Times New Roman;sans-serif"/>
          <w:b/>
          <w:color w:val="000000"/>
          <w:sz w:val="20"/>
          <w:u w:val="single"/>
        </w:rPr>
        <w:t>Nasdaq Listing; ARYA Public Filings.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Nasdaq Listing</w:t>
      </w:r>
      <w:r>
        <w:rPr>
          <w:rFonts w:ascii="Times New Roman;sans-serif" w:hAnsi="Times New Roman;sans-serif"/>
          <w:b w:val="false"/>
          <w:color w:val="000000"/>
          <w:sz w:val="20"/>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ARYA Public Filings</w:t>
      </w:r>
      <w:r>
        <w:rPr>
          <w:rFonts w:ascii="Times New Roman;sans-serif" w:hAnsi="Times New Roman;sans-serif"/>
          <w:b w:val="false"/>
          <w:color w:val="000000"/>
          <w:sz w:val="20"/>
        </w:rPr>
        <w:t xml:space="preserve">.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 </w:t>
      </w:r>
    </w:p>
    <w:p>
      <w:pPr>
        <w:pStyle w:val="TextBody"/>
        <w:spacing w:lineRule="auto" w:line="288" w:before="0" w:after="180"/>
        <w:ind w:left="0" w:right="0" w:firstLine="720"/>
        <w:jc w:val="both"/>
        <w:rPr/>
      </w:pPr>
      <w:r>
        <w:rPr>
          <w:rFonts w:ascii="Times New Roman;sans-serif" w:hAnsi="Times New Roman;sans-serif"/>
          <w:b/>
          <w:color w:val="000000"/>
          <w:sz w:val="20"/>
        </w:rPr>
        <w:t>Section 5.13</w:t>
      </w:r>
      <w:r>
        <w:rPr>
          <w:rFonts w:ascii="Times New Roman;sans-serif" w:hAnsi="Times New Roman;sans-serif"/>
          <w:b/>
          <w:color w:val="000000"/>
          <w:sz w:val="20"/>
          <w:u w:val="single"/>
        </w:rPr>
        <w:t>Trust Account.</w:t>
      </w:r>
      <w:r>
        <w:rPr>
          <w:color w:val="000000"/>
        </w:rPr>
        <w:t xml:space="preserve"> </w:t>
      </w:r>
      <w:r>
        <w:rPr>
          <w:rFonts w:ascii="Times New Roman;sans-serif" w:hAnsi="Times New Roman;sans-serif"/>
          <w:b w:val="false"/>
          <w:color w:val="000000"/>
          <w:sz w:val="20"/>
        </w:rPr>
        <w:t xml:space="preserve">Upon satisfaction or, to the extent permitted by applicable Law, waiver of the conditions set forth in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and 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w:t>
      </w:r>
    </w:p>
    <w:p>
      <w:pPr>
        <w:pStyle w:val="HorizontalLine"/>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447" name="Frame4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pStyle w:val="TextBody"/>
        <w:spacing w:lineRule="auto" w:line="288" w:before="0" w:after="180"/>
        <w:ind w:left="0" w:right="0" w:firstLine="720"/>
        <w:jc w:val="both"/>
        <w:rPr/>
      </w:pPr>
      <w:r>
        <w:rPr>
          <w:rFonts w:ascii="Times New Roman;sans-serif" w:hAnsi="Times New Roman;sans-serif"/>
          <w:b/>
          <w:color w:val="000000"/>
          <w:sz w:val="20"/>
        </w:rPr>
        <w:t>Section 5.14</w:t>
      </w:r>
      <w:r>
        <w:rPr>
          <w:rFonts w:ascii="Times New Roman;sans-serif" w:hAnsi="Times New Roman;sans-serif"/>
          <w:b/>
          <w:color w:val="000000"/>
          <w:sz w:val="20"/>
          <w:u w:val="single"/>
        </w:rPr>
        <w:t>Company Shareholder Approval.</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(and in any event within five (5) Business Days) following the date on which the Registration Statement / Proxy Statement is declared effective under the Securities Act (the fifth (5th) Business Day following the date the Registration Statement / Proxy Statement is declared effective under the Securities Act, the “</w:t>
      </w:r>
      <w:r>
        <w:rPr>
          <w:rFonts w:ascii="Times New Roman;sans-serif" w:hAnsi="Times New Roman;sans-serif"/>
          <w:b w:val="false"/>
          <w:color w:val="000000"/>
          <w:sz w:val="20"/>
          <w:u w:val="single"/>
        </w:rPr>
        <w:t>Company Shareholder Written Consent Deadline</w:t>
      </w:r>
      <w:r>
        <w:rPr>
          <w:color w:val="000000"/>
        </w:rPr>
        <w:t>”</w:t>
      </w:r>
      <w:r>
        <w:rPr>
          <w:rFonts w:ascii="Times New Roman;sans-serif" w:hAnsi="Times New Roman;sans-serif"/>
          <w:b w:val="false"/>
          <w:color w:val="000000"/>
          <w:sz w:val="20"/>
        </w:rPr>
        <w:t xml:space="preserve">), the Company shall obtain and deliver to ARYA a true and correct copy of a written consent (in the form attached hereto as </w:t>
      </w:r>
      <w:r>
        <w:rPr>
          <w:rFonts w:ascii="Times New Roman;sans-serif" w:hAnsi="Times New Roman;sans-serif"/>
          <w:b w:val="false"/>
          <w:color w:val="000000"/>
          <w:sz w:val="20"/>
          <w:u w:val="single"/>
        </w:rPr>
        <w:t>Exhibit G</w:t>
      </w:r>
      <w:r>
        <w:rPr>
          <w:rFonts w:ascii="Times New Roman;sans-serif" w:hAnsi="Times New Roman;sans-serif"/>
          <w:b w:val="false"/>
          <w:color w:val="000000"/>
          <w:sz w:val="20"/>
        </w:rPr>
        <w:t>) adopting and approving this Agreement and the transactions contemplated hereby (including the Merger) from the Company Shareholders that hold at least a number of Company Shares equal to the Company Required Shareholder Approval (the “</w:t>
      </w:r>
      <w:r>
        <w:rPr>
          <w:rFonts w:ascii="Times New Roman;sans-serif" w:hAnsi="Times New Roman;sans-serif"/>
          <w:b w:val="false"/>
          <w:color w:val="000000"/>
          <w:sz w:val="20"/>
          <w:u w:val="single"/>
        </w:rPr>
        <w:t>Company Shareholder Written Consent</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pStyle w:val="TextBody"/>
        <w:spacing w:lineRule="auto" w:line="288" w:before="0" w:after="180"/>
        <w:ind w:left="0" w:right="0" w:firstLine="720"/>
        <w:jc w:val="both"/>
        <w:rPr/>
      </w:pPr>
      <w:r>
        <w:rPr>
          <w:rFonts w:ascii="Times New Roman;sans-serif" w:hAnsi="Times New Roman;sans-serif"/>
          <w:b/>
          <w:color w:val="000000"/>
          <w:sz w:val="20"/>
        </w:rPr>
        <w:t>Section 5.15</w:t>
      </w:r>
      <w:r>
        <w:rPr>
          <w:rFonts w:ascii="Times New Roman;sans-serif" w:hAnsi="Times New Roman;sans-serif"/>
          <w:b/>
          <w:color w:val="000000"/>
          <w:sz w:val="20"/>
          <w:u w:val="single"/>
        </w:rPr>
        <w:t>Financing.</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Times New Roman;sans-serif" w:hAnsi="Times New Roman;sans-serif"/>
          <w:b w:val="false"/>
          <w:color w:val="000000"/>
          <w:sz w:val="20"/>
          <w:u w:val="single"/>
        </w:rPr>
        <w:t>Section 5.15(a)</w:t>
      </w:r>
      <w:r>
        <w:rPr>
          <w:rFonts w:ascii="Times New Roman;sans-serif" w:hAnsi="Times New Roman;sans-serif"/>
          <w:b w:val="false"/>
          <w:color w:val="000000"/>
          <w:sz w:val="20"/>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ARYA shall not amend, modify or waive any provisions of any PIPE Subscription Agreement without the prior written consent of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 </w:t>
      </w:r>
    </w:p>
    <w:p>
      <w:pPr>
        <w:pStyle w:val="HorizontalLine"/>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448" name="Frame4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 </w:t>
      </w:r>
    </w:p>
    <w:p>
      <w:pPr>
        <w:pStyle w:val="TextBody"/>
        <w:spacing w:lineRule="auto" w:line="288" w:before="0" w:after="180"/>
        <w:ind w:left="0" w:right="0" w:firstLine="720"/>
        <w:jc w:val="both"/>
        <w:rPr/>
      </w:pPr>
      <w:r>
        <w:rPr>
          <w:rFonts w:ascii="Times New Roman;sans-serif" w:hAnsi="Times New Roman;sans-serif"/>
          <w:b/>
          <w:color w:val="000000"/>
          <w:sz w:val="20"/>
        </w:rPr>
        <w:t>Section 5.16</w:t>
      </w:r>
      <w:r>
        <w:rPr>
          <w:rFonts w:ascii="Times New Roman;sans-serif" w:hAnsi="Times New Roman;sans-serif"/>
          <w:b/>
          <w:color w:val="000000"/>
          <w:sz w:val="20"/>
          <w:u w:val="single"/>
        </w:rPr>
        <w:t>ARYA Indemnification; Directors’ and Officers’ Insurance.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Times New Roman;sans-serif" w:hAnsi="Times New Roman;sans-serif"/>
          <w:b w:val="false"/>
          <w:color w:val="000000"/>
          <w:sz w:val="20"/>
          <w:u w:val="single"/>
        </w:rPr>
        <w:t>ARYA D&amp;O Persons</w:t>
      </w:r>
      <w:r>
        <w:rPr>
          <w:color w:val="000000"/>
        </w:rPr>
        <w:t>”</w:t>
      </w:r>
      <w:r>
        <w:rPr>
          <w:rFonts w:ascii="Times New Roman;sans-serif" w:hAnsi="Times New Roman;sans-serif"/>
          <w:b w:val="false"/>
          <w:color w:val="000000"/>
          <w:sz w:val="20"/>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ARYA shall not have any obligation under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ARYA shall obtain, at or prior to the Closing, and ARYA shall maintain, or cause to be maintained, in effect for a period of six (6) 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 </w:t>
      </w:r>
    </w:p>
    <w:p>
      <w:pPr>
        <w:pStyle w:val="HorizontalLine"/>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449" name="Frame4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policy of ARYA, providing the aforementioned coverage set forth in this </w:t>
      </w:r>
      <w:r>
        <w:rPr>
          <w:rFonts w:ascii="Times New Roman;sans-serif" w:hAnsi="Times New Roman;sans-serif"/>
          <w:b w:val="false"/>
          <w:color w:val="000000"/>
          <w:sz w:val="20"/>
          <w:u w:val="single"/>
        </w:rPr>
        <w:t>Section 5.16(d)</w:t>
      </w:r>
      <w:r>
        <w:rPr>
          <w:color w:val="000000"/>
        </w:rPr>
        <w:t xml:space="preserve"> </w:t>
      </w:r>
      <w:r>
        <w:rPr>
          <w:rFonts w:ascii="Times New Roman;sans-serif" w:hAnsi="Times New Roman;sans-serif"/>
          <w:b w:val="false"/>
          <w:color w:val="000000"/>
          <w:sz w:val="20"/>
        </w:rPr>
        <w:t xml:space="preserve">(including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Persons entitled to the indemnification, liability limitation, exculpation or insurance coverage set forth in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 xml:space="preserve">are intended to be third-party beneficiaries of this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shall survive the consummation of the transactions contemplated by this Agreement and shall be binding on all successors and assigns of ARYA.</w:t>
      </w:r>
    </w:p>
    <w:p>
      <w:pPr>
        <w:pStyle w:val="TextBody"/>
        <w:spacing w:lineRule="auto" w:line="288" w:before="0" w:after="180"/>
        <w:ind w:left="0" w:right="0" w:firstLine="720"/>
        <w:jc w:val="both"/>
        <w:rPr/>
      </w:pPr>
      <w:r>
        <w:rPr>
          <w:rFonts w:ascii="Times New Roman;sans-serif" w:hAnsi="Times New Roman;sans-serif"/>
          <w:b/>
          <w:color w:val="000000"/>
          <w:sz w:val="20"/>
        </w:rPr>
        <w:t>Section 5.17</w:t>
      </w:r>
      <w:r>
        <w:rPr>
          <w:rFonts w:ascii="Times New Roman;sans-serif" w:hAnsi="Times New Roman;sans-serif"/>
          <w:b/>
          <w:color w:val="000000"/>
          <w:sz w:val="20"/>
          <w:u w:val="single"/>
        </w:rPr>
        <w:t>Company Indemnification; Directors’ and Officers’ Insurance.</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Times New Roman;sans-serif" w:hAnsi="Times New Roman;sans-serif"/>
          <w:b w:val="false"/>
          <w:color w:val="000000"/>
          <w:sz w:val="20"/>
          <w:u w:val="single"/>
        </w:rPr>
        <w:t>Company D&amp;O Persons</w:t>
      </w:r>
      <w:r>
        <w:rPr>
          <w:color w:val="000000"/>
        </w:rPr>
        <w:t>”</w:t>
      </w:r>
      <w:r>
        <w:rPr>
          <w:rFonts w:ascii="Times New Roman;sans-serif" w:hAnsi="Times New Roman;sans-serif"/>
          <w:b w:val="false"/>
          <w:color w:val="000000"/>
          <w:sz w:val="20"/>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ARYA or the Group Companies shall have any obligation under this </w:t>
      </w:r>
      <w:r>
        <w:rPr>
          <w:rFonts w:ascii="Times New Roman;sans-serif" w:hAnsi="Times New Roman;sans-serif"/>
          <w:b w:val="false"/>
          <w:color w:val="000000"/>
          <w:sz w:val="20"/>
          <w:u w:val="single"/>
        </w:rPr>
        <w:t>Section 5.17</w:t>
      </w:r>
      <w:r>
        <w:rPr>
          <w:color w:val="000000"/>
        </w:rPr>
        <w:t xml:space="preserve"> </w:t>
      </w:r>
      <w:r>
        <w:rPr>
          <w:rFonts w:ascii="Times New Roman;sans-serif" w:hAnsi="Times New Roman;sans-serif"/>
          <w:b w:val="false"/>
          <w:color w:val="000000"/>
          <w:sz w:val="20"/>
        </w:rPr>
        <w:t>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 xml:space="preserve">, providing the aforementioned </w:t>
      </w:r>
    </w:p>
    <w:p>
      <w:pPr>
        <w:pStyle w:val="HorizontalLine"/>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450" name="Frame4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coverage set forth in this </w:t>
      </w:r>
      <w:r>
        <w:rPr>
          <w:rFonts w:ascii="Times New Roman;sans-serif" w:hAnsi="Times New Roman;sans-serif"/>
          <w:b w:val="false"/>
          <w:color w:val="000000"/>
          <w:sz w:val="20"/>
          <w:u w:val="single"/>
        </w:rPr>
        <w:t>Section 5.17(c)</w:t>
      </w:r>
      <w:r>
        <w:rPr>
          <w:rFonts w:ascii="Times New Roman;sans-serif" w:hAnsi="Times New Roman;sans-serif"/>
          <w:b w:val="false"/>
          <w:color w:val="000000"/>
          <w:sz w:val="20"/>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 </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 Persons entitled to the indemnification, liability limitation, exculpation or insurance coverage set forth in this Section 5.17 are intended to be third-party beneficiaries of this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5.17</w:t>
      </w:r>
      <w:r>
        <w:rPr>
          <w:color w:val="000000"/>
        </w:rPr>
        <w:t xml:space="preserve"> </w:t>
      </w:r>
      <w:r>
        <w:rPr>
          <w:rFonts w:ascii="Times New Roman;sans-serif" w:hAnsi="Times New Roman;sans-serif"/>
          <w:b w:val="false"/>
          <w:color w:val="000000"/>
          <w:sz w:val="20"/>
        </w:rPr>
        <w:t>shall survive the consummation of the transactions contemplated by this Agreement and shall be binding on all successors and assigns of ARYA.</w:t>
      </w:r>
    </w:p>
    <w:p>
      <w:pPr>
        <w:pStyle w:val="TextBody"/>
        <w:spacing w:lineRule="auto" w:line="288" w:before="0" w:after="180"/>
        <w:ind w:left="0" w:right="0" w:firstLine="720"/>
        <w:jc w:val="both"/>
        <w:rPr/>
      </w:pPr>
      <w:r>
        <w:rPr>
          <w:rFonts w:ascii="Times New Roman;sans-serif" w:hAnsi="Times New Roman;sans-serif"/>
          <w:b/>
          <w:color w:val="000000"/>
          <w:sz w:val="20"/>
        </w:rPr>
        <w:t>Section 5.18</w:t>
      </w:r>
      <w:r>
        <w:rPr>
          <w:rFonts w:ascii="Times New Roman;sans-serif" w:hAnsi="Times New Roman;sans-serif"/>
          <w:b/>
          <w:color w:val="000000"/>
          <w:sz w:val="20"/>
          <w:u w:val="single"/>
        </w:rPr>
        <w:t>Post-Closing Directors and Officers.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an individual is not identified to serve as a director pursuant to </w:t>
      </w:r>
      <w:r>
        <w:rPr>
          <w:rFonts w:ascii="Times New Roman;sans-serif" w:hAnsi="Times New Roman;sans-serif"/>
          <w:b w:val="false"/>
          <w:color w:val="000000"/>
          <w:sz w:val="20"/>
          <w:u w:val="single"/>
        </w:rPr>
        <w:t>Section 5.18(d)</w:t>
      </w:r>
      <w:r>
        <w:rPr>
          <w:rFonts w:ascii="Times New Roman;sans-serif" w:hAnsi="Times New Roman;sans-serif"/>
          <w:b w:val="false"/>
          <w:color w:val="000000"/>
          <w:sz w:val="20"/>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Times New Roman;sans-serif" w:hAnsi="Times New Roman;sans-serif"/>
          <w:b w:val="false"/>
          <w:color w:val="000000"/>
          <w:sz w:val="20"/>
          <w:u w:val="single"/>
        </w:rPr>
        <w:t>Section 5.18(b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5.18(d)</w:t>
      </w:r>
      <w:r>
        <w:rPr>
          <w:rFonts w:ascii="Times New Roman;sans-serif" w:hAnsi="Times New Roman;sans-serif"/>
          <w:b w:val="false"/>
          <w:color w:val="000000"/>
          <w:sz w:val="20"/>
        </w:rPr>
        <w:t xml:space="preserve">; (iii) the members of the compensation committee, audit committee and nominating committee of the ARYA Board are the individuals determined in accordance with </w:t>
      </w:r>
      <w:r>
        <w:rPr>
          <w:rFonts w:ascii="Times New Roman;sans-serif" w:hAnsi="Times New Roman;sans-serif"/>
          <w:b w:val="false"/>
          <w:color w:val="000000"/>
          <w:sz w:val="20"/>
          <w:u w:val="single"/>
        </w:rPr>
        <w:t>Section 5.18(e)</w:t>
      </w:r>
      <w:r>
        <w:rPr>
          <w:rFonts w:ascii="Times New Roman;sans-serif" w:hAnsi="Times New Roman;sans-serif"/>
          <w:b w:val="false"/>
          <w:color w:val="000000"/>
          <w:sz w:val="20"/>
        </w:rPr>
        <w:t>; and (iv) the officers of ARYA (the “</w:t>
      </w:r>
      <w:r>
        <w:rPr>
          <w:rFonts w:ascii="Times New Roman;sans-serif" w:hAnsi="Times New Roman;sans-serif"/>
          <w:b w:val="false"/>
          <w:color w:val="000000"/>
          <w:sz w:val="20"/>
          <w:u w:val="single"/>
        </w:rPr>
        <w:t>Officers</w:t>
      </w:r>
      <w:r>
        <w:rPr>
          <w:color w:val="000000"/>
        </w:rPr>
        <w:t>”</w:t>
      </w:r>
      <w:r>
        <w:rPr>
          <w:rFonts w:ascii="Times New Roman;sans-serif" w:hAnsi="Times New Roman;sans-serif"/>
          <w:b w:val="false"/>
          <w:color w:val="000000"/>
          <w:sz w:val="20"/>
        </w:rPr>
        <w:t xml:space="preserve">) are the individuals determined in accordance with </w:t>
      </w:r>
      <w:r>
        <w:rPr>
          <w:rFonts w:ascii="Times New Roman;sans-serif" w:hAnsi="Times New Roman;sans-serif"/>
          <w:b w:val="false"/>
          <w:color w:val="000000"/>
          <w:sz w:val="20"/>
          <w:u w:val="single"/>
        </w:rPr>
        <w:t>Section 5.18(f)</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individual identified on </w:t>
      </w:r>
      <w:r>
        <w:rPr>
          <w:rFonts w:ascii="Times New Roman;sans-serif" w:hAnsi="Times New Roman;sans-serif"/>
          <w:b w:val="false"/>
          <w:color w:val="000000"/>
          <w:sz w:val="20"/>
          <w:u w:val="single"/>
        </w:rPr>
        <w:t>Section 5.18(b</w:t>
      </w:r>
      <w:r>
        <w:rPr>
          <w:rFonts w:ascii="Times New Roman;sans-serif" w:hAnsi="Times New Roman;sans-serif"/>
          <w:b w:val="false"/>
          <w:color w:val="000000"/>
          <w:sz w:val="20"/>
        </w:rPr>
        <w:t>) of the ARYA Disclosure Schedules shall be a director on the ARYA Board immediately after the Effective Time, with such individual being in the class of directors set forth opposite his or her name (the “</w:t>
      </w:r>
      <w:r>
        <w:rPr>
          <w:rFonts w:ascii="Times New Roman;sans-serif" w:hAnsi="Times New Roman;sans-serif"/>
          <w:b w:val="false"/>
          <w:color w:val="000000"/>
          <w:sz w:val="20"/>
          <w:u w:val="single"/>
        </w:rPr>
        <w:t>ARYA Designee</w:t>
      </w:r>
      <w:r>
        <w:rPr>
          <w:color w:val="000000"/>
        </w:rPr>
        <w:t>”</w:t>
      </w:r>
      <w:r>
        <w:rPr>
          <w:rFonts w:ascii="Times New Roman;sans-serif" w:hAnsi="Times New Roman;sans-serif"/>
          <w:b w:val="false"/>
          <w:color w:val="000000"/>
          <w:sz w:val="20"/>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Times New Roman;sans-serif" w:hAnsi="Times New Roman;sans-serif"/>
          <w:b w:val="false"/>
          <w:color w:val="000000"/>
          <w:sz w:val="20"/>
          <w:u w:val="single"/>
        </w:rPr>
        <w:t>Section 5.18(b)</w:t>
      </w:r>
      <w:r>
        <w:rPr>
          <w:color w:val="000000"/>
        </w:rPr>
        <w:t xml:space="preserve"> </w:t>
      </w:r>
      <w:r>
        <w:rPr>
          <w:rFonts w:ascii="Times New Roman;sans-serif" w:hAnsi="Times New Roman;sans-serif"/>
          <w:b w:val="false"/>
          <w:color w:val="000000"/>
          <w:sz w:val="20"/>
        </w:rPr>
        <w:t>of the ARYA Disclosure Schedules shall automatically be deemed amended to include such replacement individual as the ARYA Designee in lieu of, and to serve in the same class of directors as, the individual so replaced.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seven (7) individuals identified on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of the Company Disclosure Schedules shall be directors on the ARYA Board immediately after the Effective Time, with each such individual being in the class of directors set forth opposite his or her name (each, a “</w:t>
      </w:r>
      <w:r>
        <w:rPr>
          <w:rFonts w:ascii="Times New Roman;sans-serif" w:hAnsi="Times New Roman;sans-serif"/>
          <w:b w:val="false"/>
          <w:color w:val="000000"/>
          <w:sz w:val="20"/>
          <w:u w:val="single"/>
        </w:rPr>
        <w:t>Company Designee</w:t>
      </w:r>
      <w:r>
        <w:rPr>
          <w:color w:val="000000"/>
        </w:rPr>
        <w:t>”</w:t>
      </w:r>
      <w:r>
        <w:rPr>
          <w:rFonts w:ascii="Times New Roman;sans-serif" w:hAnsi="Times New Roman;sans-serif"/>
          <w:b w:val="false"/>
          <w:color w:val="000000"/>
          <w:sz w:val="20"/>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 xml:space="preserve">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 </w:t>
      </w:r>
    </w:p>
    <w:p>
      <w:pPr>
        <w:pStyle w:val="HorizontalLine"/>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451" name="Frame4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consent to the replacement of any such Company Designee pursuant to this clause (ii), then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or otherwise).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individuals identified on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 xml:space="preserve">of the Company Disclosure Schedules shall be Officers immediately after the Effective Time, with each such individual holding the title set forth opposite his or her name. In the event that any such individual identified on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 xml:space="preserve">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of the Company Disclosure Schedules shall automatically be deemed amended to include such replacement individual as an Officer in lieu of, and to serve with the same title as, the individual so replaced.</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The obligations of ARYA pursuant to </w:t>
      </w:r>
      <w:r>
        <w:rPr>
          <w:rFonts w:ascii="Times New Roman;sans-serif" w:hAnsi="Times New Roman;sans-serif"/>
          <w:b w:val="false"/>
          <w:color w:val="000000"/>
          <w:sz w:val="20"/>
          <w:u w:val="single"/>
        </w:rPr>
        <w:t>Section 5.18(a)</w:t>
      </w:r>
      <w:r>
        <w:rPr>
          <w:color w:val="000000"/>
        </w:rPr>
        <w:t xml:space="preserve"> </w:t>
      </w:r>
      <w:r>
        <w:rPr>
          <w:rFonts w:ascii="Times New Roman;sans-serif" w:hAnsi="Times New Roman;sans-serif"/>
          <w:b w:val="false"/>
          <w:color w:val="000000"/>
          <w:sz w:val="20"/>
        </w:rPr>
        <w:t>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pStyle w:val="TextBody"/>
        <w:spacing w:lineRule="auto" w:line="288" w:before="0" w:after="180"/>
        <w:ind w:left="0" w:right="0" w:firstLine="720"/>
        <w:jc w:val="both"/>
        <w:rPr/>
      </w:pPr>
      <w:r>
        <w:rPr>
          <w:rFonts w:ascii="Times New Roman;sans-serif" w:hAnsi="Times New Roman;sans-serif"/>
          <w:b/>
          <w:color w:val="000000"/>
          <w:sz w:val="20"/>
        </w:rPr>
        <w:t>Section 5.19</w:t>
      </w:r>
      <w:r>
        <w:rPr>
          <w:rFonts w:ascii="Times New Roman;sans-serif" w:hAnsi="Times New Roman;sans-serif"/>
          <w:b/>
          <w:color w:val="000000"/>
          <w:sz w:val="20"/>
          <w:u w:val="single"/>
        </w:rPr>
        <w:t>PCAOB Financials.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Company shall deliver to ARYA, (i) as promptly as reasonably practicable following the date of this Agreement, the audited consolidated balance sheets of the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Times New Roman;sans-serif" w:hAnsi="Times New Roman;sans-serif"/>
          <w:b w:val="false"/>
          <w:color w:val="000000"/>
          <w:sz w:val="20"/>
          <w:u w:val="single"/>
        </w:rPr>
        <w:t>Closing Company Audited Financial Statements</w:t>
      </w:r>
      <w:r>
        <w:rPr>
          <w:color w:val="000000"/>
        </w:rPr>
        <w:t>”</w:t>
      </w:r>
      <w:r>
        <w:rPr>
          <w:rFonts w:ascii="Times New Roman;sans-serif" w:hAnsi="Times New Roman;sans-serif"/>
          <w:b w:val="false"/>
          <w:color w:val="000000"/>
          <w:sz w:val="20"/>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Times New Roman;sans-serif" w:hAnsi="Times New Roman;sans-serif"/>
          <w:b w:val="false"/>
          <w:color w:val="000000"/>
          <w:sz w:val="20"/>
          <w:u w:val="single"/>
        </w:rPr>
        <w:t>Other Closing Company Financial Statements</w:t>
      </w:r>
      <w:r>
        <w:rPr>
          <w:color w:val="000000"/>
        </w:rPr>
        <w:t>”</w:t>
      </w:r>
      <w:r>
        <w:rPr>
          <w:rFonts w:ascii="Times New Roman;sans-serif" w:hAnsi="Times New Roman;sans-serif"/>
          <w:b w:val="false"/>
          <w:color w:val="000000"/>
          <w:sz w:val="20"/>
        </w:rPr>
        <w:t>, and collectively with the Closing Company Audited Financial Statements, the “</w:t>
      </w:r>
      <w:r>
        <w:rPr>
          <w:rFonts w:ascii="Times New Roman;sans-serif" w:hAnsi="Times New Roman;sans-serif"/>
          <w:b w:val="false"/>
          <w:color w:val="000000"/>
          <w:sz w:val="20"/>
          <w:u w:val="single"/>
        </w:rPr>
        <w:t>Closing Company Financial Statements</w:t>
      </w:r>
      <w:r>
        <w:rPr>
          <w:color w:val="000000"/>
        </w:rPr>
        <w:t>”</w:t>
      </w:r>
      <w:r>
        <w:rPr>
          <w:rFonts w:ascii="Times New Roman;sans-serif" w:hAnsi="Times New Roman;sans-serif"/>
          <w:b w:val="false"/>
          <w:color w:val="000000"/>
          <w:sz w:val="20"/>
        </w:rPr>
        <w:t xml:space="preserve">).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w:t>
      </w:r>
    </w:p>
    <w:p>
      <w:pPr>
        <w:pStyle w:val="HorizontalLine"/>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452" name="Frame4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pStyle w:val="TextBody"/>
        <w:spacing w:lineRule="auto" w:line="288" w:before="0" w:after="180"/>
        <w:ind w:left="0" w:right="0" w:firstLine="720"/>
        <w:jc w:val="both"/>
        <w:rPr/>
      </w:pPr>
      <w:r>
        <w:rPr>
          <w:rFonts w:ascii="Times New Roman;sans-serif" w:hAnsi="Times New Roman;sans-serif"/>
          <w:b/>
          <w:color w:val="000000"/>
          <w:sz w:val="20"/>
        </w:rPr>
        <w:t>Section 5.20</w:t>
      </w:r>
      <w:r>
        <w:rPr>
          <w:rFonts w:ascii="Times New Roman;sans-serif" w:hAnsi="Times New Roman;sans-serif"/>
          <w:b/>
          <w:color w:val="000000"/>
          <w:sz w:val="20"/>
          <w:u w:val="single"/>
        </w:rPr>
        <w:t>ARYA Incentive Equity Plan; ARYA Employee Stock Purchase Plan.</w:t>
      </w:r>
      <w:r>
        <w:rPr>
          <w:color w:val="000000"/>
        </w:rPr>
        <w:t xml:space="preserve"> </w:t>
      </w:r>
      <w:r>
        <w:rPr>
          <w:rFonts w:ascii="Times New Roman;sans-serif" w:hAnsi="Times New Roman;sans-serif"/>
          <w:b w:val="false"/>
          <w:color w:val="000000"/>
          <w:sz w:val="20"/>
        </w:rPr>
        <w:t xml:space="preserve">Prior to the ARYA Shareholders Meeting, the ARYA Board shall approve and adopt (a) the equity incentive plan, in substantially the form attached as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and with any changes or modifications thereto as the Company and ARYA may mutually agree (such agreement not to be unreasonably withheld, conditioned or delayed by either the Company or ARYA, as applicable) (the “</w:t>
      </w:r>
      <w:r>
        <w:rPr>
          <w:rFonts w:ascii="Times New Roman;sans-serif" w:hAnsi="Times New Roman;sans-serif"/>
          <w:b w:val="false"/>
          <w:color w:val="000000"/>
          <w:sz w:val="20"/>
          <w:u w:val="single"/>
        </w:rPr>
        <w:t>ARYA Incentive Equity Plan</w:t>
      </w:r>
      <w:r>
        <w:rPr>
          <w:color w:val="000000"/>
        </w:rPr>
        <w:t>”</w:t>
      </w:r>
      <w:r>
        <w:rPr>
          <w:rFonts w:ascii="Times New Roman;sans-serif" w:hAnsi="Times New Roman;sans-serif"/>
          <w:b w:val="false"/>
          <w:color w:val="000000"/>
          <w:sz w:val="20"/>
        </w:rPr>
        <w:t xml:space="preserve">),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w:t>
      </w:r>
      <w:r>
        <w:rPr>
          <w:rFonts w:ascii="Times New Roman;sans-serif" w:hAnsi="Times New Roman;sans-serif"/>
          <w:b w:val="false"/>
          <w:color w:val="000000"/>
          <w:sz w:val="20"/>
          <w:u w:val="single"/>
        </w:rPr>
        <w:t>Exhibit I</w:t>
      </w:r>
      <w:r>
        <w:rPr>
          <w:color w:val="000000"/>
        </w:rPr>
        <w:t xml:space="preserve"> </w:t>
      </w:r>
      <w:r>
        <w:rPr>
          <w:rFonts w:ascii="Times New Roman;sans-serif" w:hAnsi="Times New Roman;sans-serif"/>
          <w:b w:val="false"/>
          <w:color w:val="000000"/>
          <w:sz w:val="20"/>
        </w:rPr>
        <w:t>and with any changes or modifications thereto as the Company and ARYA may mutually agree (such agreement not to be unreasonably withheld, conditioned or delayed by either the Company or ARYA, as applicable) (the “</w:t>
      </w:r>
      <w:r>
        <w:rPr>
          <w:rFonts w:ascii="Times New Roman;sans-serif" w:hAnsi="Times New Roman;sans-serif"/>
          <w:b w:val="false"/>
          <w:color w:val="000000"/>
          <w:sz w:val="20"/>
          <w:u w:val="single"/>
        </w:rPr>
        <w:t>ARYA Employee Stock Purchase Plan</w:t>
      </w:r>
      <w:r>
        <w:rPr>
          <w:color w:val="000000"/>
        </w:rPr>
        <w:t>”</w:t>
      </w:r>
      <w:r>
        <w:rPr>
          <w:rFonts w:ascii="Times New Roman;sans-serif" w:hAnsi="Times New Roman;sans-serif"/>
          <w:b w:val="false"/>
          <w:color w:val="000000"/>
          <w:sz w:val="20"/>
        </w:rPr>
        <w:t xml:space="preserve">),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 </w:t>
      </w:r>
    </w:p>
    <w:p>
      <w:pPr>
        <w:pStyle w:val="TextBody"/>
        <w:spacing w:lineRule="auto" w:line="288" w:before="0" w:after="180"/>
        <w:ind w:left="0" w:right="0" w:firstLine="720"/>
        <w:jc w:val="both"/>
        <w:rPr/>
      </w:pPr>
      <w:r>
        <w:rPr>
          <w:rFonts w:ascii="Times New Roman;sans-serif" w:hAnsi="Times New Roman;sans-serif"/>
          <w:b/>
          <w:color w:val="000000"/>
          <w:sz w:val="20"/>
        </w:rPr>
        <w:t>Section 5.21</w:t>
      </w:r>
      <w:r>
        <w:rPr>
          <w:rFonts w:ascii="Times New Roman;sans-serif" w:hAnsi="Times New Roman;sans-serif"/>
          <w:b/>
          <w:color w:val="000000"/>
          <w:sz w:val="20"/>
          <w:u w:val="single"/>
        </w:rPr>
        <w:t>FIRPTA Certificates.</w:t>
      </w:r>
      <w:r>
        <w:rPr>
          <w:color w:val="000000"/>
        </w:rPr>
        <w:t xml:space="preserve"> </w:t>
      </w:r>
      <w:r>
        <w:rPr>
          <w:rFonts w:ascii="Times New Roman;sans-serif" w:hAnsi="Times New Roman;sans-serif"/>
          <w:b w:val="false"/>
          <w:color w:val="000000"/>
          <w:sz w:val="20"/>
        </w:rPr>
        <w:t>At or prior to the Closing, the Company shall deliver, or cause to be delivered, to ARYA a certificate, 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pStyle w:val="TextBody"/>
        <w:spacing w:lineRule="auto" w:line="288" w:before="0" w:after="180"/>
        <w:ind w:left="0" w:right="0" w:firstLine="720"/>
        <w:jc w:val="both"/>
        <w:rPr/>
      </w:pPr>
      <w:r>
        <w:rPr>
          <w:rFonts w:ascii="Times New Roman;sans-serif" w:hAnsi="Times New Roman;sans-serif"/>
          <w:b/>
          <w:color w:val="000000"/>
          <w:sz w:val="20"/>
        </w:rPr>
        <w:t>Section 5.22</w:t>
      </w:r>
      <w:r>
        <w:rPr>
          <w:rFonts w:ascii="Times New Roman;sans-serif" w:hAnsi="Times New Roman;sans-serif"/>
          <w:b/>
          <w:color w:val="000000"/>
          <w:sz w:val="20"/>
          <w:u w:val="single"/>
        </w:rPr>
        <w:t>Employee Benefits Matters.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Times New Roman;sans-serif" w:hAnsi="Times New Roman;sans-serif"/>
          <w:b w:val="false"/>
          <w:color w:val="000000"/>
          <w:sz w:val="20"/>
          <w:u w:val="single"/>
        </w:rPr>
        <w:t>Continuing Employees</w:t>
      </w:r>
      <w:r>
        <w:rPr>
          <w:color w:val="000000"/>
        </w:rPr>
        <w:t>”</w:t>
      </w:r>
      <w:r>
        <w:rPr>
          <w:rFonts w:ascii="Times New Roman;sans-serif" w:hAnsi="Times New Roman;sans-serif"/>
          <w:b w:val="false"/>
          <w:color w:val="000000"/>
          <w:sz w:val="20"/>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 </w:t>
      </w:r>
    </w:p>
    <w:p>
      <w:pPr>
        <w:pStyle w:val="HorizontalLine"/>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453" name="Frame4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provisions of this </w:t>
      </w:r>
      <w:r>
        <w:rPr>
          <w:rFonts w:ascii="Times New Roman;sans-serif" w:hAnsi="Times New Roman;sans-serif"/>
          <w:b w:val="false"/>
          <w:color w:val="000000"/>
          <w:sz w:val="20"/>
          <w:u w:val="single"/>
        </w:rPr>
        <w:t>Section 5.22</w:t>
      </w:r>
      <w:r>
        <w:rPr>
          <w:color w:val="000000"/>
        </w:rPr>
        <w:t xml:space="preserve"> </w:t>
      </w:r>
      <w:r>
        <w:rPr>
          <w:rFonts w:ascii="Times New Roman;sans-serif" w:hAnsi="Times New Roman;sans-serif"/>
          <w:b w:val="false"/>
          <w:color w:val="000000"/>
          <w:sz w:val="20"/>
        </w:rPr>
        <w:t>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pStyle w:val="TextBody"/>
        <w:spacing w:lineRule="auto" w:line="288" w:before="0" w:after="180"/>
        <w:ind w:left="0" w:right="0" w:firstLine="720"/>
        <w:jc w:val="both"/>
        <w:rPr/>
      </w:pPr>
      <w:r>
        <w:rPr>
          <w:rFonts w:ascii="Times New Roman;sans-serif" w:hAnsi="Times New Roman;sans-serif"/>
          <w:b/>
          <w:color w:val="000000"/>
          <w:sz w:val="20"/>
        </w:rPr>
        <w:t>Section 5.23</w:t>
      </w:r>
      <w:r>
        <w:rPr>
          <w:rFonts w:ascii="Times New Roman;sans-serif" w:hAnsi="Times New Roman;sans-serif"/>
          <w:b/>
          <w:color w:val="000000"/>
          <w:sz w:val="20"/>
          <w:u w:val="single"/>
        </w:rPr>
        <w:t>Bylaws.</w:t>
      </w:r>
      <w:r>
        <w:rPr>
          <w:color w:val="000000"/>
        </w:rPr>
        <w:t xml:space="preserve"> </w:t>
      </w:r>
      <w:r>
        <w:rPr>
          <w:rFonts w:ascii="Times New Roman;sans-serif" w:hAnsi="Times New Roman;sans-serif"/>
          <w:b w:val="false"/>
          <w:color w:val="000000"/>
          <w:sz w:val="20"/>
        </w:rPr>
        <w:t>Prior to the occurrence of the Effective Time, ARYA shall adopt, or cause to be adopted, the ARYA Bylaws in accordance with applicable Law.</w:t>
      </w:r>
    </w:p>
    <w:p>
      <w:pPr>
        <w:pStyle w:val="TextBody"/>
        <w:spacing w:lineRule="auto" w:line="288" w:before="0" w:after="180"/>
        <w:ind w:left="0" w:right="0" w:firstLine="720"/>
        <w:jc w:val="both"/>
        <w:rPr/>
      </w:pPr>
      <w:r>
        <w:rPr>
          <w:rFonts w:ascii="Times New Roman;sans-serif" w:hAnsi="Times New Roman;sans-serif"/>
          <w:b/>
          <w:color w:val="000000"/>
          <w:sz w:val="20"/>
        </w:rPr>
        <w:t>Section 5.24</w:t>
      </w:r>
      <w:r>
        <w:rPr>
          <w:rFonts w:ascii="Times New Roman;sans-serif" w:hAnsi="Times New Roman;sans-serif"/>
          <w:b/>
          <w:color w:val="000000"/>
          <w:sz w:val="20"/>
          <w:u w:val="single"/>
        </w:rPr>
        <w:t>Company Change of Name.</w:t>
      </w:r>
      <w:r>
        <w:rPr>
          <w:color w:val="000000"/>
        </w:rPr>
        <w:t xml:space="preserve"> </w:t>
      </w:r>
      <w:r>
        <w:rPr>
          <w:rFonts w:ascii="Times New Roman;sans-serif" w:hAnsi="Times New Roman;sans-serif"/>
          <w:b w:val="false"/>
          <w:color w:val="000000"/>
          <w:sz w:val="20"/>
        </w:rPr>
        <w:t>At least two Business Days prior to the Closing Date, the Company shall cause its name to be changed to “Nautilus Subsidiary, Inc.” (or such other name as may be mutually agreed by ARYA and the Company) and provide evidence of the same to ARYA.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6</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CONDITIONS TO CONSUMMATION OF THE TRANSACTIONS CONTEMPLATED BY THIS AGREEMENT</w:t>
      </w:r>
    </w:p>
    <w:p>
      <w:pPr>
        <w:pStyle w:val="TextBody"/>
        <w:spacing w:lineRule="auto" w:line="288" w:before="0" w:after="180"/>
        <w:ind w:left="0" w:right="0" w:firstLine="720"/>
        <w:jc w:val="both"/>
        <w:rPr/>
      </w:pPr>
      <w:r>
        <w:rPr>
          <w:rFonts w:ascii="Times New Roman;sans-serif" w:hAnsi="Times New Roman;sans-serif"/>
          <w:b/>
          <w:color w:val="000000"/>
          <w:sz w:val="20"/>
        </w:rPr>
        <w:t>Section 6.1</w:t>
      </w:r>
      <w:r>
        <w:rPr>
          <w:rFonts w:ascii="Times New Roman;sans-serif" w:hAnsi="Times New Roman;sans-serif"/>
          <w:b/>
          <w:color w:val="000000"/>
          <w:sz w:val="20"/>
          <w:u w:val="single"/>
        </w:rPr>
        <w:t>Conditions to the Obligations of the Parties.</w:t>
      </w:r>
      <w:r>
        <w:rPr>
          <w:color w:val="000000"/>
        </w:rPr>
        <w:t xml:space="preserve"> </w:t>
      </w:r>
      <w:r>
        <w:rPr>
          <w:rFonts w:ascii="Times New Roman;sans-serif" w:hAnsi="Times New Roman;sans-serif"/>
          <w:b w:val="false"/>
          <w:color w:val="000000"/>
          <w:sz w:val="20"/>
        </w:rPr>
        <w:t>The obligations of the Parties to consummate the transactions contemplated by this Agreement are subject to the satisfaction or, if permitted by applicable Law, written waiver by all of the Parties, of the following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applicable waiting period under the HSR Act relating to the transactions contemplated by this Agreement shall have expired, been terminated or obtained (or deemed, by applicable Law, to have been obtained),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Order, Law or other legal restraint or prohibition issued by any court of competent jurisdiction or other Governmental Entity of competent jurisdiction enjoining or prohibiting the consummation of the Domestication or the Merger(the “</w:t>
      </w:r>
      <w:r>
        <w:rPr>
          <w:rFonts w:ascii="Times New Roman;sans-serif" w:hAnsi="Times New Roman;sans-serif"/>
          <w:b w:val="false"/>
          <w:color w:val="000000"/>
          <w:sz w:val="20"/>
          <w:u w:val="single"/>
        </w:rPr>
        <w:t>Closing Transactions</w:t>
      </w:r>
      <w:r>
        <w:rPr>
          <w:color w:val="000000"/>
        </w:rPr>
        <w:t>”</w:t>
      </w:r>
      <w:r>
        <w:rPr>
          <w:rFonts w:ascii="Times New Roman;sans-serif" w:hAnsi="Times New Roman;sans-serif"/>
          <w:b w:val="false"/>
          <w:color w:val="000000"/>
          <w:sz w:val="20"/>
        </w:rPr>
        <w:t>) shall be in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 Required Shareholder Approval shall have been obtained;</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Required ARYA Shareholder Approval shall have been obtained;</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 </w:t>
      </w:r>
    </w:p>
    <w:p>
      <w:pPr>
        <w:pStyle w:val="HorizontalLine"/>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454" name="Frame4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ARYA Shares (including the ARYA Shares to be issued hereunder) shall have been approved for listing on Nasdaq; and</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after giving effect to the transactions contemplated hereby (including after giving effect to the PIPE Financing and after giving effect to the ARYA Shareholder Redemption), ARYA shall have at least $5,000,001 of net tangible assets (as determined in accordance with Rule 3a51-1(g)(1) of the Exchange Act) immediately after the Effective Time.</w:t>
      </w:r>
    </w:p>
    <w:p>
      <w:pPr>
        <w:pStyle w:val="TextBody"/>
        <w:spacing w:lineRule="auto" w:line="288" w:before="0" w:after="180"/>
        <w:ind w:left="0" w:right="0" w:firstLine="720"/>
        <w:jc w:val="both"/>
        <w:rPr/>
      </w:pPr>
      <w:r>
        <w:rPr>
          <w:rFonts w:ascii="Times New Roman;sans-serif" w:hAnsi="Times New Roman;sans-serif"/>
          <w:b/>
          <w:color w:val="000000"/>
          <w:sz w:val="20"/>
        </w:rPr>
        <w:t>Section 6.2</w:t>
      </w:r>
      <w:r>
        <w:rPr>
          <w:rFonts w:ascii="Times New Roman;sans-serif" w:hAnsi="Times New Roman;sans-serif"/>
          <w:b/>
          <w:color w:val="000000"/>
          <w:sz w:val="20"/>
          <w:u w:val="single"/>
        </w:rPr>
        <w:t>Other Conditions to the Obligations of the ARYA Parties.</w:t>
      </w:r>
      <w:r>
        <w:rPr>
          <w:color w:val="000000"/>
        </w:rPr>
        <w:t xml:space="preserve"> </w:t>
      </w:r>
      <w:r>
        <w:rPr>
          <w:rFonts w:ascii="Times New Roman;sans-serif" w:hAnsi="Times New Roman;sans-serif"/>
          <w:b w:val="false"/>
          <w:color w:val="000000"/>
          <w:sz w:val="20"/>
        </w:rPr>
        <w:t>The obligations of the ARYA Parties to consummate the transactions contemplated by this Agreement are subject to the satisfaction or, if permitted by applicable Law, written waiver by ARYA (on behalf of itself and the other ARYA Parties) of the following further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 the Company Fundamental Representations (other than the representations and warranties set forth in </w:t>
      </w:r>
      <w:r>
        <w:rPr>
          <w:rFonts w:ascii="Times New Roman;sans-serif" w:hAnsi="Times New Roman;sans-serif"/>
          <w:b w:val="false"/>
          <w:color w:val="000000"/>
          <w:sz w:val="20"/>
          <w:u w:val="single"/>
        </w:rPr>
        <w:t>Section 3.8(a)</w:t>
      </w:r>
      <w:r>
        <w:rPr>
          <w:rFonts w:ascii="Times New Roman;sans-serif" w:hAnsi="Times New Roman;sans-serif"/>
          <w:b w:val="false"/>
          <w:color w:val="000000"/>
          <w:sz w:val="20"/>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Times New Roman;sans-serif" w:hAnsi="Times New Roman;sans-serif"/>
          <w:b w:val="false"/>
          <w:color w:val="000000"/>
          <w:sz w:val="20"/>
          <w:u w:val="single"/>
        </w:rPr>
        <w:t>Section 3.8(a)</w:t>
      </w:r>
      <w:r>
        <w:rPr>
          <w:color w:val="000000"/>
        </w:rPr>
        <w:t xml:space="preserve"> </w:t>
      </w:r>
      <w:r>
        <w:rPr>
          <w:rFonts w:ascii="Times New Roman;sans-serif" w:hAnsi="Times New Roman;sans-serif"/>
          <w:b w:val="false"/>
          <w:color w:val="000000"/>
          <w:sz w:val="20"/>
        </w:rPr>
        <w:t xml:space="preserve">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this clause (ii) shall be deemed to be satisfied if no Company Material Adverse Effect is continuing and (iii) the representations and warranties of the of the Company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shall have performed and complied in all material respects with the covenants and agreements required to be performed or complied with by the Company under this Agreement at or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since the date of this Agreement, no Company Material Adverse Effect has occurred that is continuing;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at or prior to the Closing, the Company shall have delivered, or caused to be delivered, to ARYA the following documents:</w:t>
      </w:r>
    </w:p>
    <w:p>
      <w:pPr>
        <w:pStyle w:val="TextBody"/>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0"/>
        </w:rPr>
        <w:t xml:space="preserve">a certificate duly executed by an authorized officer of the Company, dated as of the Closing Date, to the effect that the conditions specified in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6.2(c)</w:t>
      </w:r>
      <w:r>
        <w:rPr>
          <w:color w:val="000000"/>
        </w:rPr>
        <w:t xml:space="preserve"> </w:t>
      </w:r>
      <w:r>
        <w:rPr>
          <w:rFonts w:ascii="Times New Roman;sans-serif" w:hAnsi="Times New Roman;sans-serif"/>
          <w:b w:val="false"/>
          <w:color w:val="000000"/>
          <w:sz w:val="20"/>
        </w:rPr>
        <w:t>are satisfied, in a form and substance reasonably satisfactory to ARYA; and</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(ii)the Investor Rights Agreement duly executed by the Company Shareholders set forth on </w:t>
      </w:r>
      <w:r>
        <w:rPr>
          <w:rFonts w:ascii="Times New Roman;sans-serif" w:hAnsi="Times New Roman;sans-serif"/>
          <w:b w:val="false"/>
          <w:color w:val="000000"/>
          <w:sz w:val="20"/>
          <w:u w:val="single"/>
        </w:rPr>
        <w:t>Section 6.2(d)(ii)</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ind w:left="0" w:right="0" w:firstLine="720"/>
        <w:jc w:val="both"/>
        <w:rPr/>
      </w:pPr>
      <w:r>
        <w:rPr>
          <w:rFonts w:ascii="Times New Roman;sans-serif" w:hAnsi="Times New Roman;sans-serif"/>
          <w:b/>
          <w:color w:val="000000"/>
          <w:sz w:val="20"/>
        </w:rPr>
        <w:t>Section 6.3</w:t>
      </w:r>
      <w:r>
        <w:rPr>
          <w:rFonts w:ascii="Times New Roman;sans-serif" w:hAnsi="Times New Roman;sans-serif"/>
          <w:b/>
          <w:color w:val="000000"/>
          <w:sz w:val="20"/>
          <w:u w:val="single"/>
        </w:rPr>
        <w:t>Other Conditions to the Obligations of the Company.</w:t>
      </w:r>
      <w:r>
        <w:rPr>
          <w:color w:val="000000"/>
        </w:rPr>
        <w:t xml:space="preserve"> </w:t>
      </w:r>
      <w:r>
        <w:rPr>
          <w:rFonts w:ascii="Times New Roman;sans-serif" w:hAnsi="Times New Roman;sans-serif"/>
          <w:b w:val="false"/>
          <w:color w:val="000000"/>
          <w:sz w:val="20"/>
        </w:rPr>
        <w:t>The obligations of the Company to consummate the transactions contemplated by this Agreement are subject to the satisfaction or, if permitted by applicable Law, written waiver by the Company of the following further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 the ARYA Fundamental Representations (other than the representations and warranties set forth in </w:t>
      </w:r>
      <w:r>
        <w:rPr>
          <w:rFonts w:ascii="Times New Roman;sans-serif" w:hAnsi="Times New Roman;sans-serif"/>
          <w:b w:val="false"/>
          <w:color w:val="000000"/>
          <w:sz w:val="20"/>
          <w:u w:val="single"/>
        </w:rPr>
        <w:t>Section 4.8(a)</w:t>
      </w:r>
      <w:r>
        <w:rPr>
          <w:rFonts w:ascii="Times New Roman;sans-serif" w:hAnsi="Times New Roman;sans-serif"/>
          <w:b w:val="false"/>
          <w:color w:val="000000"/>
          <w:sz w:val="20"/>
        </w:rPr>
        <w:t xml:space="preserve">) shall be true and correct in all material respects as of the date of this </w:t>
      </w:r>
    </w:p>
    <w:p>
      <w:pPr>
        <w:pStyle w:val="HorizontalLine"/>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455" name="Frame4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Times New Roman;sans-serif" w:hAnsi="Times New Roman;sans-serif"/>
          <w:b w:val="false"/>
          <w:color w:val="000000"/>
          <w:sz w:val="20"/>
          <w:u w:val="single"/>
        </w:rPr>
        <w:t>Section 4.8(a)</w:t>
      </w:r>
      <w:r>
        <w:rPr>
          <w:color w:val="000000"/>
        </w:rPr>
        <w:t xml:space="preserve"> </w:t>
      </w:r>
      <w:r>
        <w:rPr>
          <w:rFonts w:ascii="Times New Roman;sans-serif" w:hAnsi="Times New Roman;sans-serif"/>
          <w:b w:val="false"/>
          <w:color w:val="000000"/>
          <w:sz w:val="20"/>
        </w:rPr>
        <w:t xml:space="preserve">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this clause (ii) shall be deemed to be satisfied if no ARYA Material Adverse Effect is continuing, and (iii) the representations and warranties of the ARYA Parties (other than the ARYA Fundamental Representations) contained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ARYA Parties shall have performed and complied in all material respects with the covenants and agreements required to be performed or complied with by them under this Agreement at or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since the date of this Agreement, no ARYA Material Adverse Effect has occurred that is continuing;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Aggregate Transaction Proceeds shall be equal to or greater than $250,000,000;</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as of immediately following the Effective Time, the ARYA Board shall consist of the number of directors, and be comprised of the individuals, determined pursuant to </w:t>
      </w:r>
      <w:r>
        <w:rPr>
          <w:rFonts w:ascii="Times New Roman;sans-serif" w:hAnsi="Times New Roman;sans-serif"/>
          <w:b w:val="false"/>
          <w:color w:val="000000"/>
          <w:sz w:val="20"/>
          <w:u w:val="single"/>
        </w:rPr>
        <w:t>Section 5.18(a)(i)-(ii)</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ARYA Sponsor and the Other Class B Shareholders shall have complied in all material respects with their covenants and agreements required to be performed or complied with by them under the Sponsor Letter Agreement at or prior to the Closing; </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Domestication shall have been consummated on the Closing Date prior to the Effective Time in accordance with Section 2.1(a) and a time-stamped copy of the certificate issued by the Secretary of State of the State of Delaware in relation thereto shall have been delivered to the Company; and</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at or prior to the Closing, ARYA shall have delivered, or caused to be delivered, the following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(i)a certificate duly executed by an authorized officer of ARYA, dated as of the Closing Date, to the effect that the conditions specified in </w:t>
      </w:r>
      <w:r>
        <w:rPr>
          <w:rFonts w:ascii="Times New Roman;sans-serif" w:hAnsi="Times New Roman;sans-serif"/>
          <w:b w:val="false"/>
          <w:color w:val="000000"/>
          <w:sz w:val="20"/>
          <w:u w:val="single"/>
        </w:rPr>
        <w:t>Section 6.3(a)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6.3(b)</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Section 6.3(c)</w:t>
      </w:r>
      <w:r>
        <w:rPr>
          <w:rFonts w:ascii="Times New Roman;sans-serif" w:hAnsi="Times New Roman;sans-serif"/>
          <w:b w:val="false"/>
          <w:color w:val="000000"/>
          <w:sz w:val="20"/>
        </w:rPr>
        <w:t>, are satisfied, in a form and substance reasonably satisfactory to the Company; 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(ii)the Investor Rights Agreement duly executed by ARYA and the Perceptive Shareholders.</w:t>
      </w:r>
    </w:p>
    <w:p>
      <w:pPr>
        <w:pStyle w:val="TextBody"/>
        <w:spacing w:lineRule="auto" w:line="288" w:before="0" w:after="180"/>
        <w:ind w:left="0" w:right="0" w:firstLine="720"/>
        <w:jc w:val="both"/>
        <w:rPr/>
      </w:pPr>
      <w:r>
        <w:rPr>
          <w:rFonts w:ascii="Times New Roman;sans-serif" w:hAnsi="Times New Roman;sans-serif"/>
          <w:b/>
          <w:color w:val="000000"/>
          <w:sz w:val="20"/>
        </w:rPr>
        <w:t>Section 6.4</w:t>
      </w:r>
      <w:r>
        <w:rPr>
          <w:rFonts w:ascii="Times New Roman;sans-serif" w:hAnsi="Times New Roman;sans-serif"/>
          <w:b/>
          <w:color w:val="000000"/>
          <w:sz w:val="20"/>
          <w:u w:val="single"/>
        </w:rPr>
        <w:t>Frustration of Closing Conditions.</w:t>
      </w:r>
      <w:r>
        <w:rPr>
          <w:color w:val="000000"/>
        </w:rPr>
        <w:t xml:space="preserve"> </w:t>
      </w:r>
      <w:r>
        <w:rPr>
          <w:rFonts w:ascii="Times New Roman;sans-serif" w:hAnsi="Times New Roman;sans-serif"/>
          <w:b w:val="false"/>
          <w:color w:val="000000"/>
          <w:sz w:val="20"/>
        </w:rPr>
        <w:t xml:space="preserve">The Company may not rely on the failure of any condition set forth in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to be satisfied if such failure was proximately caused by the Company’s breach of its obligations under this Agreement, including a breach of its obligations to use reasonable best efforts to cause the Closing to occur as required by </w:t>
      </w:r>
      <w:r>
        <w:rPr>
          <w:rFonts w:ascii="Times New Roman;sans-serif" w:hAnsi="Times New Roman;sans-serif"/>
          <w:b w:val="false"/>
          <w:color w:val="000000"/>
          <w:sz w:val="20"/>
          <w:u w:val="single"/>
        </w:rPr>
        <w:t>Section 5.2</w:t>
      </w:r>
      <w:r>
        <w:rPr>
          <w:rFonts w:ascii="Times New Roman;sans-serif" w:hAnsi="Times New Roman;sans-serif"/>
          <w:b w:val="false"/>
          <w:color w:val="000000"/>
          <w:sz w:val="20"/>
        </w:rPr>
        <w:t xml:space="preserve">. None of the ARYA Parties may rely on the failure of any condition set forth in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to be satisfied if such failure was proximately caused by an ARYA Party’s breach of its obligations under this Agreement, including a breach of its obligations to use reasonable best efforts to cause the Closing to occur as required by </w:t>
      </w:r>
      <w:r>
        <w:rPr>
          <w:rFonts w:ascii="Times New Roman;sans-serif" w:hAnsi="Times New Roman;sans-serif"/>
          <w:b w:val="false"/>
          <w:color w:val="000000"/>
          <w:sz w:val="20"/>
          <w:u w:val="single"/>
        </w:rPr>
        <w:t>Section 5.2</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456" name="Frame4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18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7</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0" w:after="180"/>
        <w:ind w:left="0" w:right="0" w:firstLine="720"/>
        <w:jc w:val="both"/>
        <w:rPr/>
      </w:pPr>
      <w:r>
        <w:rPr>
          <w:rFonts w:ascii="Times New Roman;sans-serif" w:hAnsi="Times New Roman;sans-serif"/>
          <w:b/>
          <w:color w:val="000000"/>
          <w:sz w:val="20"/>
        </w:rPr>
        <w:t>Section 7.1</w:t>
      </w:r>
      <w:r>
        <w:rPr>
          <w:rFonts w:ascii="Times New Roman;sans-serif" w:hAnsi="Times New Roman;sans-serif"/>
          <w:b/>
          <w:color w:val="000000"/>
          <w:sz w:val="20"/>
          <w:u w:val="single"/>
        </w:rPr>
        <w:t>Termination.</w:t>
      </w:r>
      <w:r>
        <w:rPr>
          <w:color w:val="000000"/>
        </w:rPr>
        <w:t xml:space="preserve"> </w:t>
      </w:r>
      <w:r>
        <w:rPr>
          <w:rFonts w:ascii="Times New Roman;sans-serif" w:hAnsi="Times New Roman;sans-serif"/>
          <w:b w:val="false"/>
          <w:color w:val="000000"/>
          <w:sz w:val="20"/>
        </w:rPr>
        <w:t>This Agreement may be terminated, and the transactions contemplated by this Agreement may be abandoned at any time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by mutual written consent of ARYA and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by ARYA, if any of the representations or warranties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none of the ARYA Parties is then in breach of this Agreement so as to prevent the condition to Closing set forth in either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6.3(b)</w:t>
      </w:r>
      <w:r>
        <w:rPr>
          <w:color w:val="000000"/>
        </w:rPr>
        <w:t xml:space="preserve"> </w:t>
      </w:r>
      <w:r>
        <w:rPr>
          <w:rFonts w:ascii="Times New Roman;sans-serif" w:hAnsi="Times New Roman;sans-serif"/>
          <w:b w:val="false"/>
          <w:color w:val="000000"/>
          <w:sz w:val="20"/>
        </w:rPr>
        <w:t xml:space="preserve">from being satisfied and the Perceptive PIPE Investor is not then in breach of the PIPE Subscription Agreement so as to prevent the condition to the Closing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 xml:space="preserve">from being satisfied;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by the Company, if any of the representations or warranties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6.3(b)</w:t>
      </w:r>
      <w:r>
        <w:rPr>
          <w:color w:val="000000"/>
        </w:rPr>
        <w:t xml:space="preserve"> </w:t>
      </w:r>
      <w:r>
        <w:rPr>
          <w:rFonts w:ascii="Times New Roman;sans-serif" w:hAnsi="Times New Roman;sans-serif"/>
          <w:b w:val="false"/>
          <w:color w:val="000000"/>
          <w:sz w:val="20"/>
        </w:rPr>
        <w:t xml:space="preserve">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the Company is not then in breach of this Agreement so as to prevent the condition to Closing set forth in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from being satisfied and none of the Company PIPE Investors is then in breach of the PIPE Subscription Agreement (after taking into account any cure by a Company Related Substituted Party in accordance with clauses (A) through (C) of </w:t>
      </w:r>
      <w:r>
        <w:rPr>
          <w:rFonts w:ascii="Times New Roman;sans-serif" w:hAnsi="Times New Roman;sans-serif"/>
          <w:b w:val="false"/>
          <w:color w:val="000000"/>
          <w:sz w:val="20"/>
          <w:u w:val="single"/>
        </w:rPr>
        <w:t>Section 7.11(d)</w:t>
      </w:r>
      <w:r>
        <w:rPr>
          <w:rFonts w:ascii="Times New Roman;sans-serif" w:hAnsi="Times New Roman;sans-serif"/>
          <w:b w:val="false"/>
          <w:color w:val="000000"/>
          <w:sz w:val="20"/>
        </w:rPr>
        <w:t xml:space="preserve">) so as to prevent the condition to the Closing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from being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by either ARYA or the Company, if the transactions contemplated by this Agreement shall not have been consummated on or prior to 11:59 P.M. (pacific time) August 6, 2021 (the “</w:t>
      </w:r>
      <w:r>
        <w:rPr>
          <w:rFonts w:ascii="Times New Roman;sans-serif" w:hAnsi="Times New Roman;sans-serif"/>
          <w:b w:val="false"/>
          <w:color w:val="000000"/>
          <w:sz w:val="20"/>
          <w:u w:val="single"/>
        </w:rPr>
        <w:t>Termination Date</w:t>
      </w:r>
      <w:r>
        <w:rPr>
          <w:color w:val="000000"/>
        </w:rPr>
        <w:t>”</w:t>
      </w:r>
      <w:r>
        <w:rPr>
          <w:rFonts w:ascii="Times New Roman;sans-serif" w:hAnsi="Times New Roman;sans-serif"/>
          <w:b w:val="false"/>
          <w:color w:val="000000"/>
          <w:sz w:val="20"/>
        </w:rPr>
        <w:t xml:space="preserve">); provided, that (i) the right to terminate this Agreement pursuant to this </w:t>
      </w:r>
      <w:r>
        <w:rPr>
          <w:rFonts w:ascii="Times New Roman;sans-serif" w:hAnsi="Times New Roman;sans-serif"/>
          <w:b w:val="false"/>
          <w:color w:val="000000"/>
          <w:sz w:val="20"/>
          <w:u w:val="single"/>
        </w:rPr>
        <w:t>Section 7.1(d)</w:t>
      </w:r>
      <w:r>
        <w:rPr>
          <w:color w:val="000000"/>
        </w:rPr>
        <w:t xml:space="preserve"> </w:t>
      </w:r>
      <w:r>
        <w:rPr>
          <w:rFonts w:ascii="Times New Roman;sans-serif" w:hAnsi="Times New Roman;sans-serif"/>
          <w:b w:val="false"/>
          <w:color w:val="000000"/>
          <w:sz w:val="20"/>
        </w:rPr>
        <w:t xml:space="preserve">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Times New Roman;sans-serif" w:hAnsi="Times New Roman;sans-serif"/>
          <w:b w:val="false"/>
          <w:color w:val="000000"/>
          <w:sz w:val="20"/>
          <w:u w:val="single"/>
        </w:rPr>
        <w:t>Section 7.1(d)</w:t>
      </w:r>
      <w:r>
        <w:rPr>
          <w:color w:val="000000"/>
        </w:rPr>
        <w:t xml:space="preserve"> </w:t>
      </w:r>
      <w:r>
        <w:rPr>
          <w:rFonts w:ascii="Times New Roman;sans-serif" w:hAnsi="Times New Roman;sans-serif"/>
          <w:b w:val="false"/>
          <w:color w:val="000000"/>
          <w:sz w:val="20"/>
        </w:rPr>
        <w:t>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Times New Roman;sans-serif" w:hAnsi="Times New Roman;sans-serif"/>
          <w:b w:val="false"/>
          <w:color w:val="000000"/>
          <w:sz w:val="20"/>
          <w:u w:val="single"/>
        </w:rPr>
        <w:t>Company Related Breaching Party</w:t>
      </w:r>
      <w:r>
        <w:rPr>
          <w:color w:val="000000"/>
        </w:rPr>
        <w:t>”</w:t>
      </w:r>
      <w:r>
        <w:rPr>
          <w:rFonts w:ascii="Times New Roman;sans-serif" w:hAnsi="Times New Roman;sans-serif"/>
          <w:b w:val="false"/>
          <w:color w:val="000000"/>
          <w:sz w:val="20"/>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the portion of the PIPE Financing Amount previously committed to be invested by the Company Related Breaching Party (each such investor, a “</w:t>
      </w:r>
      <w:r>
        <w:rPr>
          <w:rFonts w:ascii="Times New Roman;sans-serif" w:hAnsi="Times New Roman;sans-serif"/>
          <w:b w:val="false"/>
          <w:color w:val="000000"/>
          <w:sz w:val="20"/>
          <w:u w:val="single"/>
        </w:rPr>
        <w:t>Company Related Substituted Party</w:t>
      </w:r>
      <w:r>
        <w:rPr>
          <w:color w:val="000000"/>
        </w:rPr>
        <w:t>”</w:t>
      </w:r>
      <w:r>
        <w:rPr>
          <w:rFonts w:ascii="Times New Roman;sans-serif" w:hAnsi="Times New Roman;sans-serif"/>
          <w:b w:val="false"/>
          <w:color w:val="000000"/>
          <w:sz w:val="20"/>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Times New Roman;sans-serif" w:hAnsi="Times New Roman;sans-serif"/>
          <w:b w:val="false"/>
          <w:color w:val="000000"/>
          <w:sz w:val="20"/>
          <w:u w:val="single"/>
        </w:rPr>
        <w:t>Exhibit A-2</w:t>
      </w:r>
      <w:r>
        <w:rPr>
          <w:color w:val="000000"/>
        </w:rPr>
        <w:t xml:space="preserve"> </w:t>
      </w:r>
      <w:r>
        <w:rPr>
          <w:rFonts w:ascii="Times New Roman;sans-serif" w:hAnsi="Times New Roman;sans-serif"/>
          <w:b w:val="false"/>
          <w:color w:val="000000"/>
          <w:sz w:val="20"/>
        </w:rPr>
        <w:t>with each Company Substituted Party reflecting the portion of the PIPE Financing Amount such Company Related Substituted Party is committing to invest (the “</w:t>
      </w:r>
      <w:r>
        <w:rPr>
          <w:rFonts w:ascii="Times New Roman;sans-serif" w:hAnsi="Times New Roman;sans-serif"/>
          <w:b w:val="false"/>
          <w:color w:val="000000"/>
          <w:sz w:val="20"/>
          <w:u w:val="single"/>
        </w:rPr>
        <w:t xml:space="preserve">Substituted PIPE </w:t>
      </w:r>
    </w:p>
    <w:p>
      <w:pPr>
        <w:pStyle w:val="HorizontalLine"/>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457" name="Frame4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u w:val="single"/>
        </w:rPr>
        <w:t>Investment Amount</w:t>
      </w:r>
      <w:r>
        <w:rPr>
          <w:color w:val="000000"/>
        </w:rPr>
        <w:t>”</w:t>
      </w:r>
      <w:r>
        <w:rPr>
          <w:rFonts w:ascii="Times New Roman;sans-serif" w:hAnsi="Times New Roman;sans-serif"/>
          <w:b w:val="false"/>
          <w:color w:val="000000"/>
          <w:sz w:val="20"/>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Times New Roman;sans-serif" w:hAnsi="Times New Roman;sans-serif"/>
          <w:b w:val="false"/>
          <w:color w:val="000000"/>
          <w:sz w:val="20"/>
          <w:u w:val="single"/>
        </w:rPr>
        <w:t>Section 7.1(c)</w:t>
      </w:r>
      <w:r>
        <w:rPr>
          <w:rFonts w:ascii="Times New Roman;sans-serif" w:hAnsi="Times New Roman;sans-serif"/>
          <w:b w:val="false"/>
          <w:color w:val="000000"/>
          <w:sz w:val="20"/>
        </w:rPr>
        <w:t xml:space="preserve">, as applicable, and without limiting any rights or remedies with respect to the applicable Company Related Breaching Party under the applicable PIPE Subscription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by either ARYA or the Company, if any Governmental Entity of competent jurisdiction shall have issued an Order permanently enjoining or prohibiting any of the Closing Transactions and such Order shall have become final and nonappealable;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by either ARYA or the Company, if the ARYA Shareholders Meeting has been held (including following any adjournment thereof), has concluded, ARYA’s shareholders have duly voted and the Required ARYA Shareholder Approval was not obtained; or</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termination rights under this </w:t>
      </w:r>
      <w:r>
        <w:rPr>
          <w:rFonts w:ascii="Times New Roman;sans-serif" w:hAnsi="Times New Roman;sans-serif"/>
          <w:b w:val="false"/>
          <w:color w:val="000000"/>
          <w:sz w:val="20"/>
          <w:u w:val="single"/>
        </w:rPr>
        <w:t>Section 7.1(g)</w:t>
      </w:r>
      <w:r>
        <w:rPr>
          <w:color w:val="000000"/>
        </w:rPr>
        <w:t xml:space="preserve"> </w:t>
      </w:r>
      <w:r>
        <w:rPr>
          <w:rFonts w:ascii="Times New Roman;sans-serif" w:hAnsi="Times New Roman;sans-serif"/>
          <w:b w:val="false"/>
          <w:color w:val="000000"/>
          <w:sz w:val="20"/>
        </w:rPr>
        <w:t xml:space="preserve">shall expire and ARYA shall not be entitled to terminate this Agreement pursuant to this </w:t>
      </w:r>
      <w:r>
        <w:rPr>
          <w:rFonts w:ascii="Times New Roman;sans-serif" w:hAnsi="Times New Roman;sans-serif"/>
          <w:b w:val="false"/>
          <w:color w:val="000000"/>
          <w:sz w:val="20"/>
          <w:u w:val="single"/>
        </w:rPr>
        <w:t>Section 7.1(g)</w:t>
      </w:r>
      <w:r>
        <w:rPr>
          <w:color w:val="000000"/>
        </w:rPr>
        <w:t xml:space="preserve"> </w:t>
      </w:r>
      <w:r>
        <w:rPr>
          <w:rFonts w:ascii="Times New Roman;sans-serif" w:hAnsi="Times New Roman;sans-serif"/>
          <w:b w:val="false"/>
          <w:color w:val="000000"/>
          <w:sz w:val="20"/>
        </w:rPr>
        <w:t xml:space="preserve">if the Company Required Shareholder Approval has been obtained and delivered to ARYA prior to the time that this Agreement is terminated pursuant to this </w:t>
      </w:r>
      <w:r>
        <w:rPr>
          <w:rFonts w:ascii="Times New Roman;sans-serif" w:hAnsi="Times New Roman;sans-serif"/>
          <w:b w:val="false"/>
          <w:color w:val="000000"/>
          <w:sz w:val="20"/>
          <w:u w:val="single"/>
        </w:rPr>
        <w:t>Section 7.1(g)</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7.2</w:t>
      </w:r>
      <w:r>
        <w:rPr>
          <w:rFonts w:ascii="Times New Roman;sans-serif" w:hAnsi="Times New Roman;sans-serif"/>
          <w:b/>
          <w:color w:val="000000"/>
          <w:sz w:val="20"/>
          <w:u w:val="single"/>
        </w:rPr>
        <w:t>Effect of Termination.</w:t>
      </w:r>
      <w:r>
        <w:rPr>
          <w:color w:val="000000"/>
        </w:rPr>
        <w:t xml:space="preserve"> </w:t>
      </w:r>
      <w:r>
        <w:rPr>
          <w:rFonts w:ascii="Times New Roman;sans-serif" w:hAnsi="Times New Roman;sans-serif"/>
          <w:b w:val="false"/>
          <w:color w:val="000000"/>
          <w:sz w:val="20"/>
        </w:rPr>
        <w:t xml:space="preserve">Except for a termination pursuant to </w:t>
      </w:r>
      <w:r>
        <w:rPr>
          <w:rFonts w:ascii="Times New Roman;sans-serif" w:hAnsi="Times New Roman;sans-serif"/>
          <w:b w:val="false"/>
          <w:color w:val="000000"/>
          <w:sz w:val="20"/>
          <w:u w:val="single"/>
        </w:rPr>
        <w:t>Section 7.1(a)</w:t>
      </w:r>
      <w:r>
        <w:rPr>
          <w:rFonts w:ascii="Times New Roman;sans-serif" w:hAnsi="Times New Roman;sans-serif"/>
          <w:b w:val="false"/>
          <w:color w:val="000000"/>
          <w:sz w:val="20"/>
        </w:rPr>
        <w:t xml:space="preserve">, any termination of this Agreement pursuant to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will be effective (subject to the cure periods (if any) provided above) immediately upon the delivery of a valid written notice of the terminating Party to each of the other Parties hereto. In the event of the termination of this Agreement pursuant to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(a) this entire Agreement shall forthwith become void (and there shall be no Liability or obligation on the part of the Parties and their respective Representatives) with the exception of </w:t>
      </w:r>
      <w:r>
        <w:rPr>
          <w:rFonts w:ascii="Times New Roman;sans-serif" w:hAnsi="Times New Roman;sans-serif"/>
          <w:b w:val="false"/>
          <w:color w:val="000000"/>
          <w:sz w:val="20"/>
          <w:u w:val="single"/>
        </w:rPr>
        <w:t>Section 5.3(a)</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7.2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8</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Article 1</w:t>
      </w:r>
      <w:r>
        <w:rPr>
          <w:color w:val="000000"/>
        </w:rPr>
        <w:t xml:space="preserve"> </w:t>
      </w:r>
      <w:r>
        <w:rPr>
          <w:rFonts w:ascii="Times New Roman;sans-serif" w:hAnsi="Times New Roman;sans-serif"/>
          <w:b w:val="false"/>
          <w:color w:val="000000"/>
          <w:sz w:val="20"/>
        </w:rPr>
        <w:t xml:space="preserve">(to the extent, with respect to </w:t>
      </w:r>
      <w:r>
        <w:rPr>
          <w:rFonts w:ascii="Times New Roman;sans-serif" w:hAnsi="Times New Roman;sans-serif"/>
          <w:b w:val="false"/>
          <w:color w:val="000000"/>
          <w:sz w:val="20"/>
          <w:u w:val="single"/>
        </w:rPr>
        <w:t>Article 1</w:t>
      </w:r>
      <w:r>
        <w:rPr>
          <w:rFonts w:ascii="Times New Roman;sans-serif" w:hAnsi="Times New Roman;sans-serif"/>
          <w:b w:val="false"/>
          <w:color w:val="000000"/>
          <w:sz w:val="20"/>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8</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spacing w:lineRule="auto" w:line="288" w:before="0" w:after="180"/>
        <w:ind w:left="0" w:right="0" w:firstLine="720"/>
        <w:jc w:val="both"/>
        <w:rPr/>
      </w:pPr>
      <w:r>
        <w:rPr>
          <w:rFonts w:ascii="Times New Roman;sans-serif" w:hAnsi="Times New Roman;sans-serif"/>
          <w:b/>
          <w:color w:val="000000"/>
          <w:sz w:val="20"/>
        </w:rPr>
        <w:t>Section 8.1</w:t>
      </w:r>
      <w:r>
        <w:rPr>
          <w:rFonts w:ascii="Times New Roman;sans-serif" w:hAnsi="Times New Roman;sans-serif"/>
          <w:b/>
          <w:color w:val="000000"/>
          <w:sz w:val="20"/>
          <w:u w:val="single"/>
        </w:rPr>
        <w:t>Non-Survival.</w:t>
      </w:r>
      <w:r>
        <w:rPr>
          <w:color w:val="000000"/>
        </w:rPr>
        <w:t xml:space="preserve"> </w:t>
      </w:r>
      <w:r>
        <w:rPr>
          <w:rFonts w:ascii="Times New Roman;sans-serif" w:hAnsi="Times New Roman;sans-serif"/>
          <w:b w:val="false"/>
          <w:color w:val="000000"/>
          <w:sz w:val="20"/>
        </w:rPr>
        <w:t>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720"/>
        <w:jc w:val="both"/>
        <w:rPr/>
      </w:pPr>
      <w:r>
        <w:rPr>
          <w:rFonts w:ascii="Times New Roman;sans-serif" w:hAnsi="Times New Roman;sans-serif"/>
          <w:b/>
          <w:color w:val="000000"/>
          <w:sz w:val="20"/>
        </w:rPr>
        <w:t>Section 8.2</w:t>
      </w:r>
      <w:r>
        <w:rPr>
          <w:rFonts w:ascii="Times New Roman;sans-serif" w:hAnsi="Times New Roman;sans-serif"/>
          <w:b/>
          <w:color w:val="000000"/>
          <w:sz w:val="20"/>
          <w:u w:val="single"/>
        </w:rPr>
        <w:t>Entire Agreement; Assignment.</w:t>
      </w:r>
      <w:r>
        <w:rPr>
          <w:color w:val="000000"/>
        </w:rPr>
        <w:t xml:space="preserve"> </w:t>
      </w:r>
      <w:r>
        <w:rPr>
          <w:rFonts w:ascii="Times New Roman;sans-serif" w:hAnsi="Times New Roman;sans-serif"/>
          <w:b w:val="false"/>
          <w:color w:val="000000"/>
          <w:sz w:val="20"/>
        </w:rPr>
        <w:t xml:space="preserve">This Agreement (together with the Ancillary Documents)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to the extent any </w:t>
      </w:r>
    </w:p>
    <w:p>
      <w:pPr>
        <w:pStyle w:val="HorizontalLine"/>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58" name="Frame4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such assignment following the Closing relates to the ARYA Sponsor Specified Provisions, the assigning Party shall continue to be bound by its obligations under such provisions. Any attempted assignment of this Agreement not in accordance with the terms of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shall be void.</w:t>
      </w:r>
    </w:p>
    <w:p>
      <w:pPr>
        <w:pStyle w:val="TextBody"/>
        <w:spacing w:lineRule="auto" w:line="288" w:before="0" w:after="180"/>
        <w:ind w:left="0" w:right="0" w:firstLine="720"/>
        <w:jc w:val="both"/>
        <w:rPr/>
      </w:pPr>
      <w:r>
        <w:rPr>
          <w:rFonts w:ascii="Times New Roman;sans-serif" w:hAnsi="Times New Roman;sans-serif"/>
          <w:b/>
          <w:color w:val="000000"/>
          <w:sz w:val="20"/>
        </w:rPr>
        <w:t xml:space="preserve">Section 8.3 </w:t>
      </w:r>
      <w:r>
        <w:rPr>
          <w:rFonts w:ascii="Times New Roman;sans-serif" w:hAnsi="Times New Roman;sans-serif"/>
          <w:b/>
          <w:color w:val="000000"/>
          <w:sz w:val="20"/>
          <w:u w:val="single"/>
        </w:rPr>
        <w:t>Amendment.</w:t>
      </w:r>
      <w:r>
        <w:rPr>
          <w:color w:val="000000"/>
        </w:rPr>
        <w:t xml:space="preserve"> </w:t>
      </w:r>
      <w:r>
        <w:rPr>
          <w:rFonts w:ascii="Times New Roman;sans-serif" w:hAnsi="Times New Roman;sans-serif"/>
          <w:b w:val="false"/>
          <w:color w:val="000000"/>
          <w:sz w:val="20"/>
        </w:rPr>
        <w:t xml:space="preserve">This Agreement may be amended or modified only by a written agreement executed and delivered by ARYA and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w:t>
      </w:r>
      <w:r>
        <w:rPr>
          <w:rFonts w:ascii="Times New Roman;sans-serif" w:hAnsi="Times New Roman;sans-serif"/>
          <w:b w:val="false"/>
          <w:color w:val="000000"/>
          <w:sz w:val="20"/>
          <w:u w:val="single"/>
        </w:rPr>
        <w:t>Section 8.3</w:t>
      </w:r>
      <w:r>
        <w:rPr>
          <w:color w:val="000000"/>
        </w:rPr>
        <w:t xml:space="preserve"> </w:t>
      </w:r>
      <w:r>
        <w:rPr>
          <w:rFonts w:ascii="Times New Roman;sans-serif" w:hAnsi="Times New Roman;sans-serif"/>
          <w:b w:val="false"/>
          <w:color w:val="000000"/>
          <w:sz w:val="20"/>
        </w:rPr>
        <w:t>shall be void,</w:t>
      </w:r>
      <w:r>
        <w:rPr>
          <w:color w:val="000000"/>
        </w:rPr>
        <w:t xml:space="preserve"> </w:t>
      </w:r>
      <w:r>
        <w:rPr>
          <w:rFonts w:ascii="Times New Roman;sans-serif" w:hAnsi="Times New Roman;sans-serif"/>
          <w:b w:val="false"/>
          <w:i/>
          <w:color w:val="000000"/>
          <w:sz w:val="20"/>
        </w:rPr>
        <w:t>ab initio</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8.4</w:t>
      </w:r>
      <w:r>
        <w:rPr>
          <w:rFonts w:ascii="Times New Roman;sans-serif" w:hAnsi="Times New Roman;sans-serif"/>
          <w:b/>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pStyle w:val="HorizontalLine"/>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459" name="Frame4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180"/>
        <w:jc w:val="right"/>
        <w:rPr/>
      </w:pPr>
      <w:r>
        <w:rPr/>
      </w:r>
    </w:p>
    <w:tbl>
      <w:tblPr>
        <w:tblW w:w="4938" w:type="dxa"/>
        <w:jc w:val="left"/>
        <w:tblInd w:w="0" w:type="dxa"/>
        <w:tblCellMar>
          <w:top w:w="28" w:type="dxa"/>
          <w:left w:w="28" w:type="dxa"/>
          <w:bottom w:w="28" w:type="dxa"/>
          <w:right w:w="28" w:type="dxa"/>
        </w:tblCellMar>
      </w:tblPr>
      <w:tblGrid>
        <w:gridCol w:w="125"/>
        <w:gridCol w:w="110"/>
        <w:gridCol w:w="110"/>
        <w:gridCol w:w="521"/>
        <w:gridCol w:w="521"/>
        <w:gridCol w:w="521"/>
        <w:gridCol w:w="1293"/>
        <w:gridCol w:w="933"/>
        <w:gridCol w:w="80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any ARYA Party,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 III</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Michael@perceptivelife.com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Kirkland &amp; Ellis LLP</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601 Lexington Avenue</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L. Davis,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Brissette</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jonathan.davis@kirkland.com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the Company,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 Box 22027</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Seattle, WA 98122</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Chief Executive Officer</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smpatel@nautilus.bio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Kornegay</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rkornegay@wsgr.com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T. Ishii</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Keyes</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rishii@wsgr.com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bkeyes@wsgr.com</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furnished following the date of this Agreement and prior to such notice to the others in writing in the manner set forth above.</w:t>
      </w:r>
    </w:p>
    <w:p>
      <w:pPr>
        <w:pStyle w:val="HorizontalLine"/>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0" name="Frame4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rPr/>
      </w:pPr>
      <w:r>
        <w:rPr>
          <w:rFonts w:ascii="Times New Roman;sans-serif" w:hAnsi="Times New Roman;sans-serif"/>
          <w:b/>
          <w:color w:val="000000"/>
          <w:sz w:val="20"/>
        </w:rPr>
        <w:t>Section 8.5</w:t>
      </w:r>
      <w:r>
        <w:rPr>
          <w:rFonts w:ascii="Times New Roman;sans-serif" w:hAnsi="Times New Roman;sans-serif"/>
          <w:b/>
          <w:color w:val="000000"/>
          <w:sz w:val="20"/>
          <w:u w:val="single"/>
        </w:rPr>
        <w:t>Governing Law.</w:t>
      </w:r>
      <w:r>
        <w:rPr>
          <w:color w:val="000000"/>
        </w:rPr>
        <w:t xml:space="preserve"> </w:t>
      </w:r>
      <w:r>
        <w:rPr>
          <w:rFonts w:ascii="Times New Roman;sans-serif" w:hAnsi="Times New Roman;sans-serif"/>
          <w:b w:val="false"/>
          <w:color w:val="000000"/>
          <w:sz w:val="20"/>
        </w:rPr>
        <w:t>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pStyle w:val="TextBody"/>
        <w:spacing w:lineRule="auto" w:line="288" w:before="0" w:after="180"/>
        <w:ind w:left="0" w:right="0" w:firstLine="720"/>
        <w:jc w:val="both"/>
        <w:rPr/>
      </w:pPr>
      <w:r>
        <w:rPr>
          <w:rFonts w:ascii="Times New Roman;sans-serif" w:hAnsi="Times New Roman;sans-serif"/>
          <w:b/>
          <w:color w:val="000000"/>
          <w:sz w:val="20"/>
        </w:rPr>
        <w:t>Section 8.6</w:t>
      </w:r>
      <w:r>
        <w:rPr>
          <w:rFonts w:ascii="Times New Roman;sans-serif" w:hAnsi="Times New Roman;sans-serif"/>
          <w:b/>
          <w:color w:val="000000"/>
          <w:sz w:val="20"/>
          <w:u w:val="single"/>
        </w:rPr>
        <w:t>Fees and Expenses.</w:t>
      </w:r>
      <w:r>
        <w:rPr>
          <w:color w:val="000000"/>
        </w:rPr>
        <w:t xml:space="preserve"> </w:t>
      </w:r>
      <w:r>
        <w:rPr>
          <w:rFonts w:ascii="Times New Roman;sans-serif" w:hAnsi="Times New Roman;sans-serif"/>
          <w:b w:val="false"/>
          <w:color w:val="000000"/>
          <w:sz w:val="20"/>
        </w:rPr>
        <w:t xml:space="preserve">Except as otherwise set forth in this Agreement, all fees and expenses incurred in connection with this Agreement, the Ancillary Documents and the transactions contemplated hereby and thereby, including the fees and disbursements of counsel, financial advisors and accountants, shall be paid by the Party incurring such fees or expenses;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the avoidance of doubt, if this Agreement is terminated in accordance with its terms, the Company shall pay, or cause to be paid, all Unpaid Company Expenses and ARYA shall pay, or cause to be paid, all Unpaid ARYA Expenses.</w:t>
      </w:r>
    </w:p>
    <w:p>
      <w:pPr>
        <w:pStyle w:val="TextBody"/>
        <w:spacing w:lineRule="auto" w:line="288" w:before="0" w:after="180"/>
        <w:ind w:left="0" w:right="0" w:firstLine="720"/>
        <w:jc w:val="both"/>
        <w:rPr/>
      </w:pPr>
      <w:r>
        <w:rPr>
          <w:rFonts w:ascii="Times New Roman;sans-serif" w:hAnsi="Times New Roman;sans-serif"/>
          <w:b/>
          <w:color w:val="000000"/>
          <w:sz w:val="20"/>
        </w:rPr>
        <w:t>Section 8.7</w:t>
      </w:r>
      <w:r>
        <w:rPr>
          <w:rFonts w:ascii="Times New Roman;sans-serif" w:hAnsi="Times New Roman;sans-serif"/>
          <w:b/>
          <w:color w:val="000000"/>
          <w:sz w:val="20"/>
          <w:u w:val="single"/>
        </w:rPr>
        <w:t>Construction; Interpretation.</w:t>
      </w:r>
      <w:r>
        <w:rPr>
          <w:color w:val="000000"/>
        </w:rPr>
        <w:t xml:space="preserve"> </w:t>
      </w:r>
      <w:r>
        <w:rPr>
          <w:rFonts w:ascii="Times New Roman;sans-serif" w:hAnsi="Times New Roman;sans-serif"/>
          <w:b w:val="false"/>
          <w:color w:val="000000"/>
          <w:sz w:val="20"/>
        </w:rPr>
        <w:t>The term “this Agreement” means this Business Combination Agreement together with the 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720"/>
        <w:rPr/>
      </w:pPr>
      <w:r>
        <w:rPr>
          <w:rFonts w:ascii="Times New Roman;sans-serif" w:hAnsi="Times New Roman;sans-serif"/>
          <w:b/>
          <w:color w:val="000000"/>
          <w:sz w:val="20"/>
        </w:rPr>
        <w:t>Section 8.8</w:t>
      </w:r>
      <w:r>
        <w:rPr>
          <w:rFonts w:ascii="Times New Roman;sans-serif" w:hAnsi="Times New Roman;sans-serif"/>
          <w:b/>
          <w:color w:val="000000"/>
          <w:sz w:val="20"/>
          <w:u w:val="single"/>
        </w:rPr>
        <w:t>Exhibits and Schedules.</w:t>
      </w:r>
      <w:r>
        <w:rPr>
          <w:color w:val="000000"/>
        </w:rPr>
        <w:t xml:space="preserve"> </w:t>
      </w:r>
      <w:r>
        <w:rPr>
          <w:rFonts w:ascii="Times New Roman;sans-serif" w:hAnsi="Times New Roman;sans-serif"/>
          <w:b w:val="false"/>
          <w:color w:val="000000"/>
          <w:sz w:val="20"/>
        </w:rPr>
        <w:t xml:space="preserve">All Exhibits and Schedules, or documents expressly incorporated into this Agreement, are hereby 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the case of the Company Disclosure Schedules) 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case of the ARYA Disclosure Schedules), respectively, shall be deemed to have been disclosed with respect to every other section and subsection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the case of the Company Disclosure Schedules) 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may not be limited to matters required to be disclosed in the Schedules, and any such additional information or disclosure is for informational purposes only and does not necessarily include other matters of a similar nature.</w:t>
      </w:r>
    </w:p>
    <w:p>
      <w:pPr>
        <w:pStyle w:val="HorizontalLine"/>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1" name="Frame4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8.9</w:t>
      </w:r>
      <w:r>
        <w:rPr>
          <w:rFonts w:ascii="Times New Roman;sans-serif" w:hAnsi="Times New Roman;sans-serif"/>
          <w:b/>
          <w:color w:val="000000"/>
          <w:sz w:val="20"/>
          <w:u w:val="single"/>
        </w:rPr>
        <w:t>Parties in Interest.</w:t>
      </w:r>
      <w:r>
        <w:rPr>
          <w:color w:val="000000"/>
        </w:rPr>
        <w:t xml:space="preserve"> </w:t>
      </w:r>
      <w:r>
        <w:rPr>
          <w:rFonts w:ascii="Times New Roman;sans-serif" w:hAnsi="Times New Roman;sans-serif"/>
          <w:b w:val="false"/>
          <w:color w:val="000000"/>
          <w:sz w:val="20"/>
        </w:rPr>
        <w:t xml:space="preserve">This Agreement shall be binding upon and inure solely to the benefit of each Party and its successors and permitted assigns and, except as provided in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 xml:space="preserve">, the last sentence of this </w:t>
      </w:r>
      <w:r>
        <w:rPr>
          <w:rFonts w:ascii="Times New Roman;sans-serif" w:hAnsi="Times New Roman;sans-serif"/>
          <w:b w:val="false"/>
          <w:color w:val="000000"/>
          <w:sz w:val="20"/>
          <w:u w:val="single"/>
        </w:rPr>
        <w:t>Section 8.9</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8.13</w:t>
      </w:r>
      <w:r>
        <w:rPr>
          <w:rFonts w:ascii="Times New Roman;sans-serif" w:hAnsi="Times New Roman;sans-serif"/>
          <w:b w:val="false"/>
          <w:color w:val="000000"/>
          <w:sz w:val="20"/>
        </w:rPr>
        <w:t xml:space="preserve">, nothing in this Agreement, express or implied, is intended to or shall confer upon any other Person any rights, benefits or remedies of any nature whatsoever under or by reason of this Agreement. The ARYA Sponsor shall be an express third-party beneficiary of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8.3</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8.9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8.14</w:t>
      </w:r>
      <w:r>
        <w:rPr>
          <w:color w:val="000000"/>
        </w:rPr>
        <w:t xml:space="preserve"> </w:t>
      </w:r>
      <w:r>
        <w:rPr>
          <w:rFonts w:ascii="Times New Roman;sans-serif" w:hAnsi="Times New Roman;sans-serif"/>
          <w:b w:val="false"/>
          <w:color w:val="000000"/>
          <w:sz w:val="20"/>
        </w:rPr>
        <w:t>(collectively, the “</w:t>
      </w:r>
      <w:r>
        <w:rPr>
          <w:rFonts w:ascii="Times New Roman;sans-serif" w:hAnsi="Times New Roman;sans-serif"/>
          <w:b w:val="false"/>
          <w:color w:val="000000"/>
          <w:sz w:val="20"/>
          <w:u w:val="single"/>
        </w:rPr>
        <w:t>ARYA Sponsor Specified Provisions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8.10</w:t>
      </w:r>
      <w:r>
        <w:rPr>
          <w:rFonts w:ascii="Times New Roman;sans-serif" w:hAnsi="Times New Roman;sans-serif"/>
          <w:b/>
          <w:color w:val="000000"/>
          <w:sz w:val="20"/>
          <w:u w:val="single"/>
        </w:rPr>
        <w:t>Severability.</w:t>
      </w:r>
      <w:r>
        <w:rPr>
          <w:color w:val="000000"/>
        </w:rPr>
        <w:t xml:space="preserve"> </w:t>
      </w:r>
      <w:r>
        <w:rPr>
          <w:rFonts w:ascii="Times New Roman;sans-serif" w:hAnsi="Times New Roman;sans-serif"/>
          <w:b w:val="false"/>
          <w:color w:val="000000"/>
          <w:sz w:val="20"/>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720"/>
        <w:jc w:val="both"/>
        <w:rPr/>
      </w:pPr>
      <w:r>
        <w:rPr>
          <w:rFonts w:ascii="Times New Roman;sans-serif" w:hAnsi="Times New Roman;sans-serif"/>
          <w:b/>
          <w:color w:val="000000"/>
          <w:sz w:val="20"/>
        </w:rPr>
        <w:t>Section 8.11</w:t>
      </w:r>
      <w:r>
        <w:rPr>
          <w:rFonts w:ascii="Times New Roman;sans-serif" w:hAnsi="Times New Roman;sans-serif"/>
          <w:b/>
          <w:color w:val="000000"/>
          <w:sz w:val="20"/>
          <w:u w:val="single"/>
        </w:rPr>
        <w:t>Counterparts; Electronic Signatures.</w:t>
      </w:r>
      <w:r>
        <w:rPr>
          <w:color w:val="000000"/>
        </w:rPr>
        <w:t xml:space="preserve"> </w:t>
      </w:r>
      <w:r>
        <w:rPr>
          <w:rFonts w:ascii="Times New Roman;sans-serif" w:hAnsi="Times New Roman;sans-serif"/>
          <w:b w:val="false"/>
          <w:color w:val="000000"/>
          <w:sz w:val="20"/>
        </w:rPr>
        <w:t>This Agreement and each Ancillary Document (including any of the closing deliverables 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pStyle w:val="TextBody"/>
        <w:spacing w:lineRule="auto" w:line="288" w:before="0" w:after="180"/>
        <w:ind w:left="0" w:right="0" w:firstLine="720"/>
        <w:jc w:val="both"/>
        <w:rPr/>
      </w:pPr>
      <w:r>
        <w:rPr>
          <w:rFonts w:ascii="Times New Roman;sans-serif" w:hAnsi="Times New Roman;sans-serif"/>
          <w:b/>
          <w:color w:val="000000"/>
          <w:sz w:val="20"/>
        </w:rPr>
        <w:t>Section 8.12</w:t>
      </w:r>
      <w:r>
        <w:rPr>
          <w:rFonts w:ascii="Times New Roman;sans-serif" w:hAnsi="Times New Roman;sans-serif"/>
          <w:b/>
          <w:color w:val="000000"/>
          <w:sz w:val="20"/>
          <w:u w:val="single"/>
        </w:rPr>
        <w:t>Knowledge of Company; Knowledge of ARYA</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 xml:space="preserve">For all purposes of this Agreement, the phrase “to the Company’s knowledge” and “known by the Company” and any derivations thereof shall mean as of the applicable date, the actual knowledge of the individuals set forth on </w:t>
      </w:r>
      <w:r>
        <w:rPr>
          <w:rFonts w:ascii="Times New Roman;sans-serif" w:hAnsi="Times New Roman;sans-serif"/>
          <w:b w:val="false"/>
          <w:color w:val="000000"/>
          <w:sz w:val="20"/>
          <w:u w:val="single"/>
        </w:rPr>
        <w:t>Section 8.12(a)</w:t>
      </w:r>
      <w:r>
        <w:rPr>
          <w:color w:val="000000"/>
        </w:rPr>
        <w:t xml:space="preserve"> </w:t>
      </w:r>
      <w:r>
        <w:rPr>
          <w:rFonts w:ascii="Times New Roman;sans-serif" w:hAnsi="Times New Roman;sans-serif"/>
          <w:b w:val="false"/>
          <w:color w:val="000000"/>
          <w:sz w:val="20"/>
        </w:rPr>
        <w:t xml:space="preserve">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w:t>
      </w:r>
      <w:r>
        <w:rPr>
          <w:rFonts w:ascii="Times New Roman;sans-serif" w:hAnsi="Times New Roman;sans-serif"/>
          <w:b w:val="false"/>
          <w:color w:val="000000"/>
          <w:sz w:val="20"/>
          <w:u w:val="single"/>
        </w:rPr>
        <w:t>Section 8.12(b)</w:t>
      </w:r>
      <w:r>
        <w:rPr>
          <w:color w:val="000000"/>
        </w:rPr>
        <w:t xml:space="preserve"> </w:t>
      </w:r>
      <w:r>
        <w:rPr>
          <w:rFonts w:ascii="Times New Roman;sans-serif" w:hAnsi="Times New Roman;sans-serif"/>
          <w:b w:val="false"/>
          <w:color w:val="000000"/>
          <w:sz w:val="20"/>
        </w:rPr>
        <w:t xml:space="preserve">of the ARYA Disclosure Schedules, assuming reasonable due inquiry and investigation of his or her direct reports. For the avoidance of doubt, none of the individuals set forth on </w:t>
      </w:r>
      <w:r>
        <w:rPr>
          <w:rFonts w:ascii="Times New Roman;sans-serif" w:hAnsi="Times New Roman;sans-serif"/>
          <w:b w:val="false"/>
          <w:color w:val="000000"/>
          <w:sz w:val="20"/>
          <w:u w:val="single"/>
        </w:rPr>
        <w:t>Section 8.12(a)</w:t>
      </w:r>
      <w:r>
        <w:rPr>
          <w:color w:val="000000"/>
        </w:rPr>
        <w:t xml:space="preserve"> </w:t>
      </w:r>
      <w:r>
        <w:rPr>
          <w:rFonts w:ascii="Times New Roman;sans-serif" w:hAnsi="Times New Roman;sans-serif"/>
          <w:b w:val="false"/>
          <w:color w:val="000000"/>
          <w:sz w:val="20"/>
        </w:rPr>
        <w:t xml:space="preserve">of the Company Disclosure Schedules or </w:t>
      </w:r>
      <w:r>
        <w:rPr>
          <w:rFonts w:ascii="Times New Roman;sans-serif" w:hAnsi="Times New Roman;sans-serif"/>
          <w:b w:val="false"/>
          <w:color w:val="000000"/>
          <w:sz w:val="20"/>
          <w:u w:val="single"/>
        </w:rPr>
        <w:t>Section 8.12(b)</w:t>
      </w:r>
      <w:r>
        <w:rPr>
          <w:color w:val="000000"/>
        </w:rPr>
        <w:t xml:space="preserve"> </w:t>
      </w:r>
      <w:r>
        <w:rPr>
          <w:rFonts w:ascii="Times New Roman;sans-serif" w:hAnsi="Times New Roman;sans-serif"/>
          <w:b w:val="false"/>
          <w:color w:val="000000"/>
          <w:sz w:val="20"/>
        </w:rPr>
        <w:t>of the ARYA Disclosure Schedules shall have any personal Liability or obligations regarding such knowledge.</w:t>
      </w:r>
    </w:p>
    <w:p>
      <w:pPr>
        <w:pStyle w:val="TextBody"/>
        <w:spacing w:lineRule="auto" w:line="288" w:before="0" w:after="180"/>
        <w:ind w:left="0" w:right="0" w:firstLine="720"/>
        <w:jc w:val="both"/>
        <w:rPr/>
      </w:pPr>
      <w:r>
        <w:rPr>
          <w:rFonts w:ascii="Times New Roman;sans-serif" w:hAnsi="Times New Roman;sans-serif"/>
          <w:b/>
          <w:color w:val="000000"/>
          <w:sz w:val="20"/>
        </w:rPr>
        <w:t>Section 8.13</w:t>
      </w:r>
      <w:r>
        <w:rPr>
          <w:rFonts w:ascii="Times New Roman;sans-serif" w:hAnsi="Times New Roman;sans-serif"/>
          <w:b/>
          <w:color w:val="000000"/>
          <w:sz w:val="20"/>
          <w:u w:val="single"/>
        </w:rPr>
        <w:t>No Recourse.</w:t>
      </w:r>
      <w:r>
        <w:rPr>
          <w:color w:val="000000"/>
        </w:rPr>
        <w:t xml:space="preserve"> </w:t>
      </w:r>
      <w:r>
        <w:rPr>
          <w:rFonts w:ascii="Times New Roman;sans-serif" w:hAnsi="Times New Roman;sans-serif"/>
          <w:b w:val="false"/>
          <w:color w:val="000000"/>
          <w:sz w:val="20"/>
        </w:rPr>
        <w:t xml:space="preserve">Without limiting any rights of any party against any 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 </w:t>
      </w:r>
    </w:p>
    <w:p>
      <w:pPr>
        <w:pStyle w:val="HorizontalLine"/>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2" name="Frame4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color w:val="000000"/>
          <w:sz w:val="20"/>
        </w:rPr>
        <w:t>Section 8.14</w:t>
      </w:r>
      <w:r>
        <w:rPr>
          <w:rFonts w:ascii="Times New Roman;sans-serif" w:hAnsi="Times New Roman;sans-serif"/>
          <w:b/>
          <w:color w:val="000000"/>
          <w:sz w:val="20"/>
          <w:u w:val="single"/>
        </w:rPr>
        <w:t>Extension; Waiver.</w:t>
      </w:r>
      <w:r>
        <w:rPr>
          <w:color w:val="000000"/>
        </w:rPr>
        <w:t xml:space="preserve"> </w:t>
      </w:r>
      <w:r>
        <w:rPr>
          <w:rFonts w:ascii="Times New Roman;sans-serif" w:hAnsi="Times New Roman;sans-serif"/>
          <w:b w:val="false"/>
          <w:color w:val="000000"/>
          <w:sz w:val="20"/>
        </w:rPr>
        <w:t>The Company may (a) extend the time for the performance of any of the obligations or other acts of the ARYA 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pStyle w:val="TextBody"/>
        <w:spacing w:lineRule="auto" w:line="288" w:before="0" w:after="180"/>
        <w:ind w:left="0" w:right="0" w:firstLine="720"/>
        <w:rPr/>
      </w:pPr>
      <w:r>
        <w:rPr>
          <w:rFonts w:ascii="Times New Roman;sans-serif" w:hAnsi="Times New Roman;sans-serif"/>
          <w:b/>
          <w:color w:val="000000"/>
          <w:sz w:val="20"/>
        </w:rPr>
        <w:t>Section 8.15</w:t>
      </w:r>
      <w:r>
        <w:rPr>
          <w:rFonts w:ascii="Times New Roman;sans-serif" w:hAnsi="Times New Roman;sans-serif"/>
          <w:b/>
          <w:color w:val="000000"/>
          <w:sz w:val="20"/>
          <w:u w:val="single"/>
        </w:rPr>
        <w:t>Waiver of Jury Trial.</w:t>
      </w:r>
      <w:r>
        <w:rPr>
          <w:color w:val="000000"/>
        </w:rPr>
        <w:t xml:space="preserve"> </w:t>
      </w:r>
      <w:r>
        <w:rPr>
          <w:rFonts w:ascii="Times New Roman;sans-serif" w:hAnsi="Times New Roman;sans-serif"/>
          <w:b w:val="false"/>
          <w:color w:val="000000"/>
          <w:sz w:val="20"/>
        </w:rPr>
        <w:t xml:space="preserve">THE PARTIES EACH HEREBY WAIVES, TO THE FULLEST EXTENT PERMITTED BY LAW, ANY 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sans-serif" w:hAnsi="Times New Roman;sans-serif"/>
          <w:b w:val="false"/>
          <w:color w:val="000000"/>
          <w:sz w:val="20"/>
          <w:u w:val="single"/>
        </w:rPr>
        <w:t>SECTION 8.15</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8.16</w:t>
      </w:r>
      <w:r>
        <w:rPr>
          <w:rFonts w:ascii="Times New Roman;sans-serif" w:hAnsi="Times New Roman;sans-serif"/>
          <w:b/>
          <w:color w:val="000000"/>
          <w:sz w:val="20"/>
          <w:u w:val="single"/>
        </w:rPr>
        <w:t>Submission to Jurisdiction.</w:t>
      </w:r>
      <w:r>
        <w:rPr>
          <w:color w:val="000000"/>
        </w:rPr>
        <w:t xml:space="preserve"> </w:t>
      </w:r>
      <w:r>
        <w:rPr>
          <w:rFonts w:ascii="Times New Roman;sans-serif" w:hAnsi="Times New Roman;sans-serif"/>
          <w:b w:val="false"/>
          <w:color w:val="000000"/>
          <w:sz w:val="20"/>
        </w:rPr>
        <w:t xml:space="preserve">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sans-serif" w:hAnsi="Times New Roman;sans-serif"/>
          <w:b w:val="false"/>
          <w:color w:val="000000"/>
          <w:sz w:val="20"/>
          <w:u w:val="single"/>
        </w:rPr>
        <w:t>Section 8.16</w:t>
      </w:r>
      <w:r>
        <w:rPr>
          <w:color w:val="000000"/>
        </w:rPr>
        <w:t xml:space="preserve"> </w:t>
      </w:r>
      <w:r>
        <w:rPr>
          <w:rFonts w:ascii="Times New Roman;sans-serif" w:hAnsi="Times New Roman;sans-serif"/>
          <w:b w:val="false"/>
          <w:color w:val="000000"/>
          <w:sz w:val="20"/>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w:t>
      </w:r>
    </w:p>
    <w:p>
      <w:pPr>
        <w:pStyle w:val="HorizontalLine"/>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3" name="Frame4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 xml:space="preserve">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ans-serif" w:hAnsi="Times New Roman;sans-serif"/>
          <w:b w:val="false"/>
          <w:color w:val="000000"/>
          <w:sz w:val="20"/>
          <w:u w:val="single"/>
        </w:rPr>
        <w:t>Section 8.4</w:t>
      </w:r>
      <w:r>
        <w:rPr>
          <w:color w:val="000000"/>
        </w:rPr>
        <w:t xml:space="preserve"> </w:t>
      </w:r>
      <w:r>
        <w:rPr>
          <w:rFonts w:ascii="Times New Roman;sans-serif" w:hAnsi="Times New Roman;sans-serif"/>
          <w:b w:val="false"/>
          <w:color w:val="000000"/>
          <w:sz w:val="20"/>
        </w:rPr>
        <w:t>shall be effective service of process for any such Proceeding, claim, demand, action or cause of action.</w:t>
      </w:r>
    </w:p>
    <w:p>
      <w:pPr>
        <w:pStyle w:val="TextBody"/>
        <w:spacing w:lineRule="auto" w:line="288" w:before="0" w:after="180"/>
        <w:ind w:left="0" w:right="0" w:firstLine="720"/>
        <w:jc w:val="both"/>
        <w:rPr/>
      </w:pPr>
      <w:r>
        <w:rPr>
          <w:rFonts w:ascii="Times New Roman;sans-serif" w:hAnsi="Times New Roman;sans-serif"/>
          <w:b/>
          <w:color w:val="000000"/>
          <w:sz w:val="20"/>
        </w:rPr>
        <w:t>Section 8.17</w:t>
      </w:r>
      <w:r>
        <w:rPr>
          <w:rFonts w:ascii="Times New Roman;sans-serif" w:hAnsi="Times New Roman;sans-serif"/>
          <w:b/>
          <w:color w:val="000000"/>
          <w:sz w:val="20"/>
          <w:u w:val="single"/>
        </w:rPr>
        <w:t>Remedies.</w:t>
      </w:r>
      <w:r>
        <w:rPr>
          <w:color w:val="000000"/>
        </w:rPr>
        <w:t xml:space="preserve"> </w:t>
      </w:r>
      <w:r>
        <w:rPr>
          <w:rFonts w:ascii="Times New Roman;sans-serif" w:hAnsi="Times New Roman;sans-serif"/>
          <w:b w:val="false"/>
          <w:color w:val="000000"/>
          <w:sz w:val="20"/>
        </w:rPr>
        <w:t xml:space="preserve">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w:t>
      </w:r>
    </w:p>
    <w:p>
      <w:pPr>
        <w:pStyle w:val="TextBody"/>
        <w:spacing w:lineRule="auto" w:line="288" w:before="0" w:after="180"/>
        <w:ind w:left="0" w:right="0" w:firstLine="720"/>
        <w:jc w:val="both"/>
        <w:rPr/>
      </w:pPr>
      <w:r>
        <w:rPr>
          <w:rFonts w:ascii="Times New Roman;sans-serif" w:hAnsi="Times New Roman;sans-serif"/>
          <w:b/>
          <w:color w:val="000000"/>
          <w:sz w:val="20"/>
        </w:rPr>
        <w:t>Section 8.18</w:t>
      </w:r>
      <w:r>
        <w:rPr>
          <w:rFonts w:ascii="Times New Roman;sans-serif" w:hAnsi="Times New Roman;sans-serif"/>
          <w:b/>
          <w:color w:val="000000"/>
          <w:sz w:val="20"/>
          <w:u w:val="single"/>
        </w:rPr>
        <w:t>Trust Account Waiver</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Reference is made to the final prospectus of ARYA, filed with the SEC (File No. 333-2399860, on August 10, 2020 (the </w:t>
      </w:r>
      <w:r>
        <w:rPr>
          <w:color w:val="000000"/>
          <w:u w:val="single"/>
        </w:rPr>
        <w:t>“</w:t>
      </w:r>
      <w:r>
        <w:rPr>
          <w:rFonts w:ascii="Times New Roman;sans-serif" w:hAnsi="Times New Roman;sans-serif"/>
          <w:b w:val="false"/>
          <w:color w:val="000000"/>
          <w:sz w:val="20"/>
          <w:u w:val="single"/>
        </w:rPr>
        <w:t>Prospectus”</w:t>
      </w:r>
      <w:r>
        <w:rPr>
          <w:rFonts w:ascii="Times New Roman;sans-serif" w:hAnsi="Times New Roman;sans-serif"/>
          <w:b w:val="false"/>
          <w:color w:val="000000"/>
          <w:sz w:val="20"/>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Times New Roman;sans-serif" w:hAnsi="Times New Roman;sans-serif"/>
          <w:b w:val="false"/>
          <w:color w:val="000000"/>
          <w:sz w:val="20"/>
          <w:u w:val="single"/>
        </w:rPr>
        <w:t>Public Shareholders</w:t>
      </w:r>
      <w:r>
        <w:rPr>
          <w:color w:val="000000"/>
        </w:rPr>
        <w:t>”</w:t>
      </w:r>
      <w:r>
        <w:rPr>
          <w:rFonts w:ascii="Times New Roman;sans-serif" w:hAnsi="Times New Roman;sans-serif"/>
          <w:b w:val="false"/>
          <w:color w:val="000000"/>
          <w:sz w:val="20"/>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Times New Roman;sans-serif" w:hAnsi="Times New Roman;sans-serif"/>
          <w:b w:val="false"/>
          <w:color w:val="000000"/>
          <w:sz w:val="20"/>
          <w:u w:val="single"/>
        </w:rPr>
        <w:t>Section 8.18(b)</w:t>
      </w:r>
      <w:r>
        <w:rPr>
          <w:rFonts w:ascii="Times New Roman;sans-serif" w:hAnsi="Times New Roman;sans-serif"/>
          <w:b w:val="false"/>
          <w:color w:val="000000"/>
          <w:sz w:val="20"/>
        </w:rPr>
        <w:t xml:space="preserve">),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color w:val="000000"/>
          <w:u w:val="single"/>
        </w:rPr>
        <w:t>“</w:t>
      </w:r>
      <w:r>
        <w:rPr>
          <w:rFonts w:ascii="Times New Roman;sans-serif" w:hAnsi="Times New Roman;sans-serif"/>
          <w:b w:val="false"/>
          <w:color w:val="000000"/>
          <w:sz w:val="20"/>
          <w:u w:val="single"/>
        </w:rPr>
        <w:t>Trust Account Released Claims”</w:t>
      </w:r>
      <w:r>
        <w:rPr>
          <w:rFonts w:ascii="Times New Roman;sans-serif" w:hAnsi="Times New Roman;sans-serif"/>
          <w:b w:val="false"/>
          <w:color w:val="000000"/>
          <w:sz w:val="20"/>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pStyle w:val="HorizontalLine"/>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464" name="Frame4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Notwithstanding</w:t>
      </w:r>
      <w:r>
        <w:rPr>
          <w:color w:val="000000"/>
          <w:u w:val="single"/>
        </w:rPr>
        <w:t xml:space="preserve"> </w:t>
      </w:r>
      <w:r>
        <w:rPr>
          <w:rFonts w:ascii="Times New Roman;sans-serif" w:hAnsi="Times New Roman;sans-serif"/>
          <w:b w:val="false"/>
          <w:color w:val="000000"/>
          <w:sz w:val="20"/>
          <w:u w:val="single"/>
        </w:rPr>
        <w:t>Section 8.18(a), Section 8.18(a)</w:t>
      </w:r>
      <w:r>
        <w:rPr>
          <w:color w:val="000000"/>
        </w:rPr>
        <w:t xml:space="preserve"> </w:t>
      </w:r>
      <w:r>
        <w:rPr>
          <w:rFonts w:ascii="Times New Roman;sans-serif" w:hAnsi="Times New Roman;sans-serif"/>
          <w:b w:val="false"/>
          <w:color w:val="000000"/>
          <w:sz w:val="20"/>
        </w:rPr>
        <w:t xml:space="preserve">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Times New Roman;sans-serif" w:hAnsi="Times New Roman;sans-serif"/>
          <w:b w:val="false"/>
          <w:color w:val="000000"/>
          <w:sz w:val="20"/>
          <w:u w:val="single"/>
        </w:rPr>
        <w:t>Section 8.17</w:t>
      </w:r>
      <w:r>
        <w:rPr>
          <w:rFonts w:ascii="Times New Roman;sans-serif" w:hAnsi="Times New Roman;sans-serif"/>
          <w:b w:val="false"/>
          <w:color w:val="000000"/>
          <w:sz w:val="20"/>
        </w:rPr>
        <w:t xml:space="preserve">). If the terms of the Confidentiality Agreement or any Ancillary Document conflicts with the terms of this </w:t>
      </w:r>
      <w:r>
        <w:rPr>
          <w:rFonts w:ascii="Times New Roman;sans-serif" w:hAnsi="Times New Roman;sans-serif"/>
          <w:b w:val="false"/>
          <w:color w:val="000000"/>
          <w:sz w:val="20"/>
          <w:u w:val="single"/>
        </w:rPr>
        <w:t>Section 8.18(b</w:t>
      </w:r>
      <w:r>
        <w:rPr>
          <w:rFonts w:ascii="Times New Roman;sans-serif" w:hAnsi="Times New Roman;sans-serif"/>
          <w:b w:val="false"/>
          <w:color w:val="000000"/>
          <w:sz w:val="20"/>
        </w:rPr>
        <w:t xml:space="preserve">), the terms of this </w:t>
      </w:r>
      <w:r>
        <w:rPr>
          <w:rFonts w:ascii="Times New Roman;sans-serif" w:hAnsi="Times New Roman;sans-serif"/>
          <w:b w:val="false"/>
          <w:color w:val="000000"/>
          <w:sz w:val="20"/>
          <w:u w:val="single"/>
        </w:rPr>
        <w:t>Section 8.18(b)</w:t>
      </w:r>
      <w:r>
        <w:rPr>
          <w:color w:val="000000"/>
        </w:rPr>
        <w:t xml:space="preserve"> </w:t>
      </w:r>
      <w:r>
        <w:rPr>
          <w:rFonts w:ascii="Times New Roman;sans-serif" w:hAnsi="Times New Roman;sans-serif"/>
          <w:b w:val="false"/>
          <w:color w:val="000000"/>
          <w:sz w:val="20"/>
        </w:rPr>
        <w:t xml:space="preserve">shall govern and control to the extent of such conflict. The Parties acknowledge and agree that this Section 8.18 supersedes and replaces Section 7(h) of the Confidentiality Agreement in its entirety and </w:t>
      </w:r>
      <w:r>
        <w:rPr>
          <w:rFonts w:ascii="Times New Roman;sans-serif" w:hAnsi="Times New Roman;sans-serif"/>
          <w:b w:val="false"/>
          <w:color w:val="000000"/>
          <w:sz w:val="20"/>
          <w:u w:val="single"/>
        </w:rPr>
        <w:t>Section 7(h)</w:t>
      </w:r>
      <w:r>
        <w:rPr>
          <w:color w:val="000000"/>
        </w:rPr>
        <w:t xml:space="preserve"> </w:t>
      </w:r>
      <w:r>
        <w:rPr>
          <w:rFonts w:ascii="Times New Roman;sans-serif" w:hAnsi="Times New Roman;sans-serif"/>
          <w:b w:val="false"/>
          <w:color w:val="000000"/>
          <w:sz w:val="20"/>
        </w:rPr>
        <w:t>of the Confidentiality Agreement will no longer be of any force or effect.</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     *     *</w:t>
      </w:r>
    </w:p>
    <w:p>
      <w:pPr>
        <w:pStyle w:val="HorizontalLine"/>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65" name="Frame4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caused this Business Combination Agreement to be duly executed on its behalf as of the day and year first above written.</w:t>
      </w:r>
    </w:p>
    <w:tbl>
      <w:tblPr>
        <w:tblW w:w="3940" w:type="dxa"/>
        <w:jc w:val="right"/>
        <w:tblInd w:w="0" w:type="dxa"/>
        <w:tblCellMar>
          <w:top w:w="28" w:type="dxa"/>
          <w:left w:w="28" w:type="dxa"/>
          <w:bottom w:w="28" w:type="dxa"/>
          <w:right w:w="28" w:type="dxa"/>
        </w:tblCellMar>
      </w:tblPr>
      <w:tblGrid>
        <w:gridCol w:w="678"/>
        <w:gridCol w:w="596"/>
        <w:gridCol w:w="596"/>
        <w:gridCol w:w="604"/>
        <w:gridCol w:w="604"/>
        <w:gridCol w:w="862"/>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MAKO MERGER SUB, INC.</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66" name="Frame4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B</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Dated August 6, 2020</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MEMORANDUM OF ASSOCIATION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before="0" w:after="180"/>
        <w:jc w:val="center"/>
        <w:rPr/>
      </w:pPr>
      <w:r>
        <w:rPr/>
        <w:drawing>
          <wp:inline distT="0" distB="63500" distL="0" distR="0">
            <wp:extent cx="1428750" cy="619125"/>
            <wp:effectExtent l="0" t="0" r="0" b="0"/>
            <wp:docPr id="46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19" descr=""/>
                    <pic:cNvPicPr>
                      <a:picLocks noChangeAspect="1" noChangeArrowheads="1"/>
                    </pic:cNvPicPr>
                  </pic:nvPicPr>
                  <pic:blipFill>
                    <a:blip r:embed="rId20"/>
                    <a:stretch>
                      <a:fillRect/>
                    </a:stretch>
                  </pic:blipFill>
                  <pic:spPr bwMode="auto">
                    <a:xfrm>
                      <a:off x="0" y="0"/>
                      <a:ext cx="1428750" cy="619125"/>
                    </a:xfrm>
                    <a:prstGeom prst="rect">
                      <a:avLst/>
                    </a:prstGeom>
                  </pic:spPr>
                </pic:pic>
              </a:graphicData>
            </a:graphic>
          </wp:inline>
        </w:drawing>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Amended and Restated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Memorandum of Association</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name of the Company is ARYA Sciences Acquisition Corp III.</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Company's registered office will be situated at the office of Ogier Global (Cayman) Limited, 89 Nexus Way, Camana Bay, Grand Cayman, KY1-9009, Cayman Islands or at such other place in the Cayman Islands as the directors may at any time decide.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3The Company's objects are unrestricted.  As provided by section 7(4) of the Companies Law (Revised), the Company has full power and authority to carry out any object not prohibited by any law of the Cayman Islands.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5Nothing in any of the preceding paragraphs permits the Company to carry on any of the following businesses without being duly licensed, namely:</w:t>
      </w:r>
    </w:p>
    <w:p>
      <w:pPr>
        <w:pStyle w:val="HorizontalLine"/>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68" name="Frame4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180"/>
        <w:jc w:val="right"/>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business of a bank or trust company without being licensed in that behalf under the Banks and Trust Companies Law (Revised);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(b)insurance business from within the Cayman Islands or the business of an insurance manager, agent, sub-agent or broker without being licensed in that behalf under the Insurance Law (Revised);or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business of company management without being licensed in that behalf under the Companies Management Law (Revised).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7The Company is a company limited by shares and accordingly the liability of each member is limited to the amount (if any) unpaid on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(a)redeem or repurchase any of its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(b)increase or reduce its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(c)issue any part of its capital (whether original, redeemed, increased or reduced):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(i)with or without any preferential, deferred, qualified or special rights, privileges or conditions;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(ii)subject to any limitations or restrictions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unless the condition of issue expressly declares otherwise, every issue of shares (whether declared to be ordinary, preference or otherwise) is subject to this power;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(d)alter any of those rights, privileges, conditions, limitations or restrictions.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9The Company has power to register by way of continuation as a body corporate limited by shares under the laws of any jurisdiction outside the Cayman Islands and to be deregistered in the Cayman Islands.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69" name="Frame4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AMENDED &amp; RESTATED ARTICLES OF ASSOCIATION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before="0" w:after="180"/>
        <w:jc w:val="center"/>
        <w:rPr/>
      </w:pPr>
      <w:r>
        <w:rPr/>
        <w:drawing>
          <wp:inline distT="0" distB="63500" distL="0" distR="0">
            <wp:extent cx="952500" cy="419100"/>
            <wp:effectExtent l="0" t="0" r="0" b="0"/>
            <wp:docPr id="4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0" descr=""/>
                    <pic:cNvPicPr>
                      <a:picLocks noChangeAspect="1" noChangeArrowheads="1"/>
                    </pic:cNvPicPr>
                  </pic:nvPicPr>
                  <pic:blipFill>
                    <a:blip r:embed="rId21"/>
                    <a:stretch>
                      <a:fillRect/>
                    </a:stretch>
                  </pic:blipFill>
                  <pic:spPr bwMode="auto">
                    <a:xfrm>
                      <a:off x="0" y="0"/>
                      <a:ext cx="952500" cy="419100"/>
                    </a:xfrm>
                    <a:prstGeom prst="rect">
                      <a:avLst/>
                    </a:prstGeom>
                  </pic:spPr>
                </pic:pic>
              </a:graphicData>
            </a:graphic>
          </wp:inline>
        </w:drawing>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103" w:type="dxa"/>
        <w:jc w:val="left"/>
        <w:tblInd w:w="0" w:type="dxa"/>
        <w:tblCellMar>
          <w:top w:w="28" w:type="dxa"/>
          <w:left w:w="28" w:type="dxa"/>
          <w:bottom w:w="28" w:type="dxa"/>
          <w:right w:w="28" w:type="dxa"/>
        </w:tblCellMar>
      </w:tblPr>
      <w:tblGrid>
        <w:gridCol w:w="124"/>
        <w:gridCol w:w="109"/>
        <w:gridCol w:w="109"/>
        <w:gridCol w:w="1764"/>
        <w:gridCol w:w="1764"/>
        <w:gridCol w:w="1767"/>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CONTENTS</w:t>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Definitions, interpretation and exclusion of Table A</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Interpretation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Exclusion of Table A Articles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Commencement of Business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Shares and options, with or without special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fractions of a Share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commissions and brokerage fees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Trusts not recognised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vary class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new Share issue on existing class rights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without issue of further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bearer Shares or warrants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attaching to Treasury Shares and related matters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Register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 certificates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share certificates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of lost or damaged share certificates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Lien on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Nature and scope of lien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sell Shares to satisfy lien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to execute instrument of transfer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Consequences of sale of Shares to satisfy lien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bl>
    <w:p>
      <w:pPr>
        <w:pStyle w:val="HorizontalLine"/>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1" name="Frame4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180"/>
        <w:jc w:val="center"/>
        <w:rPr/>
      </w:pPr>
      <w:r>
        <w:rPr/>
      </w:r>
    </w:p>
    <w:tbl>
      <w:tblPr>
        <w:tblW w:w="7723" w:type="dxa"/>
        <w:jc w:val="left"/>
        <w:tblInd w:w="0" w:type="dxa"/>
        <w:tblCellMar>
          <w:top w:w="28" w:type="dxa"/>
          <w:left w:w="28" w:type="dxa"/>
          <w:bottom w:w="28" w:type="dxa"/>
          <w:right w:w="28" w:type="dxa"/>
        </w:tblCellMar>
      </w:tblPr>
      <w:tblGrid>
        <w:gridCol w:w="124"/>
        <w:gridCol w:w="109"/>
        <w:gridCol w:w="109"/>
        <w:gridCol w:w="2304"/>
        <w:gridCol w:w="2304"/>
        <w:gridCol w:w="2307"/>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proceeds of sale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Calls on Shares and forfeiture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make calls and effect of calls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when call made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of joint holders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unpaid calls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calls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accept early payment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make different arrangements at time of issue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default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or surrender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forfeited or surrendered Share and power to cancel forfeiture or surrender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forfeiture or surrender on former Member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Evidence of forfeiture or surrender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forfeited or surrendered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Transfer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transfer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refuse registration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suspend registration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retain instrument of transfer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Transmission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entitled on death of a Member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of transfer of a Share following death or bankruptcy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person entitled to a Share following death or bankruptcy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Alteration of capital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Increasing, consolidating, converting, dividing and cancelling share capital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Dealing with fractions resulting from consolidation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Reducing share capital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Redemption and purchase of own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redeemable Shares and to purchase own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for redemption or purchase in cash or in specie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redemption or purchase of a Share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B Share Conversion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Meetings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call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of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of notice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bl>
    <w:p>
      <w:pPr>
        <w:pStyle w:val="HorizontalLine"/>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2" name="Frame4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180"/>
        <w:jc w:val="center"/>
        <w:rPr/>
      </w:pPr>
      <w:r>
        <w:rPr/>
      </w:r>
    </w:p>
    <w:tbl>
      <w:tblPr>
        <w:tblW w:w="5698" w:type="dxa"/>
        <w:jc w:val="left"/>
        <w:tblInd w:w="0" w:type="dxa"/>
        <w:tblCellMar>
          <w:top w:w="28" w:type="dxa"/>
          <w:left w:w="28" w:type="dxa"/>
          <w:bottom w:w="28" w:type="dxa"/>
          <w:right w:w="28" w:type="dxa"/>
        </w:tblCellMar>
      </w:tblPr>
      <w:tblGrid>
        <w:gridCol w:w="124"/>
        <w:gridCol w:w="109"/>
        <w:gridCol w:w="109"/>
        <w:gridCol w:w="1629"/>
        <w:gridCol w:w="1629"/>
        <w:gridCol w:w="1632"/>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entitled to receive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notice on a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 website notice is deemed to be given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Required duration of publication on a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Accidental omission to give notice or non-receipt of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w:t>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Proceedings at meetings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Lack of quorum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technology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a director to attend and speak</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Adjournment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of voting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Taking of a poll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Chairman's casting vote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resolutions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resolutions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Sole-member company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w:t>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Voting rights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to vote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joint holders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corporate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with mental disorder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Objections to admissibility of votes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and when proxy is to be delivered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by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16</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17</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Appointment, disqualification and removal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age limit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shareholding qualification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and removal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Resignation of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the office of director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18</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Alternate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and removal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alternate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bl>
    <w:p>
      <w:pPr>
        <w:pStyle w:val="HorizontalLine"/>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3" name="Frame4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180"/>
        <w:jc w:val="center"/>
        <w:rPr/>
      </w:pPr>
      <w:r>
        <w:rPr/>
      </w:r>
    </w:p>
    <w:tbl>
      <w:tblPr>
        <w:tblW w:w="6523" w:type="dxa"/>
        <w:jc w:val="left"/>
        <w:tblInd w:w="0" w:type="dxa"/>
        <w:tblCellMar>
          <w:top w:w="28" w:type="dxa"/>
          <w:left w:w="28" w:type="dxa"/>
          <w:bottom w:w="28" w:type="dxa"/>
          <w:right w:w="28" w:type="dxa"/>
        </w:tblCellMar>
      </w:tblPr>
      <w:tblGrid>
        <w:gridCol w:w="124"/>
        <w:gridCol w:w="109"/>
        <w:gridCol w:w="109"/>
        <w:gridCol w:w="1903"/>
        <w:gridCol w:w="1903"/>
        <w:gridCol w:w="1909"/>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ceases when the appointor ceases to be a director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Status of alternate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Status of the director making the appointment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19</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Powers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 of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Appointments to office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Remuneration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information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Delegation of powers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delegate any of the directors' powers to a committee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an agent of the Company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an attorney or authorised signatory of the Company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21</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Meetings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 of directors' meetings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Calling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meetings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of notice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technology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of dissent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resolutions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 director's minute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22</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Permissible directors' interests and disclosure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Permissible interests subject to disclosure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Notification of interests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where a director is interested in a matter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w:t>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Minutes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24</w:t>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and audit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and other records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automatic right of inspection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Sending of accounts and reports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of receipt if documents are published on a website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 despite accidental error in publication on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74" name="Frame4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180"/>
        <w:jc w:val="center"/>
        <w:rPr/>
      </w:pPr>
      <w:r>
        <w:rPr/>
      </w:r>
    </w:p>
    <w:tbl>
      <w:tblPr>
        <w:tblW w:w="7932" w:type="dxa"/>
        <w:jc w:val="left"/>
        <w:tblInd w:w="0" w:type="dxa"/>
        <w:tblCellMar>
          <w:top w:w="28" w:type="dxa"/>
          <w:left w:w="28" w:type="dxa"/>
          <w:bottom w:w="28" w:type="dxa"/>
          <w:right w:w="28" w:type="dxa"/>
        </w:tblCellMar>
      </w:tblPr>
      <w:tblGrid>
        <w:gridCol w:w="124"/>
        <w:gridCol w:w="109"/>
        <w:gridCol w:w="109"/>
        <w:gridCol w:w="2371"/>
        <w:gridCol w:w="2371"/>
        <w:gridCol w:w="2382"/>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25</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year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26</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Record dates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27</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Declaration of dividends by Members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interim dividends and declaration of final dividends by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Apportionment of dividends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set off</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other than in cash</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payments may be made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or other moneys not to bear interest in absence of special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unable to be paid or unclaimed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28</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Capitalisation of profits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Capitalisation of profits or of any share premium account or capital redemption reserve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Applying an amount for the benefit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29</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 premium account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to maintain share premium account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Debits to share premium account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30</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seal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Duplicate seal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and how seal is to be used</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no seal is adopted or used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allow non-manual signatures and facsimile printing of seal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 of execution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31</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32</w:t>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communications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authorised to give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Delivery of written 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holders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Evidence of transmission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Giving notice to a deceased or bankrupt Member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giving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bl>
    <w:p>
      <w:pPr>
        <w:pStyle w:val="HorizontalLine"/>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475" name="Frame4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180"/>
        <w:jc w:val="center"/>
        <w:rPr/>
      </w:pPr>
      <w:r>
        <w:rPr/>
      </w:r>
    </w:p>
    <w:tbl>
      <w:tblPr>
        <w:tblW w:w="8863" w:type="dxa"/>
        <w:jc w:val="left"/>
        <w:tblInd w:w="0" w:type="dxa"/>
        <w:tblCellMar>
          <w:top w:w="28" w:type="dxa"/>
          <w:left w:w="28" w:type="dxa"/>
          <w:bottom w:w="28" w:type="dxa"/>
          <w:right w:w="28" w:type="dxa"/>
        </w:tblCellMar>
      </w:tblPr>
      <w:tblGrid>
        <w:gridCol w:w="124"/>
        <w:gridCol w:w="109"/>
        <w:gridCol w:w="109"/>
        <w:gridCol w:w="2681"/>
        <w:gridCol w:w="2681"/>
        <w:gridCol w:w="2693"/>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provision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Authentication of Electronic Records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Articles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of documents sent by Members by Electronic means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of document sent by the Secretary or Officers of the Company by Electronic means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Manner of signing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provision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34</w:t>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Transfer by way of continuation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35</w:t>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Winding up</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assets in specie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obligation to accept liability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are authorised to present a winding up petition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36</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Amendment of Memorandum and Articles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change name or amend Memorandum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amend these Articles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37</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Mergers and Consolidations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38</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Combination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39</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Tax Filings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40</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Opportunities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476" name="Frame4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Amended &amp; Restated Articles of Association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1Definitions, interpretation and exclusion of Table 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1.1In these Articles, the following definitions apply:</w:t>
      </w:r>
    </w:p>
    <w:p>
      <w:pPr>
        <w:pStyle w:val="TextBody"/>
        <w:spacing w:lineRule="auto" w:line="288" w:before="0" w:after="180"/>
        <w:rPr/>
      </w:pPr>
      <w:r>
        <w:rPr>
          <w:rFonts w:ascii="Times New Roman;sans-serif" w:hAnsi="Times New Roman;sans-serif"/>
          <w:b/>
          <w:color w:val="000000"/>
          <w:sz w:val="20"/>
        </w:rPr>
        <w:t>Applicable Law</w:t>
      </w:r>
      <w:r>
        <w:rPr>
          <w:color w:val="000000"/>
        </w:rPr>
        <w:t xml:space="preserve"> </w:t>
      </w:r>
      <w:r>
        <w:rPr>
          <w:rFonts w:ascii="Times New Roman;sans-serif" w:hAnsi="Times New Roman;sans-serif"/>
          <w:b w:val="false"/>
          <w:color w:val="000000"/>
          <w:sz w:val="20"/>
        </w:rPr>
        <w:t>means, with respect to any person, all provisions of laws, statutes, ordinances, rules, regulations, permits, certificates, judgments, decisions, decrees or orders of any governmental authority applicable to such person.</w:t>
      </w:r>
    </w:p>
    <w:p>
      <w:pPr>
        <w:pStyle w:val="TextBody"/>
        <w:spacing w:lineRule="auto" w:line="288" w:before="0" w:after="180"/>
        <w:rPr/>
      </w:pPr>
      <w:r>
        <w:rPr>
          <w:rFonts w:ascii="Times New Roman;sans-serif" w:hAnsi="Times New Roman;sans-serif"/>
          <w:b/>
          <w:color w:val="000000"/>
          <w:sz w:val="20"/>
        </w:rPr>
        <w:t>Articles</w:t>
      </w:r>
      <w:r>
        <w:rPr>
          <w:color w:val="000000"/>
        </w:rPr>
        <w:t xml:space="preserve"> </w:t>
      </w:r>
      <w:r>
        <w:rPr>
          <w:rFonts w:ascii="Times New Roman;sans-serif" w:hAnsi="Times New Roman;sans-serif"/>
          <w:b w:val="false"/>
          <w:color w:val="000000"/>
          <w:sz w:val="20"/>
        </w:rPr>
        <w:t>means, as appropriate: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(a)these Articles of Association as amended from time to time: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(b)two or more particular Articles of these Articles;</w:t>
      </w:r>
    </w:p>
    <w:p>
      <w:pPr>
        <w:pStyle w:val="TextBody"/>
        <w:spacing w:lineRule="auto" w:line="288" w:before="0" w:after="180"/>
        <w:rPr/>
      </w:pPr>
      <w:r>
        <w:rPr>
          <w:rFonts w:ascii="Times New Roman;sans-serif" w:hAnsi="Times New Roman;sans-serif"/>
          <w:b w:val="false"/>
          <w:color w:val="000000"/>
          <w:sz w:val="20"/>
        </w:rPr>
        <w:t xml:space="preserve">and </w:t>
      </w:r>
      <w:r>
        <w:rPr>
          <w:rFonts w:ascii="Times New Roman;sans-serif" w:hAnsi="Times New Roman;sans-serif"/>
          <w:b/>
          <w:color w:val="000000"/>
          <w:sz w:val="20"/>
        </w:rPr>
        <w:t>Article</w:t>
      </w:r>
      <w:r>
        <w:rPr>
          <w:color w:val="000000"/>
        </w:rPr>
        <w:t xml:space="preserve"> </w:t>
      </w:r>
      <w:r>
        <w:rPr>
          <w:rFonts w:ascii="Times New Roman;sans-serif" w:hAnsi="Times New Roman;sans-serif"/>
          <w:b w:val="false"/>
          <w:color w:val="000000"/>
          <w:sz w:val="20"/>
        </w:rPr>
        <w:t>refers to a particular Article of these Articles.</w:t>
      </w:r>
    </w:p>
    <w:p>
      <w:pPr>
        <w:pStyle w:val="TextBody"/>
        <w:spacing w:lineRule="auto" w:line="288" w:before="0" w:after="180"/>
        <w:rPr/>
      </w:pPr>
      <w:r>
        <w:rPr>
          <w:rFonts w:ascii="Times New Roman;sans-serif" w:hAnsi="Times New Roman;sans-serif"/>
          <w:b/>
          <w:color w:val="000000"/>
          <w:sz w:val="20"/>
        </w:rPr>
        <w:t>Audit Committee</w:t>
      </w:r>
      <w:r>
        <w:rPr>
          <w:color w:val="000000"/>
        </w:rPr>
        <w:t xml:space="preserve"> </w:t>
      </w:r>
      <w:r>
        <w:rPr>
          <w:rFonts w:ascii="Times New Roman;sans-serif" w:hAnsi="Times New Roman;sans-serif"/>
          <w:b w:val="false"/>
          <w:color w:val="000000"/>
          <w:sz w:val="20"/>
        </w:rPr>
        <w:t>means the audit committee of the Company formed pursuant to Article 24.8 hereof, or any successor audit committee.</w:t>
      </w:r>
    </w:p>
    <w:p>
      <w:pPr>
        <w:pStyle w:val="TextBody"/>
        <w:spacing w:lineRule="auto" w:line="288" w:before="0" w:after="180"/>
        <w:rPr/>
      </w:pPr>
      <w:r>
        <w:rPr>
          <w:rFonts w:ascii="Times New Roman;sans-serif" w:hAnsi="Times New Roman;sans-serif"/>
          <w:b/>
          <w:color w:val="000000"/>
          <w:sz w:val="20"/>
        </w:rPr>
        <w:t>Auditor</w:t>
      </w:r>
      <w:r>
        <w:rPr>
          <w:color w:val="000000"/>
        </w:rPr>
        <w:t xml:space="preserve"> </w:t>
      </w:r>
      <w:r>
        <w:rPr>
          <w:rFonts w:ascii="Times New Roman;sans-serif" w:hAnsi="Times New Roman;sans-serif"/>
          <w:b w:val="false"/>
          <w:color w:val="000000"/>
          <w:sz w:val="20"/>
        </w:rPr>
        <w:t>means the person for the time being performing the duties of auditor of the Company.</w:t>
      </w:r>
    </w:p>
    <w:p>
      <w:pPr>
        <w:pStyle w:val="TextBody"/>
        <w:spacing w:lineRule="auto" w:line="288" w:before="0" w:after="180"/>
        <w:rPr/>
      </w:pPr>
      <w:r>
        <w:rPr>
          <w:rFonts w:ascii="Times New Roman;sans-serif" w:hAnsi="Times New Roman;sans-serif"/>
          <w:b/>
          <w:color w:val="000000"/>
          <w:sz w:val="20"/>
        </w:rPr>
        <w:t>Business Combination</w:t>
      </w:r>
      <w:r>
        <w:rPr>
          <w:color w:val="000000"/>
        </w:rPr>
        <w:t xml:space="preserve"> </w:t>
      </w:r>
      <w:r>
        <w:rPr>
          <w:rFonts w:ascii="Times New Roman;sans-serif" w:hAnsi="Times New Roman;sans-serif"/>
          <w:b w:val="false"/>
          <w:color w:val="000000"/>
          <w:sz w:val="20"/>
        </w:rPr>
        <w:t xml:space="preserve">means a merger, share exchange, asset acquisition, share purchase, reorganisation or similar business combination involving the Company, with one or more businesses or entities (each a </w:t>
      </w:r>
      <w:r>
        <w:rPr>
          <w:rFonts w:ascii="Times New Roman;sans-serif" w:hAnsi="Times New Roman;sans-serif"/>
          <w:b/>
          <w:color w:val="000000"/>
          <w:sz w:val="20"/>
        </w:rPr>
        <w:t>target business</w:t>
      </w:r>
      <w:r>
        <w:rPr>
          <w:rFonts w:ascii="Times New Roman;sans-serif" w:hAnsi="Times New Roman;sans-serif"/>
          <w:b w:val="false"/>
          <w:color w:val="000000"/>
          <w:sz w:val="20"/>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pStyle w:val="TextBody"/>
        <w:spacing w:lineRule="auto" w:line="288" w:before="0" w:after="180"/>
        <w:rPr/>
      </w:pP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means a day other than a day on which banking institutions or trust companies are authorised or obligated by law to close in New York City, a Saturday or a Sunday.</w:t>
      </w:r>
    </w:p>
    <w:p>
      <w:pPr>
        <w:pStyle w:val="TextBody"/>
        <w:spacing w:lineRule="auto" w:line="288" w:before="0" w:after="180"/>
        <w:rPr/>
      </w:pPr>
      <w:r>
        <w:rPr>
          <w:rFonts w:ascii="Times New Roman;sans-serif" w:hAnsi="Times New Roman;sans-serif"/>
          <w:b/>
          <w:color w:val="000000"/>
          <w:sz w:val="20"/>
        </w:rPr>
        <w:t>Class A Share</w:t>
      </w:r>
      <w:r>
        <w:rPr>
          <w:color w:val="000000"/>
        </w:rPr>
        <w:t xml:space="preserve"> </w:t>
      </w:r>
      <w:r>
        <w:rPr>
          <w:rFonts w:ascii="Times New Roman;sans-serif" w:hAnsi="Times New Roman;sans-serif"/>
          <w:b w:val="false"/>
          <w:color w:val="000000"/>
          <w:sz w:val="20"/>
        </w:rPr>
        <w:t>means a Class A ordinary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Class B Share</w:t>
      </w:r>
      <w:r>
        <w:rPr>
          <w:color w:val="000000"/>
        </w:rPr>
        <w:t xml:space="preserve"> </w:t>
      </w:r>
      <w:r>
        <w:rPr>
          <w:rFonts w:ascii="Times New Roman;sans-serif" w:hAnsi="Times New Roman;sans-serif"/>
          <w:b w:val="false"/>
          <w:color w:val="000000"/>
          <w:sz w:val="20"/>
        </w:rPr>
        <w:t>means a Class B ordinary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Clear Days</w:t>
      </w:r>
      <w:r>
        <w:rPr>
          <w:rFonts w:ascii="Times New Roman;sans-serif" w:hAnsi="Times New Roman;sans-serif"/>
          <w:b w:val="false"/>
          <w:color w:val="000000"/>
          <w:sz w:val="20"/>
        </w:rPr>
        <w:t>, in relation to a period of notice, means that period excluding: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day when the notice is given or deemed to be given;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day for which it is given or on which it is to take effect.</w:t>
      </w:r>
    </w:p>
    <w:p>
      <w:pPr>
        <w:pStyle w:val="HorizontalLine"/>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477" name="Frame4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color w:val="000000"/>
          <w:sz w:val="20"/>
        </w:rPr>
        <w:t>Clearing House</w:t>
      </w:r>
      <w:r>
        <w:rPr>
          <w:color w:val="000000"/>
        </w:rPr>
        <w:t xml:space="preserve"> </w:t>
      </w:r>
      <w:r>
        <w:rPr>
          <w:rFonts w:ascii="Times New Roman;sans-serif" w:hAnsi="Times New Roman;sans-serif"/>
          <w:b w:val="false"/>
          <w:color w:val="000000"/>
          <w:sz w:val="20"/>
        </w:rPr>
        <w:t>means a clearing house recognised by the laws of the jurisdiction in which the Shares (or depositary receipts therefor) are listed or quoted on a stock exchange or interdealer quotation system in such jurisdiction.</w:t>
      </w:r>
    </w:p>
    <w:p>
      <w:pPr>
        <w:pStyle w:val="TextBody"/>
        <w:spacing w:lineRule="auto" w:line="288" w:before="0" w:after="180"/>
        <w:rPr/>
      </w:pP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the above-named company.</w:t>
      </w:r>
    </w:p>
    <w:p>
      <w:pPr>
        <w:pStyle w:val="TextBody"/>
        <w:spacing w:lineRule="auto" w:line="288" w:before="0" w:after="180"/>
        <w:rPr/>
      </w:pP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means 10% (ten per cent) per annum.</w:t>
      </w:r>
    </w:p>
    <w:p>
      <w:pPr>
        <w:pStyle w:val="TextBody"/>
        <w:spacing w:lineRule="auto" w:line="288" w:before="0" w:after="180"/>
        <w:rPr/>
      </w:pPr>
      <w:r>
        <w:rPr>
          <w:rFonts w:ascii="Times New Roman;sans-serif" w:hAnsi="Times New Roman;sans-serif"/>
          <w:b/>
          <w:color w:val="000000"/>
          <w:sz w:val="20"/>
        </w:rPr>
        <w:t>Designated Stock Exchange</w:t>
      </w:r>
      <w:r>
        <w:rPr>
          <w:color w:val="000000"/>
        </w:rPr>
        <w:t xml:space="preserve"> </w:t>
      </w:r>
      <w:r>
        <w:rPr>
          <w:rFonts w:ascii="Times New Roman;sans-serif" w:hAnsi="Times New Roman;sans-serif"/>
          <w:b w:val="false"/>
          <w:color w:val="000000"/>
          <w:sz w:val="20"/>
        </w:rPr>
        <w:t>means any national securities exchange, including the Nasdaq Stock Market LLC, the NYSE American LLC or The New York Stock Exchange LLC or any OTC market on which the Shares are listed for trading.</w:t>
      </w:r>
    </w:p>
    <w:p>
      <w:pPr>
        <w:pStyle w:val="TextBody"/>
        <w:spacing w:lineRule="auto" w:line="288" w:before="0" w:after="180"/>
        <w:rPr/>
      </w:pPr>
      <w:r>
        <w:rPr>
          <w:rFonts w:ascii="Times New Roman;sans-serif" w:hAnsi="Times New Roman;sans-serif"/>
          <w:b/>
          <w:color w:val="000000"/>
          <w:sz w:val="20"/>
        </w:rPr>
        <w:t>Electronic</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Electronic Record</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Electronic Signature</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United States Securities Exchange Act of 1934, as amended.</w:t>
      </w:r>
    </w:p>
    <w:p>
      <w:pPr>
        <w:pStyle w:val="TextBody"/>
        <w:spacing w:lineRule="auto" w:line="288" w:before="0" w:after="180"/>
        <w:rPr/>
      </w:pPr>
      <w:r>
        <w:rPr>
          <w:rFonts w:ascii="Times New Roman;sans-serif" w:hAnsi="Times New Roman;sans-serif"/>
          <w:b/>
          <w:color w:val="000000"/>
          <w:sz w:val="20"/>
        </w:rPr>
        <w:t>Founders</w:t>
      </w:r>
      <w:r>
        <w:rPr>
          <w:color w:val="000000"/>
        </w:rPr>
        <w:t xml:space="preserve"> </w:t>
      </w:r>
      <w:r>
        <w:rPr>
          <w:rFonts w:ascii="Times New Roman;sans-serif" w:hAnsi="Times New Roman;sans-serif"/>
          <w:b w:val="false"/>
          <w:color w:val="000000"/>
          <w:sz w:val="20"/>
        </w:rPr>
        <w:t>means all Members immediately prior to the consummation of the IPO.</w:t>
      </w:r>
    </w:p>
    <w:p>
      <w:pPr>
        <w:pStyle w:val="TextBody"/>
        <w:spacing w:lineRule="auto" w:line="288" w:before="0" w:after="180"/>
        <w:rPr/>
      </w:pPr>
      <w:r>
        <w:rPr>
          <w:rFonts w:ascii="Times New Roman;sans-serif" w:hAnsi="Times New Roman;sans-serif"/>
          <w:b/>
          <w:color w:val="000000"/>
          <w:sz w:val="20"/>
        </w:rPr>
        <w:t>Fully Paid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Paid Up</w:t>
      </w:r>
      <w:r>
        <w:rPr>
          <w:rFonts w:ascii="Times New Roman;sans-serif" w:hAnsi="Times New Roman;sans-serif"/>
          <w:b w:val="false"/>
          <w:color w:val="000000"/>
          <w:sz w:val="20"/>
        </w:rPr>
        <w: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relation to a Share with par value, means that the par value for that Share and any premium payable in respect of the issue of that Share, has been fully paid or credited as paid in money or money's worth;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relation to a Share without par value, means that the agreed issue price for that Share has been fully paid or credited as paid in money or money's worth.</w:t>
      </w:r>
    </w:p>
    <w:p>
      <w:pPr>
        <w:pStyle w:val="TextBody"/>
        <w:spacing w:lineRule="auto" w:line="288" w:before="0" w:after="180"/>
        <w:rPr/>
      </w:pPr>
      <w:r>
        <w:rPr>
          <w:rFonts w:ascii="Times New Roman;sans-serif" w:hAnsi="Times New Roman;sans-serif"/>
          <w:b/>
          <w:color w:val="000000"/>
          <w:sz w:val="20"/>
        </w:rPr>
        <w:t>Independent Director</w:t>
      </w:r>
      <w:r>
        <w:rPr>
          <w:color w:val="000000"/>
        </w:rPr>
        <w:t xml:space="preserve"> </w:t>
      </w:r>
      <w:r>
        <w:rPr>
          <w:rFonts w:ascii="Times New Roman;sans-serif" w:hAnsi="Times New Roman;sans-serif"/>
          <w:b w:val="false"/>
          <w:color w:val="000000"/>
          <w:sz w:val="20"/>
        </w:rPr>
        <w:t>means a director who is an independent director as defined in the rules and regulations of the Designated Stock Exchange as determined by the directors.</w:t>
      </w:r>
    </w:p>
    <w:p>
      <w:pPr>
        <w:pStyle w:val="TextBody"/>
        <w:spacing w:lineRule="auto" w:line="288" w:before="0" w:after="180"/>
        <w:rPr/>
      </w:pPr>
      <w:r>
        <w:rPr>
          <w:rFonts w:ascii="Times New Roman;sans-serif" w:hAnsi="Times New Roman;sans-serif"/>
          <w:b/>
          <w:color w:val="000000"/>
          <w:sz w:val="20"/>
        </w:rPr>
        <w:t>Investor Group</w:t>
      </w:r>
      <w:r>
        <w:rPr>
          <w:color w:val="000000"/>
        </w:rPr>
        <w:t xml:space="preserve"> </w:t>
      </w:r>
      <w:r>
        <w:rPr>
          <w:rFonts w:ascii="Times New Roman;sans-serif" w:hAnsi="Times New Roman;sans-serif"/>
          <w:b w:val="false"/>
          <w:color w:val="000000"/>
          <w:sz w:val="20"/>
        </w:rPr>
        <w:t>means the Sponsor, Perceptive Advisors LLC and their respective affiliates, successors and assigns.</w:t>
      </w:r>
    </w:p>
    <w:p>
      <w:pPr>
        <w:pStyle w:val="TextBody"/>
        <w:spacing w:lineRule="auto" w:line="288" w:before="0" w:after="180"/>
        <w:rPr/>
      </w:pPr>
      <w:r>
        <w:rPr>
          <w:rFonts w:ascii="Times New Roman;sans-serif" w:hAnsi="Times New Roman;sans-serif"/>
          <w:b/>
          <w:color w:val="000000"/>
          <w:sz w:val="20"/>
        </w:rPr>
        <w:t>IPO</w:t>
      </w:r>
      <w:r>
        <w:rPr>
          <w:color w:val="000000"/>
        </w:rPr>
        <w:t xml:space="preserve"> </w:t>
      </w:r>
      <w:r>
        <w:rPr>
          <w:rFonts w:ascii="Times New Roman;sans-serif" w:hAnsi="Times New Roman;sans-serif"/>
          <w:b w:val="false"/>
          <w:color w:val="000000"/>
          <w:sz w:val="20"/>
        </w:rPr>
        <w:t>means the Company's initial public offering of securities.</w:t>
      </w:r>
    </w:p>
    <w:p>
      <w:pPr>
        <w:pStyle w:val="TextBody"/>
        <w:spacing w:lineRule="auto" w:line="288" w:before="0" w:after="180"/>
        <w:rPr/>
      </w:pPr>
      <w:r>
        <w:rPr>
          <w:rFonts w:ascii="Times New Roman;sans-serif" w:hAnsi="Times New Roman;sans-serif"/>
          <w:b/>
          <w:color w:val="000000"/>
          <w:sz w:val="20"/>
        </w:rPr>
        <w:t>IPO Redemption</w:t>
      </w:r>
      <w:r>
        <w:rPr>
          <w:color w:val="000000"/>
        </w:rPr>
        <w:t xml:space="preserve"> </w:t>
      </w:r>
      <w:r>
        <w:rPr>
          <w:rFonts w:ascii="Times New Roman;sans-serif" w:hAnsi="Times New Roman;sans-serif"/>
          <w:b w:val="false"/>
          <w:color w:val="000000"/>
          <w:sz w:val="20"/>
        </w:rPr>
        <w:t>has the meaning given to it in Article 38.6.</w:t>
      </w:r>
    </w:p>
    <w:p>
      <w:pPr>
        <w:pStyle w:val="TextBody"/>
        <w:spacing w:lineRule="auto" w:line="288" w:before="0" w:after="180"/>
        <w:rPr/>
      </w:pPr>
      <w:r>
        <w:rPr>
          <w:rFonts w:ascii="Times New Roman;sans-serif" w:hAnsi="Times New Roman;sans-serif"/>
          <w:b/>
          <w:color w:val="000000"/>
          <w:sz w:val="20"/>
        </w:rPr>
        <w:t>Islands</w:t>
      </w:r>
      <w:r>
        <w:rPr>
          <w:color w:val="000000"/>
        </w:rPr>
        <w:t xml:space="preserve"> </w:t>
      </w:r>
      <w:r>
        <w:rPr>
          <w:rFonts w:ascii="Times New Roman;sans-serif" w:hAnsi="Times New Roman;sans-serif"/>
          <w:b w:val="false"/>
          <w:color w:val="000000"/>
          <w:sz w:val="20"/>
        </w:rPr>
        <w:t>means the British Overseas Territory of the Cayman Islands.</w:t>
      </w:r>
    </w:p>
    <w:p>
      <w:pPr>
        <w:pStyle w:val="TextBody"/>
        <w:spacing w:lineRule="auto" w:line="288" w:before="0" w:after="180"/>
        <w:rPr/>
      </w:pPr>
      <w:r>
        <w:rPr>
          <w:rFonts w:ascii="Times New Roman;sans-serif" w:hAnsi="Times New Roman;sans-serif"/>
          <w:b/>
          <w:color w:val="000000"/>
          <w:sz w:val="20"/>
        </w:rPr>
        <w:t>Law</w:t>
      </w:r>
      <w:r>
        <w:rPr>
          <w:color w:val="000000"/>
        </w:rPr>
        <w:t xml:space="preserve"> </w:t>
      </w:r>
      <w:r>
        <w:rPr>
          <w:rFonts w:ascii="Times New Roman;sans-serif" w:hAnsi="Times New Roman;sans-serif"/>
          <w:b w:val="false"/>
          <w:color w:val="000000"/>
          <w:sz w:val="20"/>
        </w:rPr>
        <w:t>means the Companies Law (Revised).</w:t>
      </w:r>
    </w:p>
    <w:p>
      <w:pPr>
        <w:pStyle w:val="TextBody"/>
        <w:spacing w:lineRule="auto" w:line="288" w:before="0" w:after="180"/>
        <w:rPr/>
      </w:pPr>
      <w:r>
        <w:rPr>
          <w:rFonts w:ascii="Times New Roman;sans-serif" w:hAnsi="Times New Roman;sans-serif"/>
          <w:b/>
          <w:color w:val="000000"/>
          <w:sz w:val="20"/>
        </w:rPr>
        <w:t>Member</w:t>
      </w:r>
      <w:r>
        <w:rPr>
          <w:color w:val="000000"/>
        </w:rPr>
        <w:t xml:space="preserve"> </w:t>
      </w:r>
      <w:r>
        <w:rPr>
          <w:rFonts w:ascii="Times New Roman;sans-serif" w:hAnsi="Times New Roman;sans-serif"/>
          <w:b w:val="false"/>
          <w:color w:val="000000"/>
          <w:sz w:val="20"/>
        </w:rPr>
        <w:t>means any person or persons entered on the Register of Members from time to time as the holder of a Share.</w:t>
      </w:r>
    </w:p>
    <w:p>
      <w:pPr>
        <w:pStyle w:val="TextBody"/>
        <w:spacing w:lineRule="auto" w:line="288" w:before="0" w:after="180"/>
        <w:rPr/>
      </w:pPr>
      <w:r>
        <w:rPr>
          <w:rFonts w:ascii="Times New Roman;sans-serif" w:hAnsi="Times New Roman;sans-serif"/>
          <w:b/>
          <w:color w:val="000000"/>
          <w:sz w:val="20"/>
        </w:rPr>
        <w:t>Memorandum</w:t>
      </w:r>
      <w:r>
        <w:rPr>
          <w:color w:val="000000"/>
        </w:rPr>
        <w:t xml:space="preserve"> </w:t>
      </w:r>
      <w:r>
        <w:rPr>
          <w:rFonts w:ascii="Times New Roman;sans-serif" w:hAnsi="Times New Roman;sans-serif"/>
          <w:b w:val="false"/>
          <w:color w:val="000000"/>
          <w:sz w:val="20"/>
        </w:rPr>
        <w:t>means the Memorandum of Association of the Company as amended from time to time.</w:t>
      </w:r>
    </w:p>
    <w:p>
      <w:pPr>
        <w:pStyle w:val="TextBody"/>
        <w:spacing w:lineRule="auto" w:line="288" w:before="0" w:after="180"/>
        <w:rPr/>
      </w:pPr>
      <w:r>
        <w:rPr>
          <w:rFonts w:ascii="Times New Roman;sans-serif" w:hAnsi="Times New Roman;sans-serif"/>
          <w:b/>
          <w:color w:val="000000"/>
          <w:sz w:val="20"/>
        </w:rPr>
        <w:t>Officer</w:t>
      </w:r>
      <w:r>
        <w:rPr>
          <w:color w:val="000000"/>
        </w:rPr>
        <w:t xml:space="preserve"> </w:t>
      </w:r>
      <w:r>
        <w:rPr>
          <w:rFonts w:ascii="Times New Roman;sans-serif" w:hAnsi="Times New Roman;sans-serif"/>
          <w:b w:val="false"/>
          <w:color w:val="000000"/>
          <w:sz w:val="20"/>
        </w:rPr>
        <w:t>means a person then appointed to hold an office in the Company; and the expression includes a director, alternate director or liquidator.</w:t>
      </w:r>
    </w:p>
    <w:p>
      <w:pPr>
        <w:pStyle w:val="TextBody"/>
        <w:spacing w:lineRule="auto" w:line="288" w:before="0" w:after="180"/>
        <w:rPr/>
      </w:pPr>
      <w:r>
        <w:rPr>
          <w:rFonts w:ascii="Times New Roman;sans-serif" w:hAnsi="Times New Roman;sans-serif"/>
          <w:b/>
          <w:color w:val="000000"/>
          <w:sz w:val="20"/>
        </w:rPr>
        <w:t>Ordinary Resolution</w:t>
      </w:r>
      <w:r>
        <w:rPr>
          <w:color w:val="000000"/>
        </w:rPr>
        <w:t xml:space="preserve"> </w:t>
      </w:r>
      <w:r>
        <w:rPr>
          <w:rFonts w:ascii="Times New Roman;sans-serif" w:hAnsi="Times New Roman;sans-serif"/>
          <w:b w:val="false"/>
          <w:color w:val="000000"/>
          <w:sz w:val="20"/>
        </w:rPr>
        <w:t>means a resolution of a duly constituted general meeting of the Company passed by a simple majority of the votes cast by, or on behalf of, the Members entitled to vote thereon.  The expression also includes a unanimous written resolution.</w:t>
      </w:r>
    </w:p>
    <w:p>
      <w:pPr>
        <w:pStyle w:val="HorizontalLine"/>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478" name="Frame4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color w:val="000000"/>
          <w:sz w:val="20"/>
        </w:rPr>
        <w:t>Over-Allotment Option</w:t>
      </w:r>
      <w:r>
        <w:rPr>
          <w:color w:val="000000"/>
        </w:rPr>
        <w:t xml:space="preserve"> </w:t>
      </w:r>
      <w:r>
        <w:rPr>
          <w:rFonts w:ascii="Times New Roman;sans-serif" w:hAnsi="Times New Roman;sans-serif"/>
          <w:b w:val="false"/>
          <w:color w:val="000000"/>
          <w:sz w:val="20"/>
        </w:rPr>
        <w:t>means the option of the Underwriters to purchase up to an additional 15% of the Class A Shares sold in the IPO at a price equal to US$10.00 per share, less underwriting discount and commissions.</w:t>
      </w:r>
    </w:p>
    <w:p>
      <w:pPr>
        <w:pStyle w:val="TextBody"/>
        <w:spacing w:lineRule="auto" w:line="288" w:before="0" w:after="180"/>
        <w:rPr/>
      </w:pPr>
      <w:r>
        <w:rPr>
          <w:rFonts w:ascii="Times New Roman;sans-serif" w:hAnsi="Times New Roman;sans-serif"/>
          <w:b/>
          <w:color w:val="000000"/>
          <w:sz w:val="20"/>
        </w:rPr>
        <w:t>Preference Share</w:t>
      </w:r>
      <w:r>
        <w:rPr>
          <w:color w:val="000000"/>
        </w:rPr>
        <w:t xml:space="preserve"> </w:t>
      </w:r>
      <w:r>
        <w:rPr>
          <w:rFonts w:ascii="Times New Roman;sans-serif" w:hAnsi="Times New Roman;sans-serif"/>
          <w:b w:val="false"/>
          <w:color w:val="000000"/>
          <w:sz w:val="20"/>
        </w:rPr>
        <w:t>means a preference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Private Placement Shares</w:t>
      </w:r>
      <w:r>
        <w:rPr>
          <w:color w:val="000000"/>
        </w:rPr>
        <w:t xml:space="preserve"> </w:t>
      </w:r>
      <w:r>
        <w:rPr>
          <w:rFonts w:ascii="Times New Roman;sans-serif" w:hAnsi="Times New Roman;sans-serif"/>
          <w:b w:val="false"/>
          <w:color w:val="000000"/>
          <w:sz w:val="20"/>
        </w:rPr>
        <w:t>means the Class A Shares issued to the Sponsor in a private placement simultaneously with the closing of the IPO and upon conversion of working capital loans (if any).</w:t>
      </w:r>
    </w:p>
    <w:p>
      <w:pPr>
        <w:pStyle w:val="TextBody"/>
        <w:spacing w:lineRule="auto" w:line="288" w:before="0" w:after="180"/>
        <w:rPr/>
      </w:pPr>
      <w:r>
        <w:rPr>
          <w:rFonts w:ascii="Times New Roman;sans-serif" w:hAnsi="Times New Roman;sans-serif"/>
          <w:b/>
          <w:color w:val="000000"/>
          <w:sz w:val="20"/>
        </w:rPr>
        <w:t>Public Share</w:t>
      </w:r>
      <w:r>
        <w:rPr>
          <w:color w:val="000000"/>
        </w:rPr>
        <w:t xml:space="preserve"> </w:t>
      </w:r>
      <w:r>
        <w:rPr>
          <w:rFonts w:ascii="Times New Roman;sans-serif" w:hAnsi="Times New Roman;sans-serif"/>
          <w:b w:val="false"/>
          <w:color w:val="000000"/>
          <w:sz w:val="20"/>
        </w:rPr>
        <w:t>means a Class A Share issued in the IPO.</w:t>
      </w:r>
    </w:p>
    <w:p>
      <w:pPr>
        <w:pStyle w:val="TextBody"/>
        <w:spacing w:lineRule="auto" w:line="288" w:before="0" w:after="180"/>
        <w:rPr/>
      </w:pPr>
      <w:r>
        <w:rPr>
          <w:rFonts w:ascii="Times New Roman;sans-serif" w:hAnsi="Times New Roman;sans-serif"/>
          <w:b/>
          <w:color w:val="000000"/>
          <w:sz w:val="20"/>
        </w:rPr>
        <w:t>Redemption Price</w:t>
      </w:r>
      <w:r>
        <w:rPr>
          <w:color w:val="000000"/>
        </w:rPr>
        <w:t xml:space="preserve"> </w:t>
      </w:r>
      <w:r>
        <w:rPr>
          <w:rFonts w:ascii="Times New Roman;sans-serif" w:hAnsi="Times New Roman;sans-serif"/>
          <w:b w:val="false"/>
          <w:color w:val="000000"/>
          <w:sz w:val="20"/>
        </w:rPr>
        <w:t>has the meaning given to it in Article 38.6.</w:t>
      </w:r>
    </w:p>
    <w:p>
      <w:pPr>
        <w:pStyle w:val="TextBody"/>
        <w:spacing w:lineRule="auto" w:line="288" w:before="0" w:after="180"/>
        <w:rPr/>
      </w:pPr>
      <w:r>
        <w:rPr>
          <w:rFonts w:ascii="Times New Roman;sans-serif" w:hAnsi="Times New Roman;sans-serif"/>
          <w:b/>
          <w:color w:val="000000"/>
          <w:sz w:val="20"/>
        </w:rPr>
        <w:t>Register of Members</w:t>
      </w:r>
      <w:r>
        <w:rPr>
          <w:color w:val="000000"/>
        </w:rPr>
        <w:t xml:space="preserve"> </w:t>
      </w:r>
      <w:r>
        <w:rPr>
          <w:rFonts w:ascii="Times New Roman;sans-serif" w:hAnsi="Times New Roman;sans-serif"/>
          <w:b w:val="false"/>
          <w:color w:val="000000"/>
          <w:sz w:val="20"/>
        </w:rPr>
        <w:t>means the register of Members maintained in accordance with the Law and includes (except where otherwise stated) any branch or duplicate register of Members.</w:t>
      </w:r>
    </w:p>
    <w:p>
      <w:pPr>
        <w:pStyle w:val="TextBody"/>
        <w:spacing w:lineRule="auto" w:line="288" w:before="0" w:after="180"/>
        <w:rPr/>
      </w:pP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spacing w:lineRule="auto" w:line="288" w:before="0" w:after="180"/>
        <w:rPr/>
      </w:pPr>
      <w:r>
        <w:rPr>
          <w:rFonts w:ascii="Times New Roman;sans-serif" w:hAnsi="Times New Roman;sans-serif"/>
          <w:b/>
          <w:color w:val="000000"/>
          <w:sz w:val="20"/>
        </w:rPr>
        <w:t>Secretary</w:t>
      </w:r>
      <w:r>
        <w:rPr>
          <w:color w:val="000000"/>
        </w:rPr>
        <w:t xml:space="preserve"> </w:t>
      </w:r>
      <w:r>
        <w:rPr>
          <w:rFonts w:ascii="Times New Roman;sans-serif" w:hAnsi="Times New Roman;sans-serif"/>
          <w:b w:val="false"/>
          <w:color w:val="000000"/>
          <w:sz w:val="20"/>
        </w:rPr>
        <w:t>means a person appointed to perform the duties of the secretary of the Company, including a joint, assistant or deputy secretary.</w:t>
      </w:r>
    </w:p>
    <w:p>
      <w:pPr>
        <w:pStyle w:val="TextBody"/>
        <w:spacing w:lineRule="auto" w:line="288" w:before="0" w:after="180"/>
        <w:rPr/>
      </w:pPr>
      <w:r>
        <w:rPr>
          <w:rFonts w:ascii="Times New Roman;sans-serif" w:hAnsi="Times New Roman;sans-serif"/>
          <w:b/>
          <w:color w:val="000000"/>
          <w:sz w:val="20"/>
        </w:rPr>
        <w:t>Share</w:t>
      </w:r>
      <w:r>
        <w:rPr>
          <w:color w:val="000000"/>
        </w:rPr>
        <w:t xml:space="preserve"> </w:t>
      </w:r>
      <w:r>
        <w:rPr>
          <w:rFonts w:ascii="Times New Roman;sans-serif" w:hAnsi="Times New Roman;sans-serif"/>
          <w:b w:val="false"/>
          <w:color w:val="000000"/>
          <w:sz w:val="20"/>
        </w:rPr>
        <w:t>means a Class A Share, a Class B Share or a Preference Share in the share capital of the Company; and the expression: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(a)includes stock (except where a distinction between shares and stock is expressed or implied);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context permits, also includes a fraction of a share.</w:t>
      </w:r>
    </w:p>
    <w:p>
      <w:pPr>
        <w:pStyle w:val="TextBody"/>
        <w:spacing w:lineRule="auto" w:line="288" w:before="0" w:after="180"/>
        <w:rPr/>
      </w:pPr>
      <w:r>
        <w:rPr>
          <w:rFonts w:ascii="Times New Roman;sans-serif" w:hAnsi="Times New Roman;sans-serif"/>
          <w:b/>
          <w:color w:val="000000"/>
          <w:sz w:val="20"/>
        </w:rPr>
        <w:t>Special Resolution</w:t>
      </w:r>
      <w:r>
        <w:rPr>
          <w:color w:val="000000"/>
        </w:rPr>
        <w:t xml:space="preserve"> </w:t>
      </w:r>
      <w:r>
        <w:rPr>
          <w:rFonts w:ascii="Times New Roman;sans-serif" w:hAnsi="Times New Roman;sans-serif"/>
          <w:b w:val="false"/>
          <w:color w:val="000000"/>
          <w:sz w:val="20"/>
        </w:rPr>
        <w:t>has the meaning given to that term in the Law; and the expression includes a unanimous written resolution.</w:t>
      </w:r>
    </w:p>
    <w:p>
      <w:pPr>
        <w:pStyle w:val="TextBody"/>
        <w:spacing w:lineRule="auto" w:line="288" w:before="0" w:after="180"/>
        <w:rPr/>
      </w:pPr>
      <w:r>
        <w:rPr>
          <w:rFonts w:ascii="Times New Roman;sans-serif" w:hAnsi="Times New Roman;sans-serif"/>
          <w:b/>
          <w:color w:val="000000"/>
          <w:sz w:val="20"/>
        </w:rPr>
        <w:t>Sponsor</w:t>
      </w:r>
      <w:r>
        <w:rPr>
          <w:color w:val="000000"/>
        </w:rPr>
        <w:t xml:space="preserve"> </w:t>
      </w:r>
      <w:r>
        <w:rPr>
          <w:rFonts w:ascii="Times New Roman;sans-serif" w:hAnsi="Times New Roman;sans-serif"/>
          <w:b w:val="false"/>
          <w:color w:val="000000"/>
          <w:sz w:val="20"/>
        </w:rPr>
        <w:t>means ARYA Sciences Holdings III, a Cayman Islands exempted company.</w:t>
      </w:r>
    </w:p>
    <w:p>
      <w:pPr>
        <w:pStyle w:val="TextBody"/>
        <w:spacing w:lineRule="auto" w:line="288" w:before="0" w:after="180"/>
        <w:rPr/>
      </w:pPr>
      <w:r>
        <w:rPr>
          <w:rFonts w:ascii="Times New Roman;sans-serif" w:hAnsi="Times New Roman;sans-serif"/>
          <w:b/>
          <w:color w:val="000000"/>
          <w:sz w:val="20"/>
        </w:rPr>
        <w:t>Tax Filing Authorised Person</w:t>
      </w:r>
      <w:r>
        <w:rPr>
          <w:color w:val="000000"/>
        </w:rPr>
        <w:t xml:space="preserve"> </w:t>
      </w:r>
      <w:r>
        <w:rPr>
          <w:rFonts w:ascii="Times New Roman;sans-serif" w:hAnsi="Times New Roman;sans-serif"/>
          <w:b w:val="false"/>
          <w:color w:val="000000"/>
          <w:sz w:val="20"/>
        </w:rPr>
        <w:t>means such person as any director shall designate from time to time, acting severally.</w:t>
      </w:r>
    </w:p>
    <w:p>
      <w:pPr>
        <w:pStyle w:val="TextBody"/>
        <w:spacing w:lineRule="auto" w:line="288" w:before="0" w:after="180"/>
        <w:rPr/>
      </w:pPr>
      <w:r>
        <w:rPr>
          <w:rFonts w:ascii="Times New Roman;sans-serif" w:hAnsi="Times New Roman;sans-serif"/>
          <w:b/>
          <w:color w:val="000000"/>
          <w:sz w:val="20"/>
        </w:rPr>
        <w:t>Treasury Shares</w:t>
      </w:r>
      <w:r>
        <w:rPr>
          <w:color w:val="000000"/>
        </w:rPr>
        <w:t xml:space="preserve"> </w:t>
      </w:r>
      <w:r>
        <w:rPr>
          <w:rFonts w:ascii="Times New Roman;sans-serif" w:hAnsi="Times New Roman;sans-serif"/>
          <w:b w:val="false"/>
          <w:color w:val="000000"/>
          <w:sz w:val="20"/>
        </w:rPr>
        <w:t>means Shares of the Company held in treasury pursuant to the Law and Article 3.14.</w:t>
      </w:r>
    </w:p>
    <w:p>
      <w:pPr>
        <w:pStyle w:val="TextBody"/>
        <w:spacing w:lineRule="auto" w:line="288" w:before="0" w:after="180"/>
        <w:rPr/>
      </w:pPr>
      <w:r>
        <w:rPr>
          <w:rFonts w:ascii="Times New Roman;sans-serif" w:hAnsi="Times New Roman;sans-serif"/>
          <w:b/>
          <w:color w:val="000000"/>
          <w:sz w:val="20"/>
        </w:rPr>
        <w:t>Trust Account</w:t>
      </w:r>
      <w:r>
        <w:rPr>
          <w:color w:val="000000"/>
        </w:rPr>
        <w:t xml:space="preserve"> </w:t>
      </w:r>
      <w:r>
        <w:rPr>
          <w:rFonts w:ascii="Times New Roman;sans-serif" w:hAnsi="Times New Roman;sans-serif"/>
          <w:b w:val="false"/>
          <w:color w:val="000000"/>
          <w:sz w:val="20"/>
        </w:rPr>
        <w:t>means the trust account established by the Company upon the consummation of its IPO and into which a certain amount of the net proceeds of the IPO, together with certain of the proceeds of the sale of the Private Placement Shares, will be deposited.</w:t>
      </w:r>
    </w:p>
    <w:p>
      <w:pPr>
        <w:pStyle w:val="TextBody"/>
        <w:spacing w:lineRule="auto" w:line="288" w:before="0" w:after="180"/>
        <w:rPr/>
      </w:pPr>
      <w:r>
        <w:rPr>
          <w:rFonts w:ascii="Times New Roman;sans-serif" w:hAnsi="Times New Roman;sans-serif"/>
          <w:b/>
          <w:color w:val="000000"/>
          <w:sz w:val="20"/>
        </w:rPr>
        <w:t>Underwriter</w:t>
      </w:r>
      <w:r>
        <w:rPr>
          <w:color w:val="000000"/>
        </w:rPr>
        <w:t xml:space="preserve"> </w:t>
      </w:r>
      <w:r>
        <w:rPr>
          <w:rFonts w:ascii="Times New Roman;sans-serif" w:hAnsi="Times New Roman;sans-serif"/>
          <w:b w:val="false"/>
          <w:color w:val="000000"/>
          <w:sz w:val="20"/>
        </w:rPr>
        <w:t>means an underwriter of the IPO from time to time, and any successor underwriter.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Interpretation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1.2In the interpretation of these Articles, the following provisions apply unless the context otherwise requires: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reference in these Articles to a statute is a reference to a statute of the Islands as known by its short title, and includes: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(i)any statutory modification, amendment or re-enactment;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(ii)any subordinate legislation or regulations issued under that statute.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Without limitation to the preceding sentence, a reference to a revised Law of the Cayman Islands is taken to be a reference to the revision of that Law in force from time to time as amended from time to time.</w:t>
      </w:r>
    </w:p>
    <w:p>
      <w:pPr>
        <w:pStyle w:val="HorizontalLine"/>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479" name="Frame4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(b)Headings are inserted for convenience only and do not affect the interpretation of these Articles, unless there is ambiguity.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a day on which any act, matter or thing is to be done under these Articles is not a Business Day, the act, matter or thing must be done on the next Business Day.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 word which denotes the singular also denotes the plural, a word which denotes the plural also denotes the singular, and a reference to any gender also denotes the other genders.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(e)A reference to a person includes, as appropriate, a company, trust, partnership, joint venture, association, body corporate or government agency.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(f)Where a word or phrase is given a defined meaning another part of speech or grammatical form in respect to that word or phrase has a corresponding meaning.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(g)All references to time are to be calculated by reference to time in the place where the Company's registered office is located.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(h)The words written and in writing include all modes of representing or reproducing words in a visible form, but do not include an Electronic Record where the distinction between a document in writing and an Electronic Record is expressed or implied.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words including, include and in particular or any similar expression are to be construed without limitation.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Exclusion of Table A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1.3The regulations contained in Table A in the First Schedule of the Law and any other regulations contained in any statute or subordinate legislation are expressly excluded and do not apply to the Company.</w:t>
      </w: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Commencement of Business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2.1The business of the Company may be commenced as soon after incorporation of the Company as the directors see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2.2The directors may pay, out of the capital or any other monies of the Company, all expenses incurred in or about the formation and establishment of the Company, including the expenses of registration.</w:t>
      </w: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Shares and options, with or without special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3.2Without limitation to the preceding Article, the directors may so deal with the unissued Shares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(a)either at a premium or at par;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or without preferred, deferred or other special rights or restrictions whether in regard to dividend, voting, return of capital or otherwise.</w:t>
      </w:r>
    </w:p>
    <w:p>
      <w:pPr>
        <w:pStyle w:val="HorizontalLine"/>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480" name="Frame4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3.4The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fractions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commissions and brokerage fees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3.6The Company may, in so far as the Law permits, pay a commission to any person in consideration of that person: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(a)subscribing or agreeing to subscribe, whether absolutely or conditionally;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(b)procuring or agreeing to procure subscriptions, whether absolute or conditional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any Shares in the Company.  That commission may be satisfied by the payment of cash or the allotment of Fully Paid or partly-paid Shares or partly in one way and partly in another.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3.7The Company may employ a broker in the issue of its capital and pay him any proper commission or brokerage.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Trusts not recognised</w:t>
      </w:r>
    </w:p>
    <w:p>
      <w:pPr>
        <w:pStyle w:val="TextBody"/>
        <w:spacing w:lineRule="auto" w:line="288" w:before="0" w:after="180"/>
        <w:rPr/>
      </w:pPr>
      <w:r>
        <w:rPr>
          <w:rFonts w:ascii="Times New Roman;sans-serif" w:hAnsi="Times New Roman;sans-serif"/>
          <w:b w:val="false"/>
          <w:color w:val="000000"/>
          <w:sz w:val="20"/>
        </w:rPr>
        <w:t>3.8</w:t>
      </w:r>
      <w:r>
        <w:rPr>
          <w:rFonts w:ascii="Times New Roman;sans-serif" w:hAnsi="Times New Roman;sans-serif"/>
          <w:b w:val="false"/>
          <w:color w:val="000000"/>
          <w:sz w:val="20"/>
        </w:rPr>
        <w:t>Except as required by Applicable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(b)no person other than the Member shall be recognised by the Company as having any right in a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vary class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3.9If the share capital is divided into different classes of Shares then, unless the terms on which a class of Shares was issued state otherwise, the rights attaching to a class of Shares may only be varied if one of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Members holding two thirds of the issued Shares of that class consent in writing to the variation;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variation is made with the sanction of a Special Resolution passed at a separate general meeting of the Members holding the issued Shares of that class.</w:t>
      </w:r>
    </w:p>
    <w:p>
      <w:pPr>
        <w:pStyle w:val="HorizontalLine"/>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481" name="Frame4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3.10For the purpose of paragraph (b) of the preceding Article, all the provisions of these Articles relating to general meetings apply, mutatis mutandis, to every such separate meeting except that: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necessary quorum shall be one or more persons holding, or representing by proxy, not less than one third of the issued Shares of the class;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Member holding issued Shares of the class, present in person or by proxy or, in the case of a corporate Member, by its duly authorised representative, may demand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new Share issue on existing class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3.11Unless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Capital contributions without issue of further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3.12With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(a)It shall be treated as if it were a share premium.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(b)Unless the Member agrees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(i)if the Member holds Shares in a single class of Shares - it shall be credited to the share premium account for that class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(c)It shall be subject to the provisions of the Law and these Articles applicable to share premiums.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bearer Shares or warrants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3.13The Company shall not issue Shares or warrants to bearers.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3.14Shares that the Company purchases, redeems or acquires by way of surrender in accordance with the Law shall be held as Treasury Shares and not treated as cancelled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directors so determine prior to the purchase, redemption or surrender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relevant provisions of the Memorandum and Articles and the Law are otherwise complied with.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attaching to Treasury Shares and related matters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3.15No dividend may be declared or paid, and no other distribution (whether in cash or otherwise) of the Company's assets (including any distribution of assets to members on a winding up) may be made to the Company in respect of a Treasury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3.16The Company shall be entered in the Register as the holder of the Treasury Shares.  However: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shall not be treated as a member for any purpose and shall not exercise any right in respect of the Treasury Shares, and any purported exercise of such a right shall be void;</w:t>
      </w:r>
    </w:p>
    <w:p>
      <w:pPr>
        <w:pStyle w:val="HorizontalLine"/>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482" name="Frame4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Treasury Share shall not be voted, directly or indirectly, at any meeting of the Company and shall not be counted in determining the total number of issued shares at any given time, whether for the purposes of these Articles or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3.17Nothing in the preceding Article prevents an allotment of Shares as fully paid bonus shares in respect of a Treasury Share and Shares allotted as fully paid bonus shares in respect of a Treasury Share shall be treated as Treasury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3.18Treasury Shares may be disposed of by the Company in accordance with the Law and otherwise on such terms and conditions as the directors determine.</w:t>
      </w: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Register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4.1The Company shall maintain or cause to be maintained the Register of Members in accordance with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4.2The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5Share certificates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Issue of share certificates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5.1Upon being entered in the Register of Members as the holder of a Share, a Member shall be entitled: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(a)without payment, to one certificate for all the Shares of each class held by that Member (and, upon transferring a part of the Member's holding of Shares of any class, to a certificate for the balance of that holding);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(b)upon payment of such reasonable sum as the directors may determine for every certificate after the first, to several certificates each for one or more of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5.2Every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5.3The Company shall not be bound to issue more than one certificate for Shares held jointly by several persons and delivery of a certificate for a Share to one joint holder shall be a sufficient delivery to all of them.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Renewal of lost or damaged share certificates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5.4If a share certificate is defaced, worn-out, lost or destroyed, it may be renewed on such terms (if any) as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(a)evidence;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(c)payment of the expenses reasonably incurred by the Company in investigating the evidence;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(d)payment of a reasonable fee, if any, for issuing a replacement share certificate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the directors may determine, and (in the case of defacement or wearing-out) on delivery to the Company of the old certificate.</w:t>
      </w:r>
    </w:p>
    <w:p>
      <w:pPr>
        <w:pStyle w:val="HorizontalLine"/>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483" name="Frame4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6Lien on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Nature and scope of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6.1The Company has a first and paramount lien on all Shares (whether Fully Paid or not) registered in the name of a Member (whether solely or jointly with others).  The lien is for all moneys payable to the Company by the Member or the Member's estate: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(a)either alone or jointly with any other person, whether or not that other person is a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(b)whether or not those moneys are presently payable.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6.2At any time the directors may declare any Share to be wholly or partly exempt from the provisions of this Article.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may sell Shares to satisfy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6.3The Company may sell any Shares over which it has a lien if all of the following conditions are met: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sum in respect of which the lien exists is presently payable;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Company gives notice to the Member holding the Share (or to the person entitled to it in consequence of the death or bankruptcy of that Member) demanding payment and stating that if the notice is not complied with the Shares may be sold;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(c)that sum is not paid within 14 Clear Days after that notice is deemed to be given under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6.4The Shares may be sold in such manner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6.5To the maximum extent permitted by Applicable Law, the directors shall incur no personal liability to the Member concerned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Authority to execute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6.6To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of sale of Shares to satisfy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6.7On sale pursuant to the preceding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name of the Member concerned shall be removed from the Register of Members as the holder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person shall deliver to the Company for cancellation the certificate for those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pStyle w:val="HorizontalLine"/>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484" name="Frame4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 of proceeds of sale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6.8The net proceeds of the sale, after payment of the costs, shall be applied in payment of so much of the sum for which the lien exists as is presently payable. Any residue shall be paid to the person whose Shares have been sold: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no certificate for the Shares was issued, at the date of the sale;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a certificate for the Shares was issued, upon surrender to the Company of that certificate for cancellation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but, in either case, subject to the Company retaining a like lien for all sums not presently payable as existed on the Shares before the sale.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7Calls on Shares and forfeiture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make calls and effect of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7.2Before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7.3A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when call made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7.4A call shall be deemed to have been made at the time when the resolution of the directors authorising the call was passed.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Liability of 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7.5Members registered as the joint holders of a Share shall be jointly and severally liable to pay all calls in respect of the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on unpaid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7.6If a call remains unpaid after it has become due and payable the person from whom it is due and payable shall pay interest on the amount unpaid from the day it became due and payable until it is 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(a)at the rate fixed by the terms of allotment of the Share or in the notice of the call;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no rate is fixed, at the Default Rate.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The directors may waive payment of the interest wholly or in part.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Deemed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7.7Any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pStyle w:val="HorizontalLine"/>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485" name="Frame4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accept early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7.8The Company may accept from a Member the whole or a part of the amount remaining unpaid on Shares held by him although no part of that amount has been called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make different arrangements at time of issue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7.9Subject to the terms of allotment, the directors may make arrangements on the issue of Shares to distinguish between Members in the amounts and times of payment of calls on their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 of default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7.10If a call remains unpaid after it has become due and payable the directors may give to the person from whom it is due not less than 14 Clear Days' notice requiring payment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amount unpaid;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interest which may have accrued;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(c)any expenses which have been incurred by the Company due to that person's default.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7.11The notice shall state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place where payment is to be made;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warning that if the notice is not complied with the Shares in respect of which the call is made will be liable to be forfeited.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Forfeiture or surrender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7.12If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7.13The directors may accept the surrender for no consideration of any Fully Paid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Disposal of forfeited or surrendered Share and power to cancel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7.14A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forfeiture or surrender on former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7.15On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name of the Member concerned shall be removed from the Register of Members as the holder of those Shares and that person shall cease to be a Member in respect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person shall surrender to the Company for cancellation the certificate (if any) for the forfeited or surrendered Shares.</w:t>
      </w:r>
    </w:p>
    <w:p>
      <w:pPr>
        <w:pStyle w:val="HorizontalLine"/>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486" name="Frame4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7.16Despite the forfeiture or surrender of his Shares, that person shall remain liable to the Company for all moneys which at the date of forfeiture or surrender were presently payable by him to the Company in respect of those Shares together with: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expenses;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(b)interest from the date of forfeiture or surrender until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(i)at the rate of which interest was payable on those moneys before forfeiture;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(ii)if no interest was so payable, at the Default Rate.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directors, however, may waive payment wholly or in part.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Evidence of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7.17A declaration, whether statutory or under oath, made by a director or the Secretary shall be conclusive evidence of the following matters stated in it as against all persons claiming to be entitled to forfeited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the person making the declaration is a director or Secretary of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the particular Shares have been forfeited or surrendered on a particular date.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Subject to the execution of an instrument of transfer, if necessary, the declaration shall constitute good title to the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Sale of forfeited or surrendered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7.18Any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 </w:t>
      </w: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rPr>
        <w:t>Transfer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8.1Subject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the Shares are Fully Paid, by or on behalf of that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Shares are partly paid, by or on behalf of that Member and the transferee.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8.2The transferor shall be deemed to remain the holder of a Share until the name of the transferee is entered into the Register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refuse registration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8.3If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pStyle w:val="HorizontalLine"/>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487" name="Frame4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suspend registration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8.4The directors may suspend registration of the transfer of Shares at such times and for such periods, not exceeding 30 days in any calendar year, as they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may retain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8.5The Company shall be entitled to retain any instrument of transfer which is registered; but an instrument of transfer which the directors refuse to register shall be returned to the person lodging it when notice of the refusal is given.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9Transmission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entitled on death of a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9.1If a Member dies, the only persons recognised by the Company as having any title to the deceased Members' interest are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the deceased Member was a joint holder, the survivor or survivors;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deceased Member was a sole holder, that Member's personal representative or representatives.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9.2Nothing in these Articles shall release the deceased Member's estate from any liability in respect of any Share, whether the deceased was a sole holder or a joint holder.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Registration of transfer of a Share following death or bankruptcy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9.3A person becoming entitled to a Share in consequence of the death or bankruptcy of a Member may elect to do either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become the holder of the Share;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transfer the Share to another person.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9.4That person must produce such evidence of his entitlement as the directors may properly require.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9.5If the person elects to become the holder of the Share, he must give notice to the Company to that effect. For the purposes of these Articles, that notice shall be treated as though it were an executed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9.6If the person elects to transfer the Share to another person then: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Share is Fully Paid, the transferor must execute an instrument of transfer;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Share is partly paid, the transferor and the transferee must execute an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9.7All the Articles relating to the transfer of Shares shall apply to the notice or, as appropriate, the instrument of transfer.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9.8A person registered as a Member by reason of the death or bankruptcy of another Member shall indemnify the Company and the directors against any loss or damage suffered by the Company or the directors as a result of that registration.</w:t>
      </w:r>
    </w:p>
    <w:p>
      <w:pPr>
        <w:pStyle w:val="HorizontalLine"/>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488" name="Frame4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person entitled to a Share following death or bankruptcy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9.9A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10Alteration of capital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Increasing, consolidating, converting, dividing and cancelling share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10.1To the fullest extent permitted by the Law, the Company may by Ordinary Resolution do any of the following and amend its Memorandum for that purpose: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(a)increase its share capital by new Shares of the amount fixed by that Ordinary Resolution and with the attached rights, priorities and privileges set out in that Ordinary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(b)consolidate and divide all or any of its share capital into Shares of larger amount than its existing Shares;</w:t>
      </w:r>
    </w:p>
    <w:p>
      <w:pPr>
        <w:pStyle w:val="TextBody"/>
        <w:spacing w:lineRule="auto" w:line="288" w:before="0" w:after="180"/>
        <w:ind w:left="0" w:right="0" w:hanging="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convert all or any of its Paid Up Shares into stock, and reconvert that stock into Paid Up Shares of any denomination;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Dealing with fractions resulting from consolidation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10.2Whenever, as a result of a consolidation of Shares, any Members would become entitled to fractions of a Share the directors may on behalf of those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(a)sell the Shares representing the fractions for the best price reasonably obtainable to any person (including, subject to the provisions of the Law,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(b)distribute the net proceeds in due proportion among those Members.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Reducing share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10.3Subject to the Law and to any rights for the time being conferred on the Members holding a particular class of Shares, the Company may, by Special Resolution, reduce its share capital in any way.</w:t>
      </w:r>
    </w:p>
    <w:p>
      <w:pPr>
        <w:pStyle w:val="HorizontalLine"/>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489" name="Frame4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11Redemption and purchase of own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redeemable Shares and to purchase own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11.1Subject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(a)issue Shares that are to be redeemed or liable to be redeemed, at the option of the Company or the Member holding those redeemable Shares, on the terms and in the manner its directors determine before the issue of those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(c)purchase all or any of its own Shares of any class including any redeemable Shares on the terms and in the manner which the directors determine at the time of such purchase.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11.2With respect to redeeming or repurchasing the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(a)Members who hold Public Shares are entitled to request the redemption of such Shares in the circumstances described in Article 38.3;</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(c)Public Shares shall be repurchased by way of tender offer in the circumstances set out in Article 38.2(b).</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for redemption or purchase in cash or in specie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11.3When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redemption or purchase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11.4Upon the date of redemption or purchase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 holding that Share shall cease to be entitled to any rights in respect of the Share other than the right to receive: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price for the Share;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(ii)any dividend declared in respect of the Share prior to the date of redemption or purchase;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Member's name shall be removed from the Register of Members with respect to the Share;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Share shall be cancelled or held as a Treasury Shares, as the directors may determine.</w:t>
      </w:r>
    </w:p>
    <w:p>
      <w:pPr>
        <w:pStyle w:val="HorizontalLine"/>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490" name="Frame4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purpose of this Article, the date of redemption or purchase is the date when the redemption or purchase falls due.</w:t>
      </w:r>
    </w:p>
    <w:p>
      <w:pPr>
        <w:pStyle w:val="TextBody"/>
        <w:spacing w:lineRule="auto" w:line="288" w:before="0" w:after="180"/>
        <w:rPr/>
      </w:pPr>
      <w:r>
        <w:rPr>
          <w:rFonts w:ascii="Times New Roman;sans-serif" w:hAnsi="Times New Roman;sans-serif"/>
          <w:b w:val="false"/>
          <w:color w:val="000000"/>
          <w:sz w:val="20"/>
        </w:rPr>
        <w:t>11.5</w:t>
      </w:r>
      <w:r>
        <w:rPr>
          <w:rFonts w:ascii="Times New Roman;sans-serif" w:hAnsi="Times New Roman;sans-serif"/>
          <w:b w:val="false"/>
          <w:color w:val="000000"/>
          <w:sz w:val="20"/>
        </w:rPr>
        <w:t>For the avoidance of doubt, redemptions and repurchases of Shares in the circumstances described in Articles 11.2(a), 11.2(b) and 11.2(c) above shall not require further approval of the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12Class B Share Conversion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12.1Save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12.2On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total number of Class A Shares issued and outstanding (excluding the Private Placement Shares) upon completion of the IPO (including pursuant to the Over-Allotment Option, if applicable), plus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12.3References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12.4Notwithstanding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12.5The directors shall not allot or issue Class A Shares such that the number of authorised but unissued Class A Shares would at any time be insufficient to permit the conversion of all Class B Shares from time to time issued into Class A Shares.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13Meetings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call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13.1To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 </w:t>
      </w:r>
    </w:p>
    <w:p>
      <w:pPr>
        <w:pStyle w:val="HorizontalLine"/>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491" name="Frame4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required by the Law or the rules and regulations of the Designated Stock Exchange) be obliged to, in each year hold any other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13.2The agenda of the annual general meeting shall be set by the directors and shall include the presentation of the Company’s annual accounts and the report of the directors (if 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13.3Annual general meetings shall be held in New York, USA or in such other places as the directors may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13.4All general meetings other than annual general meetings shall be called extraordinary general meetings and the Company shall specify the meeting as such in the notices calling 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13.5The directors may call a general meeting at any time.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13.6If there are insufficient directors to constitute a quorum and the remaining directors are unable to agree on the appointment of additional directors, the directors must call a general meeting for the purpose of appointing additional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13.7The directors must also call a general meeting if requisitioned in the manner set out in the next two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13.8The requisition must be in writing and given by one or more Members who together hold at least 40% of the rights to vote at such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13.9The requisition must also: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(a)specify the purpose of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(b)be signed by or on behalf of each requisitioner (and for this purpose each joint holder shall be obliged to sign). The requisition may consist of several documents in like form signed by one or more of the requisitioners.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(c)be delivered in accordance with the notice provisions.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13.10Should the directors fail to call a general meeting within 21 Clear Days from the date of receipt of a requisition, the requisitioners or any of them may call a general meeting within three months after the end of that period.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13.11Without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13.12Members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Content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13.13Notice of a general meeting shall specify each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place, the date and the hour of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meeting is to be held in two or more places, the technology that will be used to facilitate the meeting;</w:t>
      </w:r>
    </w:p>
    <w:p>
      <w:pPr>
        <w:pStyle w:val="HorizontalLine"/>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46685"/>
                <wp:effectExtent l="0" t="0" r="0" b="0"/>
                <wp:wrapNone/>
                <wp:docPr id="492" name="Frame4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(c)subject to paragraph (d), the general nature of the business to be transacted;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(d)if a resolution is proposed as a Special Resolution, the text of that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13.14In each notice there shall appear with reasonable prominence the following statements: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a Member who is entitled to attend and vote is entitled to appoint one or more proxies to attend and vote instead of that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a proxyholder need not be a Member.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13.15At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the case of an annual general meeting, by all of the Members entitled to attend and vote thereat;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the case of an extraordinary general meeting, by a majority in number of the Members having a right to attend and vote at the meeting, together holding not less than 95% in par value of the Shares giving that right.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entitled to receive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13.16Subject to the provisions of these Articles and to any restrictions imposed on any Shares, the notice shall be given to the following people: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(b)persons entitled to a Share in consequence of the death or bankruptcy of a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Publication of notice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13.17Subject to the Law or the rules of the Designated Stock Exchange, a notice of a general meeting may be published on a website providing the recipient is given separate notice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publication of the notice on the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place on the website where the notice may be accessed;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(c)how it may be accessed;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(d)the place, date and time of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13.18If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a website notice is deemed to be given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13.19A website notice is deemed to be given when the Member is given notice of its publication.</w:t>
      </w:r>
    </w:p>
    <w:p>
      <w:pPr>
        <w:pStyle w:val="HorizontalLine"/>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493" name="Frame4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Required duration of publication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13.20Where the notice of meeting is published on a website, it shall continue to be published in the same place on that website from the date of the notification until at least the conclusion of the meeting to which the notice relates.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Accidental omission to give notice or non-receipt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13.21Proceedings at a meeting shall not be invalidated by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accidental failure to give notice of the meeting to any person entitled to notice;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(b)non-receipt of notice of the meeting by any person entitled to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13.22In addition, where a notice of meeting is published on a website, proceedings at the meeting shall not be invalidated merely because it is accidentally published: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a different place on the website;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(b)for part only of the period from the date of the notification until the conclusion of the meeting to which the notice relates.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14Proceedings at meetings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14.1Save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Lack of 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14.2If a quorum is not present within 15 minutes of the time appointed for the meeting, or if at any time during the meeting it becomes inquorate, then the following provisions apply: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meeting was requisitioned by Members, it shall be cancelled.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technology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14.3A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Chairman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14.4The chairman of a general meeting shall be the chairman of the board or such other director as the directors have nominated to chair board meetings in the absence of the chairman of the board. Absent any such </w:t>
      </w:r>
    </w:p>
    <w:p>
      <w:pPr>
        <w:pStyle w:val="HorizontalLine"/>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494" name="Frame4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person being present within 15 minutes of the time appointed for the meeting, the directors present shall elect one of their number to chair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14.5If no director is present within 15 minutes of the time appointed for the meeting, or if no director is willing to act as chairman, the Members present in person or by proxy and entitled to vote shall choose one of their number to chair the meeting.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of a director to attend and speak</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14.6Even if a director is not a Member, he shall be entitled to attend and speak at any general meeting and at any separate meeting of Members holding a particular class of Shares in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Adjournment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14.7The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14.8Should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Method of voting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14.9A resolution put to the vote of the meeting shall be decided on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Taking of a poll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14.10A poll demanded on the question of adjournment shall be taken immediately.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14.11A poll demanded on any other question shall be taken either immediately or at an adjourned meeting at such time and place as the chairman directs, not being more than 30 Clear Days after the poll was demanded.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14.12The demand for a poll shall not prevent the meeting continuing to transact any business other than the question on which the poll was demanded.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14.13A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Chairman's casting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14.14If the votes on a resolution are equal, the chairman may if he wishes exercise a casting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Amendments to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14.15An Ordinary Resolution to be proposed at a general meeting may be amended by Ordinary Resolution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(a)not less than 48 hours before the meeting is to take place (or such later time as the chairman of the meeting may determine), notice of the proposed amendment is given to the Company in writing by a Member entitled to vote at that meeting;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proposed amendment does not, in the reasonable opinion of the chairman of the meeting, materially alter the scope of the resolution.</w:t>
      </w:r>
    </w:p>
    <w:p>
      <w:pPr>
        <w:pStyle w:val="HorizontalLine"/>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495" name="Frame4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14.16A Special Resolution to be proposed at a general meeting may be amended by Ordinary Resolution,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chairman of the meeting proposes the amendment at the general meeting at which the resolution is to be proposed,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amendment does not go beyond what the chairman considers is necessary to correct a grammatical or other non-substantive error in the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14.17If the chairman of the meeting, acting in good faith, wrongly decides that an amendment to a resolution is out of order, the chairman's error does not invalidate the vote on that 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Written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14.18Members may pass a resolution in writing without holding a meeting if the following conditions are met: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Members entitled so to vote are given notice of the resolution as if the same were being proposed at a meeting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(b)all Members entitled so to vote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(i)sign a document;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(ii)sign several documents in the like form each signed by one or more of those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signed document or documents is or are delivered to the Company, including, if the Company so nominates, by delivery of an Electronic Record by Electronic means to the address specified for that purpose.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Such written resolution shall be as effective as if it had been passed at a meeting of the Members entitled to vote duly convened and held.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14.19If a written resolution is described as a Special Resolution or as an Ordinary Resolution, it has effect accordingly.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14.20The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Sole-member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14.21If the Company has only one Member, and the Member records in writing his decision on a question, that record shall constitute both the passing of a resolution and the minute of 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15Voting rights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to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15.2Members may vote in person or by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15.3Every Member shall have one vote for each Share he holds, unless any Share carries special voting rights. </w:t>
      </w:r>
    </w:p>
    <w:p>
      <w:pPr>
        <w:pStyle w:val="HorizontalLine"/>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496" name="Frame4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15.4A fraction of a Share shall entitle its holder to an equivalent fraction of one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15.5No Member is bound to vote on his Shares or any of them; nor is he bound to vote each of his Shares in the same way.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15.6If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Representation of corporate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15.7Save where otherwise provided, a corporate Member must act by a duly authorised representative.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15.8A corporate Member wishing to act by a duly authorised representative must identify that person to the Company by notice in writing.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15.9The authorisation may be for any period of time, and must be delivered to the Company not less than two hours before the commencement of the meeting at which it is first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15.10The directors of the Company may require the production of any evidence which they consider necessary to determine the validity of the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15.11Where a duly authorised representative is present at a meeting that Member is deemed to be present in person; and the acts of the duly authorised representative are personal acts of that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15.12A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15.13If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Member with mental disorder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15.14A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15.15For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Objections to admissibility of votes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15.16An objection to the validity of a person's vote may only be raised at the meeting or at the adjourned meeting at which the vote is sought to be tendered. Any objection duly made shall be referred to the chairman whose decision shall be final and conclusive.</w:t>
      </w:r>
    </w:p>
    <w:p>
      <w:pPr>
        <w:pStyle w:val="HorizontalLine"/>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497" name="Frame4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15.17An instrument appointing a proxy shall be in any common form or in any other form approved by the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15.18The instrument must be in writing and signed in one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the Member;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the Member's authorised attorney;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the Member is a corporation or other body corporate, under seal or signed by an authorised officer, secretary or attorney.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directors so resolve, the Company may accept an Electronic Record of that instrument delivered in the manner specified below and otherwise satisfying the Articles about authentication of Electronic Records.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15.19The directors may require the production of any evidence which they consider necessary to determine the validity of any appointment of a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15.20A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How and when proxy is to be delivered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15.21Subject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the case of an instrument in writing, it must be left at or sent by post: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(i)to the registered office of the Company;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(ii)to such other place specified in the notice convening the meeting or in any form of appointment of proxy sent out by the Company in relation to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(i)in the notice convening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(ii)in any form of appointment of a proxy sent out by the Company in relation to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(iii)in any invitation to appoint a proxy issued by the Company in relation to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15.22Where a poll is taken: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pStyle w:val="HorizontalLine"/>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498" name="Frame4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15.23If the form of appointment of proxy is not delivered on time, it is invalid.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by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15.24A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16Number of directors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Ordinary Resolution, the minimum number of directors shall be one and the maximum shall be ten.</w:t>
      </w:r>
    </w:p>
    <w:p>
      <w:pPr>
        <w:pStyle w:val="TextBody"/>
        <w:spacing w:lineRule="auto" w:line="288" w:before="0" w:after="180"/>
        <w:ind w:left="0" w:right="0" w:hanging="720"/>
        <w:rPr/>
      </w:pPr>
      <w:r>
        <w:rPr>
          <w:rFonts w:ascii="Times New Roman;sans-serif" w:hAnsi="Times New Roman;sans-serif"/>
          <w:b/>
          <w:color w:val="000000"/>
          <w:sz w:val="20"/>
        </w:rPr>
        <w:t>17Appointment, disqualification and removal of directors</w:t>
      </w:r>
      <w:r>
        <w:rPr>
          <w:color w:val="000000"/>
        </w:rPr>
        <w:t xml:space="preserv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age limit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17.1There is no age limit for directors save that they must be aged at least 18 years.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Corporate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17.2Unless prohibited by law, a body corporate may be a director. If a body corporate is a director, the Articles about representation of corporate Members at general meetings apply, mutatis mutandis, to the Articles about directors' meetings.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shareholding qualification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17.3Unless a shareholding qualification for directors is fixed by Ordinary Resolution, no director shall be required to own Shares as a condition of his appointment.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and removal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17.4The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17.5Prior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17.6After the closing of a Business Combination, the Company may by Ordinary Resolution appoint any person to be a director or may by Ordinary Resolution remove any director.</w:t>
      </w:r>
    </w:p>
    <w:p>
      <w:pPr>
        <w:pStyle w:val="HorizontalLine"/>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499" name="Frame4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17.7Article 17.5 may only be amended by a Special Resolution passed by holders representing at least two-thirds of the outstanding Class B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17.8Without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17.9Notwithstanding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two or more shareholders die in circumstances rendering it uncertain who was the last to die, a younger shareholder is deemed to have survived an older shareholder;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last shareholder died leaving a will which disposes of that shareholder’s shares in the Company (whether by way of specific gift, as part of the residuary estate, or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expression personal representatives of the last shareholder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(A)until a grant of probate in respect of that will has been obtained from the Grand Court of the Cayman Islands, all of the executors named in that will who are living at the time the power of appointment under this Article is exercised;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(B)after such grant of probate has been obtained, only such of those executors who have proved that will;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(ii)without derogating from section 3(1) of the Succession Law (Revised), the executors named in that will may exercise the power of appointment under this Article without first obtaining a grant of probate.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17.10A remaining director may appoint a director even though there is not a quorum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17.11No appointment can cause the number of directors to exceed the maximum; and any such appointment shall be invalid.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17.12For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Resignation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17.13A director may at any time resign office by giving to the Company notice in writing or, if permitted pursuant to the notice provisions, in an Electronic Record delivered in either case in accordance with those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17.14Unless the notice specifies a different date, the director shall be deemed to have resigned on the date that the notice is delivered to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Termination of the office of director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17.15A director's office shall be terminated forthwith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(a)he is prohibited by the law of the Islands from acting as a director; or</w:t>
      </w:r>
    </w:p>
    <w:p>
      <w:pPr>
        <w:pStyle w:val="HorizontalLine"/>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500" name="Frame4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 is made bankrupt or makes an arrangement or composition with his creditors generally;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(c)in the opinion of a registered medical practitioner by whom he is being treated he becomes physically or mentally incapable of acting as a director;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(d)he is made subject to any law relating to mental health or incompetence, whether by court order or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(e)without the consent of the other directors, he is absent from meetings of directors for a continuous period of six months;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18Alternate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and removal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notice in writing in accordance with the notice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18.2Without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18.3A director may revoke his appointment of an alternate at any time. No revocation shall take effect until the director has given notice of the revocation to the other directors. Such notice must be given by either of the methods specified in Article 18.1.</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18.4A notice of appointment or removal of an alternate director must also be given to the Company by any of the following methods: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notice in writing in accordance with the notice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 </w:t>
      </w:r>
    </w:p>
    <w:p>
      <w:pPr>
        <w:pStyle w:val="HorizontalLine"/>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501" name="Frame4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event notice shall be taken to be given on the date of receipt by the Company or the Company's registered office (as appropriate) in readable form;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(d)if permitted pursuant to the notice provisions, in some other form of approved Electronic Record delivered in accordance with those provisions in writing.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18.5All notices of meetings of directors shall continue to be given to the appointing director and not to the alternate.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alternate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18.6An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18.7For the avoidance of doubt: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another director has been appointed an alternate director for one or more directors, he shall be entitled to a separate vote in his own right as a director and in right of each other director for whom he has been appointed an alternate;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a person other than a director has been appointed an alternate director for more than one director, he shall be entitled to a separate vote in right of each director for whom he has been appointed an alternate.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18.8An alternate director, however, is not entitled to receive any remuneration from the Company for services rendered as an alternate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ceases when the appointor ceases to be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18.9An alternate director shall cease to be an alternate director if the director who appointed him ceases to be a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Status of alternate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18.10An alternate director shall carry out all functions of the director who made the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18.11Save where otherwise expressed, an alternate director shall be treated as a director under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18.12An alternate director is not the agent of the director appointing him.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18.13An alternate director is not entitled to any remuneration for acting as alternate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Status of the director making the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18.14A director who has appointed an alternate is not thereby relieved from the duties which he owes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19Powers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Powers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19.1Subject to the provisions of the Law, the Memorandum and these Articles, the business of the Company shall be managed by the directors who may for that purpose exercise all the powers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19.2No prior act of the directors shall be invalidated by any subsequent alteration of the Memorandum or these Articles. However, to the extent allowed by the Law, following the consummation of the IPO Members </w:t>
      </w:r>
    </w:p>
    <w:p>
      <w:pPr>
        <w:pStyle w:val="HorizontalLine"/>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502" name="Frame4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may by Special Resolution validate any prior or future act of the directors which would otherwise be in breach of their duties.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Appointments to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19.3The directors may appoint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(a)as chairman of the board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(b)as vice-chairman of the board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(c)as managing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(d)to any other executive office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such period and on such terms, including as to remuneration, as they think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19.4The appointee must consent in writing to holding that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19.5Where a chairman is appointed he shall, unless unable to do so, preside at every meeting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19.6If there is no chairman, or if the chairman is unable to preside at a meeting, that meeting may select its own chairman; or the directors may nominate one of their number to act in place of the chairman should he ever not be available.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19.7Subject to the provisions of the Law, the directors may also appoint any person, who need not be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(a)as Secretary;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such period and on such terms, including as to remuneration, as they think fit. In the case of an Officer, that Officer may be given any title the directors decide.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19.8The Secretary or Officer must consent in writing to holding that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19.9A director, Secretary or other Officer of the Company may not hold the office, or perform the services, of Auditor.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Remuneration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19.10The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19.11Remuneration may take any form and may include arrangements to pay pensions, health insurance, death or sickness benefits, whether to the director or to any other person connected to or related to him.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19.12Unless his fellow directors determine otherwise, a director is not accountable to the Company for remuneration or other benefits received from any other company which is in the same group as the Company or which has common shareholdings.</w:t>
      </w:r>
    </w:p>
    <w:p>
      <w:pPr>
        <w:pStyle w:val="HorizontalLine"/>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503" name="Frame4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Disclosure of information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19.13The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or that person, as the case may be, is lawfully required to do so under the laws of any jurisdiction to which the Company is subject;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(b)such disclosure is in compliance with the rules of any stock exchange upon which the Company's shares are listed;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(c)such disclosure is in accordance with any contract entered into by the Company;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(d)the directors are of the opinion such disclosure would assist or facilitate the Company’s operations.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20Delegation of powers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delegate any of the directors' powers to a committee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20.1The directors may delegate any of their powers to any committee consisting of one or more persons who need not be Members. Persons on the committee may include non-directors so long as the majority of those persons are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20.2The delegation may be collateral with, or to the exclusion of, the directors' own powers.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20.3The delegation may be on such terms as the directors think fit, including provision for the committee itself to delegate to a sub-committee; save that any delegation must be capable of being revoked or altered by the directors at will.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20.4Unless otherwise permitted by the directors, a committee must follow the procedures prescribed for the taking of decisions by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an agent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20.5The directors may appoint any person, either generally or in respect of any specific matter, to be the agent of the Company with or without authority for that person to delegate all or any of that person's powers. The directors may make that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causing the Company to enter into a power of attorney or agreement;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any other manner they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an attorney or authorised signatory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20.6The directors may appoint any person, whether nominated directly or indirectly by the directors, to be the attorney or the authorised signatory of the Company. The appointment may be: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(a)for any purpose;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the powers, authorities and discretions;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(c)for the period;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(d)subject to such conditions</w:t>
      </w:r>
    </w:p>
    <w:p>
      <w:pPr>
        <w:pStyle w:val="HorizontalLine"/>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504" name="Frame4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20.7Any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20.8Any director may appoint any other person, including another director, to represent him at any meeting of the directors. If a director appoints a proxy, then for all purposes the presence or vote of the proxy shall be deemed to be that of the appointing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20.9Articles 18.1 to 18.4 inclusive (relating to the appointment by directors of alternate directors) apply, mutatis mutandis, to the appointment of proxies by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20.10A proxy is an agent of the director appointing him and is not an officer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21Meetings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Regulation of directors'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21.1Subject to the provisions of these Articles, the directors may regulate their proceedings as they think fit.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Calling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21.2Any director may call a meeting of directors at any time. The Secretary, if any, must call a meeting of the directors if requested to do so by a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 of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21.3Every director shall be given notice of a meeting, although a director may waive retrospectively the requirement to be given notice. Notice may be oral. Attendance at a meeting without written objection shall be deemed to be a waiver of such notice requirement.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21.4At least five Clear Days’ notice of a meeting of directors must be given to directors. A meeting may be convened on shorter notice with the consent of all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technology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21.5A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21.6A director participating in this way is deemed to be present in person at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Place of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21.7If all the directors participating in a meeting are not in the same place, they may decide that the meeting is to be treated as taking place wherever any of them 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21.8The quorum for the transaction of business at a meeting of directors shall be two unless the directors fix some other number or unless the Company has only one director. </w:t>
      </w:r>
    </w:p>
    <w:p>
      <w:pPr>
        <w:pStyle w:val="HorizontalLine"/>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505" name="Frame4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21.9A question which arises at a board meeting shall be decided by a majority of votes. If votes are equal the chairman may, if he wishes, exercise a casting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21.10Anything done at a meeting of directors is unaffected by the fact that it is later discovered that any person was not properly appointed, or had ceased to be a director, or was otherwise not entitled to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Recording of dissent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21.11A director present at a meeting of directors shall be presumed to have assented to any action taken at that meeting unless: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(a)his dissent is entered in the minutes of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 has filed with the meeting before it is concluded signed dissent from that action;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(c)he has forwarded to the Company as soon as practical following the conclusion of that meeting signed dissent.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director who votes in favour of an action is not entitled to record his dissent to 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Written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21.12The directors may pass a resolution in writing without holding a meeting if all directors sign a document or sign several documents in the like form each signed by one or more of those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21.13Despite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21.14Such written resolution shall be as effective as if it had been passed at a meeting of the directors duly convened and held; and it shall be treated as having been passed on the day and at the time that the last director signs.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Sole director's minute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21.15Where a sole director signs a minute recording his decision on a question, that record shall constitute the passing of a resolution in those terms.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22Permissible directors' interests and disclosure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Permissible interests subject to disclosure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22.1Save as expressly permitted by these Articles or as set out below, a director may not have a direct or indirect interest or duty which conflicts or may possibly conflict with the interests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22.2If, notwithstanding the prohibition in the preceding Article, a director discloses to his fellow directors the nature and extent of any material interest or duty in accordance with the next Article, he may: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(a)be a party to, or otherwise interested in, any transaction or arrangement with the Company or in which the Company is or may otherwise be interested;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pStyle w:val="HorizontalLine"/>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506" name="Frame4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22.3Such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22.4If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Notification of interests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22.5For the purposes of the preceding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 interest of which a director has no knowledge and of which it is unreasonable to expect him to have knowledge shall not be treated as an interest of his.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where a director is interested in a matter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22.6A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22.7Where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23Minutes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shall cause minutes to be made in books kept for the purpose in accordance with the Law.</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24Accounts and audit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Accounting and other records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24.1The directors must ensure that proper accounting and other records are kept, and that accounts and associated reports are distributed in accordance with the requirements of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automatic right of inspection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24.2Members are only entitled to inspect the Company's records if they are expressly entitled to do so by law, or by resolution made by the directors or passed by Ordinary 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Sending of accounts and reports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24.3The Company's accounts and associated directors' report or auditor's report that are required or permitted to be sent to any person pursuant to any law shall be treated as properly sent to that person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(a)they are sent to that person in accordance with the notice provisions: or</w:t>
      </w:r>
    </w:p>
    <w:p>
      <w:pPr>
        <w:pStyle w:val="HorizontalLine"/>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507" name="Frame4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(b)they are published on a website providing that person is given separate notice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fact that publication of the documents has been published on the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(ii)the address of the website;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(iii)the place on the website where the documents may be accessed;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(iv)how they may be accessed.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24.4If,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of receipt if documents are published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24.5Documents sent by being published on a website in accordance with the preceding two Articles are only treated as sent at least five Clear Days before the date of the meeting at which they are to be laid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documents are published on the website throughout a period beginning at least five Clear Days before the date of the meeting and ending with the conclusion of the meeting;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(b)the person is given at least five Clear Days' notice of the hearing.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 despite accidental error in publication on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24.6If, for the purpose of a meeting, documents are sent by being published on a website in accordance with the preceding Articles, the proceedings at that meeting are not invalidated merely because: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(a)those documents are, by accident, published in a different place on the website to the place notified;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(b)they are published for part only of the period from the date of notification until the conclusion of that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Audit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24.7The directors may appoint an Auditor of the Company who shall hold office on such terms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24.8Without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24.9If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24.10The remuneration of the Auditor shall be fixed by the Audit Committee (if one exists).</w:t>
      </w:r>
    </w:p>
    <w:p>
      <w:pPr>
        <w:pStyle w:val="HorizontalLine"/>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508" name="Frame4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24.11If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24.12Every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24.13Auditors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25Financial year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the directors otherwise specify, the financial year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(a)shall end on 31st December in the year of its incorporation and each following year;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(b)shall begin when it was incorporated and on 1st January each following year.</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26Record dates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Except to the extent of any conflicting rights attached to Shares, the directors may fix any time and date as the record date for: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(a)calling a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(b)declaring or paying a dividend;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(c)making or issuing an allotment of Shares;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(d)conducting any other business required pursuant to these Articles.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record date may be before or after the date on which a dividend, allotment or issue is declared, paid or made.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27Dividends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Declaration of dividends by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27.1Subject to the provisions of the Law, the Company may by Ordinary Resolution declare dividends in accordance with the respective rights of the Members but no dividend shall exceed the amount recommended by the directors.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Payment of interim dividends and declaration of final dividends by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27.2The directors may pay interim dividends or declare final dividends in accordance with the respective rights of the Members if it appears to them that they are justified by the financial position of the Company and that such dividends may lawfully be 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27.3Subject to the provisions of the Law, in relation to the distinction between interim dividends and final dividends,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(a)Upon determination to pay a dividend or dividends described as interim by the directors in the dividend resolution, no debt shall be created by the declaration until such time as payment is made.</w:t>
      </w:r>
    </w:p>
    <w:p>
      <w:pPr>
        <w:pStyle w:val="HorizontalLine"/>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509" name="Frame4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(b)Upon declaration of a dividend or dividends described as final by the directors in the dividend resolution, a debt shall be created immediately following the declaration, the due date to be the date the dividend is stated to be payable in the resolution.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resolution fails to specify whether a dividend is final or interim, it shall be assumed to be interim.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27.4In relation to Shares carrying differing rights to dividends or rights to dividends at a fixed rate,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directors may also pay, at intervals settled by them, any dividend payable at a fixed rate if it appears to them that there are sufficient funds of the Company lawfully available for distribution to justify the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the directors act in good faith, they shall not incur any liability to the Members holding Shares conferring preferred rights for any loss those Members may suffer by the lawful payment of the dividend on any Shares having deferred or non-preferred rights.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Apportionment of dividends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27.5Except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of set off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27.6The directors may deduct from a dividend or any other amount payable to a person in respect of a Share any amount due by that person to the Company on a call or otherwise in relation to a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other than in cash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27.7If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(a)issue fractional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(b)fix the value of assets for distribution and make cash payments to some Members on the footing of the value so fixed in order to adjust the rights of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(c)vest some assets in trustees.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How payments may be made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27.8A dividend or other monies payable on or in respect of a Share may be paid in any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Member holding that Share or other person entitled to that Share nominates a bank account for that purpose - by wire transfer to that bank account;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cheque or warrant sent by post to the registered address of the Member holding that Share or other person entitled to that Share.</w:t>
      </w:r>
    </w:p>
    <w:p>
      <w:pPr>
        <w:pStyle w:val="HorizontalLine"/>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510" name="Frame4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27.9For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27.10If two or more persons are registered as the holders of the Share or are jointly entitled to it by reason of the death or bankruptcy of the registered holder (Joint Holders), a dividend (or other amount) payable on or in respect of that Share may be paid as follows: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the registered address of the Joint Holder of the Share who is named first on the Register of Members or to the registered address of the deceased or bankrupt holder, as the case may be;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the address or bank account of another person nominated by the Joint Holders, whether that nomination is in writing or in an Electronic Record.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27.11Any Joint Holder of a Share may give a valid receipt for a dividend (or other amount) payable in respect of that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Dividends or other moneys not to bear interest in absence of special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27.12Unless provided for by the rights attached to a Share, no dividend or other monies payable by the Company in respect of a Share shall bear interest.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Dividends unable to be paid or unclaimed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27.13If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27.14A dividend that remains unclaimed for a period of six years after it became due for payment shall be forfeited to, and shall cease to remain owing by, the Company. </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28Capitalisation of profits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Capitalisation of profits or of any share premium account or capital redemption reserve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28.1The directors may resolve to capitalise: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(a)any part of the Company's profits not required for paying any preferential dividend (whether or not those profits are available for distribution);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(b)any sum standing to the credit of the Company's share premium account or capital redemption reserve, if any.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paying up the amounts unpaid on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pStyle w:val="HorizontalLine"/>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511" name="Frame4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Applying an amount for the benefit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28.2The amount capitalised must be applied to the benefit of Members in the proportions to which the Members would have been entitled to dividends if the amount capitalised had been distributed as a dividend.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28.3Subject to the Law, if a fraction of a Share, a debenture, or other security is allocated to a Member, the directors may issue a fractional certificate to that Member or pay him the cash equivalent of the fraction.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29Share premium account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Directors to maintain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29.1The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Debits to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29.2The following amounts shall be debited to any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(a)on the redemption or purchase of a Share, the difference between the nominal value of that Share and the redemption or purchase price;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other amount paid out of a share premium account as permitted by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29.3Notwithstanding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30Seal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30.1The Company may have a seal if the directors so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Duplicate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30.2Subject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When and how seal is to be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30.3A seal may only be used by the authority of the directors. Unless the directors otherwise determine, a document to which a seal is affixed must be signed in one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a director (or his alternate) and the Secretary;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a single director (or his alternate).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If no seal is adopted or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30.4If the directors do not adopt a seal, or a seal is not used, a document may be executed in the following manner: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a director (or his alternate) or any Officer to which authority has been delegated by resolution duly adopted by the directors; or</w:t>
      </w:r>
    </w:p>
    <w:p>
      <w:pPr>
        <w:pStyle w:val="HorizontalLine"/>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512" name="Frame4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a single director (or his alternate);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(c)in any other manner permitted by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allow non-manual signatures and facsimile printing of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30.5The directors may determine that either or both of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the seal or a duplicate seal need not be affixed manually but may be affixed by some other method or system of reproduction;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a signature required by these Articles need not be manual but may be a mechanical or Electronic Signature.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 of execution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30.6If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31Indemnity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31.1To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 such existing or former Secretary or Officer, however, shall be indemnified in respect of any matter arising out of his own actual fraud, wilful default or wilful neglect.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31.2To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Release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31.3To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pStyle w:val="HorizontalLine"/>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513" name="Frame4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31.4To the extent permitted by Applicable Law, the Company may pay, or agree to pay, a premium in respect of a contract insuring each of the following persons against risks determined by the directors, other than liability arising out of that person's own dishonesty: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existing or former director (including alternate director), Secretary or Officer or auditor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 company which is or was a subsidiary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(iii)a company in which the Company has or had an interest (whether direct or indirect);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trustee of an employee or retirement benefits scheme or other trust in which any of the persons referred to in paragraph (a) is or was interested.</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32Notices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32.1Save where these Articles provide otherwise, any notice to be given to or by any person pursuant to these Articles shall be: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(a)in writing signed by or on behalf of the giver in the manner set out below for written notices;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(b)subject to the next Article, in an Electronic Record signed by or on behalf of the giver by Electronic Signature and authenticated in accordance with Articles about authentication of Electronic Records;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(c)where these Articles expressly permit, by the Company by means of a website.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Electronic communications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32.2Without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directors so resolve;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resolution states how an Electronic Record may be given and, if applicable, specifies an email address for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(c)the terms of that resolution are notified to the Members for the time being and, if applicable, to those directors who were absent from the meeting at which the resolution was passed.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resolution is revoked or varied, the revocation or variation shall only become effective when its terms have been similarly notified.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32.3A notice may not be given by Electronic Record to a person other than the Company unless the recipient has notified the giver of an Electronic address to which notice may be 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authorised to give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32.4A notice by either the Company or a Member pursuant to these Articles may be given on behalf of the Company or a Member by a director or company secretary of the Company or a Member.</w:t>
      </w:r>
    </w:p>
    <w:p>
      <w:pPr>
        <w:pStyle w:val="HorizontalLine"/>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514" name="Frame4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Delivery of written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32.5Save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32.6Where Members are joint holders of a Share, all notices shall be given to the Member whose name first appears in the Register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32.7A written notice shall be signed when it is autographed by or on behalf of the giver, or is marked in such a way as to indicate its execution or adoption by the giver.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32.8An Electronic Record may be signed by an Electronic Signature.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Evidence of transmission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32.9A notice given by Electronic Record shall be deemed sent if an Electronic Record is kept demonstrating the time, date and content of the transmission, and if no notification of failure to transmit is received by the giver.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32.10A notice given in writing shall be deemed sent if the giver can provide proof that the envelope containing the notice was properly addressed, pre-paid and posted, or that the written notice was otherwise properly transmitted to the recipient.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Giving notice to a deceased or bankrupt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32.11A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32.12Until such an address has been supplied, a notice may be given in any manner in which it might have been given if the death or bankruptcy had not occurred.</w:t>
      </w:r>
    </w:p>
    <w:p>
      <w:pPr>
        <w:pStyle w:val="HorizontalLine"/>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515" name="Frame4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of giving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32.13A notice is given on the date identified in the following table.</w:t>
      </w:r>
    </w:p>
    <w:tbl>
      <w:tblPr>
        <w:tblW w:w="10205" w:type="dxa"/>
        <w:jc w:val="left"/>
        <w:tblInd w:w="0" w:type="dxa"/>
        <w:tblCellMar>
          <w:top w:w="28" w:type="dxa"/>
          <w:left w:w="28" w:type="dxa"/>
          <w:bottom w:w="28" w:type="dxa"/>
          <w:right w:w="28" w:type="dxa"/>
        </w:tblCellMar>
      </w:tblPr>
      <w:tblGrid>
        <w:gridCol w:w="1911"/>
        <w:gridCol w:w="1527"/>
        <w:gridCol w:w="1532"/>
        <w:gridCol w:w="1664"/>
        <w:gridCol w:w="1469"/>
        <w:gridCol w:w="2102"/>
      </w:tblGrid>
      <w:tr>
        <w:trPr/>
        <w:tc>
          <w:tcPr>
            <w:tcW w:w="191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r>
      <w:tr>
        <w:trPr/>
        <w:tc>
          <w:tcPr>
            <w:tcW w:w="497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for giving notices</w:t>
            </w:r>
          </w:p>
        </w:tc>
        <w:tc>
          <w:tcPr>
            <w:tcW w:w="523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taken to be given</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Personally</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and date delivered</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leaving it at the member’s registered address</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and date it was left</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recipient has an address within the Islands, by posting it by prepaid post to the street or postal address of that recipient</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hours after it was posted</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recipient has an address outside of the Islands, by posting it by prepaid airmail to the street or postal address of that recipient</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Clear Days after posting</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Electronic Record (other than publication on a website), to recipient’s Electronic address</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24 hours after it was sent</w:t>
            </w:r>
          </w:p>
        </w:tc>
      </w:tr>
      <w:tr>
        <w:trPr/>
        <w:tc>
          <w:tcPr>
            <w:tcW w:w="49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publication on a website</w:t>
            </w:r>
          </w:p>
        </w:tc>
        <w:tc>
          <w:tcPr>
            <w:tcW w:w="523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Articles about the time when notice of a meeting of Members or accounts and reports, as the case may be, are published on a website</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Saving provision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32.14None of the preceding notice provisions shall derogate from the Articles about the delivery of written resolutions of directors and written resolutions of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33Authentication of Electronic Records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 of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33.1Without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Authentication of documents sent by Members by Electronic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33.2An Electronic Record of a notice, written resolution or other document sent by Electronic means by or on behalf of one or more Members shall be deemed to be authentic if the following conditions are satisfied: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 or each Member, as the case may be, signed the original document, and for this purpose Original Document includes several documents in like form signed by one or more of those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Electronic Record of the Original Document was sent by Electronic means by, or at the direction of, that Member to an address specified in accordance with these Articles for the purpose for which it was sent;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(c)Article 33.7 does not apply.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33.3For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pStyle w:val="HorizontalLine"/>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516" name="Frame4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Authentication of document sent by the Secretary or Officers of the Company by Electronic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33.4An Electronic Record of a notice, written resolution or other document sent by or on behalf of the Secretary or an Officer or Officers of the Company shall be deemed to be authentic if the following conditions are satisfied: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Secretary or the Officer or each Officer, as the case may be, signed the original document, and for this purpose Original Document includes several documents in like form signed by the Secretary or one or more of those Officers;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Electronic Record of the Original Document was sent by Electronic means by, or at the direction of, the Secretary or that Officer to an address specified in accordance with these Articles for the purpose for which it was sent;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(c)Article 33.7 does not apply.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Article applies whether the document is sent by or on behalf of the Secretary or Officer in his own right or as a representative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33.5For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Manner of signing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33.6For the purposes of these Articles about the authentication of Electronic Records, a document will be taken to be signed if it is signed manually or in any other manner permitted by these Articles.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Saving provision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33.7A notice, written resolution or other document under these Articles will not be deemed to be authentic if the recipient, acting reasonably:</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(a)believes that the signature of the signatory has been altered after the signatory had signed the original document;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(b)believes that the original document, or the Electronic Record of it, was altered, without the approval of the signatory, after the signatory signed the original document;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(c)otherwise doubts the authenticity of the Electronic Record of the document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34Transfer by way of continuation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34.1The Company may, by Special Resolution, resolve to be registered by way of continuation in a jurisdiction outside: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Islands;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(b)such other jurisdiction in which it is, for the time being, incorporated, registered or existing.</w:t>
      </w:r>
    </w:p>
    <w:p>
      <w:pPr>
        <w:pStyle w:val="HorizontalLine"/>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517" name="Frame4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34.2To give effect to any resolution made pursuant to the preceding Article, the directors may cause the following: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application be made to the Registrar of Companies to deregister the Company in the Islands or in the other jurisdiction in which it is for the time being incorporated, registered or existing;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(b)all such further steps as they consider appropriate to be taken to effect the transfer by way of continuation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35Winding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Distribution of assets in specie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35.1If the Company is wound up, the Members may, subject to these Articles and any other sanction required by the Law, pass a Special Resolution allowing the liquidator to do either or both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divide in specie among the Members the whole or any part of the assets of the Company and, for that purpose, to value any assets and to determine how the division shall be carried out as between the Members or different classes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vest the whole or any part of the assets in trustees for the benefit of Members and those liable to contribute to the winding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obligation to accept liability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35.2No Member shall be compelled to accept any assets if an obligation attaches to them.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directors are authorised to present a winding up petition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35.3The directors have the authority to present a petition for the winding up of the Company to the Grand Court of the Cayman Islands on behalf of the Company without the sanction of a resolution passed at a general meeting.</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36Amendment of Memorandum and Articles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change name or amend Memorandum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36.1Subject to the Law, the Company may, by Special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(a)change its name;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(b)change the provisions of its Memorandum with respect to its objects, powers or any other matter specified in the Memorandum.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amend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36.2Subject to the Law and as provided in these Articles, the Company may, by Special Resolution, amend these Articles in whole or in part.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37Mergers and Consolidations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shall have the power to merge or consolidate with one or more constituent companies (as defined in the Law) upon such terms as the directors may determine and (to the extent required by the Law) with the approval of a Special Resolution.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38Business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38.1Notwithstanding any other provision of the Articles, this Article 38 shall apply during the period commencing upon the adoption of the Articles and terminating upon the first to occur of the consummation </w:t>
      </w:r>
    </w:p>
    <w:p>
      <w:pPr>
        <w:pStyle w:val="HorizontalLine"/>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518" name="Frame4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38.2Prior to the consummation of any Business Combination, the Company shall either: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(a)submit such Business Combination to its Members for approval;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(b)provide Members with the opportunity to have their Shares repurchased by means of a tender offer (a Tender Offer)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38.3If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38.4If,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38.5At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38.6Any Member holding Public Shares who is not a Founder, officer or director may, contemporaneously with any vote on a Business Combination, elect to have their Public Shares redeemed for cash (the IPO Redemption),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Redemption Price), provided that the Company shall not repurchase Public Shares in an amount that would cause the Company’s net tangible assets to be less than US$5,000,001.</w:t>
      </w:r>
    </w:p>
    <w:p>
      <w:pPr>
        <w:pStyle w:val="HorizontalLine"/>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519" name="Frame4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38.7The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38.8In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38.9In the event that any amendment is made to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would modify the substance or timing of the Company’s obligation to provide holders of Public Shares the right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(i)have their shares redeemed or repurchased in connection with a Business Combination pursuant to Articles 38.2(b) or 38.6;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(ii)redeem 100% of the Public Shares if the Company has not consummated an initial Business Combination within twenty-four months after the date of the closing of the IPO pursuant to Article 38.8;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respect to any other provision relating to the rights of holders of Public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each holder of Public Shares who is not a Founder, officer or director shall be provided with the opportunity to redeem their Public Shares upon the approval of any such amendment (an Amendment Redemption)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38.10Except for the withdrawal of interest to pay income taxes, if any, none of the funds held in the Trust Account shall be released from the Trust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the Company, until completion of any Business Combination;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the Members holding Public Shares, until the earliest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 repurchase of Shares by means of a Tender Offer pursuant to Article 38.2(b);</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 IPO Redemption pursuant to Article 38.6;</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(iii)a distribution of the Trust Account pursuant to Article 38.8; or</w:t>
      </w:r>
    </w:p>
    <w:p>
      <w:pPr>
        <w:pStyle w:val="HorizontalLine"/>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520" name="Frame5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(iv)an Amendment Redemption pursuant to Article 38.9.</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no other circumstance shall a holder of Public Shares have any right or interest of any kind in the Trust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38.11After the issue of Public Shares (including pursuant to the Over-allotment Option), and prior to the consummation of a Business Combination, the directors shall not issue additional Shares or any other securities that would entitle the holders thereof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(a)receive funds from the Trust Account;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(b)vote as a class with the Public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(i)on a Business Combination or on any other proposal presented to Members prior to or in connection with the completion of a Business Combination;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(ii)to approve an amendment to these Articles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(A)extend the time the Company has to consummate a Business Combination beyond 24 months from the closing of IPO;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(B)amend the foregoing provisions of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38.12The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38.13The uninterested Independent Directors shall approve any transaction or transactions between the Company and any of the following parties: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(a)any Member owning an interest in the voting power of the Company that gives such Member a significant influence over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director or officer of the Company and any affiliate or relative of such director or officer.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38.14Any payment made to members of the Audit Committee (if one exists) shall require the review and approval of the directors, with any director interested in such payment abstaining from such review and approval.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38.15A director may vote in respect of any Business Combination in which such director has a conflict of interest with respect to the evaluation of such Business Combination. Such director must disclose such interest or conflict to the other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38.16The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38.17The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38.18Any Business Combination must be approved by the a majority of the Independent Directors.</w:t>
      </w:r>
    </w:p>
    <w:p>
      <w:pPr>
        <w:pStyle w:val="HorizontalLine"/>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521" name="Frame5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39Certain Tax Filings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39.1Each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 </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40Business Opportunities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40.1In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40.2To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40.3Except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40.4To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522" name="Frame5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CERTIFICATE OF INCORPORATION OF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 Delaware corporation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lineRule="auto" w:line="288" w:before="0" w:after="180"/>
        <w:ind w:left="0" w:right="0" w:firstLine="360"/>
        <w:rPr/>
      </w:pPr>
      <w:r>
        <w:rPr>
          <w:rFonts w:ascii="Times New Roman;sans-serif" w:hAnsi="Times New Roman;sans-serif"/>
          <w:b w:val="false"/>
          <w:color w:val="000000"/>
          <w:sz w:val="20"/>
        </w:rPr>
        <w:t>The name of this corporation is 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address of the Company’s registered office in the State of Delaware is 1209 Orange Street, in the City of Wilmington, County of New Castle, Delaware 19801. The name of its registered agent at such address is The Corporation Trust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spacing w:lineRule="auto" w:line="288" w:before="0" w:after="180"/>
        <w:ind w:left="0" w:right="0" w:firstLine="360"/>
        <w:rPr/>
      </w:pPr>
      <w:r>
        <w:rPr>
          <w:rFonts w:ascii="Times New Roman;sans-serif" w:hAnsi="Times New Roman;sans-serif"/>
          <w:b w:val="false"/>
          <w:color w:val="000000"/>
          <w:sz w:val="20"/>
        </w:rPr>
        <w:t>The nature of the business or purposes to be conducted or promoted by the Company is to engage in any lawful act or activity for which corporations may be organized under the General Corporation Law of the State of Delaware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Each share of Common Stock outstanding as of the applicable record date shall entitle the holder thereof to one (1) vote on any matter submitted to a vote at a meeting of stockholders.</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The Preferred Stock may be issued from time to time in one or more series pursuant to a resolution or resolutions providing for such issue duly adopted by the Board of Directors of the Company (the “</w:t>
      </w:r>
      <w:r>
        <w:rPr>
          <w:rFonts w:ascii="Times New Roman;sans-serif" w:hAnsi="Times New Roman;sans-serif"/>
          <w:b/>
          <w:color w:val="000000"/>
          <w:sz w:val="20"/>
        </w:rPr>
        <w:t>Board of Directors</w:t>
      </w:r>
      <w:r>
        <w:rPr>
          <w:color w:val="000000"/>
        </w:rPr>
        <w:t>”</w:t>
      </w:r>
      <w:r>
        <w:rPr>
          <w:rFonts w:ascii="Times New Roman;sans-serif" w:hAnsi="Times New Roman;sans-serif"/>
          <w:b w:val="false"/>
          <w:color w:val="000000"/>
          <w:sz w:val="20"/>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pStyle w:val="HorizontalLine"/>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523" name="Frame5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pPr>
      <w:r>
        <w:rPr>
          <w:rFonts w:ascii="Times New Roman;sans-serif" w:hAnsi="Times New Roman;sans-serif"/>
          <w:b w:val="false"/>
          <w:color w:val="000000"/>
          <w:sz w:val="20"/>
        </w:rPr>
        <w:t>Section 5.</w:t>
      </w:r>
      <w:r>
        <w:rPr>
          <w:rFonts w:ascii="Times New Roman;sans-serif" w:hAnsi="Times New Roman;sans-serif"/>
          <w:b w:val="false"/>
          <w:color w:val="000000"/>
          <w:sz w:val="20"/>
        </w:rPr>
        <w:t>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Times New Roman;sans-serif" w:hAnsi="Times New Roman;sans-serif"/>
          <w:b/>
          <w:color w:val="000000"/>
          <w:sz w:val="20"/>
        </w:rPr>
        <w:t>Whole Board</w:t>
      </w:r>
      <w:r>
        <w:rPr>
          <w:color w:val="000000"/>
        </w:rPr>
        <w:t xml:space="preserve">” </w:t>
      </w:r>
      <w:r>
        <w:rPr>
          <w:rFonts w:ascii="Times New Roman;sans-serif" w:hAnsi="Times New Roman;sans-serif"/>
          <w:b w:val="false"/>
          <w:color w:val="000000"/>
          <w:sz w:val="20"/>
        </w:rPr>
        <w:t>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sans-serif" w:hAnsi="Times New Roman;sans-serif"/>
          <w:b/>
          <w:color w:val="000000"/>
          <w:sz w:val="20"/>
        </w:rPr>
        <w:t>Business Combination Agreement</w:t>
      </w:r>
      <w:r>
        <w:rPr>
          <w:color w:val="000000"/>
        </w:rPr>
        <w:t>”</w:t>
      </w:r>
      <w:r>
        <w:rPr>
          <w:rFonts w:ascii="Times New Roman;sans-serif" w:hAnsi="Times New Roman;sans-serif"/>
          <w:b w:val="false"/>
          <w:color w:val="000000"/>
          <w:sz w:val="20"/>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no decrease in the number of directors constituting the Board of Directors shall shorten the term of any incumbent director.</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 xml:space="preserve">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t>
      </w:r>
    </w:p>
    <w:p>
      <w:pPr>
        <w:pStyle w:val="HorizontalLine"/>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524" name="Frame5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The Company is to have perpetual existence.</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w:t>
      </w:r>
      <w:r>
        <w:rPr>
          <w:color w:val="000000"/>
        </w:rPr>
        <w:t xml:space="preserve"> </w:t>
      </w:r>
      <w:r>
        <w:rPr>
          <w:rFonts w:ascii="Times New Roman;sans-serif" w:hAnsi="Times New Roman;sans-serif"/>
          <w:b w:val="false"/>
          <w:color w:val="000000"/>
          <w:sz w:val="20"/>
        </w:rPr>
        <w:t>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The election of directors need not be by written ballot unless the Bylaws of the Company shall so provide.</w:t>
      </w:r>
    </w:p>
    <w:p>
      <w:pPr>
        <w:pStyle w:val="TextBody"/>
        <w:spacing w:lineRule="auto" w:line="288" w:before="0" w:after="180"/>
        <w:ind w:left="0" w:right="0" w:firstLine="360"/>
        <w:rPr/>
      </w:pPr>
      <w:r>
        <w:rPr>
          <w:rFonts w:ascii="Times New Roman;sans-serif" w:hAnsi="Times New Roman;sans-serif"/>
          <w:b w:val="false"/>
          <w:color w:val="000000"/>
          <w:sz w:val="20"/>
        </w:rPr>
        <w:t>Section 5.</w:t>
      </w:r>
      <w:r>
        <w:rPr>
          <w:rFonts w:ascii="Times New Roman;sans-serif" w:hAnsi="Times New Roman;sans-serif"/>
          <w:b w:val="false"/>
          <w:color w:val="000000"/>
          <w:sz w:val="20"/>
        </w:rPr>
        <w:t>No stockholder will be permitted to cumulate votes at any election of directors.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Advance notice of stockholder nominations for the election of directors and of business to be brought by stockholders before any meeting of the stockholders of the Company shall be given in the manner and to the extent provided in the Bylaws of the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 xml:space="preserve">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w:t>
      </w:r>
    </w:p>
    <w:p>
      <w:pPr>
        <w:pStyle w:val="HorizontalLine"/>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525" name="Frame5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before="0" w:after="180"/>
        <w:jc w:val="right"/>
        <w:rPr/>
      </w:pPr>
      <w:r>
        <w:rPr/>
      </w:r>
    </w:p>
    <w:p>
      <w:pPr>
        <w:pStyle w:val="TextBody"/>
        <w:spacing w:lineRule="auto" w:line="288" w:before="0" w:after="180"/>
        <w:rPr/>
      </w:pPr>
      <w:r>
        <w:rPr>
          <w:rFonts w:ascii="Times New Roman;sans-serif" w:hAnsi="Times New Roman;sans-serif"/>
          <w:b w:val="false"/>
          <w:color w:val="000000"/>
          <w:sz w:val="20"/>
        </w:rPr>
        <w:t>suit or proceeding, whether civil, criminal, administrative or investigative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XI</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XII</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name and mailing address of the incorporator are as follows:</w:t>
      </w:r>
    </w:p>
    <w:p>
      <w:pPr>
        <w:pStyle w:val="TextBody"/>
        <w:spacing w:lineRule="auto" w:line="288" w:before="0" w:after="18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Cindy Reilly</w:t>
      </w:r>
    </w:p>
    <w:p>
      <w:pPr>
        <w:pStyle w:val="TextBody"/>
        <w:spacing w:lineRule="auto" w:line="288" w:before="0" w:after="18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Kirkland &amp; Ellis LLP, 601 Lexington Avenue, New York, NY 10022</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certificate of incorporation shall be effective at __:__ _.m. Eastern Time on ___________ __, 2021. </w:t>
      </w:r>
    </w:p>
    <w:p>
      <w:pPr>
        <w:pStyle w:val="HorizontalLine"/>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526" name="Frame5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 the undersigned, as the sole incorporator of the Company, have signed this Certificate of Incorporation on this ____ day of _________ 2021.</w:t>
      </w:r>
    </w:p>
    <w:tbl>
      <w:tblPr>
        <w:tblW w:w="2249" w:type="dxa"/>
        <w:jc w:val="right"/>
        <w:tblInd w:w="0" w:type="dxa"/>
        <w:tblCellMar>
          <w:top w:w="28" w:type="dxa"/>
          <w:left w:w="28" w:type="dxa"/>
          <w:bottom w:w="28" w:type="dxa"/>
          <w:right w:w="28" w:type="dxa"/>
        </w:tblCellMar>
      </w:tblPr>
      <w:tblGrid>
        <w:gridCol w:w="167"/>
        <w:gridCol w:w="148"/>
        <w:gridCol w:w="149"/>
        <w:gridCol w:w="523"/>
        <w:gridCol w:w="523"/>
        <w:gridCol w:w="739"/>
      </w:tblGrid>
      <w:tr>
        <w:trPr/>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4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Cindy Reilly</w:t>
            </w:r>
          </w:p>
        </w:tc>
      </w:tr>
      <w:tr>
        <w:trPr/>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 Incorporator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527" name="Frame5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Annex D</w:t>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BYLAWS OF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(initially adopted on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260"/>
                <wp:effectExtent l="0" t="0" r="0" b="0"/>
                <wp:wrapNone/>
                <wp:docPr id="528" name="Frame5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158" w:type="dxa"/>
        <w:jc w:val="left"/>
        <w:tblInd w:w="0" w:type="dxa"/>
        <w:tblCellMar>
          <w:top w:w="28" w:type="dxa"/>
          <w:left w:w="28" w:type="dxa"/>
          <w:bottom w:w="28" w:type="dxa"/>
          <w:right w:w="28" w:type="dxa"/>
        </w:tblCellMar>
      </w:tblPr>
      <w:tblGrid>
        <w:gridCol w:w="392"/>
        <w:gridCol w:w="346"/>
        <w:gridCol w:w="346"/>
        <w:gridCol w:w="346"/>
        <w:gridCol w:w="346"/>
        <w:gridCol w:w="346"/>
        <w:gridCol w:w="2143"/>
        <w:gridCol w:w="2143"/>
        <w:gridCol w:w="2179"/>
        <w:gridCol w:w="167"/>
        <w:gridCol w:w="167"/>
        <w:gridCol w:w="237"/>
      </w:tblGrid>
      <w:tr>
        <w:trPr/>
        <w:tc>
          <w:tcPr>
            <w:tcW w:w="39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Page</w:t>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 - CORPORATE OFFICES</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OFFICE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OFFICES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 - MEETINGS OF STOCKHOLDERS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NOTICE PROCEDURES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STOCKHOLDERS’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ADJOURNED MEETING;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CONDUCT OF BUSINESS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ACTION BY WRITTEN CONSENT WITHOUT A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DATES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STOCKHOLDERS ENTITLED TO VOTE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INSPECTORS OF ELECTION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III -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ELECTION, QUALIFICATION AND TERM OF OFFICE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RESIGNATION AND VACANCIES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 MEETINGS BY TELEPHONE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MEETINGS;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 VOTING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ACTION BY WRITTEN CONSENT WITHOUT A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COMPENSATION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IV - 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COMMITTEES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MINUTES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MEETINGS AND ACTION OF 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 -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AND RESIGNATION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VACANCIES IN OFFICES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SECURITIES OF OTHER ENTITIES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AND DUTIES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HorizontalLine"/>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755015"/>
                <wp:effectExtent l="0" t="0" r="0" b="0"/>
                <wp:wrapNone/>
                <wp:docPr id="529" name="Frame509"/>
                <a:graphic xmlns:a="http://schemas.openxmlformats.org/drawingml/2006/main">
                  <a:graphicData uri="http://schemas.microsoft.com/office/word/2010/wordprocessingShape">
                    <wps:wsp>
                      <wps:cNvSpPr txBox="1"/>
                      <wps:spPr>
                        <a:xfrm>
                          <a:off x="0" y="0"/>
                          <a:ext cx="6480175" cy="75501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spacing w:before="0" w:after="180"/>
                              <w:ind w:left="0" w:right="0" w:firstLine="360"/>
                              <w:rPr/>
                            </w:pPr>
                            <w:r>
                              <w:rPr/>
                            </w:r>
                          </w:p>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spacing w:before="0" w:after="180"/>
                        <w:ind w:left="0" w:right="0" w:firstLine="360"/>
                        <w:rPr/>
                      </w:pPr>
                      <w:r>
                        <w:rPr/>
                      </w:r>
                    </w:p>
                    <w:p>
                      <w:pPr>
                        <w:pStyle w:val="TextBody"/>
                        <w:spacing w:before="0" w:after="180"/>
                        <w:ind w:left="0" w:right="0" w:firstLine="36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8040" w:type="dxa"/>
        <w:jc w:val="left"/>
        <w:tblInd w:w="0" w:type="dxa"/>
        <w:tblCellMar>
          <w:top w:w="28" w:type="dxa"/>
          <w:left w:w="28" w:type="dxa"/>
          <w:bottom w:w="28" w:type="dxa"/>
          <w:right w:w="28" w:type="dxa"/>
        </w:tblCellMar>
      </w:tblPr>
      <w:tblGrid>
        <w:gridCol w:w="244"/>
        <w:gridCol w:w="215"/>
        <w:gridCol w:w="215"/>
        <w:gridCol w:w="215"/>
        <w:gridCol w:w="215"/>
        <w:gridCol w:w="215"/>
        <w:gridCol w:w="2049"/>
        <w:gridCol w:w="2049"/>
        <w:gridCol w:w="2052"/>
        <w:gridCol w:w="167"/>
        <w:gridCol w:w="167"/>
        <w:gridCol w:w="237"/>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Page</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 - STOCK</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CERTIFICATES; PARTLY PAID SHARES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DESIGNATION ON CERTIFICATES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LOST CERTIFICATES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STOCK</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TRANSFER AGREEMENTS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STOCKHOLDERS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LOCK-UP</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 - MANNER OF GIVING NOTICE AND WAIVER</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STOCKHOLDERS’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TO STOCKHOLDERS SHARING AN ADDRESS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TO PERSON WITH WHOM COMMUNICATION IS UNLAWFUL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WAIVER OF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VIII - INDEMNIFICATION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of Directors and Officers in Third Party Proceedings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Successful Defense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of Others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Payment of Expenses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Payment of Expenses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Limitation on Indemnification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Claim</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Non-Exclusivity of Rights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Repeal or Modification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Definitions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 GENERAL MATTERS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OF CORPORATE CONTRACTS AND INSTRUMENTS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DEFINITIONS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FORUM SELECTION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 - AMENDMENTS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755015"/>
                <wp:effectExtent l="0" t="0" r="0" b="0"/>
                <wp:wrapNone/>
                <wp:docPr id="530" name="Frame510"/>
                <a:graphic xmlns:a="http://schemas.openxmlformats.org/drawingml/2006/main">
                  <a:graphicData uri="http://schemas.microsoft.com/office/word/2010/wordprocessingShape">
                    <wps:wsp>
                      <wps:cNvSpPr txBox="1"/>
                      <wps:spPr>
                        <a:xfrm>
                          <a:off x="0" y="0"/>
                          <a:ext cx="6480175" cy="75501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spacing w:before="0" w:after="180"/>
                              <w:ind w:left="0" w:right="0" w:firstLine="360"/>
                              <w:rPr/>
                            </w:pPr>
                            <w:r>
                              <w:rPr/>
                            </w:r>
                          </w:p>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spacing w:before="0" w:after="180"/>
                        <w:ind w:left="0" w:right="0" w:firstLine="360"/>
                        <w:rPr/>
                      </w:pPr>
                      <w:r>
                        <w:rPr/>
                      </w:r>
                    </w:p>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BYLAWS OF NAUTILUS BIOTECHNOLOGY, INC.</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 - CORPORATE OFFICES</w:t>
      </w:r>
    </w:p>
    <w:p>
      <w:pPr>
        <w:pStyle w:val="TextBody"/>
        <w:spacing w:lineRule="auto" w:line="288" w:before="0" w:after="180"/>
        <w:ind w:left="0" w:right="0" w:firstLine="720"/>
        <w:rPr/>
      </w:pPr>
      <w:r>
        <w:rPr>
          <w:rFonts w:ascii="Times New Roman;sans-serif" w:hAnsi="Times New Roman;sans-serif"/>
          <w:b w:val="false"/>
          <w:color w:val="000000"/>
          <w:sz w:val="20"/>
        </w:rPr>
        <w:t>1.1.</w:t>
      </w:r>
      <w:r>
        <w:rPr>
          <w:rFonts w:ascii="Times New Roman;sans-serif" w:hAnsi="Times New Roman;sans-serif"/>
          <w:b w:val="false"/>
          <w:color w:val="000000"/>
          <w:sz w:val="20"/>
        </w:rPr>
        <w:t>REGISTERED OFFICE</w:t>
      </w:r>
    </w:p>
    <w:p>
      <w:pPr>
        <w:pStyle w:val="TextBody"/>
        <w:spacing w:lineRule="auto" w:line="288" w:before="0" w:after="180"/>
        <w:ind w:left="0" w:right="0" w:firstLine="720"/>
        <w:jc w:val="both"/>
        <w:rPr/>
      </w:pPr>
      <w:r>
        <w:rPr>
          <w:rFonts w:ascii="Times New Roman;sans-serif" w:hAnsi="Times New Roman;sans-serif"/>
          <w:b w:val="false"/>
          <w:color w:val="000000"/>
          <w:sz w:val="20"/>
        </w:rPr>
        <w:t>The registered office of 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shall be fixed in the Company’s certificate of incorporation, as the same may be amended from time to time.</w:t>
      </w:r>
    </w:p>
    <w:p>
      <w:pPr>
        <w:pStyle w:val="TextBody"/>
        <w:spacing w:lineRule="auto" w:line="288" w:before="0" w:after="180"/>
        <w:ind w:left="0" w:right="0" w:firstLine="720"/>
        <w:rPr/>
      </w:pPr>
      <w:r>
        <w:rPr>
          <w:rFonts w:ascii="Times New Roman;sans-serif" w:hAnsi="Times New Roman;sans-serif"/>
          <w:b w:val="false"/>
          <w:color w:val="000000"/>
          <w:sz w:val="20"/>
        </w:rPr>
        <w:t>1.2.</w:t>
      </w:r>
      <w:r>
        <w:rPr>
          <w:rFonts w:ascii="Times New Roman;sans-serif" w:hAnsi="Times New Roman;sans-serif"/>
          <w:b w:val="false"/>
          <w:color w:val="000000"/>
          <w:sz w:val="20"/>
        </w:rPr>
        <w:t>OTHER OFFICES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establish other offices.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 - MEETINGS OF STOCKHOLDERS</w:t>
      </w:r>
    </w:p>
    <w:p>
      <w:pPr>
        <w:pStyle w:val="TextBody"/>
        <w:spacing w:lineRule="auto" w:line="288" w:before="0" w:after="180"/>
        <w:ind w:left="0" w:right="0" w:firstLine="720"/>
        <w:rPr/>
      </w:pPr>
      <w:r>
        <w:rPr>
          <w:rFonts w:ascii="Times New Roman;sans-serif" w:hAnsi="Times New Roman;sans-serif"/>
          <w:b w:val="false"/>
          <w:color w:val="000000"/>
          <w:sz w:val="20"/>
        </w:rPr>
        <w:t>2.1.</w:t>
      </w:r>
      <w:r>
        <w:rPr>
          <w:rFonts w:ascii="Times New Roman;sans-serif" w:hAnsi="Times New Roman;sans-serif"/>
          <w:b w:val="false"/>
          <w:color w:val="000000"/>
          <w:sz w:val="20"/>
        </w:rPr>
        <w:t>PLACE OF MEETINGS</w:t>
      </w:r>
    </w:p>
    <w:p>
      <w:pPr>
        <w:pStyle w:val="TextBody"/>
        <w:spacing w:lineRule="auto" w:line="288" w:before="0" w:after="180"/>
        <w:ind w:left="0" w:right="0" w:firstLine="720"/>
        <w:jc w:val="both"/>
        <w:rPr/>
      </w:pPr>
      <w:r>
        <w:rPr>
          <w:rFonts w:ascii="Times New Roman;sans-serif" w:hAnsi="Times New Roman;sans-serif"/>
          <w:b w:val="false"/>
          <w:color w:val="000000"/>
          <w:sz w:val="20"/>
        </w:rPr>
        <w:t>Meetings of stockholders shall be held at a place, if any, within or outside the State of Delaware, determined by the board of directors of the Company (the “</w:t>
      </w:r>
      <w:r>
        <w:rPr>
          <w:rFonts w:ascii="Times New Roman;sans-serif" w:hAnsi="Times New Roman;sans-serif"/>
          <w:b/>
          <w:color w:val="000000"/>
          <w:sz w:val="20"/>
        </w:rPr>
        <w:t>Board of Directors</w:t>
      </w:r>
      <w:r>
        <w:rPr>
          <w:color w:val="000000"/>
        </w:rPr>
        <w:t>”</w:t>
      </w:r>
      <w:r>
        <w:rPr>
          <w:rFonts w:ascii="Times New Roman;sans-serif" w:hAnsi="Times New Roman;sans-serif"/>
          <w:b w:val="false"/>
          <w:color w:val="000000"/>
          <w:sz w:val="20"/>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 In the absence of any such designation or determination, stockholders’ meetings shall be held at the Company’s principal executive office.</w:t>
      </w:r>
    </w:p>
    <w:p>
      <w:pPr>
        <w:pStyle w:val="TextBody"/>
        <w:spacing w:lineRule="auto" w:line="288" w:before="0" w:after="180"/>
        <w:ind w:left="0" w:right="0" w:firstLine="720"/>
        <w:rPr/>
      </w:pPr>
      <w:r>
        <w:rPr>
          <w:rFonts w:ascii="Times New Roman;sans-serif" w:hAnsi="Times New Roman;sans-serif"/>
          <w:b w:val="false"/>
          <w:color w:val="000000"/>
          <w:sz w:val="20"/>
        </w:rPr>
        <w:t>2.2.</w:t>
      </w:r>
      <w:r>
        <w:rPr>
          <w:rFonts w:ascii="Times New Roman;sans-serif" w:hAnsi="Times New Roman;sans-serif"/>
          <w:b w:val="false"/>
          <w:color w:val="000000"/>
          <w:sz w:val="20"/>
        </w:rPr>
        <w:t>ANNUAL MEETING</w:t>
      </w:r>
    </w:p>
    <w:p>
      <w:pPr>
        <w:pStyle w:val="TextBody"/>
        <w:spacing w:lineRule="auto" w:line="288" w:before="0" w:after="180"/>
        <w:ind w:left="0" w:right="0" w:firstLine="720"/>
        <w:jc w:val="both"/>
        <w:rPr/>
      </w:pPr>
      <w:r>
        <w:rPr>
          <w:rFonts w:ascii="Times New Roman;sans-serif" w:hAnsi="Times New Roman;sans-serif"/>
          <w:b w:val="false"/>
          <w:color w:val="000000"/>
          <w:sz w:val="20"/>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sans-serif" w:hAnsi="Times New Roman;sans-serif"/>
          <w:b/>
          <w:color w:val="000000"/>
          <w:sz w:val="20"/>
        </w:rPr>
        <w:t>Whole</w:t>
      </w:r>
      <w:r>
        <w:rPr>
          <w:color w:val="000000"/>
        </w:rPr>
        <w:t xml:space="preserve"> </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shall mean the total number of authorized directorships whether or not there exist any vacancies or other unfilled seats in previously authorized directorships.</w:t>
      </w:r>
    </w:p>
    <w:p>
      <w:pPr>
        <w:pStyle w:val="TextBody"/>
        <w:spacing w:lineRule="auto" w:line="288" w:before="0" w:after="180"/>
        <w:ind w:left="0" w:right="0" w:firstLine="720"/>
        <w:rPr/>
      </w:pPr>
      <w:r>
        <w:rPr>
          <w:rFonts w:ascii="Times New Roman;sans-serif" w:hAnsi="Times New Roman;sans-serif"/>
          <w:b w:val="false"/>
          <w:color w:val="000000"/>
          <w:sz w:val="20"/>
        </w:rPr>
        <w:t>2.3.</w:t>
      </w:r>
      <w:r>
        <w:rPr>
          <w:rFonts w:ascii="Times New Roman;sans-serif" w:hAnsi="Times New Roman;sans-serif"/>
          <w:b w:val="false"/>
          <w:color w:val="000000"/>
          <w:sz w:val="20"/>
        </w:rPr>
        <w:t>SPECIAL MEETING</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pStyle w:val="TextBody"/>
        <w:spacing w:lineRule="auto" w:line="288" w:before="0" w:after="180"/>
        <w:ind w:left="0" w:right="0" w:firstLine="720"/>
        <w:rPr/>
      </w:pPr>
      <w:r>
        <w:rPr>
          <w:rFonts w:ascii="Times New Roman;sans-serif" w:hAnsi="Times New Roman;sans-serif"/>
          <w:b w:val="false"/>
          <w:color w:val="000000"/>
          <w:sz w:val="20"/>
        </w:rPr>
        <w:t>2.4.</w:t>
      </w:r>
      <w:r>
        <w:rPr>
          <w:rFonts w:ascii="Times New Roman;sans-serif" w:hAnsi="Times New Roman;sans-serif"/>
          <w:b w:val="false"/>
          <w:color w:val="000000"/>
          <w:sz w:val="20"/>
        </w:rPr>
        <w:t>ADVANCE NOTICE PROCEDURES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i/>
          <w:color w:val="000000"/>
          <w:sz w:val="20"/>
        </w:rPr>
        <w:t>Annual Meetings of Stockholders.</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w:t>
      </w:r>
    </w:p>
    <w:p>
      <w:pPr>
        <w:pStyle w:val="HorizontalLine"/>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531" name="Frame5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sans-serif" w:hAnsi="Times New Roman;sans-serif"/>
          <w:b/>
          <w:color w:val="000000"/>
          <w:sz w:val="20"/>
        </w:rPr>
        <w:t>Public announcement</w:t>
      </w:r>
      <w:r>
        <w:rPr>
          <w:color w:val="000000"/>
        </w:rPr>
        <w:t xml:space="preserve">” </w:t>
      </w:r>
      <w:r>
        <w:rPr>
          <w:rFonts w:ascii="Times New Roman;sans-serif" w:hAnsi="Times New Roman;sans-serif"/>
          <w:b w:val="false"/>
          <w:color w:val="000000"/>
          <w:sz w:val="20"/>
        </w:rPr>
        <w:t>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Times New Roman;sans-serif" w:hAnsi="Times New Roman;sans-serif"/>
          <w:b/>
          <w:color w:val="000000"/>
          <w:sz w:val="20"/>
        </w:rPr>
        <w:t>1934 Act</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A stockholder’s notice to the secretary must set forth:</w:t>
      </w:r>
    </w:p>
    <w:p>
      <w:pPr>
        <w:pStyle w:val="TextBody"/>
        <w:spacing w:lineRule="auto" w:line="288" w:before="0" w:after="180"/>
        <w:ind w:left="0" w:right="0" w:firstLine="2880"/>
        <w:rPr/>
      </w:pPr>
      <w:r>
        <w:rPr>
          <w:rFonts w:ascii="Times New Roman;sans-serif" w:hAnsi="Times New Roman;sans-serif"/>
          <w:b w:val="false"/>
          <w:color w:val="000000"/>
          <w:sz w:val="20"/>
        </w:rPr>
        <w:t>(1)</w:t>
      </w:r>
      <w:r>
        <w:rPr>
          <w:rFonts w:ascii="Times New Roman;sans-serif" w:hAnsi="Times New Roman;sans-serif"/>
          <w:b w:val="false"/>
          <w:color w:val="000000"/>
          <w:sz w:val="20"/>
        </w:rPr>
        <w:t>as to each person whom the stockholder proposes to nominate for election as a director:</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pStyle w:val="TextBody"/>
        <w:spacing w:lineRule="auto" w:line="288" w:before="0" w:after="180"/>
        <w:ind w:left="0" w:right="0" w:firstLine="3600"/>
        <w:rPr/>
      </w:pPr>
      <w:r>
        <w:rPr>
          <w:rFonts w:ascii="Times New Roman;sans-serif" w:hAnsi="Times New Roman;sans-serif"/>
          <w:b w:val="false"/>
          <w:color w:val="000000"/>
          <w:sz w:val="20"/>
        </w:rPr>
        <w:t>(B)</w:t>
      </w:r>
      <w:r>
        <w:rPr>
          <w:rFonts w:ascii="Times New Roman;sans-serif" w:hAnsi="Times New Roman;sans-serif"/>
          <w:b w:val="false"/>
          <w:color w:val="000000"/>
          <w:sz w:val="20"/>
        </w:rPr>
        <w:t>such person’s written consent to being named in such stockholder’s proxy statement as a nominee of such stockholder and to serving as a director of the Company if elected;</w:t>
      </w:r>
    </w:p>
    <w:p>
      <w:pPr>
        <w:pStyle w:val="TextBody"/>
        <w:spacing w:lineRule="auto" w:line="288" w:before="0" w:after="180"/>
        <w:ind w:left="0" w:right="0" w:firstLine="3600"/>
        <w:rPr/>
      </w:pPr>
      <w:r>
        <w:rPr>
          <w:rFonts w:ascii="Times New Roman;sans-serif" w:hAnsi="Times New Roman;sans-serif"/>
          <w:b w:val="false"/>
          <w:color w:val="000000"/>
          <w:sz w:val="20"/>
        </w:rPr>
        <w:t>(C)</w:t>
      </w:r>
      <w:r>
        <w:rPr>
          <w:rFonts w:ascii="Times New Roman;sans-serif" w:hAnsi="Times New Roman;sans-serif"/>
          <w:b w:val="false"/>
          <w:color w:val="000000"/>
          <w:sz w:val="20"/>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sans-serif" w:hAnsi="Times New Roman;sans-serif"/>
          <w:b/>
          <w:color w:val="000000"/>
          <w:sz w:val="20"/>
        </w:rPr>
        <w:t>Third-Party Compensation Arrangement</w:t>
      </w:r>
      <w:r>
        <w:rPr>
          <w:color w:val="000000"/>
        </w:rPr>
        <w:t>”</w:t>
      </w:r>
      <w:r>
        <w:rPr>
          <w:rFonts w:ascii="Times New Roman;sans-serif" w:hAnsi="Times New Roman;sans-serif"/>
          <w:b w:val="false"/>
          <w:color w:val="000000"/>
          <w:sz w:val="20"/>
        </w:rPr>
        <w:t>); and</w:t>
      </w:r>
    </w:p>
    <w:p>
      <w:pPr>
        <w:pStyle w:val="HorizontalLine"/>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532" name="Frame5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0"/>
        <w:rPr/>
      </w:pPr>
      <w:r>
        <w:rPr>
          <w:rFonts w:ascii="Times New Roman;sans-serif" w:hAnsi="Times New Roman;sans-serif"/>
          <w:b w:val="false"/>
          <w:color w:val="000000"/>
          <w:sz w:val="20"/>
        </w:rPr>
        <w:t>(D)</w:t>
      </w:r>
      <w:r>
        <w:rPr>
          <w:rFonts w:ascii="Times New Roman;sans-serif" w:hAnsi="Times New Roman;sans-serif"/>
          <w:b w:val="false"/>
          <w:color w:val="000000"/>
          <w:sz w:val="20"/>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pStyle w:val="TextBody"/>
        <w:spacing w:lineRule="auto" w:line="288" w:before="0" w:after="180"/>
        <w:ind w:left="0" w:right="0" w:firstLine="28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as to any other business that the stockholder proposes to bring before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brief description of the business desired to be brought before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text of the proposal or business (including the text of any resolutions proposed for consideration and, if applicable, the text of any proposed amendment to these bylaws);</w:t>
      </w:r>
    </w:p>
    <w:p>
      <w:pPr>
        <w:pStyle w:val="TextBody"/>
        <w:spacing w:lineRule="auto" w:line="288" w:before="0" w:after="180"/>
        <w:ind w:left="0" w:right="0" w:firstLine="360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reasons for conducting such business at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any material interest in such business of such stockholder giving the notice and the beneficial owner, if any, on whose behalf the proposal is made, and their respective affiliates and associates, or others acting in concert with them; and</w:t>
      </w:r>
    </w:p>
    <w:p>
      <w:pPr>
        <w:pStyle w:val="TextBody"/>
        <w:spacing w:lineRule="auto" w:line="288" w:before="0" w:after="180"/>
        <w:ind w:left="0" w:right="0" w:firstLine="360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pStyle w:val="TextBody"/>
        <w:spacing w:lineRule="auto" w:line="288" w:before="0" w:after="180"/>
        <w:ind w:left="0" w:right="0" w:firstLine="28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as to the stockholder giving the notice and the beneficial owner, if any, on whose behalf the nomination or proposal is made:</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name and address of such stockholder (as they appear on the Company’s books), of such beneficial owner and of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pStyle w:val="TextBody"/>
        <w:spacing w:lineRule="auto" w:line="288" w:before="0" w:after="180"/>
        <w:ind w:left="0" w:right="0" w:firstLine="360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sans-serif" w:hAnsi="Times New Roman;sans-serif"/>
          <w:b/>
          <w:color w:val="000000"/>
          <w:sz w:val="20"/>
        </w:rPr>
        <w:t>Derivative Instrument</w:t>
      </w:r>
      <w:r>
        <w:rPr>
          <w:color w:val="000000"/>
        </w:rPr>
        <w:t>”</w:t>
      </w:r>
      <w:r>
        <w:rPr>
          <w:rFonts w:ascii="Times New Roman;sans-serif" w:hAnsi="Times New Roman;sans-serif"/>
          <w:b w:val="false"/>
          <w:color w:val="000000"/>
          <w:sz w:val="20"/>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pStyle w:val="TextBody"/>
        <w:spacing w:lineRule="auto" w:line="288" w:before="0" w:after="180"/>
        <w:ind w:left="0" w:right="0" w:firstLine="360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pStyle w:val="HorizontalLine"/>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533" name="Frame5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pStyle w:val="TextBody"/>
        <w:spacing w:lineRule="auto" w:line="288" w:before="0" w:after="180"/>
        <w:ind w:left="0" w:right="0" w:firstLine="360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pStyle w:val="TextBody"/>
        <w:spacing w:lineRule="auto" w:line="288" w:before="0" w:after="180"/>
        <w:ind w:left="0" w:right="0" w:firstLine="360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any significant equity interests or any Derivative Instruments in any principal competitor of the Company that are held by such stockholder, such beneficial owner or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pStyle w:val="TextBody"/>
        <w:spacing w:lineRule="auto" w:line="288" w:before="0" w:after="180"/>
        <w:ind w:left="0" w:right="0" w:firstLine="360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pStyle w:val="TextBody"/>
        <w:spacing w:lineRule="auto" w:line="288" w:before="0" w:after="180"/>
        <w:ind w:left="0" w:right="0" w:firstLine="360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pStyle w:val="TextBody"/>
        <w:spacing w:lineRule="auto" w:line="288" w:before="0" w:after="180"/>
        <w:ind w:left="0" w:right="0" w:firstLine="360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such other information relating to any proposed item of business as the Company may reasonably require to determine whether such proposed item of business is a proper matter for stockholder action.</w:t>
      </w:r>
    </w:p>
    <w:p>
      <w:pPr>
        <w:pStyle w:val="TextBody"/>
        <w:spacing w:lineRule="auto" w:line="288" w:before="0" w:after="18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 xml:space="preserve">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w:t>
      </w:r>
    </w:p>
    <w:p>
      <w:pPr>
        <w:pStyle w:val="HorizontalLine"/>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534" name="Frame5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 or additional information shall result in the nomination or proposal no longer being eligible for consideration at the meeting.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Special Meetings of Stockholders.</w:t>
      </w:r>
      <w:r>
        <w:rPr>
          <w:color w:val="000000"/>
        </w:rPr>
        <w:t xml:space="preserve"> </w:t>
      </w:r>
      <w:r>
        <w:rPr>
          <w:rFonts w:ascii="Times New Roman;sans-serif" w:hAnsi="Times New Roman;sans-serif"/>
          <w:b w:val="false"/>
          <w:color w:val="000000"/>
          <w:sz w:val="20"/>
        </w:rPr>
        <w:t>Except to the extent required by the DGCL, and subject to Section 2.3(a), special 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i/>
          <w:color w:val="000000"/>
          <w:sz w:val="20"/>
        </w:rPr>
        <w:t>Other Requirements.</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pStyle w:val="TextBody"/>
        <w:spacing w:lineRule="auto" w:line="288" w:before="0" w:after="180"/>
        <w:ind w:left="0" w:right="0" w:firstLine="28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pStyle w:val="TextBody"/>
        <w:spacing w:lineRule="auto" w:line="288" w:before="0" w:after="180"/>
        <w:ind w:left="0" w:right="0" w:firstLine="28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pStyle w:val="TextBody"/>
        <w:spacing w:lineRule="auto" w:line="288" w:before="0" w:after="180"/>
        <w:ind w:left="0" w:right="0" w:firstLine="28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a written representation and undertaking that, unless previously disclosed to the Company, such nominee is not, and will not become, a party to any Third-Party Compensation Arrangement;</w:t>
      </w:r>
    </w:p>
    <w:p>
      <w:pPr>
        <w:pStyle w:val="TextBody"/>
        <w:spacing w:lineRule="auto" w:line="288" w:before="0" w:after="180"/>
        <w:ind w:left="0" w:right="0" w:firstLine="28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pStyle w:val="TextBody"/>
        <w:spacing w:lineRule="auto" w:line="288" w:before="0" w:after="180"/>
        <w:ind w:left="0" w:right="0" w:firstLine="28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a written representation and undertaking that such nominee, if elected, intends to serve a full term on the Board of Directors.</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pStyle w:val="TextBody"/>
        <w:spacing w:lineRule="auto" w:line="288" w:before="0" w:after="180"/>
        <w:ind w:left="0" w:right="0" w:firstLine="216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 xml:space="preserve">No person will be eligible to be nominated by a stockholder for election as a director of the Company unless nominated in accordance with the procedures set forth in this Section 2.4. No </w:t>
      </w:r>
    </w:p>
    <w:p>
      <w:pPr>
        <w:pStyle w:val="HorizontalLine"/>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535" name="Frame5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business proposed by a stockholder will be conducted at a stockholder meeting except in accordance with this Section 2.4.</w:t>
      </w:r>
    </w:p>
    <w:p>
      <w:pPr>
        <w:pStyle w:val="TextBody"/>
        <w:spacing w:lineRule="auto" w:line="288" w:before="0" w:after="18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pStyle w:val="TextBody"/>
        <w:spacing w:lineRule="auto" w:line="288" w:before="0" w:after="180"/>
        <w:ind w:left="0" w:right="0" w:firstLine="216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pStyle w:val="TextBody"/>
        <w:spacing w:lineRule="auto" w:line="288" w:before="0" w:after="180"/>
        <w:ind w:left="0" w:right="0" w:firstLine="216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pStyle w:val="TextBody"/>
        <w:spacing w:lineRule="auto" w:line="288" w:before="0" w:after="180"/>
        <w:ind w:left="0" w:right="0" w:firstLine="2160"/>
        <w:jc w:val="both"/>
        <w:rPr/>
      </w:pPr>
      <w:r>
        <w:rPr>
          <w:rFonts w:ascii="Times New Roman;sans-serif" w:hAnsi="Times New Roman;sans-serif"/>
          <w:b w:val="false"/>
          <w:color w:val="000000"/>
          <w:sz w:val="20"/>
        </w:rPr>
        <w:t>(vii)</w:t>
      </w:r>
      <w:r>
        <w:rPr>
          <w:rFonts w:ascii="Times New Roman;sans-serif" w:hAnsi="Times New Roman;sans-serif"/>
          <w:b w:val="false"/>
          <w:color w:val="000000"/>
          <w:sz w:val="20"/>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noBreakHyphen/>
        <w:t>8 under the 1934 Act; and (2) such stockholder’s proposal has been included in a proxy statement that has been prepared by the Company to solicit proxies for the meeting of stockholders. Subject to Rule 14a</w:t>
        <w:noBreakHyphen/>
        <w:t xml:space="preserve">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 </w:t>
      </w:r>
    </w:p>
    <w:p>
      <w:pPr>
        <w:pStyle w:val="TextBody"/>
        <w:spacing w:lineRule="auto" w:line="288" w:before="0" w:after="180"/>
        <w:ind w:left="0" w:right="0" w:firstLine="720"/>
        <w:rPr/>
      </w:pPr>
      <w:r>
        <w:rPr>
          <w:rFonts w:ascii="Times New Roman;sans-serif" w:hAnsi="Times New Roman;sans-serif"/>
          <w:b w:val="false"/>
          <w:color w:val="000000"/>
          <w:sz w:val="20"/>
        </w:rPr>
        <w:t>2.5</w:t>
      </w:r>
      <w:r>
        <w:rPr>
          <w:rFonts w:ascii="Times New Roman;sans-serif" w:hAnsi="Times New Roman;sans-serif"/>
          <w:b w:val="false"/>
          <w:color w:val="000000"/>
          <w:sz w:val="20"/>
        </w:rPr>
        <w:t>NOTICE OF STOCKHOLDERS’ MEETINGS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pStyle w:val="TextBody"/>
        <w:spacing w:lineRule="auto" w:line="288" w:before="0" w:after="180"/>
        <w:ind w:left="0" w:right="0" w:firstLine="720"/>
        <w:rPr/>
      </w:pPr>
      <w:r>
        <w:rPr>
          <w:rFonts w:ascii="Times New Roman;sans-serif" w:hAnsi="Times New Roman;sans-serif"/>
          <w:b w:val="false"/>
          <w:color w:val="000000"/>
          <w:sz w:val="20"/>
        </w:rPr>
        <w:t>2.6</w:t>
      </w:r>
      <w:r>
        <w:rPr>
          <w:rFonts w:ascii="Times New Roman;sans-serif" w:hAnsi="Times New Roman;sans-serif"/>
          <w:b w:val="false"/>
          <w:color w:val="000000"/>
          <w:sz w:val="20"/>
        </w:rPr>
        <w:t>QUORUM</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pStyle w:val="HorizontalLine"/>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536" name="Frame5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pStyle w:val="TextBody"/>
        <w:spacing w:lineRule="auto" w:line="288" w:before="0" w:after="180"/>
        <w:ind w:left="0" w:right="0" w:firstLine="720"/>
        <w:rPr/>
      </w:pPr>
      <w:r>
        <w:rPr>
          <w:rFonts w:ascii="Times New Roman;sans-serif" w:hAnsi="Times New Roman;sans-serif"/>
          <w:b w:val="false"/>
          <w:color w:val="000000"/>
          <w:sz w:val="20"/>
        </w:rPr>
        <w:t>2.7</w:t>
      </w:r>
      <w:r>
        <w:rPr>
          <w:rFonts w:ascii="Times New Roman;sans-serif" w:hAnsi="Times New Roman;sans-serif"/>
          <w:b w:val="false"/>
          <w:color w:val="000000"/>
          <w:sz w:val="20"/>
        </w:rPr>
        <w:t>ADJOURNED MEETING;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pStyle w:val="TextBody"/>
        <w:spacing w:lineRule="auto" w:line="288" w:before="0" w:after="180"/>
        <w:ind w:left="0" w:right="0" w:firstLine="720"/>
        <w:rPr/>
      </w:pPr>
      <w:r>
        <w:rPr>
          <w:rFonts w:ascii="Times New Roman;sans-serif" w:hAnsi="Times New Roman;sans-serif"/>
          <w:b w:val="false"/>
          <w:color w:val="000000"/>
          <w:sz w:val="20"/>
        </w:rPr>
        <w:t>2.8</w:t>
      </w:r>
      <w:r>
        <w:rPr>
          <w:rFonts w:ascii="Times New Roman;sans-serif" w:hAnsi="Times New Roman;sans-serif"/>
          <w:b w:val="false"/>
          <w:color w:val="000000"/>
          <w:sz w:val="20"/>
        </w:rPr>
        <w:t>CONDUCT OF BUSINESS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pStyle w:val="TextBody"/>
        <w:spacing w:lineRule="auto" w:line="288" w:before="0" w:after="180"/>
        <w:ind w:left="0" w:right="0" w:firstLine="720"/>
        <w:rPr/>
      </w:pPr>
      <w:r>
        <w:rPr>
          <w:rFonts w:ascii="Times New Roman;sans-serif" w:hAnsi="Times New Roman;sans-serif"/>
          <w:b w:val="false"/>
          <w:color w:val="000000"/>
          <w:sz w:val="20"/>
        </w:rPr>
        <w:t>2.9</w:t>
      </w:r>
      <w:r>
        <w:rPr>
          <w:rFonts w:ascii="Times New Roman;sans-serif" w:hAnsi="Times New Roman;sans-serif"/>
          <w:b w:val="false"/>
          <w:color w:val="000000"/>
          <w:sz w:val="20"/>
        </w:rPr>
        <w:t>VOTING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may be otherwise provided in the certificate of incorporation or these bylaws, each stockholder shall be entitled to one vote for each share of capital stock held by such stockholder.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pStyle w:val="HorizontalLine"/>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537" name="Frame5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2.10</w:t>
      </w:r>
      <w:r>
        <w:rPr>
          <w:rFonts w:ascii="Times New Roman;sans-serif" w:hAnsi="Times New Roman;sans-serif"/>
          <w:b w:val="false"/>
          <w:color w:val="000000"/>
          <w:sz w:val="20"/>
        </w:rPr>
        <w:t>STOCKHOLDER ACTION BY WRITTEN CONSENT WITHOUT A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spacing w:lineRule="auto" w:line="288" w:before="0" w:after="180"/>
        <w:ind w:left="0" w:right="0" w:firstLine="720"/>
        <w:rPr/>
      </w:pPr>
      <w:r>
        <w:rPr>
          <w:rFonts w:ascii="Times New Roman;sans-serif" w:hAnsi="Times New Roman;sans-serif"/>
          <w:b w:val="false"/>
          <w:color w:val="000000"/>
          <w:sz w:val="20"/>
        </w:rPr>
        <w:t>2.11</w:t>
      </w:r>
      <w:r>
        <w:rPr>
          <w:rFonts w:ascii="Times New Roman;sans-serif" w:hAnsi="Times New Roman;sans-serif"/>
          <w:b w:val="false"/>
          <w:color w:val="000000"/>
          <w:sz w:val="20"/>
        </w:rPr>
        <w:t>RECORD DATES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spacing w:lineRule="auto" w:line="288" w:before="0" w:after="180"/>
        <w:ind w:left="0" w:right="0" w:firstLine="720"/>
        <w:rPr/>
      </w:pPr>
      <w:r>
        <w:rPr>
          <w:rFonts w:ascii="Times New Roman;sans-serif" w:hAnsi="Times New Roman;sans-serif"/>
          <w:b w:val="false"/>
          <w:color w:val="000000"/>
          <w:sz w:val="20"/>
        </w:rPr>
        <w:t>2.12</w:t>
      </w:r>
      <w:r>
        <w:rPr>
          <w:rFonts w:ascii="Times New Roman;sans-serif" w:hAnsi="Times New Roman;sans-serif"/>
          <w:b w:val="false"/>
          <w:color w:val="000000"/>
          <w:sz w:val="20"/>
        </w:rPr>
        <w:t>PROXIES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pStyle w:val="TextBody"/>
        <w:spacing w:lineRule="auto" w:line="288" w:before="0" w:after="180"/>
        <w:ind w:left="0" w:right="0" w:firstLine="720"/>
        <w:rPr/>
      </w:pPr>
      <w:r>
        <w:rPr>
          <w:rFonts w:ascii="Times New Roman;sans-serif" w:hAnsi="Times New Roman;sans-serif"/>
          <w:b w:val="false"/>
          <w:color w:val="000000"/>
          <w:sz w:val="20"/>
        </w:rPr>
        <w:t>2.13</w:t>
      </w:r>
      <w:r>
        <w:rPr>
          <w:rFonts w:ascii="Times New Roman;sans-serif" w:hAnsi="Times New Roman;sans-serif"/>
          <w:b w:val="false"/>
          <w:color w:val="000000"/>
          <w:sz w:val="20"/>
        </w:rPr>
        <w:t>LIST OF STOCKHOLDERS ENTITLED TO VOTE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w:t>
      </w:r>
    </w:p>
    <w:p>
      <w:pPr>
        <w:pStyle w:val="HorizontalLine"/>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538" name="Frame5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pStyle w:val="TextBody"/>
        <w:spacing w:lineRule="auto" w:line="288" w:before="0" w:after="180"/>
        <w:ind w:left="0" w:right="0" w:firstLine="720"/>
        <w:rPr/>
      </w:pPr>
      <w:r>
        <w:rPr>
          <w:rFonts w:ascii="Times New Roman;sans-serif" w:hAnsi="Times New Roman;sans-serif"/>
          <w:b w:val="false"/>
          <w:color w:val="000000"/>
          <w:sz w:val="20"/>
        </w:rPr>
        <w:t>2.14</w:t>
      </w:r>
      <w:r>
        <w:rPr>
          <w:rFonts w:ascii="Times New Roman;sans-serif" w:hAnsi="Times New Roman;sans-serif"/>
          <w:b w:val="false"/>
          <w:color w:val="000000"/>
          <w:sz w:val="20"/>
        </w:rPr>
        <w:t>INSPECTORS OF ELECTION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meeting of stockholders, the Company shall appoint an inspector or inspectors of election to act at the meeting or its adjournment. The Company may designate one or more persons as alternate inspectors to replace any inspector who fails to act.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Such inspectors shall:</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ascertain the number of shares outstanding and the voting power of each;</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determine the shares represented at the meeting and the validity of proxies and ballots;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count all votes and ballots;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determine and retain for a reasonable period a record of the disposition of any challenges made to any determination by the inspectors; and</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certify their determination of the number of shares represented at the meeting, and their count of all votes and ballots.</w:t>
      </w:r>
    </w:p>
    <w:p>
      <w:pPr>
        <w:pStyle w:val="TextBody"/>
        <w:spacing w:lineRule="auto" w:line="288" w:before="0" w:after="180"/>
        <w:ind w:left="0" w:right="0" w:firstLine="720"/>
        <w:jc w:val="both"/>
        <w:rPr/>
      </w:pPr>
      <w:r>
        <w:rPr>
          <w:rFonts w:ascii="Times New Roman;sans-serif" w:hAnsi="Times New Roman;sans-serif"/>
          <w:b w:val="false"/>
          <w:color w:val="000000"/>
          <w:sz w:val="20"/>
        </w:rPr>
        <w:t>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w:t>
      </w:r>
      <w:r>
        <w:rPr>
          <w:color w:val="000000"/>
        </w:rPr>
        <w:t xml:space="preserve"> </w:t>
      </w:r>
      <w:r>
        <w:rPr>
          <w:rFonts w:ascii="Times New Roman;sans-serif" w:hAnsi="Times New Roman;sans-serif"/>
          <w:b w:val="false"/>
          <w:i/>
          <w:color w:val="000000"/>
          <w:sz w:val="20"/>
        </w:rPr>
        <w:t>prima facie</w:t>
      </w:r>
      <w:r>
        <w:rPr>
          <w:color w:val="000000"/>
        </w:rPr>
        <w:t xml:space="preserve"> </w:t>
      </w:r>
      <w:r>
        <w:rPr>
          <w:rFonts w:ascii="Times New Roman;sans-serif" w:hAnsi="Times New Roman;sans-serif"/>
          <w:b w:val="false"/>
          <w:color w:val="000000"/>
          <w:sz w:val="20"/>
        </w:rPr>
        <w:t>evidence of the facts stated therein.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III - DIRECTORS</w:t>
      </w:r>
    </w:p>
    <w:p>
      <w:pPr>
        <w:pStyle w:val="TextBody"/>
        <w:spacing w:lineRule="auto" w:line="288" w:before="0" w:after="180"/>
        <w:ind w:left="0" w:right="0" w:firstLine="720"/>
        <w:rPr/>
      </w:pPr>
      <w:r>
        <w:rPr>
          <w:rFonts w:ascii="Times New Roman;sans-serif" w:hAnsi="Times New Roman;sans-serif"/>
          <w:b w:val="false"/>
          <w:color w:val="000000"/>
          <w:sz w:val="20"/>
        </w:rPr>
        <w:t>3.1</w:t>
      </w:r>
      <w:r>
        <w:rPr>
          <w:rFonts w:ascii="Times New Roman;sans-serif" w:hAnsi="Times New Roman;sans-serif"/>
          <w:b w:val="false"/>
          <w:color w:val="000000"/>
          <w:sz w:val="20"/>
        </w:rPr>
        <w:t>POWERS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business and affairs of the Company shall be managed by or under the direction of the Board of Directors, except as may be otherwise provided in the DGCL or the certificate of incorporation.</w:t>
      </w:r>
    </w:p>
    <w:p>
      <w:pPr>
        <w:pStyle w:val="TextBody"/>
        <w:spacing w:lineRule="auto" w:line="288" w:before="0" w:after="180"/>
        <w:ind w:left="0" w:right="0" w:firstLine="720"/>
        <w:rPr/>
      </w:pPr>
      <w:r>
        <w:rPr>
          <w:rFonts w:ascii="Times New Roman;sans-serif" w:hAnsi="Times New Roman;sans-serif"/>
          <w:b w:val="false"/>
          <w:color w:val="000000"/>
          <w:sz w:val="20"/>
        </w:rPr>
        <w:t>3.2</w:t>
      </w:r>
      <w:r>
        <w:rPr>
          <w:rFonts w:ascii="Times New Roman;sans-serif" w:hAnsi="Times New Roman;sans-serif"/>
          <w:b w:val="false"/>
          <w:color w:val="000000"/>
          <w:sz w:val="20"/>
        </w:rPr>
        <w:t>NUMBER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pStyle w:val="TextBody"/>
        <w:spacing w:lineRule="auto" w:line="288" w:before="0" w:after="180"/>
        <w:ind w:left="0" w:right="0" w:firstLine="720"/>
        <w:rPr/>
      </w:pPr>
      <w:r>
        <w:rPr>
          <w:rFonts w:ascii="Times New Roman;sans-serif" w:hAnsi="Times New Roman;sans-serif"/>
          <w:b w:val="false"/>
          <w:color w:val="000000"/>
          <w:sz w:val="20"/>
        </w:rPr>
        <w:t>3.3</w:t>
      </w:r>
      <w:r>
        <w:rPr>
          <w:rFonts w:ascii="Times New Roman;sans-serif" w:hAnsi="Times New Roman;sans-serif"/>
          <w:b w:val="false"/>
          <w:color w:val="000000"/>
          <w:sz w:val="20"/>
        </w:rPr>
        <w:t>ELECTION, QUALIFICATION AND TERM OF OFFICE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pStyle w:val="HorizontalLine"/>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539" name="Frame5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so provided in the certificate of incorporation, the directors of the Company shall be divided into three classes.</w:t>
      </w:r>
    </w:p>
    <w:p>
      <w:pPr>
        <w:pStyle w:val="TextBody"/>
        <w:spacing w:lineRule="auto" w:line="288" w:before="0" w:after="180"/>
        <w:ind w:left="0" w:right="0" w:firstLine="720"/>
        <w:rPr/>
      </w:pPr>
      <w:r>
        <w:rPr>
          <w:rFonts w:ascii="Times New Roman;sans-serif" w:hAnsi="Times New Roman;sans-serif"/>
          <w:b w:val="false"/>
          <w:color w:val="000000"/>
          <w:sz w:val="20"/>
        </w:rPr>
        <w:t>3.4</w:t>
      </w:r>
      <w:r>
        <w:rPr>
          <w:rFonts w:ascii="Times New Roman;sans-serif" w:hAnsi="Times New Roman;sans-serif"/>
          <w:b w:val="false"/>
          <w:color w:val="000000"/>
          <w:sz w:val="20"/>
        </w:rPr>
        <w:t>RESIGNATION AND VACANCIES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pStyle w:val="TextBody"/>
        <w:spacing w:lineRule="auto" w:line="288" w:before="0" w:after="180"/>
        <w:ind w:left="0" w:right="0" w:firstLine="720"/>
        <w:rPr/>
      </w:pPr>
      <w:r>
        <w:rPr>
          <w:rFonts w:ascii="Times New Roman;sans-serif" w:hAnsi="Times New Roman;sans-serif"/>
          <w:b w:val="false"/>
          <w:color w:val="000000"/>
          <w:sz w:val="20"/>
        </w:rPr>
        <w:t>3.5</w:t>
      </w:r>
      <w:r>
        <w:rPr>
          <w:rFonts w:ascii="Times New Roman;sans-serif" w:hAnsi="Times New Roman;sans-serif"/>
          <w:b w:val="false"/>
          <w:color w:val="000000"/>
          <w:sz w:val="20"/>
        </w:rPr>
        <w:t>PLACE OF MEETINGS; MEETINGS BY TELEPHONE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hold meetings, both regular and special, either within or outside the State of Delaware.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pStyle w:val="TextBody"/>
        <w:spacing w:lineRule="auto" w:line="288" w:before="0" w:after="180"/>
        <w:ind w:left="0" w:right="0" w:firstLine="720"/>
        <w:rPr/>
      </w:pPr>
      <w:r>
        <w:rPr>
          <w:rFonts w:ascii="Times New Roman;sans-serif" w:hAnsi="Times New Roman;sans-serif"/>
          <w:b w:val="false"/>
          <w:color w:val="000000"/>
          <w:sz w:val="20"/>
        </w:rPr>
        <w:t>3.6</w:t>
      </w:r>
      <w:r>
        <w:rPr>
          <w:rFonts w:ascii="Times New Roman;sans-serif" w:hAnsi="Times New Roman;sans-serif"/>
          <w:b w:val="false"/>
          <w:color w:val="000000"/>
          <w:sz w:val="20"/>
        </w:rPr>
        <w:t>REGULAR MEETINGS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Regular meetings of the Board of Directors may be held without notice at such time and at such place as shall from time to time be determined by the Board of Directors.</w:t>
      </w:r>
    </w:p>
    <w:p>
      <w:pPr>
        <w:pStyle w:val="TextBody"/>
        <w:spacing w:lineRule="auto" w:line="288" w:before="0" w:after="180"/>
        <w:ind w:left="0" w:right="0" w:firstLine="720"/>
        <w:rPr/>
      </w:pPr>
      <w:r>
        <w:rPr>
          <w:rFonts w:ascii="Times New Roman;sans-serif" w:hAnsi="Times New Roman;sans-serif"/>
          <w:b w:val="false"/>
          <w:color w:val="000000"/>
          <w:sz w:val="20"/>
        </w:rPr>
        <w:t>3.7</w:t>
      </w:r>
      <w:r>
        <w:rPr>
          <w:rFonts w:ascii="Times New Roman;sans-serif" w:hAnsi="Times New Roman;sans-serif"/>
          <w:b w:val="false"/>
          <w:color w:val="000000"/>
          <w:sz w:val="20"/>
        </w:rPr>
        <w:t>SPECIAL MEETINGS;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Special meetings of the Board of Directors for any purpose or purposes may be called at any time by the chairperson of the Board of Directors, the chief executive officer, the president, the secretary or a majority of the Whole Board.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Notice of the time and place of special meetings shall be: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delivered personally by hand, by courier or by telephone;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sent by United States first-class mail, postage prepaid;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sent by facsimile;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sent by electronic mail; or</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otherwise given by electronic transmission (as defined in Section 232 of the DGCL),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directed to each director at that director’s address, telephone number, facsimile number, electronic mail address or other contact for notice by electronic transmission, as the case may be, as shown on the Company’s records.</w:t>
      </w:r>
    </w:p>
    <w:p>
      <w:pPr>
        <w:pStyle w:val="HorizontalLine"/>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540" name="Frame5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pStyle w:val="TextBody"/>
        <w:spacing w:lineRule="auto" w:line="288" w:before="0" w:after="180"/>
        <w:ind w:left="0" w:right="0" w:firstLine="720"/>
        <w:rPr/>
      </w:pPr>
      <w:r>
        <w:rPr>
          <w:rFonts w:ascii="Times New Roman;sans-serif" w:hAnsi="Times New Roman;sans-serif"/>
          <w:b w:val="false"/>
          <w:color w:val="000000"/>
          <w:sz w:val="20"/>
        </w:rPr>
        <w:t>3.8.</w:t>
      </w:r>
      <w:r>
        <w:rPr>
          <w:rFonts w:ascii="Times New Roman;sans-serif" w:hAnsi="Times New Roman;sans-serif"/>
          <w:b w:val="false"/>
          <w:color w:val="000000"/>
          <w:sz w:val="20"/>
        </w:rPr>
        <w:t>QUORUM; VOTING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pStyle w:val="TextBody"/>
        <w:spacing w:lineRule="auto" w:line="288" w:before="0" w:after="180"/>
        <w:ind w:left="0" w:right="0" w:firstLine="720"/>
        <w:rPr/>
      </w:pPr>
      <w:r>
        <w:rPr>
          <w:rFonts w:ascii="Times New Roman;sans-serif" w:hAnsi="Times New Roman;sans-serif"/>
          <w:b w:val="false"/>
          <w:color w:val="000000"/>
          <w:sz w:val="20"/>
        </w:rPr>
        <w:t>3.9.</w:t>
      </w:r>
      <w:r>
        <w:rPr>
          <w:rFonts w:ascii="Times New Roman;sans-serif" w:hAnsi="Times New Roman;sans-serif"/>
          <w:b w:val="false"/>
          <w:color w:val="000000"/>
          <w:sz w:val="20"/>
        </w:rPr>
        <w:t>BOARD ACTION BY WRITTEN CONSENT WITHOUT A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pStyle w:val="TextBody"/>
        <w:spacing w:lineRule="auto" w:line="288" w:before="0" w:after="180"/>
        <w:ind w:left="0" w:right="0" w:firstLine="720"/>
        <w:rPr/>
      </w:pPr>
      <w:r>
        <w:rPr>
          <w:rFonts w:ascii="Times New Roman;sans-serif" w:hAnsi="Times New Roman;sans-serif"/>
          <w:b w:val="false"/>
          <w:color w:val="000000"/>
          <w:sz w:val="20"/>
        </w:rPr>
        <w:t>3.10.</w:t>
      </w:r>
      <w:r>
        <w:rPr>
          <w:rFonts w:ascii="Times New Roman;sans-serif" w:hAnsi="Times New Roman;sans-serif"/>
          <w:b w:val="false"/>
          <w:color w:val="000000"/>
          <w:sz w:val="20"/>
        </w:rPr>
        <w:t>FEES AND COMPENSATION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the Board of Directors shall have the authority to fix the compensation of directors.</w:t>
      </w:r>
    </w:p>
    <w:p>
      <w:pPr>
        <w:pStyle w:val="TextBody"/>
        <w:spacing w:lineRule="auto" w:line="288" w:before="0" w:after="180"/>
        <w:ind w:left="0" w:right="0" w:firstLine="720"/>
        <w:rPr/>
      </w:pPr>
      <w:r>
        <w:rPr>
          <w:rFonts w:ascii="Times New Roman;sans-serif" w:hAnsi="Times New Roman;sans-serif"/>
          <w:b w:val="false"/>
          <w:color w:val="000000"/>
          <w:sz w:val="20"/>
        </w:rPr>
        <w:t>3.11.</w:t>
      </w:r>
      <w:r>
        <w:rPr>
          <w:rFonts w:ascii="Times New Roman;sans-serif" w:hAnsi="Times New Roman;sans-serif"/>
          <w:b w:val="false"/>
          <w:color w:val="000000"/>
          <w:sz w:val="20"/>
        </w:rPr>
        <w:t>REMOVAL OF DIRECTORS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IV - COMMITTEES</w:t>
      </w:r>
    </w:p>
    <w:p>
      <w:pPr>
        <w:pStyle w:val="TextBody"/>
        <w:spacing w:lineRule="auto" w:line="288" w:before="0" w:after="180"/>
        <w:ind w:left="0" w:right="0" w:firstLine="720"/>
        <w:rPr/>
      </w:pPr>
      <w:r>
        <w:rPr>
          <w:rFonts w:ascii="Times New Roman;sans-serif" w:hAnsi="Times New Roman;sans-serif"/>
          <w:b w:val="false"/>
          <w:color w:val="000000"/>
          <w:sz w:val="20"/>
        </w:rPr>
        <w:t>4.1</w:t>
      </w:r>
      <w:r>
        <w:rPr>
          <w:rFonts w:ascii="Times New Roman;sans-serif" w:hAnsi="Times New Roman;sans-serif"/>
          <w:b w:val="false"/>
          <w:color w:val="000000"/>
          <w:sz w:val="20"/>
        </w:rPr>
        <w:t>COMMITTEES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may, by resolution passed by a majority of the Whole Board, designate one or more committees, each committee to consist of one or more of the directors of the Company. The Board of Directors may </w:t>
      </w:r>
    </w:p>
    <w:p>
      <w:pPr>
        <w:pStyle w:val="HorizontalLine"/>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541" name="Frame5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pStyle w:val="TextBody"/>
        <w:spacing w:lineRule="auto" w:line="288" w:before="0" w:after="180"/>
        <w:ind w:left="0" w:right="0" w:firstLine="720"/>
        <w:rPr/>
      </w:pPr>
      <w:r>
        <w:rPr>
          <w:rFonts w:ascii="Times New Roman;sans-serif" w:hAnsi="Times New Roman;sans-serif"/>
          <w:b w:val="false"/>
          <w:color w:val="000000"/>
          <w:sz w:val="20"/>
        </w:rPr>
        <w:t>4.2</w:t>
      </w:r>
      <w:r>
        <w:rPr>
          <w:rFonts w:ascii="Times New Roman;sans-serif" w:hAnsi="Times New Roman;sans-serif"/>
          <w:b w:val="false"/>
          <w:color w:val="000000"/>
          <w:sz w:val="20"/>
        </w:rPr>
        <w:t>COMMITTEE MINUTES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committee and subcommittee shall keep regular minutes of its meetings.</w:t>
      </w:r>
    </w:p>
    <w:p>
      <w:pPr>
        <w:pStyle w:val="TextBody"/>
        <w:spacing w:lineRule="auto" w:line="288" w:before="0" w:after="180"/>
        <w:ind w:left="0" w:right="0" w:firstLine="720"/>
        <w:rPr/>
      </w:pPr>
      <w:r>
        <w:rPr>
          <w:rFonts w:ascii="Times New Roman;sans-serif" w:hAnsi="Times New Roman;sans-serif"/>
          <w:b w:val="false"/>
          <w:color w:val="000000"/>
          <w:sz w:val="20"/>
        </w:rPr>
        <w:t>4.3</w:t>
      </w:r>
      <w:r>
        <w:rPr>
          <w:rFonts w:ascii="Times New Roman;sans-serif" w:hAnsi="Times New Roman;sans-serif"/>
          <w:b w:val="false"/>
          <w:color w:val="000000"/>
          <w:sz w:val="20"/>
        </w:rPr>
        <w:t>MEETINGS AND ACTION OF COMMITTEES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Meetings and actions of committees and subcommittees shall be governed by, and held and taken in accordance with, the provisions of:</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Section 3.5 (place of meetings and meetings by telephone);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Section 3.6 (regular meetings);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Section 3.7 (special meetings and notice);</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Section 3.8 (quorum; voting);</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Section 3.9 (action without a meeting); and</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Section 7.4 (waiver of notice)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pStyle w:val="TextBody"/>
        <w:spacing w:lineRule="auto" w:line="288" w:before="0" w:after="180"/>
        <w:ind w:left="0" w:right="0" w:firstLine="720"/>
        <w:rPr/>
      </w:pPr>
      <w:r>
        <w:rPr>
          <w:rFonts w:ascii="Times New Roman;sans-serif" w:hAnsi="Times New Roman;sans-serif"/>
          <w:b w:val="false"/>
          <w:color w:val="000000"/>
          <w:sz w:val="20"/>
        </w:rPr>
        <w:t>4.4</w:t>
      </w:r>
      <w:r>
        <w:rPr>
          <w:rFonts w:ascii="Times New Roman;sans-serif" w:hAnsi="Times New Roman;sans-serif"/>
          <w:b w:val="false"/>
          <w:color w:val="000000"/>
          <w:sz w:val="20"/>
        </w:rPr>
        <w:t>SUBCOMMITTEES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pStyle w:val="HorizontalLine"/>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542" name="Frame5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 - OFFICERS</w:t>
      </w:r>
    </w:p>
    <w:p>
      <w:pPr>
        <w:pStyle w:val="TextBody"/>
        <w:spacing w:lineRule="auto" w:line="288" w:before="0" w:after="180"/>
        <w:ind w:left="0" w:right="0" w:firstLine="720"/>
        <w:rPr/>
      </w:pPr>
      <w:r>
        <w:rPr>
          <w:rFonts w:ascii="Times New Roman;sans-serif" w:hAnsi="Times New Roman;sans-serif"/>
          <w:b w:val="false"/>
          <w:color w:val="000000"/>
          <w:sz w:val="20"/>
        </w:rPr>
        <w:t>5.1</w:t>
      </w:r>
      <w:r>
        <w:rPr>
          <w:rFonts w:ascii="Times New Roman;sans-serif" w:hAnsi="Times New Roman;sans-serif"/>
          <w:b w:val="false"/>
          <w:color w:val="000000"/>
          <w:sz w:val="20"/>
        </w:rPr>
        <w:t>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pStyle w:val="TextBody"/>
        <w:spacing w:lineRule="auto" w:line="288" w:before="0" w:after="180"/>
        <w:ind w:left="0" w:right="0" w:firstLine="720"/>
        <w:rPr/>
      </w:pPr>
      <w:r>
        <w:rPr>
          <w:rFonts w:ascii="Times New Roman;sans-serif" w:hAnsi="Times New Roman;sans-serif"/>
          <w:b w:val="false"/>
          <w:color w:val="000000"/>
          <w:sz w:val="20"/>
        </w:rPr>
        <w:t>5.2</w:t>
      </w:r>
      <w:r>
        <w:rPr>
          <w:rFonts w:ascii="Times New Roman;sans-serif" w:hAnsi="Times New Roman;sans-serif"/>
          <w:b w:val="false"/>
          <w:color w:val="000000"/>
          <w:sz w:val="20"/>
        </w:rPr>
        <w:t>APPOINTMENT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appoint the officers of the Company, except such officers as may be appointed in accordance with the provisions of Section 5.3 of these bylaws, subject to the rights, if any, of an officer under any contract of employment.</w:t>
      </w:r>
    </w:p>
    <w:p>
      <w:pPr>
        <w:pStyle w:val="TextBody"/>
        <w:spacing w:lineRule="auto" w:line="288" w:before="0" w:after="180"/>
        <w:ind w:left="0" w:right="0" w:firstLine="720"/>
        <w:rPr/>
      </w:pPr>
      <w:r>
        <w:rPr>
          <w:rFonts w:ascii="Times New Roman;sans-serif" w:hAnsi="Times New Roman;sans-serif"/>
          <w:b w:val="false"/>
          <w:color w:val="000000"/>
          <w:sz w:val="20"/>
        </w:rPr>
        <w:t>5.3</w:t>
      </w:r>
      <w:r>
        <w:rPr>
          <w:rFonts w:ascii="Times New Roman;sans-serif" w:hAnsi="Times New Roman;sans-serif"/>
          <w:b w:val="false"/>
          <w:color w:val="000000"/>
          <w:sz w:val="20"/>
        </w:rPr>
        <w:t>SUBORDINATE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pStyle w:val="TextBody"/>
        <w:spacing w:lineRule="auto" w:line="288" w:before="0" w:after="180"/>
        <w:ind w:left="0" w:right="0" w:firstLine="720"/>
        <w:rPr/>
      </w:pPr>
      <w:r>
        <w:rPr>
          <w:rFonts w:ascii="Times New Roman;sans-serif" w:hAnsi="Times New Roman;sans-serif"/>
          <w:b w:val="false"/>
          <w:color w:val="000000"/>
          <w:sz w:val="20"/>
        </w:rPr>
        <w:t>5.4</w:t>
      </w:r>
      <w:r>
        <w:rPr>
          <w:rFonts w:ascii="Times New Roman;sans-serif" w:hAnsi="Times New Roman;sans-serif"/>
          <w:b w:val="false"/>
          <w:color w:val="000000"/>
          <w:sz w:val="20"/>
        </w:rPr>
        <w:t>REMOVAL AND RESIGNATION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pStyle w:val="TextBody"/>
        <w:spacing w:lineRule="auto" w:line="288" w:before="0" w:after="180"/>
        <w:ind w:left="0" w:right="0" w:firstLine="720"/>
        <w:rPr/>
      </w:pPr>
      <w:r>
        <w:rPr>
          <w:rFonts w:ascii="Times New Roman;sans-serif" w:hAnsi="Times New Roman;sans-serif"/>
          <w:b w:val="false"/>
          <w:color w:val="000000"/>
          <w:sz w:val="20"/>
        </w:rPr>
        <w:t>5.5</w:t>
      </w:r>
      <w:r>
        <w:rPr>
          <w:rFonts w:ascii="Times New Roman;sans-serif" w:hAnsi="Times New Roman;sans-serif"/>
          <w:b w:val="false"/>
          <w:color w:val="000000"/>
          <w:sz w:val="20"/>
        </w:rPr>
        <w:t>VACANCIES IN OFFICES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vacancy occurring in any office of the Company shall be filled by the Board of Directors or as provided in Section 5.3.</w:t>
      </w:r>
    </w:p>
    <w:p>
      <w:pPr>
        <w:pStyle w:val="TextBody"/>
        <w:spacing w:lineRule="auto" w:line="288" w:before="0" w:after="180"/>
        <w:ind w:left="0" w:right="0" w:firstLine="720"/>
        <w:rPr/>
      </w:pPr>
      <w:r>
        <w:rPr>
          <w:rFonts w:ascii="Times New Roman;sans-serif" w:hAnsi="Times New Roman;sans-serif"/>
          <w:b w:val="false"/>
          <w:color w:val="000000"/>
          <w:sz w:val="20"/>
        </w:rPr>
        <w:t>5.6</w:t>
      </w:r>
      <w:r>
        <w:rPr>
          <w:rFonts w:ascii="Times New Roman;sans-serif" w:hAnsi="Times New Roman;sans-serif"/>
          <w:b w:val="false"/>
          <w:color w:val="000000"/>
          <w:sz w:val="20"/>
        </w:rPr>
        <w:t>REPRESENTATION OF SECURITIES OF OTHER ENTITIES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pStyle w:val="TextBody"/>
        <w:spacing w:lineRule="auto" w:line="288" w:before="0" w:after="180"/>
        <w:ind w:left="0" w:right="0" w:firstLine="720"/>
        <w:rPr/>
      </w:pPr>
      <w:r>
        <w:rPr>
          <w:rFonts w:ascii="Times New Roman;sans-serif" w:hAnsi="Times New Roman;sans-serif"/>
          <w:b w:val="false"/>
          <w:color w:val="000000"/>
          <w:sz w:val="20"/>
        </w:rPr>
        <w:t>5.7</w:t>
      </w:r>
      <w:r>
        <w:rPr>
          <w:rFonts w:ascii="Times New Roman;sans-serif" w:hAnsi="Times New Roman;sans-serif"/>
          <w:b w:val="false"/>
          <w:color w:val="000000"/>
          <w:sz w:val="20"/>
        </w:rPr>
        <w:t>AUTHORITY AND DUTIES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officers of the Company shall respectively have such authority and perform such duties in the management of the business of the Company as may be designated from time to time by the Board of Directors and, </w:t>
      </w:r>
    </w:p>
    <w:p>
      <w:pPr>
        <w:pStyle w:val="HorizontalLine"/>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543" name="Frame5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extent not so provided, as generally pertain to their respective offices, subject to the control of the Board of Directors.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 - STOCK</w:t>
      </w:r>
    </w:p>
    <w:p>
      <w:pPr>
        <w:pStyle w:val="TextBody"/>
        <w:spacing w:lineRule="auto" w:line="288" w:before="0" w:after="180"/>
        <w:ind w:left="0" w:right="0" w:firstLine="720"/>
        <w:rPr/>
      </w:pPr>
      <w:r>
        <w:rPr>
          <w:rFonts w:ascii="Times New Roman;sans-serif" w:hAnsi="Times New Roman;sans-serif"/>
          <w:b w:val="false"/>
          <w:color w:val="000000"/>
          <w:sz w:val="20"/>
        </w:rPr>
        <w:t>6.1</w:t>
      </w:r>
      <w:r>
        <w:rPr>
          <w:rFonts w:ascii="Times New Roman;sans-serif" w:hAnsi="Times New Roman;sans-serif"/>
          <w:b w:val="false"/>
          <w:color w:val="000000"/>
          <w:sz w:val="20"/>
        </w:rPr>
        <w:t>STOCK CERTIFICATES; PARTLY PAID SHARES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pStyle w:val="TextBody"/>
        <w:spacing w:lineRule="auto" w:line="288" w:before="0" w:after="180"/>
        <w:ind w:left="0" w:right="0" w:firstLine="720"/>
        <w:rPr/>
      </w:pPr>
      <w:r>
        <w:rPr>
          <w:rFonts w:ascii="Times New Roman;sans-serif" w:hAnsi="Times New Roman;sans-serif"/>
          <w:b w:val="false"/>
          <w:color w:val="000000"/>
          <w:sz w:val="20"/>
        </w:rPr>
        <w:t>6.2</w:t>
      </w:r>
      <w:r>
        <w:rPr>
          <w:rFonts w:ascii="Times New Roman;sans-serif" w:hAnsi="Times New Roman;sans-serif"/>
          <w:b w:val="false"/>
          <w:color w:val="000000"/>
          <w:sz w:val="20"/>
        </w:rPr>
        <w:t>SPECIAL DESIGNATION ON CERTIFICATES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pStyle w:val="TextBody"/>
        <w:spacing w:lineRule="auto" w:line="288" w:before="0" w:after="180"/>
        <w:ind w:left="0" w:right="0" w:firstLine="720"/>
        <w:rPr/>
      </w:pPr>
      <w:r>
        <w:rPr>
          <w:rFonts w:ascii="Times New Roman;sans-serif" w:hAnsi="Times New Roman;sans-serif"/>
          <w:b w:val="false"/>
          <w:color w:val="000000"/>
          <w:sz w:val="20"/>
        </w:rPr>
        <w:t>6.3</w:t>
      </w:r>
      <w:r>
        <w:rPr>
          <w:rFonts w:ascii="Times New Roman;sans-serif" w:hAnsi="Times New Roman;sans-serif"/>
          <w:b w:val="false"/>
          <w:color w:val="000000"/>
          <w:sz w:val="20"/>
        </w:rPr>
        <w:t>LOST CERTIFICATES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pStyle w:val="HorizontalLine"/>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544" name="Frame5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6.4</w:t>
      </w:r>
      <w:r>
        <w:rPr>
          <w:rFonts w:ascii="Times New Roman;sans-serif" w:hAnsi="Times New Roman;sans-serif"/>
          <w:b w:val="false"/>
          <w:color w:val="000000"/>
          <w:sz w:val="20"/>
        </w:rPr>
        <w:t>DIVIDENDS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pStyle w:val="TextBody"/>
        <w:spacing w:lineRule="auto" w:line="288" w:before="0" w:after="180"/>
        <w:ind w:left="0" w:right="0" w:firstLine="720"/>
        <w:rPr/>
      </w:pPr>
      <w:r>
        <w:rPr>
          <w:rFonts w:ascii="Times New Roman;sans-serif" w:hAnsi="Times New Roman;sans-serif"/>
          <w:b w:val="false"/>
          <w:color w:val="000000"/>
          <w:sz w:val="20"/>
        </w:rPr>
        <w:t>6.5</w:t>
      </w:r>
      <w:r>
        <w:rPr>
          <w:rFonts w:ascii="Times New Roman;sans-serif" w:hAnsi="Times New Roman;sans-serif"/>
          <w:b w:val="false"/>
          <w:color w:val="000000"/>
          <w:sz w:val="20"/>
        </w:rPr>
        <w:t>TRANSFER OF STOCK</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pStyle w:val="TextBody"/>
        <w:spacing w:lineRule="auto" w:line="288" w:before="0" w:after="180"/>
        <w:ind w:left="0" w:right="0" w:firstLine="720"/>
        <w:rPr/>
      </w:pPr>
      <w:r>
        <w:rPr>
          <w:rFonts w:ascii="Times New Roman;sans-serif" w:hAnsi="Times New Roman;sans-serif"/>
          <w:b w:val="false"/>
          <w:color w:val="000000"/>
          <w:sz w:val="20"/>
        </w:rPr>
        <w:t>6.6</w:t>
      </w:r>
      <w:r>
        <w:rPr>
          <w:rFonts w:ascii="Times New Roman;sans-serif" w:hAnsi="Times New Roman;sans-serif"/>
          <w:b w:val="false"/>
          <w:color w:val="000000"/>
          <w:sz w:val="20"/>
        </w:rPr>
        <w:t>STOCK TRANSFER AGREEMENTS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pStyle w:val="TextBody"/>
        <w:spacing w:lineRule="auto" w:line="288" w:before="0" w:after="180"/>
        <w:ind w:left="0" w:right="0" w:firstLine="720"/>
        <w:rPr/>
      </w:pPr>
      <w:r>
        <w:rPr>
          <w:rFonts w:ascii="Times New Roman;sans-serif" w:hAnsi="Times New Roman;sans-serif"/>
          <w:b w:val="false"/>
          <w:color w:val="000000"/>
          <w:sz w:val="20"/>
        </w:rPr>
        <w:t>6.7</w:t>
      </w:r>
      <w:r>
        <w:rPr>
          <w:rFonts w:ascii="Times New Roman;sans-serif" w:hAnsi="Times New Roman;sans-serif"/>
          <w:b w:val="false"/>
          <w:color w:val="000000"/>
          <w:sz w:val="20"/>
        </w:rPr>
        <w:t>REGISTERED STOCKHOLDERS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shall be entitled to recognize the exclusive right of a person registered on its books as the owner of shares to receive dividends and notices and to vote as such owner; and</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spacing w:lineRule="auto" w:line="288" w:before="0" w:after="180"/>
        <w:ind w:left="0" w:right="0" w:firstLine="720"/>
        <w:rPr/>
      </w:pPr>
      <w:r>
        <w:rPr>
          <w:rFonts w:ascii="Times New Roman;sans-serif" w:hAnsi="Times New Roman;sans-serif"/>
          <w:b w:val="false"/>
          <w:color w:val="000000"/>
          <w:sz w:val="20"/>
        </w:rPr>
        <w:t>6.8</w:t>
      </w:r>
      <w:r>
        <w:rPr>
          <w:rFonts w:ascii="Times New Roman;sans-serif" w:hAnsi="Times New Roman;sans-serif"/>
          <w:b w:val="false"/>
          <w:color w:val="000000"/>
          <w:sz w:val="20"/>
        </w:rPr>
        <w:t>LOCK-UP</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Subject to Section 6.8(b), the holders (the “</w:t>
      </w:r>
      <w:r>
        <w:rPr>
          <w:rFonts w:ascii="Times New Roman;sans-serif" w:hAnsi="Times New Roman;sans-serif"/>
          <w:b/>
          <w:color w:val="000000"/>
          <w:sz w:val="20"/>
        </w:rPr>
        <w:t>Lock-up Holders</w:t>
      </w:r>
      <w:r>
        <w:rPr>
          <w:color w:val="000000"/>
        </w:rPr>
        <w:t>”</w:t>
      </w:r>
      <w:r>
        <w:rPr>
          <w:rFonts w:ascii="Times New Roman;sans-serif" w:hAnsi="Times New Roman;sans-serif"/>
          <w:b w:val="false"/>
          <w:color w:val="000000"/>
          <w:sz w:val="20"/>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Times New Roman;sans-serif" w:hAnsi="Times New Roman;sans-serif"/>
          <w:b/>
          <w:color w:val="000000"/>
          <w:sz w:val="20"/>
        </w:rPr>
        <w:t>Existing Equity</w:t>
      </w:r>
      <w:r>
        <w:rPr>
          <w:color w:val="000000"/>
        </w:rPr>
        <w:t xml:space="preserve"> </w:t>
      </w:r>
      <w:r>
        <w:rPr>
          <w:rFonts w:ascii="Times New Roman;sans-serif" w:hAnsi="Times New Roman;sans-serif"/>
          <w:b w:val="false"/>
          <w:color w:val="000000"/>
          <w:sz w:val="20"/>
        </w:rPr>
        <w:t>Award Shares”), may not Transfer any Lock-up Shares until the end of the Lock-up Period (the “</w:t>
      </w:r>
      <w:r>
        <w:rPr>
          <w:rFonts w:ascii="Times New Roman;sans-serif" w:hAnsi="Times New Roman;sans-serif"/>
          <w:b/>
          <w:color w:val="000000"/>
          <w:sz w:val="20"/>
        </w:rPr>
        <w:t>Lock-up</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 (vi) if such Lock-up Holder is a trust, to a trustor or beneficiary of the trust or to the estate of a beneficiary of such trust; (vii) to the Company’s officers, directors or their affiliates; (viii) to a nominee or custodian </w:t>
      </w:r>
    </w:p>
    <w:p>
      <w:pPr>
        <w:pStyle w:val="HorizontalLine"/>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545" name="Frame5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For purpose of this Section 6.8:</w:t>
      </w:r>
    </w:p>
    <w:p>
      <w:pPr>
        <w:pStyle w:val="TextBody"/>
        <w:spacing w:lineRule="auto" w:line="288"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the term “</w:t>
      </w:r>
      <w:r>
        <w:rPr>
          <w:rFonts w:ascii="Times New Roman;sans-serif" w:hAnsi="Times New Roman;sans-serif"/>
          <w:b/>
          <w:color w:val="000000"/>
          <w:sz w:val="20"/>
        </w:rPr>
        <w:t>Lock-up Period</w:t>
      </w:r>
      <w:r>
        <w:rPr>
          <w:color w:val="000000"/>
        </w:rPr>
        <w:t xml:space="preserve">” </w:t>
      </w:r>
      <w:r>
        <w:rPr>
          <w:rFonts w:ascii="Times New Roman;sans-serif" w:hAnsi="Times New Roman;sans-serif"/>
          <w:b w:val="false"/>
          <w:color w:val="000000"/>
          <w:sz w:val="20"/>
        </w:rPr>
        <w:t>means the period beginning on the closing date of the Business Combination Transaction and ending at the close of business on the date that is 180 days after the closing date of the Business Combination Transaction;</w:t>
      </w:r>
    </w:p>
    <w:p>
      <w:pPr>
        <w:pStyle w:val="TextBody"/>
        <w:spacing w:lineRule="auto" w:line="288"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the term “</w:t>
      </w:r>
      <w:r>
        <w:rPr>
          <w:rFonts w:ascii="Times New Roman;sans-serif" w:hAnsi="Times New Roman;sans-serif"/>
          <w:b/>
          <w:color w:val="000000"/>
          <w:sz w:val="20"/>
        </w:rPr>
        <w:t>Lock-up Shares</w:t>
      </w:r>
      <w:r>
        <w:rPr>
          <w:color w:val="000000"/>
        </w:rPr>
        <w:t xml:space="preserve">” </w:t>
      </w:r>
      <w:r>
        <w:rPr>
          <w:rFonts w:ascii="Times New Roman;sans-serif" w:hAnsi="Times New Roman;sans-serif"/>
          <w:b w:val="false"/>
          <w:color w:val="000000"/>
          <w:sz w:val="20"/>
        </w:rPr>
        <w:t>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sans-serif" w:hAnsi="Times New Roman;sans-serif"/>
          <w:b/>
          <w:color w:val="000000"/>
          <w:sz w:val="20"/>
        </w:rPr>
        <w:t>Business Combination Agreement</w:t>
      </w:r>
      <w:r>
        <w:rPr>
          <w:color w:val="000000"/>
        </w:rPr>
        <w:t>”</w:t>
      </w:r>
      <w:r>
        <w:rPr>
          <w:rFonts w:ascii="Times New Roman;sans-serif" w:hAnsi="Times New Roman;sans-serif"/>
          <w:b w:val="false"/>
          <w:color w:val="000000"/>
          <w:sz w:val="20"/>
        </w:rPr>
        <w:t>)) or the PIPE Financing (as defined in the Business Combination Agreement) shall not constitute Lock-up Shares;</w:t>
      </w:r>
    </w:p>
    <w:p>
      <w:pPr>
        <w:pStyle w:val="TextBody"/>
        <w:spacing w:lineRule="auto" w:line="288"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the term “</w:t>
      </w:r>
      <w:r>
        <w:rPr>
          <w:rFonts w:ascii="Times New Roman;sans-serif" w:hAnsi="Times New Roman;sans-serif"/>
          <w:b/>
          <w:color w:val="000000"/>
          <w:sz w:val="20"/>
        </w:rPr>
        <w:t>Permitted Transferees</w:t>
      </w:r>
      <w:r>
        <w:rPr>
          <w:color w:val="000000"/>
        </w:rPr>
        <w:t xml:space="preserve">” </w:t>
      </w:r>
      <w:r>
        <w:rPr>
          <w:rFonts w:ascii="Times New Roman;sans-serif" w:hAnsi="Times New Roman;sans-serif"/>
          <w:b w:val="false"/>
          <w:color w:val="000000"/>
          <w:sz w:val="20"/>
        </w:rPr>
        <w:t>means, prior to the expiration of the Lock-up Period, any person or entity to whom such Lock-up Holder is permitted to transfer such shares of common stock prior to the expiration of the Lock-up Period pursuant to Section 6.8(b); and</w:t>
      </w:r>
    </w:p>
    <w:p>
      <w:pPr>
        <w:pStyle w:val="TextBody"/>
        <w:spacing w:lineRule="auto" w:line="288" w:before="0" w:after="180"/>
        <w:ind w:left="0" w:right="0" w:firstLine="2160"/>
        <w:rPr/>
      </w:pPr>
      <w:r>
        <w:rPr>
          <w:rFonts w:ascii="Times New Roman;sans-serif" w:hAnsi="Times New Roman;sans-serif"/>
          <w:b w:val="false"/>
          <w:color w:val="000000"/>
          <w:sz w:val="20"/>
        </w:rPr>
        <w:t>(iv)</w:t>
      </w:r>
      <w:r>
        <w:rPr>
          <w:rFonts w:ascii="Times New Roman;sans-serif" w:hAnsi="Times New Roman;sans-serif"/>
          <w:b w:val="false"/>
          <w:color w:val="000000"/>
          <w:sz w:val="20"/>
        </w:rPr>
        <w:t>the term “</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 xml:space="preserve">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 </w:t>
      </w:r>
    </w:p>
    <w:p>
      <w:pPr>
        <w:pStyle w:val="HorizontalLine"/>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546" name="Frame5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 - MANNER OF GIVING NOTICE AND WAIVER</w:t>
      </w:r>
    </w:p>
    <w:p>
      <w:pPr>
        <w:pStyle w:val="TextBody"/>
        <w:spacing w:lineRule="auto" w:line="288" w:before="0" w:after="180"/>
        <w:ind w:left="0" w:right="0" w:firstLine="720"/>
        <w:rPr/>
      </w:pPr>
      <w:r>
        <w:rPr>
          <w:rFonts w:ascii="Times New Roman;sans-serif" w:hAnsi="Times New Roman;sans-serif"/>
          <w:b w:val="false"/>
          <w:color w:val="000000"/>
          <w:sz w:val="20"/>
        </w:rPr>
        <w:t>7.1</w:t>
      </w:r>
      <w:r>
        <w:rPr>
          <w:rFonts w:ascii="Times New Roman;sans-serif" w:hAnsi="Times New Roman;sans-serif"/>
          <w:b w:val="false"/>
          <w:color w:val="000000"/>
          <w:sz w:val="20"/>
        </w:rPr>
        <w:t>NOTICE OF STOCKHOLDERS’ MEETINGS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Notice of any meeting of stockholders shall be given in the manner set forth in the DGCL.</w:t>
      </w:r>
    </w:p>
    <w:p>
      <w:pPr>
        <w:pStyle w:val="TextBody"/>
        <w:spacing w:lineRule="auto" w:line="288" w:before="0" w:after="180"/>
        <w:ind w:left="0" w:right="0" w:firstLine="720"/>
        <w:rPr/>
      </w:pPr>
      <w:r>
        <w:rPr>
          <w:rFonts w:ascii="Times New Roman;sans-serif" w:hAnsi="Times New Roman;sans-serif"/>
          <w:b w:val="false"/>
          <w:color w:val="000000"/>
          <w:sz w:val="20"/>
        </w:rPr>
        <w:t>7.2</w:t>
      </w:r>
      <w:r>
        <w:rPr>
          <w:rFonts w:ascii="Times New Roman;sans-serif" w:hAnsi="Times New Roman;sans-serif"/>
          <w:b w:val="false"/>
          <w:color w:val="000000"/>
          <w:sz w:val="20"/>
        </w:rPr>
        <w:t>NOTICE TO STOCKHOLDERS SHARING AN ADDRESS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pStyle w:val="TextBody"/>
        <w:spacing w:lineRule="auto" w:line="288" w:before="0" w:after="180"/>
        <w:ind w:left="0" w:right="0" w:firstLine="720"/>
        <w:rPr/>
      </w:pPr>
      <w:r>
        <w:rPr>
          <w:rFonts w:ascii="Times New Roman;sans-serif" w:hAnsi="Times New Roman;sans-serif"/>
          <w:b w:val="false"/>
          <w:color w:val="000000"/>
          <w:sz w:val="20"/>
        </w:rPr>
        <w:t>7.3</w:t>
      </w:r>
      <w:r>
        <w:rPr>
          <w:rFonts w:ascii="Times New Roman;sans-serif" w:hAnsi="Times New Roman;sans-serif"/>
          <w:b w:val="false"/>
          <w:color w:val="000000"/>
          <w:sz w:val="20"/>
        </w:rPr>
        <w:t>NOTICE TO PERSON WITH WHOM COMMUNICATION IS UNLAWFUL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pStyle w:val="TextBody"/>
        <w:spacing w:lineRule="auto" w:line="288" w:before="0" w:after="180"/>
        <w:ind w:left="0" w:right="0" w:firstLine="720"/>
        <w:rPr/>
      </w:pPr>
      <w:r>
        <w:rPr>
          <w:rFonts w:ascii="Times New Roman;sans-serif" w:hAnsi="Times New Roman;sans-serif"/>
          <w:b w:val="false"/>
          <w:color w:val="000000"/>
          <w:sz w:val="20"/>
        </w:rPr>
        <w:t>7.4</w:t>
      </w:r>
      <w:r>
        <w:rPr>
          <w:rFonts w:ascii="Times New Roman;sans-serif" w:hAnsi="Times New Roman;sans-serif"/>
          <w:b w:val="false"/>
          <w:color w:val="000000"/>
          <w:sz w:val="20"/>
        </w:rPr>
        <w:t>WAIVER OF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VIII - INDEMNIFICATION</w:t>
      </w:r>
    </w:p>
    <w:p>
      <w:pPr>
        <w:pStyle w:val="TextBody"/>
        <w:spacing w:lineRule="auto" w:line="288" w:before="0" w:after="180"/>
        <w:ind w:left="0" w:right="0" w:firstLine="720"/>
        <w:rPr/>
      </w:pPr>
      <w:r>
        <w:rPr>
          <w:rFonts w:ascii="Times New Roman;sans-serif" w:hAnsi="Times New Roman;sans-serif"/>
          <w:b w:val="false"/>
          <w:color w:val="000000"/>
          <w:sz w:val="20"/>
        </w:rPr>
        <w:t>8.1</w:t>
      </w:r>
      <w:r>
        <w:rPr>
          <w:rFonts w:ascii="Times New Roman;sans-serif" w:hAnsi="Times New Roman;sans-serif"/>
          <w:b w:val="false"/>
          <w:color w:val="000000"/>
          <w:sz w:val="20"/>
        </w:rPr>
        <w:t>INDEMNIFICATION OF DIRECTORS AND OFFICERS IN THIRD PARTY PROCEEDINGS</w:t>
      </w:r>
    </w:p>
    <w:p>
      <w:pPr>
        <w:pStyle w:val="TextBody"/>
        <w:spacing w:lineRule="auto" w:line="288" w:before="0" w:after="180"/>
        <w:ind w:left="0" w:right="0" w:firstLine="720"/>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w:t>
      </w:r>
    </w:p>
    <w:p>
      <w:pPr>
        <w:pStyle w:val="HorizontalLine"/>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547" name="Frame5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in a manner which such person reasonably believed to be in or not opposed to the best interests of the Company, and, with respect to any criminal action or proceeding, had reasonable cause to believe that such person’s conduct was unlawful.</w:t>
      </w:r>
    </w:p>
    <w:p>
      <w:pPr>
        <w:pStyle w:val="TextBody"/>
        <w:spacing w:lineRule="auto" w:line="288" w:before="0" w:after="180"/>
        <w:ind w:left="0" w:right="0" w:firstLine="720"/>
        <w:rPr/>
      </w:pPr>
      <w:r>
        <w:rPr>
          <w:rFonts w:ascii="Times New Roman;sans-serif" w:hAnsi="Times New Roman;sans-serif"/>
          <w:b w:val="false"/>
          <w:color w:val="000000"/>
          <w:sz w:val="20"/>
        </w:rPr>
        <w:t>8.2</w:t>
      </w:r>
      <w:r>
        <w:rPr>
          <w:rFonts w:ascii="Times New Roman;sans-serif" w:hAnsi="Times New Roman;sans-serif"/>
          <w:b w:val="false"/>
          <w:color w:val="000000"/>
          <w:sz w:val="20"/>
        </w:rPr>
        <w:t>INDEMNIFICATION OF DIRECTORS AND OFFICERS IN ACTIONS BY OR IN THE RIGHT OF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spacing w:lineRule="auto" w:line="288" w:before="0" w:after="180"/>
        <w:ind w:left="0" w:right="0" w:firstLine="720"/>
        <w:rPr/>
      </w:pPr>
      <w:r>
        <w:rPr>
          <w:rFonts w:ascii="Times New Roman;sans-serif" w:hAnsi="Times New Roman;sans-serif"/>
          <w:b w:val="false"/>
          <w:color w:val="000000"/>
          <w:sz w:val="20"/>
        </w:rPr>
        <w:t>8.3</w:t>
      </w:r>
      <w:r>
        <w:rPr>
          <w:rFonts w:ascii="Times New Roman;sans-serif" w:hAnsi="Times New Roman;sans-serif"/>
          <w:b w:val="false"/>
          <w:color w:val="000000"/>
          <w:sz w:val="20"/>
        </w:rPr>
        <w:t>SUCCESSFUL DEFENSE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pStyle w:val="TextBody"/>
        <w:spacing w:lineRule="auto" w:line="288" w:before="0" w:after="180"/>
        <w:ind w:left="0" w:right="0" w:firstLine="720"/>
        <w:rPr/>
      </w:pPr>
      <w:r>
        <w:rPr>
          <w:rFonts w:ascii="Times New Roman;sans-serif" w:hAnsi="Times New Roman;sans-serif"/>
          <w:b w:val="false"/>
          <w:color w:val="000000"/>
          <w:sz w:val="20"/>
        </w:rPr>
        <w:t>8.4</w:t>
      </w:r>
      <w:r>
        <w:rPr>
          <w:rFonts w:ascii="Times New Roman;sans-serif" w:hAnsi="Times New Roman;sans-serif"/>
          <w:b w:val="false"/>
          <w:color w:val="000000"/>
          <w:sz w:val="20"/>
        </w:rPr>
        <w:t>INDEMNIFICATION OF OTHERS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pStyle w:val="TextBody"/>
        <w:spacing w:lineRule="auto" w:line="288" w:before="0" w:after="180"/>
        <w:ind w:left="0" w:right="0" w:firstLine="720"/>
        <w:rPr/>
      </w:pPr>
      <w:r>
        <w:rPr>
          <w:rFonts w:ascii="Times New Roman;sans-serif" w:hAnsi="Times New Roman;sans-serif"/>
          <w:b w:val="false"/>
          <w:color w:val="000000"/>
          <w:sz w:val="20"/>
        </w:rPr>
        <w:t>8.5</w:t>
      </w:r>
      <w:r>
        <w:rPr>
          <w:rFonts w:ascii="Times New Roman;sans-serif" w:hAnsi="Times New Roman;sans-serif"/>
          <w:b w:val="false"/>
          <w:color w:val="000000"/>
          <w:sz w:val="20"/>
        </w:rPr>
        <w:t>ADVANCED PAYMENT OF EXPENSES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unless otherwise determined pursuant to Section 8.8, no advance shall be made by the Company to an officer of the Company (except by reason of the fact that such officer is or was a </w:t>
      </w:r>
    </w:p>
    <w:p>
      <w:pPr>
        <w:pStyle w:val="HorizontalLine"/>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685"/>
                <wp:effectExtent l="0" t="0" r="0" b="0"/>
                <wp:wrapNone/>
                <wp:docPr id="548" name="Frame5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pStyle w:val="TextBody"/>
        <w:spacing w:lineRule="auto" w:line="288" w:before="0" w:after="180"/>
        <w:ind w:left="0" w:right="0" w:firstLine="720"/>
        <w:rPr/>
      </w:pPr>
      <w:r>
        <w:rPr>
          <w:rFonts w:ascii="Times New Roman;sans-serif" w:hAnsi="Times New Roman;sans-serif"/>
          <w:b w:val="false"/>
          <w:color w:val="000000"/>
          <w:sz w:val="20"/>
        </w:rPr>
        <w:t>8.6</w:t>
      </w:r>
      <w:r>
        <w:rPr>
          <w:rFonts w:ascii="Times New Roman;sans-serif" w:hAnsi="Times New Roman;sans-serif"/>
          <w:b w:val="false"/>
          <w:color w:val="000000"/>
          <w:sz w:val="20"/>
        </w:rPr>
        <w:t>LIMITATION OF INDEMNIFICATION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requirements in Section 8.3 and the DGCL, the Company shall not be obligated to indemnify any person pursuant to this Article VIII in connection with any Proceeding (or any part of any Proceeding):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for which payment has actually been made to or on behalf of such person under any statute, insurance policy, indemnity provision, vote or otherwise, except with respect to any excess beyond the amount paid;</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for an accounting or disgorgement of profits pursuant to Section 16(b) of the 1934 Act, or similar provisions of federal, state or local statutory law or common law, if such person is held liable therefor (including pursuant to any settlement arrangements);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sans-serif" w:hAnsi="Times New Roman;sans-serif"/>
          <w:b/>
          <w:color w:val="000000"/>
          <w:sz w:val="20"/>
        </w:rPr>
        <w:t>Sarbanes-Oxley Act</w:t>
      </w:r>
      <w:r>
        <w:rPr>
          <w:color w:val="000000"/>
        </w:rPr>
        <w:t>”</w:t>
      </w:r>
      <w:r>
        <w:rPr>
          <w:rFonts w:ascii="Times New Roman;sans-serif" w:hAnsi="Times New Roman;sans-serif"/>
          <w:b w:val="false"/>
          <w:color w:val="000000"/>
          <w:sz w:val="20"/>
        </w:rPr>
        <w: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if prohibited by applicable law.</w:t>
      </w:r>
    </w:p>
    <w:p>
      <w:pPr>
        <w:pStyle w:val="TextBody"/>
        <w:spacing w:lineRule="auto" w:line="288" w:before="0" w:after="180"/>
        <w:ind w:left="0" w:right="0" w:firstLine="720"/>
        <w:rPr/>
      </w:pPr>
      <w:r>
        <w:rPr>
          <w:rFonts w:ascii="Times New Roman;sans-serif" w:hAnsi="Times New Roman;sans-serif"/>
          <w:b w:val="false"/>
          <w:color w:val="000000"/>
          <w:sz w:val="20"/>
        </w:rPr>
        <w:t>8.7</w:t>
      </w:r>
      <w:r>
        <w:rPr>
          <w:rFonts w:ascii="Times New Roman;sans-serif" w:hAnsi="Times New Roman;sans-serif"/>
          <w:b w:val="false"/>
          <w:color w:val="000000"/>
          <w:sz w:val="20"/>
        </w:rPr>
        <w:t>DETERMINATION; CLAIM</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pStyle w:val="TextBody"/>
        <w:spacing w:lineRule="auto" w:line="288" w:before="0" w:after="180"/>
        <w:ind w:left="0" w:right="0" w:firstLine="720"/>
        <w:rPr/>
      </w:pPr>
      <w:r>
        <w:rPr>
          <w:rFonts w:ascii="Times New Roman;sans-serif" w:hAnsi="Times New Roman;sans-serif"/>
          <w:b w:val="false"/>
          <w:color w:val="000000"/>
          <w:sz w:val="20"/>
        </w:rPr>
        <w:t>8.8</w:t>
      </w:r>
      <w:r>
        <w:rPr>
          <w:rFonts w:ascii="Times New Roman;sans-serif" w:hAnsi="Times New Roman;sans-serif"/>
          <w:b w:val="false"/>
          <w:color w:val="000000"/>
          <w:sz w:val="20"/>
        </w:rPr>
        <w:t>NON-EXCLUSIVITY OF RIGHTS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w:t>
      </w:r>
    </w:p>
    <w:p>
      <w:pPr>
        <w:pStyle w:val="HorizontalLine"/>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685"/>
                <wp:effectExtent l="0" t="0" r="0" b="0"/>
                <wp:wrapNone/>
                <wp:docPr id="549" name="Frame5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contracts with any or all of its directors, officers, employees or agents respecting indemnification and advancement of expenses, to the fullest extent not prohibited by the DGCL or other applicable law.</w:t>
      </w:r>
    </w:p>
    <w:p>
      <w:pPr>
        <w:pStyle w:val="TextBody"/>
        <w:spacing w:lineRule="auto" w:line="288" w:before="0" w:after="180"/>
        <w:ind w:left="0" w:right="0" w:firstLine="720"/>
        <w:rPr/>
      </w:pPr>
      <w:r>
        <w:rPr>
          <w:rFonts w:ascii="Times New Roman;sans-serif" w:hAnsi="Times New Roman;sans-serif"/>
          <w:b w:val="false"/>
          <w:color w:val="000000"/>
          <w:sz w:val="20"/>
        </w:rPr>
        <w:t>8.9</w:t>
      </w:r>
      <w:r>
        <w:rPr>
          <w:rFonts w:ascii="Times New Roman;sans-serif" w:hAnsi="Times New Roman;sans-serif"/>
          <w:b w:val="false"/>
          <w:color w:val="000000"/>
          <w:sz w:val="20"/>
        </w:rPr>
        <w:t>INSURANCE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pStyle w:val="TextBody"/>
        <w:spacing w:lineRule="auto" w:line="288" w:before="0" w:after="180"/>
        <w:ind w:left="0" w:right="0" w:firstLine="720"/>
        <w:rPr/>
      </w:pPr>
      <w:r>
        <w:rPr>
          <w:rFonts w:ascii="Times New Roman;sans-serif" w:hAnsi="Times New Roman;sans-serif"/>
          <w:b w:val="false"/>
          <w:color w:val="000000"/>
          <w:sz w:val="20"/>
        </w:rPr>
        <w:t>8.10</w:t>
      </w:r>
      <w:r>
        <w:rPr>
          <w:rFonts w:ascii="Times New Roman;sans-serif" w:hAnsi="Times New Roman;sans-serif"/>
          <w:b w:val="false"/>
          <w:color w:val="000000"/>
          <w:sz w:val="20"/>
        </w:rPr>
        <w:t>SURVIVAL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pStyle w:val="TextBody"/>
        <w:spacing w:lineRule="auto" w:line="288" w:before="0" w:after="180"/>
        <w:ind w:left="0" w:right="0" w:firstLine="720"/>
        <w:rPr/>
      </w:pPr>
      <w:r>
        <w:rPr>
          <w:rFonts w:ascii="Times New Roman;sans-serif" w:hAnsi="Times New Roman;sans-serif"/>
          <w:b w:val="false"/>
          <w:color w:val="000000"/>
          <w:sz w:val="20"/>
        </w:rPr>
        <w:t>8.11</w:t>
      </w:r>
      <w:r>
        <w:rPr>
          <w:rFonts w:ascii="Times New Roman;sans-serif" w:hAnsi="Times New Roman;sans-serif"/>
          <w:b w:val="false"/>
          <w:color w:val="000000"/>
          <w:sz w:val="20"/>
        </w:rPr>
        <w:t>EFFECT OF REPEAL OR MODIFICATION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spacing w:lineRule="auto" w:line="288" w:before="0" w:after="180"/>
        <w:ind w:left="0" w:right="0" w:firstLine="720"/>
        <w:rPr/>
      </w:pPr>
      <w:r>
        <w:rPr>
          <w:rFonts w:ascii="Times New Roman;sans-serif" w:hAnsi="Times New Roman;sans-serif"/>
          <w:b w:val="false"/>
          <w:color w:val="000000"/>
          <w:sz w:val="20"/>
        </w:rPr>
        <w:t>8.12</w:t>
      </w:r>
      <w:r>
        <w:rPr>
          <w:rFonts w:ascii="Times New Roman;sans-serif" w:hAnsi="Times New Roman;sans-serif"/>
          <w:b w:val="false"/>
          <w:color w:val="000000"/>
          <w:sz w:val="20"/>
        </w:rPr>
        <w:t>CERTAIN DEFINITIONS</w:t>
      </w:r>
    </w:p>
    <w:p>
      <w:pPr>
        <w:pStyle w:val="TextBody"/>
        <w:spacing w:lineRule="auto" w:line="288" w:before="0" w:after="180"/>
        <w:ind w:left="0" w:right="0" w:firstLine="720"/>
        <w:rPr/>
      </w:pPr>
      <w:r>
        <w:rPr>
          <w:rFonts w:ascii="Times New Roman;sans-serif" w:hAnsi="Times New Roman;sans-serif"/>
          <w:b w:val="false"/>
          <w:color w:val="000000"/>
          <w:sz w:val="20"/>
        </w:rPr>
        <w:t>For purposes of this Article VIII, references to the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sans-serif" w:hAnsi="Times New Roman;sans-serif"/>
          <w:b/>
          <w:color w:val="000000"/>
          <w:sz w:val="20"/>
        </w:rPr>
        <w:t>other enterprises</w:t>
      </w:r>
      <w:r>
        <w:rPr>
          <w:color w:val="000000"/>
        </w:rPr>
        <w:t xml:space="preserve">” </w:t>
      </w:r>
      <w:r>
        <w:rPr>
          <w:rFonts w:ascii="Times New Roman;sans-serif" w:hAnsi="Times New Roman;sans-serif"/>
          <w:b w:val="false"/>
          <w:color w:val="000000"/>
          <w:sz w:val="20"/>
        </w:rPr>
        <w:t>shall include employee benefit plans; references to “</w:t>
      </w:r>
      <w:r>
        <w:rPr>
          <w:rFonts w:ascii="Times New Roman;sans-serif" w:hAnsi="Times New Roman;sans-serif"/>
          <w:b/>
          <w:color w:val="000000"/>
          <w:sz w:val="20"/>
        </w:rPr>
        <w:t>fines</w:t>
      </w:r>
      <w:r>
        <w:rPr>
          <w:color w:val="000000"/>
        </w:rPr>
        <w:t xml:space="preserve">” </w:t>
      </w:r>
      <w:r>
        <w:rPr>
          <w:rFonts w:ascii="Times New Roman;sans-serif" w:hAnsi="Times New Roman;sans-serif"/>
          <w:b w:val="false"/>
          <w:color w:val="000000"/>
          <w:sz w:val="20"/>
        </w:rPr>
        <w:t>shall include any excise taxes assessed on a person with respect to an employee benefit plan; and references to “</w:t>
      </w:r>
      <w:r>
        <w:rPr>
          <w:rFonts w:ascii="Times New Roman;sans-serif" w:hAnsi="Times New Roman;sans-serif"/>
          <w:b/>
          <w:color w:val="000000"/>
          <w:sz w:val="20"/>
        </w:rPr>
        <w:t>serving at the request of the Compan</w:t>
      </w:r>
      <w:r>
        <w:rPr>
          <w:rFonts w:ascii="Times New Roman;sans-serif" w:hAnsi="Times New Roman;sans-serif"/>
          <w:b w:val="false"/>
          <w:color w:val="000000"/>
          <w:sz w:val="20"/>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sans-serif" w:hAnsi="Times New Roman;sans-serif"/>
          <w:b/>
          <w:color w:val="000000"/>
          <w:sz w:val="20"/>
        </w:rPr>
        <w:t>not opposed to the best interests of the Company</w:t>
      </w:r>
      <w:r>
        <w:rPr>
          <w:color w:val="000000"/>
        </w:rPr>
        <w:t xml:space="preserve">” </w:t>
      </w:r>
      <w:r>
        <w:rPr>
          <w:rFonts w:ascii="Times New Roman;sans-serif" w:hAnsi="Times New Roman;sans-serif"/>
          <w:b w:val="false"/>
          <w:color w:val="000000"/>
          <w:sz w:val="20"/>
        </w:rPr>
        <w:t>as referred to in this Article VIII.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IX - GENERAL MATTERS</w:t>
      </w:r>
    </w:p>
    <w:p>
      <w:pPr>
        <w:pStyle w:val="TextBody"/>
        <w:spacing w:lineRule="auto" w:line="288" w:before="0" w:after="180"/>
        <w:ind w:left="0" w:right="0" w:firstLine="720"/>
        <w:rPr/>
      </w:pPr>
      <w:r>
        <w:rPr>
          <w:rFonts w:ascii="Times New Roman;sans-serif" w:hAnsi="Times New Roman;sans-serif"/>
          <w:b w:val="false"/>
          <w:color w:val="000000"/>
          <w:sz w:val="20"/>
        </w:rPr>
        <w:t>9.1</w:t>
      </w:r>
      <w:r>
        <w:rPr>
          <w:rFonts w:ascii="Times New Roman;sans-serif" w:hAnsi="Times New Roman;sans-serif"/>
          <w:b w:val="false"/>
          <w:color w:val="000000"/>
          <w:sz w:val="20"/>
        </w:rPr>
        <w:t>EXECUTION OF CORPORATE CONTRACTS AND INSTRUMENTS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pStyle w:val="HorizontalLine"/>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685"/>
                <wp:effectExtent l="0" t="0" r="0" b="0"/>
                <wp:wrapNone/>
                <wp:docPr id="550" name="Frame5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9.2</w:t>
      </w:r>
      <w:r>
        <w:rPr>
          <w:rFonts w:ascii="Times New Roman;sans-serif" w:hAnsi="Times New Roman;sans-serif"/>
          <w:b w:val="false"/>
          <w:color w:val="000000"/>
          <w:sz w:val="20"/>
        </w:rPr>
        <w:t>FISCAL YEAR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fiscal year of the Company shall be fixed by resolution of the Board of Directors and may be changed by the Board of Directors.</w:t>
      </w:r>
    </w:p>
    <w:p>
      <w:pPr>
        <w:pStyle w:val="TextBody"/>
        <w:spacing w:lineRule="auto" w:line="288" w:before="0" w:after="180"/>
        <w:ind w:left="0" w:right="0" w:firstLine="720"/>
        <w:rPr/>
      </w:pPr>
      <w:r>
        <w:rPr>
          <w:rFonts w:ascii="Times New Roman;sans-serif" w:hAnsi="Times New Roman;sans-serif"/>
          <w:b w:val="false"/>
          <w:color w:val="000000"/>
          <w:sz w:val="20"/>
        </w:rPr>
        <w:t>9.3</w:t>
      </w:r>
      <w:r>
        <w:rPr>
          <w:rFonts w:ascii="Times New Roman;sans-serif" w:hAnsi="Times New Roman;sans-serif"/>
          <w:b w:val="false"/>
          <w:color w:val="000000"/>
          <w:sz w:val="20"/>
        </w:rPr>
        <w:t>SEAL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adopt a corporate seal, which shall be adopted and which may be altered by the Board of Directors. The Company may use the corporate seal by causing it or a facsimile thereof to be impressed or affixed or in any other manner reproduced.</w:t>
      </w:r>
    </w:p>
    <w:p>
      <w:pPr>
        <w:pStyle w:val="TextBody"/>
        <w:spacing w:lineRule="auto" w:line="288" w:before="0" w:after="180"/>
        <w:ind w:left="0" w:right="0" w:firstLine="720"/>
        <w:rPr/>
      </w:pPr>
      <w:r>
        <w:rPr>
          <w:rFonts w:ascii="Times New Roman;sans-serif" w:hAnsi="Times New Roman;sans-serif"/>
          <w:b w:val="false"/>
          <w:color w:val="000000"/>
          <w:sz w:val="20"/>
        </w:rPr>
        <w:t>9.4</w:t>
      </w:r>
      <w:r>
        <w:rPr>
          <w:rFonts w:ascii="Times New Roman;sans-serif" w:hAnsi="Times New Roman;sans-serif"/>
          <w:b w:val="false"/>
          <w:color w:val="000000"/>
          <w:sz w:val="20"/>
        </w:rPr>
        <w:t>CONSTRUCTION; DEFINITIONS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pStyle w:val="TextBody"/>
        <w:spacing w:lineRule="auto" w:line="288" w:before="0" w:after="180"/>
        <w:ind w:left="0" w:right="0" w:firstLine="720"/>
        <w:rPr/>
      </w:pPr>
      <w:r>
        <w:rPr>
          <w:rFonts w:ascii="Times New Roman;sans-serif" w:hAnsi="Times New Roman;sans-serif"/>
          <w:b w:val="false"/>
          <w:color w:val="000000"/>
          <w:sz w:val="20"/>
        </w:rPr>
        <w:t>9.5</w:t>
      </w:r>
      <w:r>
        <w:rPr>
          <w:rFonts w:ascii="Times New Roman;sans-serif" w:hAnsi="Times New Roman;sans-serif"/>
          <w:b w:val="false"/>
          <w:color w:val="000000"/>
          <w:sz w:val="20"/>
        </w:rPr>
        <w:t>FORUM SELECTION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 - AMENDMENTS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551" name="Frame5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E</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lineRule="auto" w:line="288" w:before="0" w:after="180"/>
        <w:jc w:val="both"/>
        <w:rPr/>
      </w:pPr>
      <w:r>
        <w:rPr>
          <w:rFonts w:ascii="Times New Roman;sans-serif" w:hAnsi="Times New Roman;sans-serif"/>
          <w:b w:val="false"/>
          <w:color w:val="000000"/>
          <w:sz w:val="20"/>
        </w:rPr>
        <w:t>This SPONSOR LETTER AGREEMENT (this “</w:t>
      </w:r>
      <w:r>
        <w:rPr>
          <w:rFonts w:ascii="Times New Roman;sans-serif" w:hAnsi="Times New Roman;sans-serif"/>
          <w:b/>
          <w:color w:val="000000"/>
          <w:sz w:val="20"/>
          <w:u w:val="single"/>
        </w:rPr>
        <w:t>Agreement</w:t>
      </w:r>
      <w:r>
        <w:rPr>
          <w:color w:val="000000"/>
        </w:rPr>
        <w:t>”</w:t>
      </w:r>
      <w:r>
        <w:rPr>
          <w:rFonts w:ascii="Times New Roman;sans-serif" w:hAnsi="Times New Roman;sans-serif"/>
          <w:b w:val="false"/>
          <w:color w:val="000000"/>
          <w:sz w:val="20"/>
        </w:rPr>
        <w:t>), dated as of February 7, 2021, is made by and among ARYA Sciences Holdings III, an exempted company incorporated in the Cayman Islands with limited liability (the “</w:t>
      </w:r>
      <w:r>
        <w:rPr>
          <w:rFonts w:ascii="Times New Roman;sans-serif" w:hAnsi="Times New Roman;sans-serif"/>
          <w:b/>
          <w:color w:val="000000"/>
          <w:sz w:val="20"/>
          <w:u w:val="single"/>
        </w:rPr>
        <w:t>Sponsor</w:t>
      </w:r>
      <w:r>
        <w:rPr>
          <w:color w:val="000000"/>
        </w:rPr>
        <w:t>”</w:t>
      </w:r>
      <w:r>
        <w:rPr>
          <w:rFonts w:ascii="Times New Roman;sans-serif" w:hAnsi="Times New Roman;sans-serif"/>
          <w:b w:val="false"/>
          <w:color w:val="000000"/>
          <w:sz w:val="20"/>
        </w:rPr>
        <w:t>), the other holders of ARYA Class B Shares set forth on Schedule I hereto (the “</w:t>
      </w:r>
      <w:r>
        <w:rPr>
          <w:rFonts w:ascii="Times New Roman;sans-serif" w:hAnsi="Times New Roman;sans-serif"/>
          <w:b/>
          <w:color w:val="000000"/>
          <w:sz w:val="20"/>
          <w:u w:val="single"/>
        </w:rPr>
        <w:t>Other Class B Holders</w:t>
      </w:r>
      <w:r>
        <w:rPr>
          <w:color w:val="000000"/>
        </w:rPr>
        <w:t>”</w:t>
      </w:r>
      <w:r>
        <w:rPr>
          <w:rFonts w:ascii="Times New Roman;sans-serif" w:hAnsi="Times New Roman;sans-serif"/>
          <w:b w:val="false"/>
          <w:color w:val="000000"/>
          <w:sz w:val="20"/>
        </w:rPr>
        <w:t>, and together with the Sponsor, collectively, the “</w:t>
      </w:r>
      <w:r>
        <w:rPr>
          <w:rFonts w:ascii="Times New Roman;sans-serif" w:hAnsi="Times New Roman;sans-serif"/>
          <w:b/>
          <w:color w:val="000000"/>
          <w:sz w:val="20"/>
          <w:u w:val="single"/>
        </w:rPr>
        <w:t>Shareholders</w:t>
      </w:r>
      <w:r>
        <w:rPr>
          <w:color w:val="000000"/>
        </w:rPr>
        <w:t>”</w:t>
      </w:r>
      <w:r>
        <w:rPr>
          <w:rFonts w:ascii="Times New Roman;sans-serif" w:hAnsi="Times New Roman;sans-serif"/>
          <w:b w:val="false"/>
          <w:color w:val="000000"/>
          <w:sz w:val="20"/>
        </w:rPr>
        <w:t>), ARYA Sciences Acquisition Corp III, an exempted company incorporated in the Cayman Islands with limited liability (“</w:t>
      </w:r>
      <w:r>
        <w:rPr>
          <w:rFonts w:ascii="Times New Roman;sans-serif" w:hAnsi="Times New Roman;sans-serif"/>
          <w:b/>
          <w:color w:val="000000"/>
          <w:sz w:val="20"/>
          <w:u w:val="single"/>
        </w:rPr>
        <w:t>ARYA</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color w:val="000000"/>
          <w:sz w:val="20"/>
          <w:u w:val="single"/>
        </w:rPr>
        <w:t>Company</w:t>
      </w:r>
      <w:r>
        <w:rPr>
          <w:color w:val="000000"/>
        </w:rPr>
        <w:t>”</w:t>
      </w:r>
      <w:r>
        <w:rPr>
          <w:rFonts w:ascii="Times New Roman;sans-serif" w:hAnsi="Times New Roman;sans-serif"/>
          <w:b w:val="false"/>
          <w:color w:val="000000"/>
          <w:sz w:val="20"/>
        </w:rPr>
        <w:t>). The Sponsor, the Other Class B Holders, ARYA and the Company shall be referred to herein from time to time collectively as the “</w:t>
      </w:r>
      <w:r>
        <w:rPr>
          <w:rFonts w:ascii="Times New Roman;sans-serif" w:hAnsi="Times New Roman;sans-serif"/>
          <w:b/>
          <w:color w:val="000000"/>
          <w:sz w:val="20"/>
          <w:u w:val="single"/>
        </w:rPr>
        <w:t>Parties</w:t>
      </w:r>
      <w:r>
        <w:rPr>
          <w:color w:val="000000"/>
        </w:rPr>
        <w:t>”</w:t>
      </w:r>
      <w:r>
        <w:rPr>
          <w:rFonts w:ascii="Times New Roman;sans-serif" w:hAnsi="Times New Roman;sans-serif"/>
          <w:b w:val="false"/>
          <w:color w:val="000000"/>
          <w:sz w:val="20"/>
        </w:rPr>
        <w:t xml:space="preserve">. Capitalized terms used but not otherwise defined herein shall have the meanings ascribed to such terms in the Business Combination Agreement (as defined below). </w:t>
      </w:r>
    </w:p>
    <w:p>
      <w:pPr>
        <w:pStyle w:val="TextBody"/>
        <w:spacing w:lineRule="auto" w:line="288" w:before="0" w:after="180"/>
        <w:jc w:val="both"/>
        <w:rPr/>
      </w:pPr>
      <w:r>
        <w:rPr>
          <w:rFonts w:ascii="Times New Roman;sans-serif" w:hAnsi="Times New Roman;sans-serif"/>
          <w:b w:val="false"/>
          <w:color w:val="000000"/>
          <w:sz w:val="20"/>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Times New Roman;sans-serif" w:hAnsi="Times New Roman;sans-serif"/>
          <w:b/>
          <w:color w:val="000000"/>
          <w:sz w:val="20"/>
          <w:u w:val="single"/>
        </w:rPr>
        <w:t>Business Combination Agreement</w:t>
      </w:r>
      <w:r>
        <w:rPr>
          <w:color w:val="000000"/>
        </w:rPr>
        <w:t>”</w:t>
      </w:r>
      <w:r>
        <w:rPr>
          <w:rFonts w:ascii="Times New Roman;sans-serif" w:hAnsi="Times New Roman;sans-serif"/>
          <w:b w:val="false"/>
          <w:color w:val="000000"/>
          <w:sz w:val="20"/>
        </w:rPr>
        <w:t xml:space="preserve">); and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Agreement to Vote</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Times New Roman;sans-serif" w:hAnsi="Times New Roman;sans-serif"/>
          <w:b/>
          <w:color w:val="000000"/>
          <w:sz w:val="20"/>
          <w:u w:val="single"/>
        </w:rPr>
        <w:t>Subject ARYA Equity Securities</w:t>
      </w:r>
      <w:r>
        <w:rPr>
          <w:color w:val="000000"/>
        </w:rPr>
        <w:t>”</w:t>
      </w:r>
      <w:r>
        <w:rPr>
          <w:rFonts w:ascii="Times New Roman;sans-serif" w:hAnsi="Times New Roman;sans-serif"/>
          <w:b w:val="false"/>
          <w:color w:val="000000"/>
          <w:sz w:val="20"/>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pStyle w:val="TextBody"/>
        <w:spacing w:lineRule="auto" w:line="288" w:before="0" w:after="18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 </w:t>
      </w:r>
    </w:p>
    <w:p>
      <w:pPr>
        <w:pStyle w:val="HorizontalLine"/>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75260"/>
                <wp:effectExtent l="0" t="0" r="0" b="0"/>
                <wp:wrapNone/>
                <wp:docPr id="552" name="Frame5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the holders of ARYA Shares and (iii) to vote (or cause to be voted), or deliver a written consent (or withhold consent) with respect to, as applicable, the ARYA Equity Securities on the matters specified in, and in accordance and consistent with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and with respect to the matters described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The proxyholder may not exercise the proxy granted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on any matter except for those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Waiver of Anti-dilution Protection</w:t>
      </w:r>
      <w:r>
        <w:rPr>
          <w:rFonts w:ascii="Times New Roman;sans-serif" w:hAnsi="Times New Roman;sans-serif"/>
          <w:b w:val="false"/>
          <w:color w:val="000000"/>
          <w:sz w:val="20"/>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Times New Roman;sans-serif" w:hAnsi="Times New Roman;sans-serif"/>
          <w:b/>
          <w:color w:val="000000"/>
          <w:sz w:val="20"/>
          <w:u w:val="single"/>
        </w:rPr>
        <w:t>ARYA Common Stock</w:t>
      </w:r>
      <w:r>
        <w:rPr>
          <w:color w:val="000000"/>
        </w:rPr>
        <w:t>”</w:t>
      </w:r>
      <w:r>
        <w:rPr>
          <w:rFonts w:ascii="Times New Roman;sans-serif" w:hAnsi="Times New Roman;sans-serif"/>
          <w:b w:val="false"/>
          <w:color w:val="000000"/>
          <w:sz w:val="20"/>
        </w:rPr>
        <w:t>) and following the Domestication, no provision of the Pre-Closing ARYA Governing Documents, including Article 12 of the Amended and Restated Articles of Association of ARYA, will be of any force or effect with respect to the shares of ARYA Common Stock.</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Transfer of Shares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transferring Shareholder shall, and shall cause any transferee of his, her or its Subject ARYA Securities of the type set forth in clauses (1) 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Times New Roman;sans-serif" w:hAnsi="Times New Roman;sans-serif"/>
          <w:b w:val="false"/>
          <w:color w:val="000000"/>
          <w:sz w:val="20"/>
          <w:u w:val="single"/>
        </w:rPr>
        <w:t>Section 6</w:t>
      </w:r>
      <w:r>
        <w:rPr>
          <w:color w:val="000000"/>
        </w:rPr>
        <w:t xml:space="preserve"> </w:t>
      </w:r>
      <w:r>
        <w:rPr>
          <w:rFonts w:ascii="Times New Roman;sans-serif" w:hAnsi="Times New Roman;sans-serif"/>
          <w:b w:val="false"/>
          <w:color w:val="000000"/>
          <w:sz w:val="20"/>
        </w:rPr>
        <w:t xml:space="preserve">with respect to such transferee and his, her or its Subject ARYA Equity Securities received upon such Transfer, as applicable) prior and as a condition to the occurrence of such Transfer. For purposes of this Agreement, </w:t>
      </w:r>
    </w:p>
    <w:p>
      <w:pPr>
        <w:pStyle w:val="HorizontalLine"/>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553" name="Frame5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color w:val="000000"/>
        </w:rPr>
        <w:t>“</w:t>
      </w:r>
      <w:r>
        <w:rPr>
          <w:rFonts w:ascii="Times New Roman;sans-serif" w:hAnsi="Times New Roman;sans-serif"/>
          <w:b/>
          <w:color w:val="000000"/>
          <w:sz w:val="20"/>
          <w:u w:val="single"/>
        </w:rPr>
        <w:t>Transfer</w:t>
      </w:r>
      <w:r>
        <w:rPr>
          <w:color w:val="000000"/>
        </w:rPr>
        <w:t xml:space="preserve">” </w:t>
      </w:r>
      <w:r>
        <w:rPr>
          <w:rFonts w:ascii="Times New Roman;sans-serif" w:hAnsi="Times New Roman;sans-serif"/>
          <w:b w:val="false"/>
          <w:color w:val="000000"/>
          <w:sz w:val="20"/>
        </w:rPr>
        <w:t xml:space="preserve">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 </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furtherance of the foregoing, ARYA hereby agrees to (i) place a revocable stop order on all Subject ARYA Equity Securities subject to </w:t>
      </w:r>
      <w:r>
        <w:rPr>
          <w:rFonts w:ascii="Times New Roman;sans-serif" w:hAnsi="Times New Roman;sans-serif"/>
          <w:b w:val="false"/>
          <w:color w:val="000000"/>
          <w:sz w:val="20"/>
          <w:u w:val="single"/>
        </w:rPr>
        <w:t>Section 3(a)</w:t>
      </w:r>
      <w:r>
        <w:rPr>
          <w:rFonts w:ascii="Times New Roman;sans-serif" w:hAnsi="Times New Roman;sans-serif"/>
          <w:b w:val="false"/>
          <w:color w:val="000000"/>
          <w:sz w:val="20"/>
        </w:rPr>
        <w:t xml:space="preserve">, including those which may be covered by a registration statement, and (ii) notify ARYA’s transfer agent in writing of such stop order and the restrictions on such Subject ARYA Equity Securities under </w:t>
      </w:r>
      <w:r>
        <w:rPr>
          <w:rFonts w:ascii="Times New Roman;sans-serif" w:hAnsi="Times New Roman;sans-serif"/>
          <w:b w:val="false"/>
          <w:color w:val="000000"/>
          <w:sz w:val="20"/>
          <w:u w:val="single"/>
        </w:rPr>
        <w:t>Section 3(a)</w:t>
      </w:r>
      <w:r>
        <w:rPr>
          <w:color w:val="000000"/>
        </w:rPr>
        <w:t xml:space="preserve"> </w:t>
      </w:r>
      <w:r>
        <w:rPr>
          <w:rFonts w:ascii="Times New Roman;sans-serif" w:hAnsi="Times New Roman;sans-serif"/>
          <w:b w:val="false"/>
          <w:color w:val="000000"/>
          <w:sz w:val="20"/>
        </w:rPr>
        <w:t xml:space="preserve">and direct ARYA’s transfer agent not to process any attempts by any such Shareholder to Transfer any Subject ARYA Equity Securities except in compliance with </w:t>
      </w:r>
      <w:r>
        <w:rPr>
          <w:rFonts w:ascii="Times New Roman;sans-serif" w:hAnsi="Times New Roman;sans-serif"/>
          <w:b w:val="false"/>
          <w:color w:val="000000"/>
          <w:sz w:val="20"/>
          <w:u w:val="single"/>
        </w:rPr>
        <w:t>Section 3(a)</w:t>
      </w:r>
      <w:r>
        <w:rPr>
          <w:rFonts w:ascii="Times New Roman;sans-serif" w:hAnsi="Times New Roman;sans-serif"/>
          <w:b w:val="false"/>
          <w:color w:val="000000"/>
          <w:sz w:val="20"/>
        </w:rPr>
        <w:t xml:space="preserve">; for the avoidance of doubt, the obligations of ARYA under this </w:t>
      </w:r>
      <w:r>
        <w:rPr>
          <w:rFonts w:ascii="Times New Roman;sans-serif" w:hAnsi="Times New Roman;sans-serif"/>
          <w:b w:val="false"/>
          <w:color w:val="000000"/>
          <w:sz w:val="20"/>
          <w:u w:val="single"/>
        </w:rPr>
        <w:t>Section 3(b)</w:t>
      </w:r>
      <w:r>
        <w:rPr>
          <w:color w:val="000000"/>
        </w:rPr>
        <w:t xml:space="preserve"> </w:t>
      </w:r>
      <w:r>
        <w:rPr>
          <w:rFonts w:ascii="Times New Roman;sans-serif" w:hAnsi="Times New Roman;sans-serif"/>
          <w:b w:val="false"/>
          <w:color w:val="000000"/>
          <w:sz w:val="20"/>
        </w:rPr>
        <w:t>shall be deemed to be satisfied by the existence of any similar stop order or restrictions currently existing on the Subject ARYA Equity Securities.</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Other Covenants</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Each Shareholder hereby agrees that it shall not exercise or submit a request to exercise the ARYA Shareholder Redemption with respect to any ARYA Class A Shares held by him, her or it.</w:t>
      </w:r>
    </w:p>
    <w:p>
      <w:pPr>
        <w:pStyle w:val="TextBody"/>
        <w:spacing w:lineRule="auto" w:line="288" w:before="0" w:after="18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Termination of Lock-up Period</w:t>
      </w:r>
      <w:r>
        <w:rPr>
          <w:rFonts w:ascii="Times New Roman;sans-serif" w:hAnsi="Times New Roman;sans-serif"/>
          <w:b w:val="false"/>
          <w:color w:val="000000"/>
          <w:sz w:val="20"/>
        </w:rPr>
        <w:t>. Each of the Shareholders hereby agrees that subject to, and conditioned upon the occurrence and effective as of, the Closing, Section 5 of that certain Letter Agreement, dated August 6, 2020 (the “</w:t>
      </w:r>
      <w:r>
        <w:rPr>
          <w:rFonts w:ascii="Times New Roman;sans-serif" w:hAnsi="Times New Roman;sans-serif"/>
          <w:b/>
          <w:color w:val="000000"/>
          <w:sz w:val="20"/>
          <w:u w:val="single"/>
        </w:rPr>
        <w:t>Insider Letter Agreemen</w:t>
      </w:r>
      <w:r>
        <w:rPr>
          <w:rFonts w:ascii="Times New Roman;sans-serif" w:hAnsi="Times New Roman;sans-serif"/>
          <w:b w:val="false"/>
          <w:color w:val="000000"/>
          <w:sz w:val="20"/>
        </w:rPr>
        <w:t>t”), by and among ARYA, the Shareholders and the other members of the ARYA Board, shall be amended and restated in its entirety as follows:</w:t>
      </w:r>
    </w:p>
    <w:p>
      <w:pPr>
        <w:pStyle w:val="TextBody"/>
        <w:spacing w:lineRule="auto" w:line="288" w:before="0" w:after="180"/>
        <w:jc w:val="center"/>
        <w:rPr/>
      </w:pPr>
      <w:r>
        <w:rPr>
          <w:color w:val="000000"/>
        </w:rPr>
        <w:t>“</w:t>
      </w:r>
      <w:r>
        <w:rPr>
          <w:rFonts w:ascii="Times New Roman;sans-serif" w:hAnsi="Times New Roman;sans-serif"/>
          <w:b w:val="false"/>
          <w:color w:val="000000"/>
          <w:sz w:val="20"/>
        </w:rPr>
        <w:t>5.    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 xml:space="preserve">The amendment and restatement of the Insider Letter Agreement set forth in this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shall be void and of no force and effect if the Business Combination Agreement is terminated in accordance with its terms. </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Each Shareholder represents and warrants, solely with respect to himself, herself or itself and not any of the other Shareholders, to the Company as follows: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 </w:t>
      </w:r>
    </w:p>
    <w:p>
      <w:pPr>
        <w:pStyle w:val="HorizontalLine"/>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554" name="Frame5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 </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Times New Roman;sans-serif" w:hAnsi="Times New Roman;sans-serif"/>
          <w:b w:val="false"/>
          <w:color w:val="000000"/>
          <w:sz w:val="20"/>
          <w:u w:val="single"/>
        </w:rPr>
        <w:t>Schedule II</w:t>
      </w:r>
      <w:r>
        <w:rPr>
          <w:color w:val="000000"/>
        </w:rPr>
        <w:t xml:space="preserve"> </w:t>
      </w:r>
      <w:r>
        <w:rPr>
          <w:rFonts w:ascii="Times New Roman;sans-serif" w:hAnsi="Times New Roman;sans-serif"/>
          <w:b w:val="false"/>
          <w:color w:val="000000"/>
          <w:sz w:val="20"/>
        </w:rPr>
        <w:t>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Such Shareholder, on his, her or its own behalf and on behalf of his, her or its Representatives, acknowledges, represents, warrants and agrees that (i) he, she or it has conducted his, her or its own independent </w:t>
      </w:r>
    </w:p>
    <w:p>
      <w:pPr>
        <w:pStyle w:val="HorizontalLine"/>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555" name="Frame5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This Agreement shall automatically terminate, without any notice or other action by any Party, and be void </w:t>
      </w:r>
      <w:r>
        <w:rPr>
          <w:rFonts w:ascii="Times New Roman;sans-serif" w:hAnsi="Times New Roman;sans-serif"/>
          <w:b w:val="false"/>
          <w:i/>
          <w:color w:val="000000"/>
          <w:sz w:val="20"/>
        </w:rPr>
        <w:t>ab initio</w:t>
      </w:r>
      <w:r>
        <w:rPr>
          <w:color w:val="000000"/>
        </w:rPr>
        <w:t xml:space="preserve"> </w:t>
      </w:r>
      <w:r>
        <w:rPr>
          <w:rFonts w:ascii="Times New Roman;sans-serif" w:hAnsi="Times New Roman;sans-serif"/>
          <w:b w:val="false"/>
          <w:color w:val="000000"/>
          <w:sz w:val="20"/>
        </w:rPr>
        <w:t xml:space="preserve">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sans-serif" w:hAnsi="Times New Roman;sans-serif"/>
          <w:b w:val="false"/>
          <w:color w:val="000000"/>
          <w:sz w:val="20"/>
          <w:u w:val="single"/>
        </w:rPr>
        <w:t>Section 7(b)</w:t>
      </w:r>
      <w:r>
        <w:rPr>
          <w:color w:val="000000"/>
        </w:rPr>
        <w:t xml:space="preserve"> </w:t>
      </w:r>
      <w:r>
        <w:rPr>
          <w:rFonts w:ascii="Times New Roman;sans-serif" w:hAnsi="Times New Roman;sans-serif"/>
          <w:b w:val="false"/>
          <w:color w:val="000000"/>
          <w:sz w:val="20"/>
        </w:rPr>
        <w:t xml:space="preserve">shall not affect any Liability on the part of any Party for a Willful Breach of any covenant or agreement set forth in this Agreement prior to such termination, (ii)  </w:t>
      </w:r>
      <w:r>
        <w:rPr>
          <w:rFonts w:ascii="Times New Roman;sans-serif" w:hAnsi="Times New Roman;sans-serif"/>
          <w:b w:val="false"/>
          <w:color w:val="000000"/>
          <w:sz w:val="20"/>
          <w:u w:val="single"/>
        </w:rPr>
        <w:t>Section 4(a)(i)</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 xml:space="preserve">(Confidentiality and Access to Information) of the Business Combination Agreement) and the representations and warranties set forth in </w:t>
      </w:r>
      <w:r>
        <w:rPr>
          <w:rFonts w:ascii="Times New Roman;sans-serif" w:hAnsi="Times New Roman;sans-serif"/>
          <w:b w:val="false"/>
          <w:color w:val="000000"/>
          <w:sz w:val="20"/>
          <w:u w:val="single"/>
        </w:rPr>
        <w:t>Sections 6(g)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shall each survive the termination of this Agreement, (iii) </w:t>
      </w:r>
      <w:r>
        <w:rPr>
          <w:rFonts w:ascii="Times New Roman;sans-serif" w:hAnsi="Times New Roman;sans-serif"/>
          <w:b w:val="false"/>
          <w:color w:val="000000"/>
          <w:sz w:val="20"/>
          <w:u w:val="single"/>
        </w:rPr>
        <w:t>Section 4(a)(i)</w:t>
      </w:r>
      <w:r>
        <w:rPr>
          <w:color w:val="000000"/>
        </w:rPr>
        <w:t xml:space="preserve"> </w:t>
      </w:r>
      <w:r>
        <w:rPr>
          <w:rFonts w:ascii="Times New Roman;sans-serif" w:hAnsi="Times New Roman;sans-serif"/>
          <w:b w:val="false"/>
          <w:color w:val="000000"/>
          <w:sz w:val="20"/>
        </w:rPr>
        <w:t xml:space="preserve">(solely to the extent that it relates to Section 5.4(a) (Public Announcements) of the Business Combination Agreement) and </w:t>
      </w:r>
      <w:r>
        <w:rPr>
          <w:rFonts w:ascii="Times New Roman;sans-serif" w:hAnsi="Times New Roman;sans-serif"/>
          <w:b w:val="false"/>
          <w:color w:val="000000"/>
          <w:sz w:val="20"/>
          <w:u w:val="single"/>
        </w:rPr>
        <w:t>Section 18</w:t>
      </w:r>
      <w:r>
        <w:rPr>
          <w:color w:val="000000"/>
        </w:rPr>
        <w:t xml:space="preserve"> </w:t>
      </w:r>
      <w:r>
        <w:rPr>
          <w:rFonts w:ascii="Times New Roman;sans-serif" w:hAnsi="Times New Roman;sans-serif"/>
          <w:b w:val="false"/>
          <w:color w:val="000000"/>
          <w:sz w:val="20"/>
        </w:rPr>
        <w:t xml:space="preserve">shall each survive the termination of this Agreement pursuant to </w:t>
      </w:r>
      <w:r>
        <w:rPr>
          <w:rFonts w:ascii="Times New Roman;sans-serif" w:hAnsi="Times New Roman;sans-serif"/>
          <w:b w:val="false"/>
          <w:color w:val="000000"/>
          <w:sz w:val="20"/>
          <w:u w:val="single"/>
        </w:rPr>
        <w:t>Section 7(a)</w:t>
      </w:r>
      <w:r>
        <w:rPr>
          <w:rFonts w:ascii="Times New Roman;sans-serif" w:hAnsi="Times New Roman;sans-serif"/>
          <w:b w:val="false"/>
          <w:color w:val="000000"/>
          <w:sz w:val="20"/>
        </w:rPr>
        <w:t xml:space="preserve">, and (iv)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17</w:t>
      </w:r>
      <w:r>
        <w:rPr>
          <w:color w:val="000000"/>
        </w:rPr>
        <w:t xml:space="preserve"> </w:t>
      </w:r>
      <w:r>
        <w:rPr>
          <w:rFonts w:ascii="Times New Roman;sans-serif" w:hAnsi="Times New Roman;sans-serif"/>
          <w:b w:val="false"/>
          <w:color w:val="000000"/>
          <w:sz w:val="20"/>
        </w:rPr>
        <w:t xml:space="preserve">and Sections </w:t>
      </w:r>
      <w:r>
        <w:rPr>
          <w:rFonts w:ascii="Times New Roman;sans-serif" w:hAnsi="Times New Roman;sans-serif"/>
          <w:b w:val="false"/>
          <w:color w:val="000000"/>
          <w:sz w:val="20"/>
          <w:u w:val="single"/>
        </w:rPr>
        <w:t>10</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19</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 xml:space="preserve">24 </w:t>
      </w:r>
      <w:r>
        <w:rPr>
          <w:rFonts w:ascii="Times New Roman;sans-serif" w:hAnsi="Times New Roman;sans-serif"/>
          <w:b w:val="false"/>
          <w:color w:val="000000"/>
          <w:sz w:val="20"/>
        </w:rPr>
        <w:t xml:space="preserve">(to the extent related to any of the provisions that survive the termination of this Agreement) shall survive any termination of this Agreement. For purposes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 “</w:t>
      </w:r>
      <w:r>
        <w:rPr>
          <w:rFonts w:ascii="Times New Roman;sans-serif" w:hAnsi="Times New Roman;sans-serif"/>
          <w:b/>
          <w:color w:val="000000"/>
          <w:sz w:val="20"/>
          <w:u w:val="single"/>
        </w:rPr>
        <w:t>Willful Breach”</w:t>
      </w:r>
      <w:r>
        <w:rPr>
          <w:color w:val="000000"/>
        </w:rPr>
        <w:t xml:space="preserve"> </w:t>
      </w:r>
      <w:r>
        <w:rPr>
          <w:rFonts w:ascii="Times New Roman;sans-serif" w:hAnsi="Times New Roman;sans-serif"/>
          <w:b w:val="false"/>
          <w:color w:val="000000"/>
          <w:sz w:val="20"/>
        </w:rPr>
        <w:t>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sans-serif" w:hAnsi="Times New Roman;sans-serif"/>
          <w:b/>
          <w:color w:val="000000"/>
          <w:sz w:val="20"/>
          <w:u w:val="single"/>
        </w:rPr>
        <w:t>Fraud</w:t>
      </w:r>
      <w:r>
        <w:rPr>
          <w:color w:val="000000"/>
        </w:rPr>
        <w:t xml:space="preserve">” </w:t>
      </w:r>
      <w:r>
        <w:rPr>
          <w:rFonts w:ascii="Times New Roman;sans-serif" w:hAnsi="Times New Roman;sans-serif"/>
          <w:b w:val="false"/>
          <w:color w:val="000000"/>
          <w:sz w:val="20"/>
        </w:rPr>
        <w:t xml:space="preserve">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w:t>
      </w:r>
    </w:p>
    <w:p>
      <w:pPr>
        <w:pStyle w:val="HorizontalLine"/>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556" name="Frame5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promissory fraud, unfair dealings fraud or any torts (including a claim for fraud or alleged fraud) based on negligence or recklessness.</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No Recourse</w:t>
      </w:r>
      <w:r>
        <w:rPr>
          <w:rFonts w:ascii="Times New Roman;sans-serif" w:hAnsi="Times New Roman;sans-serif"/>
          <w:b w:val="false"/>
          <w:color w:val="000000"/>
          <w:sz w:val="20"/>
        </w:rPr>
        <w:t xml:space="preserve">.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 </w:t>
      </w:r>
    </w:p>
    <w:p>
      <w:pPr>
        <w:pStyle w:val="TextBody"/>
        <w:spacing w:lineRule="auto" w:line="288" w:before="0" w:after="18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Fiduciary Duties</w:t>
      </w:r>
      <w:r>
        <w:rPr>
          <w:rFonts w:ascii="Times New Roman;sans-serif" w:hAnsi="Times New Roman;sans-serif"/>
          <w:b w:val="false"/>
          <w:color w:val="000000"/>
          <w:sz w:val="20"/>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 (b) 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pStyle w:val="TextBody"/>
        <w:spacing w:lineRule="auto" w:line="288" w:before="0" w:after="18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No Third Party Beneficiaries</w:t>
      </w:r>
      <w:r>
        <w:rPr>
          <w:rFonts w:ascii="Times New Roman;sans-serif" w:hAnsi="Times New Roman;sans-serif"/>
          <w:b w:val="false"/>
          <w:color w:val="000000"/>
          <w:sz w:val="20"/>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pStyle w:val="TextBody"/>
        <w:spacing w:lineRule="auto" w:line="288" w:before="0" w:after="18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any Shareholder,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Michael Altman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altman@perceptivelife.com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p>
    <w:p>
      <w:pPr>
        <w:pStyle w:val="HorizontalLine"/>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557" name="Frame5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Kirkland &amp; Ellis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601 Lexington Avenue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Jonathan Davis,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Ryan Brissette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jonathan.davis@kirkland.com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the Company,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 Box 22027</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Seattle, WA 98122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Sujal Patel, Chief Executive Officer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smpatel@nautilus.bio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Kornegay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T. Ishii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Brian Keyes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rishii@wsgr.com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bkeyes@wsgr.com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previously furnished to the others in writing in the manner set forth above.</w:t>
      </w:r>
    </w:p>
    <w:p>
      <w:pPr>
        <w:pStyle w:val="TextBody"/>
        <w:spacing w:lineRule="auto" w:line="288" w:before="0" w:after="18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Amendments and Waivers</w:t>
      </w:r>
      <w:r>
        <w:rPr>
          <w:rFonts w:ascii="Times New Roman;sans-serif" w:hAnsi="Times New Roman;sans-serif"/>
          <w:b w:val="false"/>
          <w:color w:val="000000"/>
          <w:sz w:val="20"/>
        </w:rPr>
        <w:t xml:space="preserve">; Assignment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Times New Roman;sans-serif" w:hAnsi="Times New Roman;sans-serif"/>
          <w:b w:val="false"/>
          <w:color w:val="000000"/>
          <w:sz w:val="20"/>
          <w:u w:val="single"/>
        </w:rPr>
        <w:t xml:space="preserve">Section 13 </w:t>
      </w:r>
      <w:r>
        <w:rPr>
          <w:rFonts w:ascii="Times New Roman;sans-serif" w:hAnsi="Times New Roman;sans-serif"/>
          <w:b w:val="false"/>
          <w:color w:val="000000"/>
          <w:sz w:val="20"/>
        </w:rPr>
        <w:t>shall be void.</w:t>
      </w:r>
    </w:p>
    <w:p>
      <w:pPr>
        <w:pStyle w:val="TextBody"/>
        <w:spacing w:lineRule="auto" w:line="288" w:before="0" w:after="18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Fees and Expenses</w:t>
      </w:r>
      <w:r>
        <w:rPr>
          <w:rFonts w:ascii="Times New Roman;sans-serif" w:hAnsi="Times New Roman;sans-serif"/>
          <w:b w:val="false"/>
          <w:color w:val="000000"/>
          <w:sz w:val="20"/>
        </w:rPr>
        <w:t xml:space="preserve">. All fees and expenses incurred in connection with this Agreement and the transactions contemplated hereby, including the fees and disbursements of counsel, financial advisors and accountants, shall be paid by the Party incurring such fees or expenses; provided, that, any such fees and expenses incurred by the Shareholders shall be deemed to be ARYA Expenses. </w:t>
      </w:r>
    </w:p>
    <w:p>
      <w:pPr>
        <w:pStyle w:val="HorizontalLine"/>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558" name="Frame5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pStyle w:val="TextBody"/>
        <w:spacing w:lineRule="auto" w:line="288" w:before="0" w:after="18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No Ownership Interest</w:t>
      </w:r>
      <w:r>
        <w:rPr>
          <w:rFonts w:ascii="Times New Roman;sans-serif" w:hAnsi="Times New Roman;sans-serif"/>
          <w:b w:val="false"/>
          <w:color w:val="000000"/>
          <w:sz w:val="20"/>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xml:space="preserve">, such Shareholder shall not be restricted from voting in favor of, against or abstaining with respect to or giving (or withholding) its written consent to any other matters presented to the shareholders of ARYA. </w:t>
      </w:r>
    </w:p>
    <w:p>
      <w:pPr>
        <w:pStyle w:val="TextBody"/>
        <w:spacing w:lineRule="auto" w:line="288" w:before="0" w:after="18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Acknowledgements</w:t>
      </w:r>
      <w:r>
        <w:rPr>
          <w:rFonts w:ascii="Times New Roman;sans-serif" w:hAnsi="Times New Roman;sans-serif"/>
          <w:b w:val="false"/>
          <w:color w:val="000000"/>
          <w:sz w:val="20"/>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 (c) 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pStyle w:val="TextBody"/>
        <w:spacing w:lineRule="auto" w:line="288" w:before="0" w:after="180"/>
        <w:ind w:left="0" w:right="0" w:firstLine="72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Non-Survival</w:t>
      </w:r>
      <w:r>
        <w:rPr>
          <w:rFonts w:ascii="Times New Roman;sans-serif" w:hAnsi="Times New Roman;sans-serif"/>
          <w:b w:val="false"/>
          <w:color w:val="000000"/>
          <w:sz w:val="20"/>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72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spacing w:lineRule="auto" w:line="288" w:before="0" w:after="180"/>
        <w:ind w:left="0" w:right="0" w:firstLine="72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Construction; Interpretation</w:t>
      </w:r>
      <w:r>
        <w:rPr>
          <w:rFonts w:ascii="Times New Roman;sans-serif" w:hAnsi="Times New Roman;sans-serif"/>
          <w:b w:val="false"/>
          <w:color w:val="000000"/>
          <w:sz w:val="20"/>
        </w:rPr>
        <w:t xml:space="preserve">.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w:t>
      </w:r>
    </w:p>
    <w:p>
      <w:pPr>
        <w:pStyle w:val="HorizontalLine"/>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559" name="Frame5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0"/>
        </w:rPr>
        <w:t>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Counterparts; Electronic Signatures</w:t>
      </w:r>
      <w:r>
        <w:rPr>
          <w:rFonts w:ascii="Times New Roman;sans-serif" w:hAnsi="Times New Roman;sans-serif"/>
          <w:b w:val="false"/>
          <w:color w:val="000000"/>
          <w:sz w:val="20"/>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Times New Roman;sans-serif" w:hAnsi="Times New Roman;sans-serif"/>
          <w:b w:val="false"/>
          <w:color w:val="000000"/>
          <w:sz w:val="20"/>
          <w:u w:val="single"/>
        </w:rPr>
        <w:t>23</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Submission to Jurisdiction</w:t>
      </w:r>
      <w:r>
        <w:rPr>
          <w:rFonts w:ascii="Times New Roman;sans-serif" w:hAnsi="Times New Roman;sans-serif"/>
          <w:b w:val="false"/>
          <w:color w:val="000000"/>
          <w:sz w:val="20"/>
        </w:rPr>
        <w:t xml:space="preserve">.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w:t>
      </w:r>
    </w:p>
    <w:p>
      <w:pPr>
        <w:pStyle w:val="HorizontalLine"/>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560" name="Frame5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 xml:space="preserve">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sans-serif" w:hAnsi="Times New Roman;sans-serif"/>
          <w:b w:val="false"/>
          <w:color w:val="000000"/>
          <w:sz w:val="20"/>
          <w:u w:val="single"/>
        </w:rPr>
        <w:t>Section 24</w:t>
      </w:r>
      <w:r>
        <w:rPr>
          <w:color w:val="000000"/>
        </w:rPr>
        <w:t xml:space="preserve"> </w:t>
      </w:r>
      <w:r>
        <w:rPr>
          <w:rFonts w:ascii="Times New Roman;sans-serif" w:hAnsi="Times New Roman;sans-serif"/>
          <w:b w:val="false"/>
          <w:color w:val="000000"/>
          <w:sz w:val="20"/>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shall be effective service of process for any such Proceeding, claim, demand, action or cause of action.</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561" name="Frame5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caused this Agreement to be duly executed on its behalf as of the day and year first above written.</w:t>
      </w:r>
    </w:p>
    <w:tbl>
      <w:tblPr>
        <w:tblW w:w="4024" w:type="dxa"/>
        <w:jc w:val="right"/>
        <w:tblInd w:w="0" w:type="dxa"/>
        <w:tblCellMar>
          <w:top w:w="28" w:type="dxa"/>
          <w:left w:w="28" w:type="dxa"/>
          <w:bottom w:w="28" w:type="dxa"/>
          <w:right w:w="28" w:type="dxa"/>
        </w:tblCellMar>
      </w:tblPr>
      <w:tblGrid>
        <w:gridCol w:w="364"/>
        <w:gridCol w:w="318"/>
        <w:gridCol w:w="318"/>
        <w:gridCol w:w="318"/>
        <w:gridCol w:w="318"/>
        <w:gridCol w:w="318"/>
        <w:gridCol w:w="597"/>
        <w:gridCol w:w="597"/>
        <w:gridCol w:w="876"/>
      </w:tblGrid>
      <w:tr>
        <w:trPr/>
        <w:tc>
          <w:tcPr>
            <w:tcW w:w="3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HOLDINGS III</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ARYA SCIENCES ACQUISITION CORP III </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HorizontalLine"/>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562" name="Frame5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v:textbox>
              </v:rect>
            </w:pict>
          </mc:Fallback>
        </mc:AlternateContent>
      </w:r>
    </w:p>
    <w:p>
      <w:pPr>
        <w:pStyle w:val="TextBody"/>
        <w:spacing w:before="0" w:after="180"/>
        <w:ind w:left="0" w:right="0" w:firstLine="360"/>
        <w:rPr/>
      </w:pPr>
      <w:r>
        <w:rPr/>
      </w:r>
    </w:p>
    <w:tbl>
      <w:tblPr>
        <w:tblW w:w="3360" w:type="dxa"/>
        <w:jc w:val="right"/>
        <w:tblInd w:w="0" w:type="dxa"/>
        <w:tblCellMar>
          <w:top w:w="28" w:type="dxa"/>
          <w:left w:w="28" w:type="dxa"/>
          <w:bottom w:w="28" w:type="dxa"/>
          <w:right w:w="28" w:type="dxa"/>
        </w:tblCellMar>
      </w:tblPr>
      <w:tblGrid>
        <w:gridCol w:w="1076"/>
        <w:gridCol w:w="945"/>
        <w:gridCol w:w="1339"/>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CLASS B SHAREHOLDERS</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Saqib Islam</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Todd Wider</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Todd Wider </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Campbell</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Campbell</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563" name="Frame5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Other Class B Holders</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Bradley Campbell </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rPr>
        <w:t>Saqib Islam</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rPr>
        <w:t>Todd Wider</w:t>
      </w:r>
    </w:p>
    <w:p>
      <w:pPr>
        <w:pStyle w:val="HorizontalLine"/>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75260"/>
                <wp:effectExtent l="0" t="0" r="0" b="0"/>
                <wp:wrapNone/>
                <wp:docPr id="564" name="Frame5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II</w:t>
      </w:r>
    </w:p>
    <w:p>
      <w:pPr>
        <w:pStyle w:val="TextBody"/>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ARYA Equity Securities as of February 7, 2021</w:t>
      </w:r>
    </w:p>
    <w:tbl>
      <w:tblPr>
        <w:tblW w:w="8415" w:type="dxa"/>
        <w:jc w:val="left"/>
        <w:tblInd w:w="0" w:type="dxa"/>
        <w:tblCellMar>
          <w:top w:w="28" w:type="dxa"/>
          <w:left w:w="28" w:type="dxa"/>
          <w:bottom w:w="28" w:type="dxa"/>
          <w:right w:w="28" w:type="dxa"/>
        </w:tblCellMar>
      </w:tblPr>
      <w:tblGrid>
        <w:gridCol w:w="657"/>
        <w:gridCol w:w="578"/>
        <w:gridCol w:w="580"/>
        <w:gridCol w:w="1094"/>
        <w:gridCol w:w="1094"/>
        <w:gridCol w:w="1097"/>
        <w:gridCol w:w="970"/>
        <w:gridCol w:w="970"/>
        <w:gridCol w:w="1375"/>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Shareholder</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Number of ARYA Class A Shares</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Number of ARYA Class B Shares</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Sponsor</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499,000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3,647,500</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Bradley Campbell</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Saqib Islam</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r>
        <w:trPr/>
        <w:tc>
          <w:tcPr>
            <w:tcW w:w="18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Todd Wider</w:t>
            </w:r>
          </w:p>
        </w:tc>
        <w:tc>
          <w:tcPr>
            <w:tcW w:w="328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75260"/>
                <wp:effectExtent l="0" t="0" r="0" b="0"/>
                <wp:wrapNone/>
                <wp:docPr id="565" name="Frame5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SUBSCRIPTION AGREEMENT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ARYA Sciences Acquisition Corp III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51 Astor Place, 10th Floor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10002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Subscription Agreement (this “Subscription Agreement”) is being entered into as of the date set forth on the signature page hereto, by and between ARYA Sciences Acquisition Corp III, a Cayman Islands exempted company (“ARYA”), which shall be domesticated as a Delaware corporation prior to the closing of the Transaction (as defined herein), and the undersigned subscriber (the “Investor”), in connection with the Business Combination Agreement, dated as of the date hereof (as may be amended, supplemented or otherwise modified from time to time, the “Transaction Agreement”), by and among ARYA, Mako Merger Sub, Inc., a Delaware corporation (“Merger Sub”) and Nautilus Biotechnology, Inc., a Delaware corporation (the “Company”),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“Transaction”).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Transaction, ARYA is seeking commitments from interested investors to purchase, following the Domestication (as defined below) and prior to the closing of the Transaction, shares of ARYA’s common stock, par value $0.0001 per share (the “Shares”), in a private placement for a purchase price of $10.00 per share (the “Per Share Purchase Price”). On or about the date of this Subscription Agreement, ARYA is entering into subscription agreements (the “Other Subscription Agreements”, and together with the Subscription Agreement, the “Subscription Agreements”) with certain other investors (the “Other Investors”, and together with the Investor, the “Investors”),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“Domestication”). The aggregate purchase price to be paid by the Investor for the subscribed Shares (as set forth on the signature page hereto) is referred to herein as the “Subscription Amount.”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pStyle w:val="TextBody"/>
        <w:spacing w:lineRule="auto" w:line="288" w:before="0" w:after="18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Subscription</w:t>
      </w:r>
      <w:r>
        <w:rPr>
          <w:rFonts w:ascii="Times New Roman;sans-serif" w:hAnsi="Times New Roman;sans-serif"/>
          <w:b w:val="false"/>
          <w:color w:val="000000"/>
          <w:sz w:val="20"/>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Closing</w:t>
      </w:r>
      <w:r>
        <w:rPr>
          <w:rFonts w:ascii="Times New Roman;sans-serif" w:hAnsi="Times New Roman;sans-serif"/>
          <w:b w:val="false"/>
          <w:color w:val="000000"/>
          <w:sz w:val="20"/>
        </w:rPr>
        <w:t>. The closing of the sale, purchase and issuance of the Shares contemplated hereby (the “</w:t>
      </w:r>
      <w:r>
        <w:rPr>
          <w:rFonts w:ascii="Times New Roman;sans-serif" w:hAnsi="Times New Roman;sans-serif"/>
          <w:b w:val="false"/>
          <w:color w:val="000000"/>
          <w:sz w:val="20"/>
          <w:u w:val="single"/>
        </w:rPr>
        <w:t>Closing</w:t>
      </w:r>
      <w:r>
        <w:rPr>
          <w:color w:val="000000"/>
        </w:rPr>
        <w:t>”</w:t>
      </w:r>
      <w:r>
        <w:rPr>
          <w:rFonts w:ascii="Times New Roman;sans-serif" w:hAnsi="Times New Roman;sans-serif"/>
          <w:b w:val="false"/>
          <w:color w:val="000000"/>
          <w:sz w:val="20"/>
        </w:rPr>
        <w:t>) is contingent upon the substantially concurrent consummation of the Transaction. The Closing shall occur on the date of, and immediately prior to, the effectiveness of the Transaction (the date the Closing so occurs, the “</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Upon delivery of written notice from (or on behalf of) ARYA to the Investor (the “</w:t>
      </w:r>
      <w:r>
        <w:rPr>
          <w:rFonts w:ascii="Times New Roman;sans-serif" w:hAnsi="Times New Roman;sans-serif"/>
          <w:b w:val="false"/>
          <w:color w:val="000000"/>
          <w:sz w:val="20"/>
          <w:u w:val="single"/>
        </w:rPr>
        <w:t>Closing Notice</w:t>
      </w:r>
      <w:r>
        <w:rPr>
          <w:color w:val="000000"/>
        </w:rPr>
        <w:t>”</w:t>
      </w:r>
      <w:r>
        <w:rPr>
          <w:rFonts w:ascii="Times New Roman;sans-serif" w:hAnsi="Times New Roman;sans-serif"/>
          <w:b w:val="false"/>
          <w:color w:val="000000"/>
          <w:sz w:val="20"/>
        </w:rPr>
        <w:t>),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w:t>
      </w:r>
    </w:p>
    <w:p>
      <w:pPr>
        <w:pStyle w:val="HorizontalLine"/>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260"/>
                <wp:effectExtent l="0" t="0" r="0" b="0"/>
                <wp:wrapNone/>
                <wp:docPr id="566" name="Frame5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Closing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obligation of the parties hereto to consummate the sale, purchase and issuance of the Shares pursuant to this Subscription Agreement is subject to the following conditions: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 (B) the closing of the Transaction shall be scheduled to occur concurrently with or on the same date as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pStyle w:val="TextBody"/>
        <w:spacing w:lineRule="auto" w:line="288" w:before="0" w:after="18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Further Assurances</w:t>
      </w:r>
      <w:r>
        <w:rPr>
          <w:rFonts w:ascii="Times New Roman;sans-serif" w:hAnsi="Times New Roman;sans-serif"/>
          <w:b w:val="false"/>
          <w:color w:val="000000"/>
          <w:sz w:val="20"/>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pStyle w:val="HorizontalLine"/>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260"/>
                <wp:effectExtent l="0" t="0" r="0" b="0"/>
                <wp:wrapNone/>
                <wp:docPr id="567" name="Frame5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ARYA Representations and Warranties</w:t>
      </w:r>
      <w:r>
        <w:rPr>
          <w:rFonts w:ascii="Times New Roman;sans-serif" w:hAnsi="Times New Roman;sans-serif"/>
          <w:b w:val="false"/>
          <w:color w:val="000000"/>
          <w:sz w:val="20"/>
        </w:rPr>
        <w:t>. ARYA represents and warrants to the Investor that: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sans-serif" w:hAnsi="Times New Roman;sans-serif"/>
          <w:b w:val="false"/>
          <w:color w:val="000000"/>
          <w:sz w:val="20"/>
          <w:u w:val="single"/>
        </w:rPr>
        <w:t>Material Adverse Effect</w:t>
      </w:r>
      <w:r>
        <w:rPr>
          <w:color w:val="000000"/>
        </w:rPr>
        <w:t>”</w:t>
      </w:r>
      <w:r>
        <w:rPr>
          <w:rFonts w:ascii="Times New Roman;sans-serif" w:hAnsi="Times New Roman;sans-serif"/>
          <w:b w:val="false"/>
          <w:color w:val="000000"/>
          <w:sz w:val="20"/>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As of their respective dates, all reports (the “</w:t>
      </w:r>
      <w:r>
        <w:rPr>
          <w:rFonts w:ascii="Times New Roman;sans-serif" w:hAnsi="Times New Roman;sans-serif"/>
          <w:b w:val="false"/>
          <w:color w:val="000000"/>
          <w:sz w:val="20"/>
          <w:u w:val="single"/>
        </w:rPr>
        <w:t>SEC Reports</w:t>
      </w:r>
      <w:r>
        <w:rPr>
          <w:color w:val="000000"/>
        </w:rPr>
        <w:t>”</w:t>
      </w:r>
      <w:r>
        <w:rPr>
          <w:rFonts w:ascii="Times New Roman;sans-serif" w:hAnsi="Times New Roman;sans-serif"/>
          <w:b w:val="false"/>
          <w:color w:val="000000"/>
          <w:sz w:val="20"/>
        </w:rPr>
        <w:t>) required to be filed by ARYA with the U.S. Securities and Exchange Commission (the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complied in all material respects with the applicable requirements of the Securities Act of 1933, as amended, (the “</w:t>
      </w:r>
      <w:r>
        <w:rPr>
          <w:rFonts w:ascii="Times New Roman;sans-serif" w:hAnsi="Times New Roman;sans-serif"/>
          <w:b w:val="false"/>
          <w:color w:val="000000"/>
          <w:sz w:val="20"/>
          <w:u w:val="single"/>
        </w:rPr>
        <w:t>Securities Act</w:t>
      </w:r>
      <w:r>
        <w:rPr>
          <w:color w:val="000000"/>
        </w:rPr>
        <w:t>”</w:t>
      </w:r>
      <w:r>
        <w:rPr>
          <w:rFonts w:ascii="Times New Roman;sans-serif" w:hAnsi="Times New Roman;sans-serif"/>
          <w:b w:val="false"/>
          <w:color w:val="000000"/>
          <w:sz w:val="20"/>
        </w:rPr>
        <w:t>) and the Securities Exchange Act of 1934, as amended (the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w:t>
      </w:r>
    </w:p>
    <w:p>
      <w:pPr>
        <w:pStyle w:val="HorizontalLine"/>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260"/>
                <wp:effectExtent l="0" t="0" r="0" b="0"/>
                <wp:wrapNone/>
                <wp:docPr id="568" name="Frame5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advantageous to any such Other Investor than the Investor hereunder, and such Other Subscription Agreements have not been amended or modified in any material respect following the date of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sans-serif" w:hAnsi="Times New Roman;sans-serif"/>
          <w:b w:val="false"/>
          <w:color w:val="000000"/>
          <w:sz w:val="20"/>
          <w:u w:val="single"/>
        </w:rPr>
        <w:t>Stock Exchange</w:t>
      </w:r>
      <w:r>
        <w:rPr>
          <w:color w:val="000000"/>
        </w:rPr>
        <w:t>”</w:t>
      </w:r>
      <w:r>
        <w:rPr>
          <w:rFonts w:ascii="Times New Roman;sans-serif" w:hAnsi="Times New Roman;sans-serif"/>
          <w:b w:val="false"/>
          <w:color w:val="000000"/>
          <w:sz w:val="20"/>
        </w:rPr>
        <w:t>), and (iv) the failure of which to obtain would not be reasonably likely to have, individually or in the aggregate,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As of the date of this Subscription Agreement, the authorized capital stock of ARYA consists of 479,000,000 Class A ordinary shares (“</w:t>
      </w:r>
      <w:r>
        <w:rPr>
          <w:rFonts w:ascii="Times New Roman;sans-serif" w:hAnsi="Times New Roman;sans-serif"/>
          <w:b w:val="false"/>
          <w:color w:val="000000"/>
          <w:sz w:val="20"/>
          <w:u w:val="single"/>
        </w:rPr>
        <w:t>Class A Shares</w:t>
      </w:r>
      <w:r>
        <w:rPr>
          <w:color w:val="000000"/>
        </w:rPr>
        <w:t>”</w:t>
      </w:r>
      <w:r>
        <w:rPr>
          <w:rFonts w:ascii="Times New Roman;sans-serif" w:hAnsi="Times New Roman;sans-serif"/>
          <w:b w:val="false"/>
          <w:color w:val="000000"/>
          <w:sz w:val="20"/>
        </w:rPr>
        <w:t>), 20,000,000 Class B ordinary shares (the “</w:t>
      </w:r>
      <w:r>
        <w:rPr>
          <w:rFonts w:ascii="Times New Roman;sans-serif" w:hAnsi="Times New Roman;sans-serif"/>
          <w:b w:val="false"/>
          <w:color w:val="000000"/>
          <w:sz w:val="20"/>
          <w:u w:val="single"/>
        </w:rPr>
        <w:t>Class B Shares</w:t>
      </w:r>
      <w:r>
        <w:rPr>
          <w:color w:val="000000"/>
        </w:rPr>
        <w:t>”</w:t>
      </w:r>
      <w:r>
        <w:rPr>
          <w:rFonts w:ascii="Times New Roman;sans-serif" w:hAnsi="Times New Roman;sans-serif"/>
          <w:b w:val="false"/>
          <w:color w:val="000000"/>
          <w:sz w:val="20"/>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sans-serif" w:hAnsi="Times New Roman;sans-serif"/>
          <w:b w:val="false"/>
          <w:color w:val="000000"/>
          <w:sz w:val="20"/>
          <w:u w:val="single"/>
        </w:rPr>
        <w:t>Delaware Common Shares</w:t>
      </w:r>
      <w:r>
        <w:rPr>
          <w:color w:val="000000"/>
        </w:rPr>
        <w:t>”</w:t>
      </w:r>
      <w:r>
        <w:rPr>
          <w:rFonts w:ascii="Times New Roman;sans-serif" w:hAnsi="Times New Roman;sans-serif"/>
          <w:b w:val="false"/>
          <w:color w:val="000000"/>
          <w:sz w:val="20"/>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w:t>
      </w:r>
    </w:p>
    <w:p>
      <w:pPr>
        <w:pStyle w:val="HorizontalLine"/>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260"/>
                <wp:effectExtent l="0" t="0" r="0" b="0"/>
                <wp:wrapNone/>
                <wp:docPr id="569" name="Frame5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 xml:space="preserve">Investor effecting a pledge of Shares shall not be required to provide ARYA with any notice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pStyle w:val="TextBody"/>
        <w:spacing w:lineRule="auto" w:line="288" w:before="0" w:after="18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Investor Representations and Warranties</w:t>
      </w:r>
      <w:r>
        <w:rPr>
          <w:rFonts w:ascii="Times New Roman;sans-serif" w:hAnsi="Times New Roman;sans-serif"/>
          <w:b w:val="false"/>
          <w:color w:val="000000"/>
          <w:sz w:val="20"/>
        </w:rPr>
        <w:t>. The Investor represents and warrants to ARYA that: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The Investor is not an entity formed for the specific purpose of acquiring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Investor acknowledges and agrees that the Investor has received such information as the Investor deems necessary in order to make an investment decision with respect to the Shares, including, without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Investor became aware of this offering of the Shares solely by means of direct contact between the Investor and ARYA, the Company or a representative of ARYA or the Company, and the Shares were </w:t>
      </w:r>
    </w:p>
    <w:p>
      <w:pPr>
        <w:pStyle w:val="HorizontalLine"/>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260"/>
                <wp:effectExtent l="0" t="0" r="0" b="0"/>
                <wp:wrapNone/>
                <wp:docPr id="570" name="Frame5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The Investor acknowledges and agrees that no federal or state agency has passed upon or endorsed the merits of the offering of the Shares or made any findings or determination as to the fairness of this investment.</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 xml:space="preserve">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 </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The Investor is not (i) a person or entity named on the List of Specially Designated Nationals and Blocked Persons administered by the U.S. Treasury Department’s Office of Foreign Assets Control (“</w:t>
      </w:r>
      <w:r>
        <w:rPr>
          <w:rFonts w:ascii="Times New Roman;sans-serif" w:hAnsi="Times New Roman;sans-serif"/>
          <w:b w:val="false"/>
          <w:color w:val="000000"/>
          <w:sz w:val="20"/>
          <w:u w:val="single"/>
        </w:rPr>
        <w:t>OFAC</w:t>
      </w:r>
      <w:r>
        <w:rPr>
          <w:color w:val="000000"/>
        </w:rPr>
        <w:t>”</w:t>
      </w:r>
      <w:r>
        <w:rPr>
          <w:rFonts w:ascii="Times New Roman;sans-serif" w:hAnsi="Times New Roman;sans-serif"/>
          <w:b w:val="false"/>
          <w:color w:val="000000"/>
          <w:sz w:val="20"/>
        </w:rPr>
        <w:t>) or in any Executive Order issued by the President of the United States and administered by OFAC (“</w:t>
      </w:r>
      <w:r>
        <w:rPr>
          <w:rFonts w:ascii="Times New Roman;sans-serif" w:hAnsi="Times New Roman;sans-serif"/>
          <w:b w:val="false"/>
          <w:color w:val="000000"/>
          <w:sz w:val="20"/>
          <w:u w:val="single"/>
        </w:rPr>
        <w:t>OFAC List</w:t>
      </w:r>
      <w:r>
        <w:rPr>
          <w:color w:val="000000"/>
        </w:rPr>
        <w:t>”</w:t>
      </w:r>
      <w:r>
        <w:rPr>
          <w:rFonts w:ascii="Times New Roman;sans-serif" w:hAnsi="Times New Roman;sans-serif"/>
          <w:b w:val="false"/>
          <w:color w:val="000000"/>
          <w:sz w:val="20"/>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sans-serif" w:hAnsi="Times New Roman;sans-serif"/>
          <w:b w:val="false"/>
          <w:color w:val="000000"/>
          <w:sz w:val="20"/>
          <w:u w:val="single"/>
        </w:rPr>
        <w:t>Prohibited Investo</w:t>
      </w:r>
      <w:r>
        <w:rPr>
          <w:rFonts w:ascii="Times New Roman;sans-serif" w:hAnsi="Times New Roman;sans-serif"/>
          <w:b w:val="false"/>
          <w:color w:val="000000"/>
          <w:sz w:val="20"/>
        </w:rPr>
        <w:t xml:space="preserve">r”). The Investor agrees to provide law enforcement agencies, if requested </w:t>
      </w:r>
    </w:p>
    <w:p>
      <w:pPr>
        <w:pStyle w:val="HorizontalLine"/>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260"/>
                <wp:effectExtent l="0" t="0" r="0" b="0"/>
                <wp:wrapNone/>
                <wp:docPr id="571" name="Frame5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thereby, such records as required by applicable law, provided that the Investor is permitted to do so under applicable law. If the Investor is a financial institution subject to the Bank Secrecy Act (31 U.S.C. Section 5311 et seq.) (the “</w:t>
      </w:r>
      <w:r>
        <w:rPr>
          <w:rFonts w:ascii="Times New Roman;sans-serif" w:hAnsi="Times New Roman;sans-serif"/>
          <w:b w:val="false"/>
          <w:color w:val="000000"/>
          <w:sz w:val="20"/>
          <w:u w:val="single"/>
        </w:rPr>
        <w:t>BSA</w:t>
      </w:r>
      <w:r>
        <w:rPr>
          <w:color w:val="000000"/>
        </w:rPr>
        <w:t>”</w:t>
      </w:r>
      <w:r>
        <w:rPr>
          <w:rFonts w:ascii="Times New Roman;sans-serif" w:hAnsi="Times New Roman;sans-serif"/>
          <w:b w:val="false"/>
          <w:color w:val="000000"/>
          <w:sz w:val="20"/>
        </w:rPr>
        <w:t>), as amended by the USA PATRIOT Act of 2001 (the “</w:t>
      </w:r>
      <w:r>
        <w:rPr>
          <w:rFonts w:ascii="Times New Roman;sans-serif" w:hAnsi="Times New Roman;sans-serif"/>
          <w:b w:val="false"/>
          <w:color w:val="000000"/>
          <w:sz w:val="20"/>
          <w:u w:val="single"/>
        </w:rPr>
        <w:t>PATRIOT Act</w:t>
      </w:r>
      <w:r>
        <w:rPr>
          <w:color w:val="000000"/>
        </w:rPr>
        <w:t>”</w:t>
      </w:r>
      <w:r>
        <w:rPr>
          <w:rFonts w:ascii="Times New Roman;sans-serif" w:hAnsi="Times New Roman;sans-serif"/>
          <w:b w:val="false"/>
          <w:color w:val="000000"/>
          <w:sz w:val="20"/>
        </w:rPr>
        <w:t>), and its implementing regulations (collectively, the “</w:t>
      </w:r>
      <w:r>
        <w:rPr>
          <w:rFonts w:ascii="Times New Roman;sans-serif" w:hAnsi="Times New Roman;sans-serif"/>
          <w:b w:val="false"/>
          <w:color w:val="000000"/>
          <w:sz w:val="20"/>
          <w:u w:val="single"/>
        </w:rPr>
        <w:t>BSA/PATRIOT Act</w:t>
      </w:r>
      <w:r>
        <w:rPr>
          <w:color w:val="000000"/>
        </w:rPr>
        <w:t>”</w:t>
      </w:r>
      <w:r>
        <w:rPr>
          <w:rFonts w:ascii="Times New Roman;sans-serif" w:hAnsi="Times New Roman;sans-serif"/>
          <w:b w:val="false"/>
          <w:color w:val="000000"/>
          <w:sz w:val="20"/>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The Investor acknowledges that no disclosure or offering document has been prepared by Jefferies LLC, Goldman Sachs &amp; Co. LLC or any of their respective affiliates (collectively, the “</w:t>
      </w:r>
      <w:r>
        <w:rPr>
          <w:rFonts w:ascii="Times New Roman;sans-serif" w:hAnsi="Times New Roman;sans-serif"/>
          <w:b w:val="false"/>
          <w:color w:val="000000"/>
          <w:sz w:val="20"/>
          <w:u w:val="single"/>
        </w:rPr>
        <w:t>Placement Agents</w:t>
      </w:r>
      <w:r>
        <w:rPr>
          <w:color w:val="000000"/>
        </w:rPr>
        <w:t>”</w:t>
      </w:r>
      <w:r>
        <w:rPr>
          <w:rFonts w:ascii="Times New Roman;sans-serif" w:hAnsi="Times New Roman;sans-serif"/>
          <w:b w:val="false"/>
          <w:color w:val="000000"/>
          <w:sz w:val="20"/>
        </w:rPr>
        <w:t xml:space="preserve">) in connection with the offer and sale of the Shares. </w:t>
      </w:r>
    </w:p>
    <w:p>
      <w:pPr>
        <w:pStyle w:val="TextBody"/>
        <w:spacing w:lineRule="auto" w:line="288" w:before="0" w:after="18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pStyle w:val="TextBody"/>
        <w:spacing w:lineRule="auto" w:line="288" w:before="0" w:after="18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The Investor acknowledges that in connection with the issue and purchase of the Shares, neither Placement Agent has acted as the Investor’s financial advisor or fiduciary.</w:t>
      </w:r>
    </w:p>
    <w:p>
      <w:pPr>
        <w:pStyle w:val="TextBody"/>
        <w:spacing w:lineRule="auto" w:line="288" w:before="0" w:after="18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 xml:space="preserve">Registration Rights.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 (120) 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w:t>
      </w:r>
    </w:p>
    <w:p>
      <w:pPr>
        <w:pStyle w:val="HorizontalLine"/>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260"/>
                <wp:effectExtent l="0" t="0" r="0" b="0"/>
                <wp:wrapNone/>
                <wp:docPr id="572" name="Frame5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pStyle w:val="TextBody"/>
        <w:spacing w:lineRule="auto" w:line="288" w:before="0" w:after="12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 (v)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w:t>
      </w:r>
    </w:p>
    <w:p>
      <w:pPr>
        <w:pStyle w:val="HorizontalLine"/>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260"/>
                <wp:effectExtent l="0" t="0" r="0" b="0"/>
                <wp:wrapNone/>
                <wp:docPr id="573" name="Frame5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spacing w:lineRule="auto" w:line="288" w:before="0" w:after="12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w:t>
      </w:r>
    </w:p>
    <w:p>
      <w:pPr>
        <w:pStyle w:val="TextBody"/>
        <w:spacing w:lineRule="auto" w:line="288" w:before="0" w:after="120"/>
        <w:ind w:left="0" w:right="0" w:firstLine="705"/>
        <w:jc w:val="both"/>
        <w:rPr>
          <w:rFonts w:ascii="Times New Roman;sans-serif" w:hAnsi="Times New Roman;sans-serif"/>
          <w:b w:val="false"/>
          <w:color w:val="000000"/>
          <w:sz w:val="20"/>
        </w:rPr>
      </w:pPr>
      <w:r>
        <w:rPr>
          <w:rFonts w:ascii="Times New Roman;sans-serif" w:hAnsi="Times New Roman;sans-serif"/>
          <w:b w:val="false"/>
          <w:color w:val="000000"/>
          <w:sz w:val="20"/>
        </w:rPr>
        <w:t>i.ARYA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pStyle w:val="TextBody"/>
        <w:spacing w:lineRule="auto" w:line="288" w:before="0" w:after="120"/>
        <w:ind w:left="0" w:right="0" w:firstLine="649"/>
        <w:jc w:val="both"/>
        <w:rPr>
          <w:rFonts w:ascii="Times New Roman;sans-serif" w:hAnsi="Times New Roman;sans-serif"/>
          <w:b w:val="false"/>
          <w:color w:val="000000"/>
          <w:sz w:val="20"/>
        </w:rPr>
      </w:pPr>
      <w:r>
        <w:rPr>
          <w:rFonts w:ascii="Times New Roman;sans-serif" w:hAnsi="Times New Roman;sans-serif"/>
          <w:b w:val="false"/>
          <w:color w:val="000000"/>
          <w:sz w:val="20"/>
        </w:rPr>
        <w:t>ii.The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pStyle w:val="TextBody"/>
        <w:spacing w:lineRule="auto" w:line="288" w:before="0" w:after="120"/>
        <w:ind w:left="0" w:right="0" w:firstLine="594"/>
        <w:jc w:val="both"/>
        <w:rPr>
          <w:rFonts w:ascii="Times New Roman;sans-serif" w:hAnsi="Times New Roman;sans-serif"/>
          <w:b w:val="false"/>
          <w:color w:val="000000"/>
          <w:sz w:val="20"/>
        </w:rPr>
      </w:pPr>
      <w:r>
        <w:rPr>
          <w:rFonts w:ascii="Times New Roman;sans-serif" w:hAnsi="Times New Roman;sans-serif"/>
          <w:b w:val="false"/>
          <w:color w:val="000000"/>
          <w:sz w:val="20"/>
        </w:rPr>
        <w:t>iii.Any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spacing w:lineRule="auto" w:line="288" w:before="0" w:after="180"/>
        <w:ind w:left="0" w:right="0" w:firstLine="605"/>
        <w:jc w:val="both"/>
        <w:rPr>
          <w:rFonts w:ascii="Times New Roman;sans-serif" w:hAnsi="Times New Roman;sans-serif"/>
          <w:b w:val="false"/>
          <w:color w:val="000000"/>
          <w:sz w:val="20"/>
        </w:rPr>
      </w:pPr>
      <w:r>
        <w:rPr>
          <w:rFonts w:ascii="Times New Roman;sans-serif" w:hAnsi="Times New Roman;sans-serif"/>
          <w:b w:val="false"/>
          <w:color w:val="000000"/>
          <w:sz w:val="20"/>
        </w:rPr>
        <w:t>iv.The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pStyle w:val="TextBody"/>
        <w:spacing w:lineRule="auto" w:line="288" w:before="0" w:after="18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w:t>
      </w:r>
    </w:p>
    <w:p>
      <w:pPr>
        <w:pStyle w:val="HorizontalLine"/>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260"/>
                <wp:effectExtent l="0" t="0" r="0" b="0"/>
                <wp:wrapNone/>
                <wp:docPr id="574" name="Frame5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pStyle w:val="TextBody"/>
        <w:spacing w:lineRule="auto" w:line="288" w:before="0" w:after="18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w:t>
      </w:r>
      <w:r>
        <w:rPr>
          <w:rFonts w:ascii="Times New Roman;sans-serif" w:hAnsi="Times New Roman;sans-serif"/>
          <w:b w:val="false"/>
          <w:color w:val="000000"/>
          <w:sz w:val="20"/>
          <w:u w:val="single"/>
        </w:rPr>
        <w:t>Outside Date</w:t>
      </w:r>
      <w:r>
        <w:rPr>
          <w:color w:val="000000"/>
        </w:rPr>
        <w:t>”</w:t>
      </w:r>
      <w:r>
        <w:rPr>
          <w:rFonts w:ascii="Times New Roman;sans-serif" w:hAnsi="Times New Roman;sans-serif"/>
          <w:b w:val="false"/>
          <w:color w:val="000000"/>
          <w:sz w:val="20"/>
        </w:rPr>
        <w:t>),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w:t>
      </w:r>
      <w:r>
        <w:rPr>
          <w:rFonts w:ascii="Times New Roman;sans-serif" w:hAnsi="Times New Roman;sans-serif"/>
          <w:b w:val="false"/>
          <w:color w:val="000000"/>
          <w:sz w:val="20"/>
          <w:u w:val="single"/>
        </w:rPr>
        <w:t>Termination Events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pStyle w:val="TextBody"/>
        <w:spacing w:lineRule="auto" w:line="288" w:before="0" w:after="18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Trust Account Waiver</w:t>
      </w:r>
      <w:r>
        <w:rPr>
          <w:rFonts w:ascii="Times New Roman;sans-serif" w:hAnsi="Times New Roman;sans-serif"/>
          <w:b w:val="false"/>
          <w:color w:val="000000"/>
          <w:sz w:val="20"/>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w:t>
      </w:r>
      <w:r>
        <w:rPr>
          <w:rFonts w:ascii="Times New Roman;sans-serif" w:hAnsi="Times New Roman;sans-serif"/>
          <w:b w:val="false"/>
          <w:color w:val="000000"/>
          <w:sz w:val="20"/>
          <w:u w:val="single"/>
        </w:rPr>
        <w:t>Final Prospectus</w:t>
      </w:r>
      <w:r>
        <w:rPr>
          <w:color w:val="000000"/>
        </w:rPr>
        <w:t>”</w:t>
      </w:r>
      <w:r>
        <w:rPr>
          <w:rFonts w:ascii="Times New Roman;sans-serif" w:hAnsi="Times New Roman;sans-serif"/>
          <w:b w:val="false"/>
          <w:color w:val="000000"/>
          <w:sz w:val="20"/>
        </w:rPr>
        <w:t>) available at www.sec.gov, substantially all of ARYA’s assets consist of the cash proceeds of ARYA’s initial public offering and private placement of its securities, and substantially all of those proceeds have been deposited in a trust account (the “</w:t>
      </w:r>
      <w:r>
        <w:rPr>
          <w:rFonts w:ascii="Times New Roman;sans-serif" w:hAnsi="Times New Roman;sans-serif"/>
          <w:b w:val="false"/>
          <w:color w:val="000000"/>
          <w:sz w:val="20"/>
          <w:u w:val="single"/>
        </w:rPr>
        <w:t>Trust Account</w:t>
      </w:r>
      <w:r>
        <w:rPr>
          <w:color w:val="000000"/>
        </w:rPr>
        <w:t>”</w:t>
      </w:r>
      <w:r>
        <w:rPr>
          <w:rFonts w:ascii="Times New Roman;sans-serif" w:hAnsi="Times New Roman;sans-serif"/>
          <w:b w:val="false"/>
          <w:color w:val="000000"/>
          <w:sz w:val="20"/>
        </w:rPr>
        <w:t xml:space="preserve">)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w:t>
      </w:r>
    </w:p>
    <w:p>
      <w:pPr>
        <w:pStyle w:val="HorizontalLine"/>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75260"/>
                <wp:effectExtent l="0" t="0" r="0" b="0"/>
                <wp:wrapNone/>
                <wp:docPr id="575" name="Frame5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pStyle w:val="TextBody"/>
        <w:spacing w:lineRule="auto" w:line="288" w:before="0" w:after="180"/>
        <w:ind w:left="0" w:right="0" w:hanging="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Neither this Subscription Agreement nor any rights that may accrue to the Investor hereunder (other than the Shares acquired hereunder, if any) may be transferred or assigned.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sans-serif" w:hAnsi="Times New Roman;sans-serif"/>
          <w:b w:val="false"/>
          <w:color w:val="000000"/>
          <w:sz w:val="20"/>
          <w:u w:val="single"/>
        </w:rPr>
        <w:t>Short Sales</w:t>
      </w:r>
      <w:r>
        <w:rPr>
          <w:color w:val="000000"/>
        </w:rPr>
        <w:t xml:space="preserve">” </w:t>
      </w:r>
      <w:r>
        <w:rPr>
          <w:rFonts w:ascii="Times New Roman;sans-serif" w:hAnsi="Times New Roman;sans-serif"/>
          <w:b w:val="false"/>
          <w:color w:val="000000"/>
          <w:sz w:val="20"/>
        </w:rPr>
        <w:t>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All of the agreements, representations and warranties made by each party hereto in this Subscription Agreement shall survive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w:t>
      </w:r>
    </w:p>
    <w:p>
      <w:pPr>
        <w:pStyle w:val="HorizontalLine"/>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260"/>
                <wp:effectExtent l="0" t="0" r="0" b="0"/>
                <wp:wrapNone/>
                <wp:docPr id="576" name="Frame5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 </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 xml:space="preserve">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w:t>
      </w:r>
    </w:p>
    <w:p>
      <w:pPr>
        <w:pStyle w:val="HorizontalLine"/>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577" name="Frame5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 </w:t>
      </w:r>
    </w:p>
    <w:p>
      <w:pPr>
        <w:pStyle w:val="TextBody"/>
        <w:spacing w:lineRule="auto" w:line="288" w:before="0" w:after="18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Non-Reliance and Exculpation</w:t>
      </w:r>
      <w:r>
        <w:rPr>
          <w:rFonts w:ascii="Times New Roman;sans-serif" w:hAnsi="Times New Roman;sans-serif"/>
          <w:b w:val="false"/>
          <w:color w:val="000000"/>
          <w:sz w:val="20"/>
        </w:rPr>
        <w:t xml:space="preserve">. The Investor acknowledges that it is not relying upon, and has not relied upon, any statement, representation or warranty made by any person, firm or corporation (including, without limitation, </w:t>
      </w:r>
      <w:r>
        <w:rPr>
          <w:rFonts w:ascii="Times New Roman;sans-serif" w:hAnsi="Times New Roman;sans-serif"/>
          <w:b w:val="false"/>
          <w:color w:val="000000"/>
          <w:sz w:val="20"/>
          <w:highlight w:val="white"/>
        </w:rPr>
        <w:t>the Placement Agents</w:t>
      </w:r>
      <w:r>
        <w:rPr>
          <w:rFonts w:ascii="Times New Roman;sans-serif" w:hAnsi="Times New Roman;sans-serif"/>
          <w:b w:val="false"/>
          <w:color w:val="000000"/>
          <w:sz w:val="20"/>
        </w:rPr>
        <w:t xml:space="preserve">,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w:t>
      </w:r>
      <w:r>
        <w:rPr>
          <w:rFonts w:ascii="Times New Roman;sans-serif" w:hAnsi="Times New Roman;sans-serif"/>
          <w:b w:val="false"/>
          <w:color w:val="000000"/>
          <w:sz w:val="20"/>
          <w:highlight w:val="white"/>
        </w:rPr>
        <w:t>the Placement Agents, their respective affiliates or any control persons, officers, directors, employees, partners, agents or representatives of any of the foregoing</w:t>
      </w:r>
      <w:r>
        <w:rPr>
          <w:rFonts w:ascii="Times New Roman;sans-serif" w:hAnsi="Times New Roman;sans-serif"/>
          <w:b w:val="false"/>
          <w:color w:val="000000"/>
          <w:sz w:val="20"/>
        </w:rPr>
        <w:t xml:space="preserve">,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w:t>
      </w:r>
    </w:p>
    <w:p>
      <w:pPr>
        <w:pStyle w:val="HorizontalLine"/>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578" name="Frame5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partner, member, manager, direct or indirect equityholder or affiliate of ARYA, the Company, any Placement Agent or any of ARYA’s, the Company’s or any Placement Agent’s controlled affiliates or any family member of the foregoing.</w:t>
      </w:r>
    </w:p>
    <w:p>
      <w:pPr>
        <w:pStyle w:val="TextBody"/>
        <w:spacing w:lineRule="auto" w:line="288" w:before="0" w:after="18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Disclosure</w:t>
      </w:r>
      <w:r>
        <w:rPr>
          <w:rFonts w:ascii="Times New Roman;sans-serif" w:hAnsi="Times New Roman;sans-serif"/>
          <w:b w:val="false"/>
          <w:color w:val="000000"/>
          <w:sz w:val="20"/>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sans-serif" w:hAnsi="Times New Roman;sans-serif"/>
          <w:b w:val="false"/>
          <w:color w:val="000000"/>
          <w:sz w:val="20"/>
          <w:u w:val="single"/>
        </w:rPr>
        <w:t>Disclosure Document</w:t>
      </w:r>
      <w:r>
        <w:rPr>
          <w:color w:val="000000"/>
        </w:rPr>
        <w:t>”</w:t>
      </w:r>
      <w:r>
        <w:rPr>
          <w:rFonts w:ascii="Times New Roman;sans-serif" w:hAnsi="Times New Roman;sans-serif"/>
          <w:b w:val="false"/>
          <w:color w:val="000000"/>
          <w:sz w:val="20"/>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579" name="Frame5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Investor has executed or caused this Subscription Agreement to be executed by its duly authorized representative as of the date set forth below.</w:t>
      </w:r>
    </w:p>
    <w:tbl>
      <w:tblPr>
        <w:tblW w:w="8335" w:type="dxa"/>
        <w:jc w:val="left"/>
        <w:tblInd w:w="0" w:type="dxa"/>
        <w:tblCellMar>
          <w:top w:w="28" w:type="dxa"/>
          <w:left w:w="28" w:type="dxa"/>
          <w:bottom w:w="28" w:type="dxa"/>
          <w:right w:w="28" w:type="dxa"/>
        </w:tblCellMar>
      </w:tblPr>
      <w:tblGrid>
        <w:gridCol w:w="476"/>
        <w:gridCol w:w="417"/>
        <w:gridCol w:w="417"/>
        <w:gridCol w:w="361"/>
        <w:gridCol w:w="361"/>
        <w:gridCol w:w="361"/>
        <w:gridCol w:w="361"/>
        <w:gridCol w:w="361"/>
        <w:gridCol w:w="361"/>
        <w:gridCol w:w="361"/>
        <w:gridCol w:w="361"/>
        <w:gridCol w:w="361"/>
        <w:gridCol w:w="109"/>
        <w:gridCol w:w="109"/>
        <w:gridCol w:w="109"/>
        <w:gridCol w:w="536"/>
        <w:gridCol w:w="536"/>
        <w:gridCol w:w="536"/>
        <w:gridCol w:w="536"/>
        <w:gridCol w:w="536"/>
        <w:gridCol w:w="769"/>
      </w:tblGrid>
      <w:tr>
        <w:trPr/>
        <w:tc>
          <w:tcPr>
            <w:tcW w:w="47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State/Country of Formation or Domicile:</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32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6"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083"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in which Shares are to be registered (if different):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________, 2021</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Address-Street: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Mailing Address-Street (if different):</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w:t>
            </w:r>
          </w:p>
        </w:tc>
        <w:tc>
          <w:tcPr>
            <w:tcW w:w="21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w:t>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subscribed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Subscription 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$10.00</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must pay the Subscription Amount by wire transfer of United States dollars in immediately available funds to the account specified by ARYA in the Closing Notice.</w:t>
      </w:r>
    </w:p>
    <w:p>
      <w:pPr>
        <w:pStyle w:val="HorizontalLine"/>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580" name="Frame5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ARYA has accepted this Subscription Agreement as of the date set forth below.</w:t>
      </w:r>
    </w:p>
    <w:tbl>
      <w:tblPr>
        <w:tblW w:w="3703" w:type="dxa"/>
        <w:jc w:val="right"/>
        <w:tblInd w:w="0" w:type="dxa"/>
        <w:tblCellMar>
          <w:top w:w="28" w:type="dxa"/>
          <w:left w:w="28" w:type="dxa"/>
          <w:bottom w:w="28" w:type="dxa"/>
          <w:right w:w="28" w:type="dxa"/>
        </w:tblCellMar>
      </w:tblPr>
      <w:tblGrid>
        <w:gridCol w:w="641"/>
        <w:gridCol w:w="563"/>
        <w:gridCol w:w="563"/>
        <w:gridCol w:w="563"/>
        <w:gridCol w:w="563"/>
        <w:gridCol w:w="810"/>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tc>
      </w:tr>
      <w:tr>
        <w:trPr/>
        <w:tc>
          <w:tcPr>
            <w:tcW w:w="1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3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Date:              ,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81" name="Frame5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ELIGIBILITY REPRESENTATIONS OF THE INVESTOR</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A.QUALIFIED INSTITUTIONAL BUYER STATUS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p>
      <w:pPr>
        <w:pStyle w:val="TextBody"/>
        <w:spacing w:lineRule="auto" w:line="288" w:before="0" w:after="180"/>
        <w:ind w:left="0" w:right="0" w:firstLine="360"/>
        <w:rPr>
          <w:color w:val="000000"/>
        </w:rPr>
      </w:pPr>
      <w:r>
        <w:rPr>
          <w:color w:val="000000"/>
        </w:rPr>
        <w:t xml:space="preserve">☐ </w:t>
      </w:r>
      <w:r>
        <w:rPr>
          <w:rFonts w:ascii="Times New Roman;sans-serif" w:hAnsi="Times New Roman;sans-serif"/>
          <w:b w:val="false"/>
          <w:color w:val="000000"/>
          <w:sz w:val="20"/>
        </w:rPr>
        <w:t>We are a “qualified institutional buyer” (as defined in Rule 144A under the Securities Act (a “QIB”)).</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B.INSTITUTIONAL ACCREDITED INVESTOR STATUS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p>
      <w:pPr>
        <w:pStyle w:val="TextBody"/>
        <w:spacing w:lineRule="auto" w:line="288" w:before="0" w:after="180"/>
        <w:ind w:left="0" w:right="0" w:hanging="36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pStyle w:val="TextBody"/>
        <w:spacing w:lineRule="auto" w:line="288" w:before="0" w:after="18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We are not a natural person.</w:t>
      </w:r>
    </w:p>
    <w:p>
      <w:pPr>
        <w:pStyle w:val="TextBody"/>
        <w:spacing w:lineRule="auto" w:line="288" w:before="0" w:after="180"/>
        <w:jc w:val="both"/>
        <w:rPr/>
      </w:pPr>
      <w:r>
        <w:rPr>
          <w:rFonts w:ascii="Times New Roman;sans-serif" w:hAnsi="Times New Roman;sans-serif"/>
          <w:b w:val="false"/>
          <w:color w:val="000000"/>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w:t>
      </w:r>
      <w:r>
        <w:rPr>
          <w:rFonts w:ascii="Times New Roman;sans-serif" w:hAnsi="Times New Roman;sans-serif"/>
          <w:b w:val="false"/>
          <w:color w:val="000000"/>
          <w:sz w:val="20"/>
          <w:highlight w:val="white"/>
        </w:rPr>
        <w:t>) below which apply to the Investor and under which the Investor accordingly qualifies as an “accredited investor.”</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bank, registered broker or dealer, insurance company, registered investment company, business development company, or small business investment company;</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plan established and maintained by a state, its political subdivisions, or any agency or instrumentality of a state or its political subdivisions for the benefit of its employees, if such plan has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employee benefit plan, within the meaning of the Employee Retirement Income Security Act of 1974, if a bank, insurance company, or registered investment adviser makes the investment decisions, or if the plan has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trust with assets in excess of $5,000,000, not formed to acquire the securities offered, whose purchase is directed by a sophisticated person; or</w:t>
      </w:r>
    </w:p>
    <w:p>
      <w:pPr>
        <w:pStyle w:val="TextBody"/>
        <w:spacing w:lineRule="auto" w:line="288" w:before="0" w:after="360"/>
        <w:rPr>
          <w:color w:val="000000"/>
        </w:rPr>
      </w:pPr>
      <w:r>
        <w:rPr>
          <w:color w:val="000000"/>
        </w:rPr>
        <w:t xml:space="preserve">☐ </w:t>
      </w:r>
      <w:r>
        <w:rPr>
          <w:rFonts w:ascii="Times New Roman;sans-serif" w:hAnsi="Times New Roman;sans-serif"/>
          <w:b w:val="false"/>
          <w:color w:val="000000"/>
          <w:sz w:val="20"/>
        </w:rPr>
        <w:t>Any entity in which all of the equity owners are accredited investors.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This page should be completed by the Investor</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and constitutes a part of the Subscription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2" name="Frame5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jc w:val="right"/>
        <w:rPr/>
      </w:pPr>
      <w:r>
        <w:rPr/>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G</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Amended and Restated Registration Rights and Lock-Up Agreement</w:t>
      </w:r>
    </w:p>
    <w:p>
      <w:pPr>
        <w:pStyle w:val="TextBody"/>
        <w:spacing w:lineRule="auto" w:line="288" w:before="0" w:after="180"/>
        <w:ind w:left="0" w:right="0" w:firstLine="360"/>
        <w:jc w:val="both"/>
        <w:rPr/>
      </w:pPr>
      <w:r>
        <w:rPr>
          <w:rFonts w:ascii="Times New Roman;sans-serif" w:hAnsi="Times New Roman;sans-serif"/>
          <w:b w:val="false"/>
          <w:color w:val="000000"/>
          <w:sz w:val="20"/>
        </w:rPr>
        <w:t>This Amended and Restated Registration Rights and Lock-Up Agreement (this “</w:t>
      </w:r>
      <w:r>
        <w:rPr>
          <w:rFonts w:ascii="Times New Roman;sans-serif" w:hAnsi="Times New Roman;sans-serif"/>
          <w:b/>
          <w:color w:val="000000"/>
          <w:sz w:val="20"/>
        </w:rPr>
        <w:t>Agreement”</w:t>
      </w:r>
      <w:r>
        <w:rPr>
          <w:rFonts w:ascii="Times New Roman;sans-serif" w:hAnsi="Times New Roman;sans-serif"/>
          <w:b w:val="false"/>
          <w:color w:val="000000"/>
          <w:sz w:val="20"/>
        </w:rPr>
        <w:t xml:space="preserve">), dated as of February 7, 2021, is among ARYA Sciences Acquisition Corp III, a Cayman Islands exempted company (the </w:t>
      </w:r>
      <w:r>
        <w:rPr>
          <w:color w:val="000000"/>
        </w:rPr>
        <w:t>“</w:t>
      </w:r>
      <w:r>
        <w:rPr>
          <w:rFonts w:ascii="Times New Roman;sans-serif" w:hAnsi="Times New Roman;sans-serif"/>
          <w:b/>
          <w:color w:val="000000"/>
          <w:sz w:val="20"/>
        </w:rPr>
        <w:t>Company”</w:t>
      </w:r>
      <w:r>
        <w:rPr>
          <w:rFonts w:ascii="Times New Roman;sans-serif" w:hAnsi="Times New Roman;sans-serif"/>
          <w:b w:val="false"/>
          <w:color w:val="000000"/>
          <w:sz w:val="20"/>
        </w:rPr>
        <w:t>) and the other parties hereto identified as a “</w:t>
      </w:r>
      <w:r>
        <w:rPr>
          <w:rFonts w:ascii="Times New Roman;sans-serif" w:hAnsi="Times New Roman;sans-serif"/>
          <w:b/>
          <w:color w:val="000000"/>
          <w:sz w:val="20"/>
        </w:rPr>
        <w:t>Holder</w:t>
      </w:r>
      <w:r>
        <w:rPr>
          <w:color w:val="000000"/>
        </w:rPr>
        <w:t xml:space="preserve">” </w:t>
      </w:r>
      <w:r>
        <w:rPr>
          <w:rFonts w:ascii="Times New Roman;sans-serif" w:hAnsi="Times New Roman;sans-serif"/>
          <w:b w:val="false"/>
          <w:color w:val="000000"/>
          <w:sz w:val="20"/>
        </w:rPr>
        <w:t xml:space="preserve">on the signature pages and Schedule A hereto (each, a </w:t>
      </w:r>
      <w:r>
        <w:rPr>
          <w:color w:val="000000"/>
        </w:rPr>
        <w:t>“</w:t>
      </w:r>
      <w:r>
        <w:rPr>
          <w:rFonts w:ascii="Times New Roman;sans-serif" w:hAnsi="Times New Roman;sans-serif"/>
          <w:b/>
          <w:color w:val="000000"/>
          <w:sz w:val="20"/>
        </w:rPr>
        <w:t>Holder”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Holders</w:t>
      </w:r>
      <w:r>
        <w:rPr>
          <w:color w:val="000000"/>
        </w:rPr>
        <w:t>”</w:t>
      </w:r>
      <w:r>
        <w:rPr>
          <w:rFonts w:ascii="Times New Roman;sans-serif" w:hAnsi="Times New Roman;sans-serif"/>
          <w:b w:val="false"/>
          <w:color w:val="000000"/>
          <w:sz w:val="20"/>
        </w:rPr>
        <w:t xml:space="preserve">). Capitalized terms used but not defined herein have the meanings assigned to them in the Business Combination Agreement dated as of the date hereof (the </w:t>
      </w:r>
      <w:r>
        <w:rPr>
          <w:color w:val="000000"/>
        </w:rPr>
        <w:t>“</w:t>
      </w:r>
      <w:r>
        <w:rPr>
          <w:rFonts w:ascii="Times New Roman;sans-serif" w:hAnsi="Times New Roman;sans-serif"/>
          <w:b/>
          <w:color w:val="000000"/>
          <w:sz w:val="20"/>
        </w:rPr>
        <w:t>Business Combination Agreement”</w:t>
      </w:r>
      <w:r>
        <w:rPr>
          <w:rFonts w:ascii="Times New Roman;sans-serif" w:hAnsi="Times New Roman;sans-serif"/>
          <w:b w:val="false"/>
          <w:color w:val="000000"/>
          <w:sz w:val="20"/>
        </w:rPr>
        <w:t>), among the Company, Mako Merger Sub, Inc., a Delaware corporation (</w:t>
      </w:r>
      <w:r>
        <w:rPr>
          <w:color w:val="000000"/>
        </w:rPr>
        <w:t>“</w:t>
      </w:r>
      <w:r>
        <w:rPr>
          <w:rFonts w:ascii="Times New Roman;sans-serif" w:hAnsi="Times New Roman;sans-serif"/>
          <w:b/>
          <w:color w:val="000000"/>
          <w:sz w:val="20"/>
        </w:rPr>
        <w:t>Merger Sub”</w:t>
      </w:r>
      <w:r>
        <w:rPr>
          <w:rFonts w:ascii="Times New Roman;sans-serif" w:hAnsi="Times New Roman;sans-serif"/>
          <w:b w:val="false"/>
          <w:color w:val="000000"/>
          <w:sz w:val="20"/>
        </w:rPr>
        <w:t>), and Nautilus Biotechnology, Inc., a Delaware corporation (</w:t>
      </w:r>
      <w:r>
        <w:rPr>
          <w:color w:val="000000"/>
        </w:rPr>
        <w:t>“</w:t>
      </w:r>
      <w:r>
        <w:rPr>
          <w:rFonts w:ascii="Times New Roman;sans-serif" w:hAnsi="Times New Roman;sans-serif"/>
          <w:b/>
          <w:color w:val="000000"/>
          <w:sz w:val="20"/>
        </w:rPr>
        <w:t>Nautilus”</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WHEREAS, the Company, Merger Sub and Nautilus are parties to the Business Combination Agreement, pursuant to which, among other things, on the Closing Date, Merger Sub will merge (the </w:t>
      </w:r>
      <w:r>
        <w:rPr>
          <w:color w:val="000000"/>
        </w:rPr>
        <w:t>“</w:t>
      </w:r>
      <w:r>
        <w:rPr>
          <w:rFonts w:ascii="Times New Roman;sans-serif" w:hAnsi="Times New Roman;sans-serif"/>
          <w:b/>
          <w:color w:val="000000"/>
          <w:sz w:val="20"/>
        </w:rPr>
        <w:t>Merger”</w:t>
      </w:r>
      <w:r>
        <w:rPr>
          <w:rFonts w:ascii="Times New Roman;sans-serif" w:hAnsi="Times New Roman;sans-serif"/>
          <w:b w:val="false"/>
          <w:color w:val="000000"/>
          <w:sz w:val="20"/>
        </w:rPr>
        <w:t>) with and into Nautilus, with Nautilus surviving the Merger as a wholly-owned subsidiary of the Company, and the Company will redomesticate as a Delaware corporation and change its name to “Nautilus Biotechnology, Inc.”;</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Company, ARYA Sciences Holdings III, a Cayman Islands exempted limited company (the “</w:t>
      </w:r>
      <w:r>
        <w:rPr>
          <w:rFonts w:ascii="Times New Roman;sans-serif" w:hAnsi="Times New Roman;sans-serif"/>
          <w:b/>
          <w:color w:val="000000"/>
          <w:sz w:val="20"/>
        </w:rPr>
        <w:t>Sponsor</w:t>
      </w:r>
      <w:r>
        <w:rPr>
          <w:color w:val="000000"/>
        </w:rPr>
        <w:t>”</w:t>
      </w:r>
      <w:r>
        <w:rPr>
          <w:rFonts w:ascii="Times New Roman;sans-serif" w:hAnsi="Times New Roman;sans-serif"/>
          <w:b w:val="false"/>
          <w:color w:val="000000"/>
          <w:sz w:val="20"/>
        </w:rPr>
        <w:t>) and the Independent Directors (as defined herein, and, together with the Sponsor, the “</w:t>
      </w:r>
      <w:r>
        <w:rPr>
          <w:rFonts w:ascii="Times New Roman;sans-serif" w:hAnsi="Times New Roman;sans-serif"/>
          <w:b/>
          <w:color w:val="000000"/>
          <w:sz w:val="20"/>
        </w:rPr>
        <w:t>Original Holders</w:t>
      </w:r>
      <w:r>
        <w:rPr>
          <w:color w:val="000000"/>
        </w:rPr>
        <w:t>”</w:t>
      </w:r>
      <w:r>
        <w:rPr>
          <w:rFonts w:ascii="Times New Roman;sans-serif" w:hAnsi="Times New Roman;sans-serif"/>
          <w:b w:val="false"/>
          <w:color w:val="000000"/>
          <w:sz w:val="20"/>
        </w:rPr>
        <w:t>) are parties to the Registration and Shareholder Rights Agreement dated as of August 11, 2020 (the “</w:t>
      </w:r>
      <w:r>
        <w:rPr>
          <w:rFonts w:ascii="Times New Roman;sans-serif" w:hAnsi="Times New Roman;sans-serif"/>
          <w:b/>
          <w:color w:val="000000"/>
          <w:sz w:val="20"/>
        </w:rPr>
        <w:t>Prior Agreement</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(i) Holders designated as “</w:t>
      </w:r>
      <w:r>
        <w:rPr>
          <w:rFonts w:ascii="Times New Roman;sans-serif" w:hAnsi="Times New Roman;sans-serif"/>
          <w:b/>
          <w:color w:val="000000"/>
          <w:sz w:val="20"/>
        </w:rPr>
        <w:t>New Holder</w:t>
      </w:r>
      <w:r>
        <w:rPr>
          <w:rFonts w:ascii="Times New Roman;sans-serif" w:hAnsi="Times New Roman;sans-serif"/>
          <w:b w:val="false"/>
          <w:color w:val="000000"/>
          <w:sz w:val="20"/>
        </w:rPr>
        <w:t xml:space="preserve">s”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New Holders</w:t>
      </w:r>
      <w:r>
        <w:rPr>
          <w:color w:val="000000"/>
        </w:rPr>
        <w:t>”</w:t>
      </w:r>
      <w:r>
        <w:rPr>
          <w:rFonts w:ascii="Times New Roman;sans-serif" w:hAnsi="Times New Roman;sans-serif"/>
          <w:b w:val="false"/>
          <w:color w:val="000000"/>
          <w:sz w:val="20"/>
        </w:rPr>
        <w:t>) and (ii) Perceptive Life Sciences Master Fund Ltd., a Cayman Islands exempted company (“</w:t>
      </w:r>
      <w:r>
        <w:rPr>
          <w:rFonts w:ascii="Times New Roman;sans-serif" w:hAnsi="Times New Roman;sans-serif"/>
          <w:b/>
          <w:color w:val="000000"/>
          <w:sz w:val="20"/>
        </w:rPr>
        <w:t>Perceptive</w:t>
      </w:r>
      <w:r>
        <w:rPr>
          <w:color w:val="000000"/>
        </w:rPr>
        <w:t>”</w:t>
      </w:r>
      <w:r>
        <w:rPr>
          <w:rFonts w:ascii="Times New Roman;sans-serif" w:hAnsi="Times New Roman;sans-serif"/>
          <w:b w:val="false"/>
          <w:color w:val="000000"/>
          <w:sz w:val="20"/>
        </w:rPr>
        <w:t>), will receive upon consummation of the Merger shares of the Company’s Common Stock on the Closing Date pursuant to the Business Combination Agreement;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the parties hereby agree as follows: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lineRule="auto" w:line="288" w:before="0" w:after="180"/>
        <w:ind w:left="0" w:right="0" w:firstLine="360"/>
        <w:jc w:val="both"/>
        <w:rPr/>
      </w:pPr>
      <w:r>
        <w:rPr>
          <w:rFonts w:ascii="Times New Roman;sans-serif" w:hAnsi="Times New Roman;sans-serif"/>
          <w:b/>
          <w:color w:val="000000"/>
          <w:sz w:val="20"/>
        </w:rPr>
        <w:t>Section 1.1.</w:t>
      </w:r>
      <w:r>
        <w:rPr>
          <w:rFonts w:ascii="Times New Roman;sans-serif" w:hAnsi="Times New Roman;sans-serif"/>
          <w:b/>
          <w:color w:val="000000"/>
          <w:sz w:val="20"/>
        </w:rPr>
        <w:t>Definitions</w:t>
      </w:r>
      <w:r>
        <w:rPr>
          <w:rFonts w:ascii="Times New Roman;sans-serif" w:hAnsi="Times New Roman;sans-serif"/>
          <w:b w:val="false"/>
          <w:color w:val="000000"/>
          <w:sz w:val="20"/>
        </w:rPr>
        <w:t>. For purposes of this Agreement, the following terms and variations thereof have the meanings set forth below:</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Adverse Disclosure” </w:t>
      </w:r>
      <w:r>
        <w:rPr>
          <w:rFonts w:ascii="Times New Roman;sans-serif" w:hAnsi="Times New Roman;sans-serif"/>
          <w:b w:val="false"/>
          <w:color w:val="000000"/>
          <w:sz w:val="20"/>
        </w:rPr>
        <w:t>shall mean any public disclosure of material non-public information, which disclosure, in the good faith judgment of the Chief 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Agreement”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Block Trade”</w:t>
      </w:r>
      <w:r>
        <w:rPr>
          <w:color w:val="000000"/>
        </w:rPr>
        <w:t xml:space="preserve"> </w:t>
      </w:r>
      <w:r>
        <w:rPr>
          <w:rFonts w:ascii="Times New Roman;sans-serif" w:hAnsi="Times New Roman;sans-serif"/>
          <w:b w:val="false"/>
          <w:color w:val="000000"/>
          <w:sz w:val="20"/>
        </w:rPr>
        <w:t>means any non-marketed underwritten offering taking the form of a block trade to a financial institution, “qualified institutional buyer” (as defined in Rule 144A under the Securities Act) or institutional “accredited” investor (as defined in Rule 501(a) of Regulation D under the Securities Act), bought deal, over-night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Board” </w:t>
      </w:r>
      <w:r>
        <w:rPr>
          <w:rFonts w:ascii="Times New Roman;sans-serif" w:hAnsi="Times New Roman;sans-serif"/>
          <w:b w:val="false"/>
          <w:color w:val="000000"/>
          <w:sz w:val="20"/>
        </w:rPr>
        <w:t>shall mean the Board of Directors of the Company.</w:t>
      </w:r>
    </w:p>
    <w:p>
      <w:pPr>
        <w:pStyle w:val="HorizontalLine"/>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83" name="Frame5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Business Combination”</w:t>
      </w:r>
      <w:r>
        <w:rPr>
          <w:color w:val="000000"/>
        </w:rPr>
        <w:t xml:space="preserve"> </w:t>
      </w:r>
      <w:r>
        <w:rPr>
          <w:rFonts w:ascii="Times New Roman;sans-serif" w:hAnsi="Times New Roman;sans-serif"/>
          <w:b w:val="false"/>
          <w:color w:val="000000"/>
          <w:sz w:val="20"/>
        </w:rPr>
        <w:t>shall mean any merger, share exchange, asset acquisition, stock purchase, recapitalization, reorganization or other similar business combination with one or more businesses, involving the Company.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means a day other than Saturday, Sunday or other day on which commercial banks in New York, New York are authorized or required by law to close.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Commission”</w:t>
      </w:r>
      <w:r>
        <w:rPr>
          <w:color w:val="000000"/>
        </w:rPr>
        <w:t xml:space="preserve"> </w:t>
      </w:r>
      <w:r>
        <w:rPr>
          <w:rFonts w:ascii="Times New Roman;sans-serif" w:hAnsi="Times New Roman;sans-serif"/>
          <w:b w:val="false"/>
          <w:color w:val="000000"/>
          <w:sz w:val="20"/>
        </w:rPr>
        <w:t>means the Securities and Exchange Commission.</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Company’s common stock, par value $0.0001 per share.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Company”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Demand Registration”</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Demand Requesting Holder”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Demanding Holders”</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Effective Time” </w:t>
      </w:r>
      <w:r>
        <w:rPr>
          <w:rFonts w:ascii="Times New Roman;sans-serif" w:hAnsi="Times New Roman;sans-serif"/>
          <w:b w:val="false"/>
          <w:color w:val="000000"/>
          <w:sz w:val="20"/>
        </w:rPr>
        <w:t>shall have the meaning set forth in the Business Combination Agreement.</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Exchange Act” </w:t>
      </w:r>
      <w:r>
        <w:rPr>
          <w:rFonts w:ascii="Times New Roman;sans-serif" w:hAnsi="Times New Roman;sans-serif"/>
          <w:b w:val="false"/>
          <w:color w:val="000000"/>
          <w:sz w:val="20"/>
        </w:rPr>
        <w:t>shall mean the Securities Exchange Act of 1934, as it may be amended from time to time.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Form S-1”</w:t>
      </w:r>
      <w:r>
        <w:rPr>
          <w:color w:val="000000"/>
        </w:rPr>
        <w:t xml:space="preserve"> </w:t>
      </w:r>
      <w:r>
        <w:rPr>
          <w:rFonts w:ascii="Times New Roman;sans-serif" w:hAnsi="Times New Roman;sans-serif"/>
          <w:b w:val="false"/>
          <w:color w:val="000000"/>
          <w:sz w:val="20"/>
        </w:rPr>
        <w:t>means a Registration Statement on Form S-1 or any comparable successor form or forms thereto.</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Form S-3” </w:t>
      </w:r>
      <w:r>
        <w:rPr>
          <w:rFonts w:ascii="Times New Roman;sans-serif" w:hAnsi="Times New Roman;sans-serif"/>
          <w:b w:val="false"/>
          <w:color w:val="000000"/>
          <w:sz w:val="20"/>
        </w:rPr>
        <w:t>means a Registration Statement on Form S-3 or any comparable successor form or forms thereto.</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Holders”</w:t>
      </w:r>
      <w:r>
        <w:rPr>
          <w:color w:val="000000"/>
        </w:rPr>
        <w:t xml:space="preserve">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Independent Directors” </w:t>
      </w:r>
      <w:r>
        <w:rPr>
          <w:rFonts w:ascii="Times New Roman;sans-serif" w:hAnsi="Times New Roman;sans-serif"/>
          <w:b w:val="false"/>
          <w:color w:val="000000"/>
          <w:sz w:val="20"/>
        </w:rPr>
        <w:t>means Todd Wider, Bradley L. Campbell and Saqib Islam.</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Liquidation Event” s</w:t>
      </w:r>
      <w:r>
        <w:rPr>
          <w:rFonts w:ascii="Times New Roman;sans-serif" w:hAnsi="Times New Roman;sans-serif"/>
          <w:b w:val="false"/>
          <w:color w:val="000000"/>
          <w:sz w:val="20"/>
        </w:rPr>
        <w:t xml:space="preserve">hall mean any of the following that occur following the Effective Time, (i) the acquisition of the Company by another entity by 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or other disposition is to a wholly-owned subsidiary of the Company; or (iii) any liquidation, dissolution or winding up of the Company, whether voluntary or involuntary.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Maximum Number of Securities”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2.1.4.</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Misstatement”</w:t>
      </w:r>
      <w:r>
        <w:rPr>
          <w:color w:val="000000"/>
        </w:rPr>
        <w:t xml:space="preserve"> </w:t>
      </w:r>
      <w:r>
        <w:rPr>
          <w:rFonts w:ascii="Times New Roman;sans-serif" w:hAnsi="Times New Roman;sans-serif"/>
          <w:b w:val="false"/>
          <w:color w:val="000000"/>
          <w:sz w:val="20"/>
        </w:rPr>
        <w:t>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New Holders”</w:t>
      </w:r>
      <w:r>
        <w:rPr>
          <w:color w:val="000000"/>
        </w:rPr>
        <w:t xml:space="preserve">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New Registration Statement”</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2.3.4.</w:t>
      </w:r>
    </w:p>
    <w:p>
      <w:pPr>
        <w:pStyle w:val="HorizontalLine"/>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46685"/>
                <wp:effectExtent l="0" t="0" r="0" b="0"/>
                <wp:wrapNone/>
                <wp:docPr id="584" name="Frame5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Original Holders”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Perceptive Holders”</w:t>
      </w:r>
      <w:r>
        <w:rPr>
          <w:color w:val="000000"/>
        </w:rPr>
        <w:t xml:space="preserve"> </w:t>
      </w:r>
      <w:r>
        <w:rPr>
          <w:rFonts w:ascii="Times New Roman;sans-serif" w:hAnsi="Times New Roman;sans-serif"/>
          <w:b w:val="false"/>
          <w:color w:val="000000"/>
          <w:sz w:val="20"/>
        </w:rPr>
        <w:t>means the Sponsor and Perceptive.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Piggyback Registration”</w:t>
      </w:r>
      <w:r>
        <w:rPr>
          <w:color w:val="000000"/>
        </w:rPr>
        <w:t xml:space="preserve"> </w:t>
      </w:r>
      <w:r>
        <w:rPr>
          <w:rFonts w:ascii="Times New Roman;sans-serif" w:hAnsi="Times New Roman;sans-serif"/>
          <w:b w:val="false"/>
          <w:color w:val="000000"/>
          <w:sz w:val="20"/>
        </w:rPr>
        <w:t>shall have the meaning given in subsection 2.3.1.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Prior Agreement”</w:t>
      </w:r>
      <w:r>
        <w:rPr>
          <w:color w:val="000000"/>
        </w:rPr>
        <w:t xml:space="preserve">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PIPE Shares” </w:t>
      </w:r>
      <w:r>
        <w:rPr>
          <w:rFonts w:ascii="Times New Roman;sans-serif" w:hAnsi="Times New Roman;sans-serif"/>
          <w:b w:val="false"/>
          <w:color w:val="000000"/>
          <w:sz w:val="20"/>
        </w:rPr>
        <w:t>means shares of Common Stock purchased pursuant to those certain Subscription Agreements between certain Holders and the Company dated on or about February 7, 2021.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Pro Rata”</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2.1.4.</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Prospectus”</w:t>
      </w:r>
      <w:r>
        <w:rPr>
          <w:color w:val="000000"/>
        </w:rPr>
        <w:t xml:space="preserve"> </w:t>
      </w:r>
      <w:r>
        <w:rPr>
          <w:rFonts w:ascii="Times New Roman;sans-serif" w:hAnsi="Times New Roman;sans-serif"/>
          <w:b w:val="false"/>
          <w:color w:val="000000"/>
          <w:sz w:val="20"/>
        </w:rPr>
        <w:t>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Registrable Security”, “Registrable Securities”</w:t>
      </w:r>
      <w:r>
        <w:rPr>
          <w:color w:val="000000"/>
        </w:rPr>
        <w:t xml:space="preserve"> </w:t>
      </w:r>
      <w:r>
        <w:rPr>
          <w:rFonts w:ascii="Times New Roman;sans-serif" w:hAnsi="Times New Roman;sans-serif"/>
          <w:b w:val="false"/>
          <w:color w:val="000000"/>
          <w:sz w:val="20"/>
        </w:rPr>
        <w:t xml:space="preserve">shall mean (a) any outstanding share of Common Stock or any other equity security (including the 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Registration” </w:t>
      </w:r>
      <w:r>
        <w:rPr>
          <w:rFonts w:ascii="Times New Roman;sans-serif" w:hAnsi="Times New Roman;sans-serif"/>
          <w:b w:val="false"/>
          <w:color w:val="000000"/>
          <w:sz w:val="20"/>
        </w:rPr>
        <w:t>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Registration Expenses”</w:t>
      </w:r>
      <w:r>
        <w:rPr>
          <w:color w:val="000000"/>
        </w:rPr>
        <w:t xml:space="preserve"> </w:t>
      </w:r>
      <w:r>
        <w:rPr>
          <w:rFonts w:ascii="Times New Roman;sans-serif" w:hAnsi="Times New Roman;sans-serif"/>
          <w:b w:val="false"/>
          <w:color w:val="000000"/>
          <w:sz w:val="20"/>
        </w:rPr>
        <w:t>shall mean the out-of-pocket expenses of a Registration or Underwritten Offering, including, without limitation, the following: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(A)all registration and filing fees (including fees with respect to filings required to be made with the Financial Industry Regulatory Authority, Inc.) and any securities exchange on which the Common Stock is then listed;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(B)fees and expenses of compliance with securities or Blue Sky laws (including reasonable fees and disbursements of counsel for the Underwriters in connection with Blue Sky qualifications of Registrable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(C)printing, messenger, telephone and delivery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(D)reasonable fees and disbursements of counsel for the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(E)reasonable fees and disbursements of all independent registered public accountants of the Company incurred specifically in connection with such Registration or Underwritten Offering; 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(F)reasonable fees and expenses of one (1) legal counsel selected by the majority-in-interest of the Demanding Holders or the majority-in interest of the Takedown Requesting Holders (including if such Underwritten Takedown is in the form of a Block Trade), as applicable.</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Registration Statement” </w:t>
      </w:r>
      <w:r>
        <w:rPr>
          <w:rFonts w:ascii="Times New Roman;sans-serif" w:hAnsi="Times New Roman;sans-serif"/>
          <w:b w:val="false"/>
          <w:color w:val="000000"/>
          <w:sz w:val="20"/>
        </w:rPr>
        <w:t>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HorizontalLine"/>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46685"/>
                <wp:effectExtent l="0" t="0" r="0" b="0"/>
                <wp:wrapNone/>
                <wp:docPr id="585" name="Frame5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color w:val="000000"/>
        </w:rPr>
        <w:t>“</w:t>
      </w:r>
      <w:r>
        <w:rPr>
          <w:rFonts w:ascii="Times New Roman;sans-serif" w:hAnsi="Times New Roman;sans-serif"/>
          <w:b/>
          <w:color w:val="000000"/>
          <w:sz w:val="20"/>
        </w:rPr>
        <w:t>Requesting Holder”</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r>
        <w:rPr>
          <w:rFonts w:ascii="Times New Roman;sans-serif" w:hAnsi="Times New Roman;sans-serif"/>
          <w:b w:val="false"/>
          <w:color w:val="000000"/>
          <w:sz w:val="20"/>
        </w:rPr>
        <w:t>.</w:t>
      </w:r>
    </w:p>
    <w:p>
      <w:pPr>
        <w:pStyle w:val="TextBody"/>
        <w:spacing w:lineRule="auto" w:line="288" w:before="0" w:after="180"/>
        <w:jc w:val="both"/>
        <w:rPr/>
      </w:pPr>
      <w:r>
        <w:rPr>
          <w:color w:val="000000"/>
        </w:rPr>
        <w:t>“</w:t>
      </w:r>
      <w:r>
        <w:rPr>
          <w:rFonts w:ascii="Times New Roman;sans-serif" w:hAnsi="Times New Roman;sans-serif"/>
          <w:b/>
          <w:color w:val="000000"/>
          <w:sz w:val="20"/>
        </w:rPr>
        <w:t>Resale Shelf Registration Statement”</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2.3.1.</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Securities Act” </w:t>
      </w:r>
      <w:r>
        <w:rPr>
          <w:rFonts w:ascii="Times New Roman;sans-serif" w:hAnsi="Times New Roman;sans-serif"/>
          <w:b w:val="false"/>
          <w:color w:val="000000"/>
          <w:sz w:val="20"/>
        </w:rPr>
        <w:t>shall mean the Securities Act of 1933, as amended from time to time.</w:t>
      </w:r>
    </w:p>
    <w:p>
      <w:pPr>
        <w:pStyle w:val="TextBody"/>
        <w:spacing w:lineRule="auto" w:line="288" w:before="0" w:after="180"/>
        <w:jc w:val="both"/>
        <w:rPr/>
      </w:pPr>
      <w:r>
        <w:rPr>
          <w:color w:val="000000"/>
        </w:rPr>
        <w:t>“</w:t>
      </w:r>
      <w:r>
        <w:rPr>
          <w:rFonts w:ascii="Times New Roman;sans-serif" w:hAnsi="Times New Roman;sans-serif"/>
          <w:b/>
          <w:color w:val="000000"/>
          <w:sz w:val="20"/>
        </w:rPr>
        <w:t>Selling Holders”</w:t>
      </w:r>
      <w:r>
        <w:rPr>
          <w:color w:val="000000"/>
        </w:rPr>
        <w:t xml:space="preserve"> </w:t>
      </w:r>
      <w:r>
        <w:rPr>
          <w:rFonts w:ascii="Times New Roman;sans-serif" w:hAnsi="Times New Roman;sans-serif"/>
          <w:b w:val="false"/>
          <w:color w:val="000000"/>
          <w:sz w:val="20"/>
        </w:rPr>
        <w:t>means any Holder electing to sell any of its Registrable Securities in a Registration.</w:t>
      </w:r>
    </w:p>
    <w:p>
      <w:pPr>
        <w:pStyle w:val="TextBody"/>
        <w:spacing w:lineRule="auto" w:line="288" w:before="0" w:after="180"/>
        <w:jc w:val="both"/>
        <w:rPr/>
      </w:pPr>
      <w:r>
        <w:rPr>
          <w:color w:val="000000"/>
        </w:rPr>
        <w:t>“</w:t>
      </w:r>
      <w:r>
        <w:rPr>
          <w:rFonts w:ascii="Times New Roman;sans-serif" w:hAnsi="Times New Roman;sans-serif"/>
          <w:b/>
          <w:color w:val="000000"/>
          <w:sz w:val="20"/>
        </w:rPr>
        <w:t>SEC Guidance”</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2.3.4.</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Sponsor” </w:t>
      </w:r>
      <w:r>
        <w:rPr>
          <w:rFonts w:ascii="Times New Roman;sans-serif" w:hAnsi="Times New Roman;sans-serif"/>
          <w:b w:val="false"/>
          <w:color w:val="000000"/>
          <w:sz w:val="20"/>
        </w:rPr>
        <w:t>shall have the meaning given in the Recitals.</w:t>
      </w:r>
    </w:p>
    <w:p>
      <w:pPr>
        <w:pStyle w:val="TextBody"/>
        <w:spacing w:lineRule="auto" w:line="288" w:before="0" w:after="180"/>
        <w:jc w:val="both"/>
        <w:rPr/>
      </w:pPr>
      <w:r>
        <w:rPr>
          <w:color w:val="000000"/>
        </w:rPr>
        <w:t>“</w:t>
      </w:r>
      <w:r>
        <w:rPr>
          <w:rFonts w:ascii="Times New Roman;sans-serif" w:hAnsi="Times New Roman;sans-serif"/>
          <w:b/>
          <w:color w:val="000000"/>
          <w:sz w:val="20"/>
        </w:rPr>
        <w:t>Takedown Requesting Holder”</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p>
    <w:p>
      <w:pPr>
        <w:pStyle w:val="TextBody"/>
        <w:spacing w:lineRule="auto" w:line="288" w:before="0" w:after="180"/>
        <w:jc w:val="both"/>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spacing w:lineRule="auto" w:line="288" w:before="0" w:after="180"/>
        <w:jc w:val="both"/>
        <w:rPr/>
      </w:pPr>
      <w:r>
        <w:rPr>
          <w:color w:val="000000"/>
        </w:rPr>
        <w:t>“</w:t>
      </w:r>
      <w:r>
        <w:rPr>
          <w:rFonts w:ascii="Times New Roman;sans-serif" w:hAnsi="Times New Roman;sans-serif"/>
          <w:b/>
          <w:color w:val="000000"/>
          <w:sz w:val="20"/>
        </w:rPr>
        <w:t>Underwriter</w:t>
      </w:r>
      <w:r>
        <w:rPr>
          <w:color w:val="000000"/>
        </w:rPr>
        <w:t xml:space="preserve">” </w:t>
      </w:r>
      <w:r>
        <w:rPr>
          <w:rFonts w:ascii="Times New Roman;sans-serif" w:hAnsi="Times New Roman;sans-serif"/>
          <w:b w:val="false"/>
          <w:color w:val="000000"/>
          <w:sz w:val="20"/>
        </w:rPr>
        <w:t>shall mean a securities dealer who purchases any Registrable Securities as principal in an Underwritten Offering and not as part of such dealer’s market-making activities.</w:t>
      </w:r>
    </w:p>
    <w:p>
      <w:pPr>
        <w:pStyle w:val="TextBody"/>
        <w:spacing w:lineRule="auto" w:line="288" w:before="0" w:after="180"/>
        <w:jc w:val="both"/>
        <w:rPr/>
      </w:pPr>
      <w:r>
        <w:rPr>
          <w:color w:val="000000"/>
        </w:rPr>
        <w:t>“</w:t>
      </w:r>
      <w:r>
        <w:rPr>
          <w:rFonts w:ascii="Times New Roman;sans-serif" w:hAnsi="Times New Roman;sans-serif"/>
          <w:b/>
          <w:color w:val="000000"/>
          <w:sz w:val="20"/>
        </w:rPr>
        <w:t>Underwritten Registration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Underwritten Offering</w:t>
      </w:r>
      <w:r>
        <w:rPr>
          <w:color w:val="000000"/>
        </w:rPr>
        <w:t xml:space="preserve">” </w:t>
      </w:r>
      <w:r>
        <w:rPr>
          <w:rFonts w:ascii="Times New Roman;sans-serif" w:hAnsi="Times New Roman;sans-serif"/>
          <w:b w:val="false"/>
          <w:color w:val="000000"/>
          <w:sz w:val="20"/>
        </w:rPr>
        <w:t>shall mean a Registration in which securities of the Company are sold to an Underwriter in a firm commitment underwriting for distribution to the public, including for the avoidance of doubt an Underwritten Shelf Takedown.</w:t>
      </w:r>
    </w:p>
    <w:p>
      <w:pPr>
        <w:pStyle w:val="TextBody"/>
        <w:spacing w:lineRule="auto" w:line="288" w:before="0" w:after="180"/>
        <w:jc w:val="both"/>
        <w:rPr/>
      </w:pPr>
      <w:r>
        <w:rPr>
          <w:color w:val="000000"/>
        </w:rPr>
        <w:t>“</w:t>
      </w:r>
      <w:r>
        <w:rPr>
          <w:rFonts w:ascii="Times New Roman;sans-serif" w:hAnsi="Times New Roman;sans-serif"/>
          <w:b/>
          <w:color w:val="000000"/>
          <w:sz w:val="20"/>
        </w:rPr>
        <w:t>Underwritten Shelf Takedown</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REGISTRATION</w:t>
      </w:r>
    </w:p>
    <w:p>
      <w:pPr>
        <w:pStyle w:val="TextBody"/>
        <w:spacing w:lineRule="auto" w:line="288" w:before="0" w:after="180"/>
        <w:ind w:left="0" w:right="0" w:firstLine="360"/>
        <w:jc w:val="both"/>
        <w:rPr/>
      </w:pPr>
      <w:r>
        <w:rPr>
          <w:rFonts w:ascii="Times New Roman;sans-serif" w:hAnsi="Times New Roman;sans-serif"/>
          <w:b/>
          <w:color w:val="000000"/>
          <w:sz w:val="20"/>
        </w:rPr>
        <w:t>Section 2.1.</w:t>
      </w:r>
      <w:r>
        <w:rPr>
          <w:rFonts w:ascii="Times New Roman;sans-serif" w:hAnsi="Times New Roman;sans-serif"/>
          <w:b/>
          <w:color w:val="000000"/>
          <w:sz w:val="20"/>
        </w:rPr>
        <w:t>Demand Registration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2.1.1.</w:t>
      </w:r>
      <w:r>
        <w:rPr>
          <w:rFonts w:ascii="Times New Roman;sans-serif" w:hAnsi="Times New Roman;sans-serif"/>
          <w:b w:val="false"/>
          <w:color w:val="000000"/>
          <w:sz w:val="20"/>
          <w:u w:val="single"/>
        </w:rPr>
        <w:t>Request for Registration</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subsection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 xml:space="preserve">Section 2.4 </w:t>
      </w:r>
      <w:r>
        <w:rPr>
          <w:rFonts w:ascii="Times New Roman;sans-serif" w:hAnsi="Times New Roman;sans-serif"/>
          <w:b w:val="false"/>
          <w:color w:val="000000"/>
          <w:sz w:val="20"/>
        </w:rPr>
        <w:t xml:space="preserve">hereof, at any time and from time to time following the Effective Time (but subject to Article V), (i) New Holders </w:t>
      </w:r>
    </w:p>
    <w:p>
      <w:pPr>
        <w:pStyle w:val="TextBody"/>
        <w:spacing w:lineRule="auto" w:line="288" w:before="0" w:after="180"/>
        <w:rPr/>
      </w:pPr>
      <w:r>
        <w:rPr>
          <w:rFonts w:ascii="Times New Roman;sans-serif" w:hAnsi="Times New Roman;sans-serif"/>
          <w:b w:val="false"/>
          <w:color w:val="000000"/>
          <w:sz w:val="20"/>
        </w:rPr>
        <w:t>holding at least a majority in interest of the then-outstanding number of Registrable Securities held by all New Holders including or (ii) the Perceptive Holders holding at least a majority in interest of the then-outstanding number of Registrable Securities held by all Perceptive Holders (such New Holders or Perceptive Holders, as the case may be, the “</w:t>
      </w:r>
      <w:r>
        <w:rPr>
          <w:rFonts w:ascii="Times New Roman;sans-serif" w:hAnsi="Times New Roman;sans-serif"/>
          <w:b/>
          <w:color w:val="000000"/>
          <w:sz w:val="20"/>
        </w:rPr>
        <w:t>Demanding Holders</w:t>
      </w:r>
      <w:r>
        <w:rPr>
          <w:color w:val="000000"/>
        </w:rPr>
        <w:t>”</w:t>
      </w:r>
      <w:r>
        <w:rPr>
          <w:rFonts w:ascii="Times New Roman;sans-serif" w:hAnsi="Times New Roman;sans-serif"/>
          <w:b w:val="false"/>
          <w:color w:val="000000"/>
          <w:sz w:val="20"/>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sans-serif" w:hAnsi="Times New Roman;sans-serif"/>
          <w:b/>
          <w:color w:val="000000"/>
          <w:sz w:val="20"/>
        </w:rPr>
        <w:t>Demand Registration</w:t>
      </w:r>
      <w:r>
        <w:rPr>
          <w:color w:val="000000"/>
        </w:rPr>
        <w:t>”</w:t>
      </w:r>
      <w:r>
        <w:rPr>
          <w:rFonts w:ascii="Times New Roman;sans-serif" w:hAnsi="Times New Roman;sans-serif"/>
          <w:b w:val="false"/>
          <w:color w:val="000000"/>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sans-serif" w:hAnsi="Times New Roman;sans-serif"/>
          <w:b/>
          <w:color w:val="000000"/>
          <w:sz w:val="20"/>
        </w:rPr>
        <w:t>Demand Requesting Holder</w:t>
      </w:r>
      <w:r>
        <w:rPr>
          <w:color w:val="000000"/>
        </w:rPr>
        <w:t>”</w:t>
      </w:r>
      <w:r>
        <w:rPr>
          <w:rFonts w:ascii="Times New Roman;sans-serif" w:hAnsi="Times New Roman;sans-serif"/>
          <w:b w:val="false"/>
          <w:color w:val="000000"/>
          <w:sz w:val="2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 xml:space="preserve">the Company shall not be obligated to effect any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 xml:space="preserve">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 xml:space="preserve">initiated by New Holders, or (iii) two (2) Registration pursuant to a Demand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initiated by Perceptive Holders.</w:t>
      </w:r>
    </w:p>
    <w:p>
      <w:pPr>
        <w:pStyle w:val="HorizontalLine"/>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46685"/>
                <wp:effectExtent l="0" t="0" r="0" b="0"/>
                <wp:wrapNone/>
                <wp:docPr id="586" name="Frame5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2.1.2.</w:t>
      </w:r>
      <w:r>
        <w:rPr>
          <w:rFonts w:ascii="Times New Roman;sans-serif" w:hAnsi="Times New Roman;sans-serif"/>
          <w:b w:val="false"/>
          <w:color w:val="000000"/>
          <w:sz w:val="20"/>
          <w:u w:val="single"/>
        </w:rPr>
        <w:t>Effective Registration</w:t>
      </w:r>
      <w:r>
        <w:rPr>
          <w:rFonts w:ascii="Times New Roman;sans-serif" w:hAnsi="Times New Roman;sans-serif"/>
          <w:b w:val="false"/>
          <w:color w:val="000000"/>
          <w:sz w:val="20"/>
        </w:rPr>
        <w:t xml:space="preserve">. Notwithstanding the provisions of subsection 2.1.1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subsection 2.1.1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pStyle w:val="TextBody"/>
        <w:spacing w:lineRule="auto" w:line="288" w:before="0" w:after="180"/>
        <w:ind w:left="0" w:right="0" w:firstLine="1440"/>
        <w:jc w:val="both"/>
        <w:rPr/>
      </w:pPr>
      <w:r>
        <w:rPr>
          <w:rFonts w:ascii="Times New Roman;sans-serif" w:hAnsi="Times New Roman;sans-serif"/>
          <w:b w:val="false"/>
          <w:color w:val="000000"/>
          <w:sz w:val="20"/>
        </w:rPr>
        <w:t>2.1.3.</w:t>
      </w:r>
      <w:r>
        <w:rPr>
          <w:rFonts w:ascii="Times New Roman;sans-serif" w:hAnsi="Times New Roman;sans-serif"/>
          <w:b w:val="false"/>
          <w:color w:val="000000"/>
          <w:sz w:val="20"/>
          <w:u w:val="single"/>
        </w:rPr>
        <w:t>Underwritten Offering</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subsection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 xml:space="preserve">Section 2.4 </w:t>
      </w:r>
      <w:r>
        <w:rPr>
          <w:rFonts w:ascii="Times New Roman;sans-serif" w:hAnsi="Times New Roman;sans-serif"/>
          <w:b w:val="false"/>
          <w:color w:val="000000"/>
          <w:sz w:val="20"/>
        </w:rPr>
        <w:t xml:space="preserve">hereof, if a majority-in-interest of the 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sans-serif" w:hAnsi="Times New Roman;sans-serif"/>
          <w:b w:val="false"/>
          <w:color w:val="000000"/>
          <w:sz w:val="20"/>
          <w:u w:val="single"/>
        </w:rPr>
        <w:t>subsection 2.1.3</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a majority-in-interest of the Demanding Holders, such Underwriter(s) to be reasonably acceptable to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2.1.4.</w:t>
      </w:r>
      <w:r>
        <w:rPr>
          <w:rFonts w:ascii="Times New Roman;sans-serif" w:hAnsi="Times New Roman;sans-serif"/>
          <w:b w:val="false"/>
          <w:color w:val="000000"/>
          <w:sz w:val="20"/>
          <w:u w:val="single"/>
        </w:rPr>
        <w:t xml:space="preserve">Reduction of Underwritten Offering. </w:t>
      </w:r>
      <w:r>
        <w:rPr>
          <w:rFonts w:ascii="Times New Roman;sans-serif" w:hAnsi="Times New Roman;sans-serif"/>
          <w:b w:val="false"/>
          <w:color w:val="000000"/>
          <w:sz w:val="20"/>
        </w:rPr>
        <w:t>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sans-serif" w:hAnsi="Times New Roman;sans-serif"/>
          <w:b/>
          <w:color w:val="000000"/>
          <w:sz w:val="20"/>
        </w:rPr>
        <w:t>Maximum Number of Securities</w:t>
      </w:r>
      <w:r>
        <w:rPr>
          <w:color w:val="000000"/>
        </w:rPr>
        <w:t>”</w:t>
      </w:r>
      <w:r>
        <w:rPr>
          <w:rFonts w:ascii="Times New Roman;sans-serif" w:hAnsi="Times New Roman;sans-serif"/>
          <w:b w:val="false"/>
          <w:color w:val="000000"/>
          <w:sz w:val="20"/>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sans-serif" w:hAnsi="Times New Roman;sans-serif"/>
          <w:b/>
          <w:color w:val="000000"/>
          <w:sz w:val="20"/>
        </w:rPr>
        <w:t>Pro Rata</w:t>
      </w:r>
      <w:r>
        <w:rPr>
          <w:color w:val="000000"/>
        </w:rPr>
        <w:t>”</w:t>
      </w:r>
      <w:r>
        <w:rPr>
          <w:rFonts w:ascii="Times New Roman;sans-serif" w:hAnsi="Times New Roman;sans-serif"/>
          <w:b w:val="false"/>
          <w:color w:val="000000"/>
          <w:sz w:val="20"/>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2.1.5.</w:t>
      </w:r>
      <w:r>
        <w:rPr>
          <w:rFonts w:ascii="Times New Roman;sans-serif" w:hAnsi="Times New Roman;sans-serif"/>
          <w:b w:val="false"/>
          <w:color w:val="000000"/>
          <w:sz w:val="20"/>
          <w:u w:val="single"/>
        </w:rPr>
        <w:t>Demand Registration Withdrawal</w:t>
      </w:r>
      <w:r>
        <w:rPr>
          <w:rFonts w:ascii="Times New Roman;sans-serif" w:hAnsi="Times New Roman;sans-serif"/>
          <w:b w:val="false"/>
          <w:color w:val="000000"/>
          <w:sz w:val="20"/>
        </w:rPr>
        <w:t xml:space="preserve">. A majority-in-interest of the New Holders or a majority-in-interest of the Perceptive Holders, as the case may be, in the case of a Registration under subsection 2.1.1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Times New Roman;sans-serif" w:hAnsi="Times New Roman;sans-serif"/>
          <w:b w:val="false"/>
          <w:color w:val="000000"/>
          <w:sz w:val="20"/>
          <w:u w:val="single"/>
        </w:rPr>
        <w:t>subsection 2.1.5</w:t>
      </w:r>
      <w:r>
        <w:rPr>
          <w:rFonts w:ascii="Times New Roman;sans-serif" w:hAnsi="Times New Roman;sans-serif"/>
          <w:b w:val="false"/>
          <w:color w:val="000000"/>
          <w:sz w:val="20"/>
        </w:rPr>
        <w:t xml:space="preserve">, unless </w:t>
      </w:r>
    </w:p>
    <w:p>
      <w:pPr>
        <w:pStyle w:val="HorizontalLine"/>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46685"/>
                <wp:effectExtent l="0" t="0" r="0" b="0"/>
                <wp:wrapNone/>
                <wp:docPr id="587" name="Frame5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 xml:space="preserve">the Holders of a majority of the Registrable Securities agree to forfeit their right to a demand registration pursuant to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2.2.</w:t>
      </w:r>
      <w:r>
        <w:rPr>
          <w:rFonts w:ascii="Times New Roman;sans-serif" w:hAnsi="Times New Roman;sans-serif"/>
          <w:b/>
          <w:color w:val="000000"/>
          <w:sz w:val="20"/>
        </w:rPr>
        <w:t>Piggyback Registration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2.2.1</w:t>
      </w:r>
      <w:r>
        <w:rPr>
          <w:rFonts w:ascii="Times New Roman;sans-serif" w:hAnsi="Times New Roman;sans-serif"/>
          <w:b w:val="false"/>
          <w:color w:val="000000"/>
          <w:sz w:val="20"/>
          <w:u w:val="single"/>
        </w:rPr>
        <w:t>Piggyback Rights</w:t>
      </w:r>
      <w:r>
        <w:rPr>
          <w:rFonts w:ascii="Times New Roman;sans-serif" w:hAnsi="Times New Roman;sans-serif"/>
          <w:b w:val="false"/>
          <w:color w:val="000000"/>
          <w:sz w:val="20"/>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pursuant to </w:t>
      </w:r>
      <w:r>
        <w:rPr>
          <w:rFonts w:ascii="Times New Roman;sans-serif" w:hAnsi="Times New Roman;sans-serif"/>
          <w:b w:val="false"/>
          <w:color w:val="000000"/>
          <w:sz w:val="20"/>
          <w:u w:val="single"/>
        </w:rPr>
        <w:t>Sections 2.1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2.3</w:t>
      </w:r>
      <w:r>
        <w:rPr>
          <w:color w:val="000000"/>
        </w:rPr>
        <w:t xml:space="preserve"> </w:t>
      </w:r>
      <w:r>
        <w:rPr>
          <w:rFonts w:ascii="Times New Roman;sans-serif" w:hAnsi="Times New Roman;sans-serif"/>
          <w:b w:val="false"/>
          <w:color w:val="000000"/>
          <w:sz w:val="20"/>
        </w:rPr>
        <w:t>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sans-serif" w:hAnsi="Times New Roman;sans-serif"/>
          <w:b/>
          <w:color w:val="000000"/>
          <w:sz w:val="20"/>
        </w:rPr>
        <w:t>Piggyback Registration</w:t>
      </w:r>
      <w:r>
        <w:rPr>
          <w:color w:val="000000"/>
        </w:rPr>
        <w:t>”</w:t>
      </w:r>
      <w:r>
        <w:rPr>
          <w:rFonts w:ascii="Times New Roman;sans-serif" w:hAnsi="Times New Roman;sans-serif"/>
          <w:b w:val="false"/>
          <w:color w:val="000000"/>
          <w:sz w:val="2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 xml:space="preserve">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 such Holders proposing to distribute their Registrable Securities through an Underwritten Offering under this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the Company.</w:t>
      </w:r>
    </w:p>
    <w:p>
      <w:pPr>
        <w:pStyle w:val="TextBody"/>
        <w:spacing w:lineRule="auto" w:line="288" w:before="0" w:after="180"/>
        <w:ind w:left="0" w:right="0" w:firstLine="1440"/>
        <w:rPr/>
      </w:pPr>
      <w:r>
        <w:rPr>
          <w:rFonts w:ascii="Times New Roman;sans-serif" w:hAnsi="Times New Roman;sans-serif"/>
          <w:b w:val="false"/>
          <w:color w:val="000000"/>
          <w:sz w:val="20"/>
        </w:rPr>
        <w:t>2.2.2</w:t>
      </w:r>
      <w:r>
        <w:rPr>
          <w:rFonts w:ascii="Times New Roman;sans-serif" w:hAnsi="Times New Roman;sans-serif"/>
          <w:b w:val="false"/>
          <w:color w:val="000000"/>
          <w:sz w:val="20"/>
          <w:u w:val="single"/>
        </w:rPr>
        <w:t>Reduction of Piggyback Registration</w:t>
      </w:r>
      <w:r>
        <w:rPr>
          <w:rFonts w:ascii="Times New Roman;sans-serif" w:hAnsi="Times New Roman;sans-serif"/>
          <w:b w:val="false"/>
          <w:color w:val="000000"/>
          <w:sz w:val="20"/>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sans-serif" w:hAnsi="Times New Roman;sans-serif"/>
          <w:b w:val="false"/>
          <w:color w:val="000000"/>
          <w:sz w:val="20"/>
          <w:u w:val="single"/>
        </w:rPr>
        <w:t>Section 2.2.1</w:t>
      </w:r>
      <w:r>
        <w:rPr>
          <w:color w:val="000000"/>
        </w:rPr>
        <w:t xml:space="preserve"> </w:t>
      </w:r>
      <w:r>
        <w:rPr>
          <w:rFonts w:ascii="Times New Roman;sans-serif" w:hAnsi="Times New Roman;sans-serif"/>
          <w:b w:val="false"/>
          <w:color w:val="000000"/>
          <w:sz w:val="20"/>
        </w:rPr>
        <w:t>hereof, and (iii) the shares of Common Stock, if any, as to which Registration has been requested pursuant to separate written contractual piggy-back registration rights of other stockholders of the Company, exceeds the Maximum Number of Securities, then:</w:t>
      </w:r>
    </w:p>
    <w:p>
      <w:pPr>
        <w:pStyle w:val="TextBody"/>
        <w:spacing w:lineRule="auto" w:line="288" w:before="0" w:after="180"/>
        <w:ind w:left="0" w:right="0" w:hanging="720"/>
        <w:jc w:val="both"/>
        <w:rPr/>
      </w:pPr>
      <w:r>
        <w:rPr>
          <w:rFonts w:ascii="Times New Roman;sans-serif" w:hAnsi="Times New Roman;sans-serif"/>
          <w:b w:val="false"/>
          <w:color w:val="000000"/>
          <w:sz w:val="20"/>
        </w:rPr>
        <w:t>(i)If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w:t>
      </w:r>
      <w:r>
        <w:rPr>
          <w:color w:val="000000"/>
          <w:u w:val="single"/>
        </w:rPr>
        <w:t xml:space="preserve">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pStyle w:val="TextBody"/>
        <w:spacing w:lineRule="auto" w:line="288" w:before="0" w:after="180"/>
        <w:ind w:left="0" w:right="0" w:hanging="720"/>
        <w:jc w:val="both"/>
        <w:rPr/>
      </w:pPr>
      <w:r>
        <w:rPr>
          <w:rFonts w:ascii="Times New Roman;sans-serif" w:hAnsi="Times New Roman;sans-serif"/>
          <w:b w:val="false"/>
          <w:color w:val="000000"/>
          <w:sz w:val="20"/>
        </w:rPr>
        <w:t xml:space="preserve">(ii)If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sans-serif" w:hAnsi="Times New Roman;sans-serif"/>
          <w:b w:val="false"/>
          <w:color w:val="000000"/>
          <w:sz w:val="20"/>
          <w:u w:val="single"/>
        </w:rPr>
        <w:t>subsection 2.2.1</w:t>
      </w:r>
      <w:r>
        <w:rPr>
          <w:rFonts w:ascii="Times New Roman;sans-serif" w:hAnsi="Times New Roman;sans-serif"/>
          <w:b w:val="false"/>
          <w:color w:val="000000"/>
          <w:sz w:val="20"/>
        </w:rPr>
        <w:t xml:space="preserve">, Pro Rata based on the respective number of Registrable Securities that each Holder has requested, which can be sold without exceeding the </w:t>
      </w:r>
    </w:p>
    <w:p>
      <w:pPr>
        <w:pStyle w:val="HorizontalLine"/>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46685"/>
                <wp:effectExtent l="0" t="0" r="0" b="0"/>
                <wp:wrapNone/>
                <wp:docPr id="588" name="Frame5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2.2.3</w:t>
      </w:r>
      <w:r>
        <w:rPr>
          <w:rFonts w:ascii="Times New Roman;sans-serif" w:hAnsi="Times New Roman;sans-serif"/>
          <w:b w:val="false"/>
          <w:color w:val="000000"/>
          <w:sz w:val="20"/>
          <w:u w:val="single"/>
        </w:rPr>
        <w:t>Piggyback Registration Withdrawal</w:t>
      </w:r>
      <w:r>
        <w:rPr>
          <w:rFonts w:ascii="Times New Roman;sans-serif" w:hAnsi="Times New Roman;sans-serif"/>
          <w:b w:val="false"/>
          <w:color w:val="000000"/>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sans-serif" w:hAnsi="Times New Roman;sans-serif"/>
          <w:b w:val="false"/>
          <w:color w:val="000000"/>
          <w:sz w:val="20"/>
          <w:u w:val="single"/>
        </w:rPr>
        <w:t>subsection 2.2.3.</w:t>
      </w:r>
    </w:p>
    <w:p>
      <w:pPr>
        <w:pStyle w:val="TextBody"/>
        <w:spacing w:lineRule="auto" w:line="288" w:before="0" w:after="180"/>
        <w:ind w:left="0" w:right="0" w:firstLine="1440"/>
        <w:rPr/>
      </w:pPr>
      <w:r>
        <w:rPr>
          <w:rFonts w:ascii="Times New Roman;sans-serif" w:hAnsi="Times New Roman;sans-serif"/>
          <w:b w:val="false"/>
          <w:color w:val="000000"/>
          <w:sz w:val="20"/>
        </w:rPr>
        <w:t>2.2.4</w:t>
      </w:r>
      <w:r>
        <w:rPr>
          <w:rFonts w:ascii="Times New Roman;sans-serif" w:hAnsi="Times New Roman;sans-serif"/>
          <w:b w:val="false"/>
          <w:color w:val="000000"/>
          <w:sz w:val="20"/>
          <w:u w:val="single"/>
        </w:rPr>
        <w:t>Unlimited Piggyback Registration Rights</w:t>
      </w:r>
      <w:r>
        <w:rPr>
          <w:rFonts w:ascii="Times New Roman;sans-serif" w:hAnsi="Times New Roman;sans-serif"/>
          <w:b w:val="false"/>
          <w:color w:val="000000"/>
          <w:sz w:val="20"/>
        </w:rPr>
        <w:t xml:space="preserve">. For purposes of clarity, any Registration effected pursuant to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 xml:space="preserve">hereof shall not be counted as a Registration pursuant to a Demand Registration effected under </w:t>
      </w:r>
      <w:r>
        <w:rPr>
          <w:rFonts w:ascii="Times New Roman;sans-serif" w:hAnsi="Times New Roman;sans-serif"/>
          <w:b w:val="false"/>
          <w:color w:val="000000"/>
          <w:sz w:val="20"/>
          <w:u w:val="single"/>
        </w:rPr>
        <w:t xml:space="preserve">Section 2.1 </w:t>
      </w:r>
      <w:r>
        <w:rPr>
          <w:rFonts w:ascii="Times New Roman;sans-serif" w:hAnsi="Times New Roman;sans-serif"/>
          <w:b w:val="false"/>
          <w:color w:val="000000"/>
          <w:sz w:val="20"/>
        </w:rPr>
        <w:t>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2.2.5</w:t>
      </w:r>
      <w:r>
        <w:rPr>
          <w:rFonts w:ascii="Times New Roman;sans-serif" w:hAnsi="Times New Roman;sans-serif"/>
          <w:b w:val="false"/>
          <w:color w:val="000000"/>
          <w:sz w:val="20"/>
          <w:u w:val="single"/>
        </w:rPr>
        <w:t>Right to Terminate Registration</w:t>
      </w:r>
      <w:r>
        <w:rPr>
          <w:rFonts w:ascii="Times New Roman;sans-serif" w:hAnsi="Times New Roman;sans-serif"/>
          <w:b w:val="false"/>
          <w:color w:val="000000"/>
          <w:sz w:val="20"/>
        </w:rPr>
        <w:t xml:space="preserve">. The Company shall have the right to terminate or withdraw any registration initiated by it under this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prior to the effectiveness of such registration whether or not any Holder of Registrable Securities has elected to include securities in such registration.</w:t>
      </w:r>
    </w:p>
    <w:p>
      <w:pPr>
        <w:pStyle w:val="TextBody"/>
        <w:spacing w:lineRule="auto" w:line="288" w:before="0" w:after="180"/>
        <w:ind w:left="0" w:right="0" w:firstLine="360"/>
        <w:rPr/>
      </w:pPr>
      <w:r>
        <w:rPr>
          <w:rFonts w:ascii="Times New Roman;sans-serif" w:hAnsi="Times New Roman;sans-serif"/>
          <w:b/>
          <w:color w:val="000000"/>
          <w:sz w:val="20"/>
        </w:rPr>
        <w:t>Section 2.3.</w:t>
      </w:r>
      <w:r>
        <w:rPr>
          <w:rFonts w:ascii="Times New Roman;sans-serif" w:hAnsi="Times New Roman;sans-serif"/>
          <w:b/>
          <w:color w:val="000000"/>
          <w:sz w:val="20"/>
        </w:rPr>
        <w:t>Resale Shelf Registration Rights</w:t>
      </w:r>
    </w:p>
    <w:p>
      <w:pPr>
        <w:pStyle w:val="TextBody"/>
        <w:spacing w:lineRule="auto" w:line="288" w:before="0" w:after="180"/>
        <w:ind w:left="0" w:right="0" w:firstLine="1440"/>
        <w:jc w:val="both"/>
        <w:rPr/>
      </w:pPr>
      <w:r>
        <w:rPr>
          <w:rFonts w:ascii="Times New Roman;sans-serif" w:hAnsi="Times New Roman;sans-serif"/>
          <w:b w:val="false"/>
          <w:color w:val="000000"/>
          <w:sz w:val="20"/>
        </w:rPr>
        <w:t>2.3.1</w:t>
      </w:r>
      <w:r>
        <w:rPr>
          <w:rFonts w:ascii="Times New Roman;sans-serif" w:hAnsi="Times New Roman;sans-serif"/>
          <w:b w:val="false"/>
          <w:color w:val="000000"/>
          <w:sz w:val="20"/>
          <w:u w:val="single"/>
        </w:rPr>
        <w:t>Registration Statement Covering Resale of Registrable Securities</w:t>
      </w:r>
      <w:r>
        <w:rPr>
          <w:rFonts w:ascii="Times New Roman;sans-serif" w:hAnsi="Times New Roman;sans-serif"/>
          <w:b w:val="false"/>
          <w:color w:val="000000"/>
          <w:sz w:val="20"/>
        </w:rPr>
        <w:t>. The Company shall prepare and file or cause to be prepared and filed with the Commission, no later than forty-five (45) days following the Closing Date (the “</w:t>
      </w:r>
      <w:r>
        <w:rPr>
          <w:rFonts w:ascii="Times New Roman;sans-serif" w:hAnsi="Times New Roman;sans-serif"/>
          <w:b/>
          <w:color w:val="000000"/>
          <w:sz w:val="20"/>
        </w:rPr>
        <w:t>Filing Deadline</w:t>
      </w:r>
      <w:r>
        <w:rPr>
          <w:color w:val="000000"/>
        </w:rPr>
        <w:t>”</w:t>
      </w:r>
      <w:r>
        <w:rPr>
          <w:rFonts w:ascii="Times New Roman;sans-serif" w:hAnsi="Times New Roman;sans-serif"/>
          <w:b w:val="false"/>
          <w:color w:val="000000"/>
          <w:sz w:val="20"/>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sans-serif" w:hAnsi="Times New Roman;sans-serif"/>
          <w:b/>
          <w:color w:val="000000"/>
          <w:sz w:val="20"/>
        </w:rPr>
        <w:t>Resale Shelf Registration Statement</w:t>
      </w:r>
      <w:r>
        <w:rPr>
          <w:color w:val="000000"/>
        </w:rPr>
        <w:t>”</w:t>
      </w:r>
      <w:r>
        <w:rPr>
          <w:rFonts w:ascii="Times New Roman;sans-serif" w:hAnsi="Times New Roman;sans-serif"/>
          <w:b w:val="false"/>
          <w:color w:val="000000"/>
          <w:sz w:val="20"/>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provided, however,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Times New Roman;sans-serif" w:hAnsi="Times New Roman;sans-serif"/>
          <w:b w:val="false"/>
          <w:color w:val="000000"/>
          <w:sz w:val="20"/>
          <w:u w:val="single"/>
        </w:rPr>
        <w:t>subsection 2.3.1</w:t>
      </w:r>
      <w:r>
        <w:rPr>
          <w:color w:val="000000"/>
        </w:rPr>
        <w:t xml:space="preserve"> </w:t>
      </w:r>
      <w:r>
        <w:rPr>
          <w:rFonts w:ascii="Times New Roman;sans-serif" w:hAnsi="Times New Roman;sans-serif"/>
          <w:b w:val="false"/>
          <w:color w:val="000000"/>
          <w:sz w:val="20"/>
        </w:rPr>
        <w:t xml:space="preserve">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w:t>
      </w:r>
    </w:p>
    <w:p>
      <w:pPr>
        <w:pStyle w:val="HorizontalLine"/>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46685"/>
                <wp:effectExtent l="0" t="0" r="0" b="0"/>
                <wp:wrapNone/>
                <wp:docPr id="589" name="Frame5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lock-up restrictions provided in Section 5.1 of this Agreement), and shall provide that such Registrable Securities may be sold pursuant to any method or combination of methods legally available to, and requested by, 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2.3.2</w:t>
      </w:r>
      <w:r>
        <w:rPr>
          <w:rFonts w:ascii="Times New Roman;sans-serif" w:hAnsi="Times New Roman;sans-serif"/>
          <w:b w:val="false"/>
          <w:color w:val="000000"/>
          <w:sz w:val="20"/>
          <w:u w:val="single"/>
        </w:rPr>
        <w:t>Notification and Distribution of Materials</w:t>
      </w:r>
      <w:r>
        <w:rPr>
          <w:rFonts w:ascii="Times New Roman;sans-serif" w:hAnsi="Times New Roman;sans-serif"/>
          <w:b w:val="false"/>
          <w:color w:val="000000"/>
          <w:sz w:val="20"/>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2.3.3</w:t>
      </w:r>
      <w:r>
        <w:rPr>
          <w:rFonts w:ascii="Times New Roman;sans-serif" w:hAnsi="Times New Roman;sans-serif"/>
          <w:b w:val="false"/>
          <w:color w:val="000000"/>
          <w:sz w:val="20"/>
          <w:u w:val="single"/>
        </w:rPr>
        <w:t>Amendments and Supplements</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 xml:space="preserve">Section 2.3.1 </w:t>
      </w:r>
      <w:r>
        <w:rPr>
          <w:rFonts w:ascii="Times New Roman;sans-serif" w:hAnsi="Times New Roman;sans-serif"/>
          <w:b w:val="false"/>
          <w:color w:val="000000"/>
          <w:sz w:val="20"/>
        </w:rPr>
        <w:t xml:space="preserve">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sans-serif" w:hAnsi="Times New Roman;sans-serif"/>
          <w:b w:val="false"/>
          <w:color w:val="000000"/>
          <w:sz w:val="20"/>
          <w:u w:val="single"/>
        </w:rPr>
        <w:t>Section 2.3.1</w:t>
      </w:r>
      <w:r>
        <w:rPr>
          <w:color w:val="000000"/>
        </w:rPr>
        <w:t xml:space="preserve"> </w:t>
      </w:r>
      <w:r>
        <w:rPr>
          <w:rFonts w:ascii="Times New Roman;sans-serif" w:hAnsi="Times New Roman;sans-serif"/>
          <w:b w:val="false"/>
          <w:color w:val="000000"/>
          <w:sz w:val="20"/>
        </w:rPr>
        <w:t xml:space="preserve">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pStyle w:val="TextBody"/>
        <w:spacing w:lineRule="auto" w:line="288" w:before="0" w:after="180"/>
        <w:ind w:left="0" w:right="0" w:firstLine="1440"/>
        <w:jc w:val="both"/>
        <w:rPr/>
      </w:pPr>
      <w:r>
        <w:rPr>
          <w:rFonts w:ascii="Times New Roman;sans-serif" w:hAnsi="Times New Roman;sans-serif"/>
          <w:b w:val="false"/>
          <w:color w:val="000000"/>
          <w:sz w:val="20"/>
        </w:rPr>
        <w:t>2.3.4</w:t>
      </w:r>
      <w:r>
        <w:rPr>
          <w:rFonts w:ascii="Times New Roman;sans-serif" w:hAnsi="Times New Roman;sans-serif"/>
          <w:b w:val="false"/>
          <w:color w:val="000000"/>
          <w:sz w:val="20"/>
          <w:u w:val="single"/>
        </w:rPr>
        <w:t>SEC Cutback</w:t>
      </w:r>
      <w:r>
        <w:rPr>
          <w:rFonts w:ascii="Times New Roman;sans-serif" w:hAnsi="Times New Roman;sans-serif"/>
          <w:b w:val="false"/>
          <w:color w:val="000000"/>
          <w:sz w:val="20"/>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sans-serif" w:hAnsi="Times New Roman;sans-serif"/>
          <w:b/>
          <w:color w:val="000000"/>
          <w:sz w:val="20"/>
        </w:rPr>
        <w:t>New Registration Statement</w:t>
      </w:r>
      <w:r>
        <w:rPr>
          <w:color w:val="000000"/>
        </w:rPr>
        <w:t>”</w:t>
      </w:r>
      <w:r>
        <w:rPr>
          <w:rFonts w:ascii="Times New Roman;sans-serif" w:hAnsi="Times New Roman;sans-serif"/>
          <w:b w:val="false"/>
          <w:color w:val="000000"/>
          <w:sz w:val="20"/>
        </w:rPr>
        <w:t>) on Form S-3, or if Form S-3 is not then available to the Company for such registration statement, on such other form available to register for resale the Registrable Securities as a secondary offering;</w:t>
      </w:r>
      <w:r>
        <w:rPr>
          <w:color w:val="000000"/>
          <w:u w:val="single"/>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Times New Roman;sans-serif" w:hAnsi="Times New Roman;sans-serif"/>
          <w:b/>
          <w:color w:val="000000"/>
          <w:sz w:val="20"/>
        </w:rPr>
        <w:t>SEC Guidance</w:t>
      </w:r>
      <w:r>
        <w:rPr>
          <w:color w:val="000000"/>
        </w:rPr>
        <w:t>”</w:t>
      </w:r>
      <w:r>
        <w:rPr>
          <w:rFonts w:ascii="Times New Roman;sans-serif" w:hAnsi="Times New Roman;sans-serif"/>
          <w:b w:val="false"/>
          <w:color w:val="000000"/>
          <w:sz w:val="2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2.3.5</w:t>
      </w:r>
      <w:r>
        <w:rPr>
          <w:rFonts w:ascii="Times New Roman;sans-serif" w:hAnsi="Times New Roman;sans-serif"/>
          <w:b w:val="false"/>
          <w:color w:val="000000"/>
          <w:sz w:val="20"/>
          <w:u w:val="single"/>
        </w:rPr>
        <w:t>Underwritten Shelf Takedown</w:t>
      </w:r>
      <w:r>
        <w:rPr>
          <w:rFonts w:ascii="Times New Roman;sans-serif" w:hAnsi="Times New Roman;sans-serif"/>
          <w:b w:val="false"/>
          <w:color w:val="000000"/>
          <w:sz w:val="20"/>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Times New Roman;sans-serif" w:hAnsi="Times New Roman;sans-serif"/>
          <w:b/>
          <w:color w:val="000000"/>
          <w:sz w:val="20"/>
        </w:rPr>
        <w:t>Underwritten Shelf Takedown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Company shall only be obligated to effect an Underwritten Shelf Takedown if such offering shall include securities with a total offering price (including piggyback securities and before </w:t>
      </w:r>
    </w:p>
    <w:p>
      <w:pPr>
        <w:pStyle w:val="HorizontalLine"/>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46685"/>
                <wp:effectExtent l="0" t="0" r="0" b="0"/>
                <wp:wrapNone/>
                <wp:docPr id="590" name="Frame5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Times New Roman;sans-serif" w:hAnsi="Times New Roman;sans-serif"/>
          <w:b/>
          <w:color w:val="000000"/>
          <w:sz w:val="20"/>
        </w:rPr>
        <w:t>Takedown Requesting Holder</w:t>
      </w:r>
      <w:r>
        <w:rPr>
          <w:color w:val="000000"/>
        </w:rPr>
        <w:t>”</w:t>
      </w:r>
      <w:r>
        <w:rPr>
          <w:rFonts w:ascii="Times New Roman;sans-serif" w:hAnsi="Times New Roman;sans-serif"/>
          <w:b w:val="false"/>
          <w:color w:val="000000"/>
          <w:sz w:val="20"/>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Times New Roman;sans-serif" w:hAnsi="Times New Roman;sans-serif"/>
          <w:b w:val="false"/>
          <w:color w:val="000000"/>
          <w:sz w:val="20"/>
          <w:u w:val="single"/>
        </w:rPr>
        <w:t>subsection 2.3.5</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the majority-in-interest of the Takedown Requesting Holders initiating the Underwritten Shelf Takedown.</w:t>
      </w:r>
    </w:p>
    <w:p>
      <w:pPr>
        <w:pStyle w:val="TextBody"/>
        <w:spacing w:lineRule="auto" w:line="288" w:before="0" w:after="180"/>
        <w:ind w:left="0" w:right="0" w:firstLine="1440"/>
        <w:jc w:val="both"/>
        <w:rPr/>
      </w:pPr>
      <w:r>
        <w:rPr>
          <w:rFonts w:ascii="Times New Roman;sans-serif" w:hAnsi="Times New Roman;sans-serif"/>
          <w:b w:val="false"/>
          <w:color w:val="000000"/>
          <w:sz w:val="20"/>
        </w:rPr>
        <w:t>2.3.6</w:t>
      </w:r>
      <w:r>
        <w:rPr>
          <w:rFonts w:ascii="Times New Roman;sans-serif" w:hAnsi="Times New Roman;sans-serif"/>
          <w:b w:val="false"/>
          <w:color w:val="000000"/>
          <w:sz w:val="20"/>
          <w:u w:val="single"/>
        </w:rPr>
        <w:t>Reduction of Underwritten Shelf Takedown</w:t>
      </w:r>
      <w:r>
        <w:rPr>
          <w:rFonts w:ascii="Times New Roman;sans-serif" w:hAnsi="Times New Roman;sans-serif"/>
          <w:b w:val="false"/>
          <w:color w:val="000000"/>
          <w:sz w:val="20"/>
        </w:rPr>
        <w:t>. If the managing Underwriter(s) in an Underwritten Shelf Takedown, in good faith, 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2.3.7</w:t>
      </w:r>
      <w:r>
        <w:rPr>
          <w:rFonts w:ascii="Times New Roman;sans-serif" w:hAnsi="Times New Roman;sans-serif"/>
          <w:b w:val="false"/>
          <w:color w:val="000000"/>
          <w:sz w:val="20"/>
        </w:rPr>
        <w:t xml:space="preserve">Registrations effected pursuant to this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shall not be counted as Demand Registrations effected pursuant to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Under no circumstances shall the Company be obligated to effect more than an aggregate of four (4) Underwritten Shelf Takedowns in any 12-month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2.3.8</w:t>
      </w:r>
      <w:r>
        <w:rPr>
          <w:rFonts w:ascii="Times New Roman;sans-serif" w:hAnsi="Times New Roman;sans-serif"/>
          <w:b w:val="false"/>
          <w:color w:val="000000"/>
          <w:sz w:val="20"/>
          <w:u w:val="single"/>
        </w:rPr>
        <w:t>Block Trades</w:t>
      </w:r>
      <w:r>
        <w:rPr>
          <w:rFonts w:ascii="Times New Roman;sans-serif" w:hAnsi="Times New Roman;sans-serif"/>
          <w:b w:val="false"/>
          <w:color w:val="000000"/>
          <w:sz w:val="20"/>
        </w:rPr>
        <w:t xml:space="preserve">. If the Company shall receive a request from a Holder or Holders of Registrable Securities with an estimated market 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Times New Roman;sans-serif" w:hAnsi="Times New Roman;sans-serif"/>
          <w:b w:val="false"/>
          <w:color w:val="000000"/>
          <w:sz w:val="20"/>
          <w:u w:val="single"/>
        </w:rPr>
        <w:t>Section 2.3.7.</w:t>
      </w:r>
    </w:p>
    <w:p>
      <w:pPr>
        <w:pStyle w:val="TextBody"/>
        <w:spacing w:lineRule="auto" w:line="288" w:before="0" w:after="180"/>
        <w:ind w:left="0" w:right="0" w:firstLine="360"/>
        <w:jc w:val="both"/>
        <w:rPr/>
      </w:pPr>
      <w:r>
        <w:rPr>
          <w:rFonts w:ascii="Times New Roman;sans-serif" w:hAnsi="Times New Roman;sans-serif"/>
          <w:b/>
          <w:color w:val="000000"/>
          <w:sz w:val="20"/>
        </w:rPr>
        <w:t>Section 2.4.</w:t>
      </w:r>
      <w:r>
        <w:rPr>
          <w:rFonts w:ascii="Times New Roman;sans-serif" w:hAnsi="Times New Roman;sans-serif"/>
          <w:b/>
          <w:color w:val="000000"/>
          <w:sz w:val="20"/>
        </w:rPr>
        <w:t xml:space="preserve">Restrictions on Registration Rights. </w:t>
      </w:r>
      <w:r>
        <w:rPr>
          <w:rFonts w:ascii="Times New Roman;sans-serif" w:hAnsi="Times New Roman;sans-serif"/>
          <w:b w:val="false"/>
          <w:color w:val="000000"/>
          <w:sz w:val="20"/>
        </w:rPr>
        <w:t xml:space="preserve">. Notwithstanding anything to the contrary contained herein, the Company shall not be obligated to (but may, at its sole option) file a Registration Statement pursuant to a Demand Registration request made under </w:t>
      </w:r>
      <w:r>
        <w:rPr>
          <w:rFonts w:ascii="Times New Roman;sans-serif" w:hAnsi="Times New Roman;sans-serif"/>
          <w:b w:val="false"/>
          <w:color w:val="000000"/>
          <w:sz w:val="20"/>
          <w:u w:val="single"/>
        </w:rPr>
        <w:t>Section 2.1</w:t>
      </w:r>
      <w:r>
        <w:rPr>
          <w:color w:val="000000"/>
        </w:rPr>
        <w:t xml:space="preserve"> </w:t>
      </w:r>
      <w:r>
        <w:rPr>
          <w:rFonts w:ascii="Times New Roman;sans-serif" w:hAnsi="Times New Roman;sans-serif"/>
          <w:b w:val="false"/>
          <w:color w:val="000000"/>
          <w:sz w:val="20"/>
        </w:rPr>
        <w:t xml:space="preserve">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and that the Company continues to actively employ, in good faith, commercially reasonable efforts to cause the applicable Registration Statement to become effective.</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PROCEDURES</w:t>
      </w:r>
    </w:p>
    <w:p>
      <w:pPr>
        <w:pStyle w:val="TextBody"/>
        <w:spacing w:lineRule="auto" w:line="288" w:before="0" w:after="180"/>
        <w:ind w:left="0" w:right="0" w:firstLine="360"/>
        <w:jc w:val="both"/>
        <w:rPr/>
      </w:pPr>
      <w:r>
        <w:rPr>
          <w:rFonts w:ascii="Times New Roman;sans-serif" w:hAnsi="Times New Roman;sans-serif"/>
          <w:b/>
          <w:color w:val="000000"/>
          <w:sz w:val="20"/>
        </w:rPr>
        <w:t>Section 3.1</w:t>
      </w:r>
      <w:r>
        <w:rPr>
          <w:rFonts w:ascii="Times New Roman;sans-serif" w:hAnsi="Times New Roman;sans-serif"/>
          <w:b/>
          <w:color w:val="000000"/>
          <w:sz w:val="20"/>
        </w:rPr>
        <w:t>General Procedures</w:t>
      </w:r>
      <w:r>
        <w:rPr>
          <w:rFonts w:ascii="Times New Roman;sans-serif" w:hAnsi="Times New Roman;sans-serif"/>
          <w:b w:val="false"/>
          <w:color w:val="000000"/>
          <w:sz w:val="20"/>
        </w:rPr>
        <w:t>. If at any time on or after the Effective Time the Company is required to effect the Registration of Registrable 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pStyle w:val="TextBody"/>
        <w:spacing w:lineRule="auto" w:line="288" w:before="0" w:after="180"/>
        <w:ind w:left="0" w:right="0" w:firstLine="1440"/>
        <w:jc w:val="both"/>
        <w:rPr/>
      </w:pPr>
      <w:r>
        <w:rPr>
          <w:rFonts w:ascii="Times New Roman;sans-serif" w:hAnsi="Times New Roman;sans-serif"/>
          <w:b w:val="false"/>
          <w:color w:val="000000"/>
          <w:sz w:val="20"/>
        </w:rPr>
        <w:t>3.1.1</w:t>
      </w:r>
      <w:r>
        <w:rPr>
          <w:rFonts w:ascii="Times New Roman;sans-serif" w:hAnsi="Times New Roman;sans-serif"/>
          <w:b w:val="false"/>
          <w:color w:val="000000"/>
          <w:sz w:val="20"/>
        </w:rPr>
        <w:t>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pStyle w:val="HorizontalLine"/>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46685"/>
                <wp:effectExtent l="0" t="0" r="0" b="0"/>
                <wp:wrapNone/>
                <wp:docPr id="591" name="Frame5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3.1.2</w:t>
      </w:r>
      <w:r>
        <w:rPr>
          <w:rFonts w:ascii="Times New Roman;sans-serif" w:hAnsi="Times New Roman;sans-serif"/>
          <w:b w:val="false"/>
          <w:color w:val="000000"/>
          <w:sz w:val="20"/>
        </w:rPr>
        <w:t>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spacing w:lineRule="auto" w:line="288" w:before="0" w:after="180"/>
        <w:ind w:left="0" w:right="0" w:firstLine="1440"/>
        <w:rPr/>
      </w:pPr>
      <w:r>
        <w:rPr>
          <w:rFonts w:ascii="Times New Roman;sans-serif" w:hAnsi="Times New Roman;sans-serif"/>
          <w:b w:val="false"/>
          <w:color w:val="000000"/>
          <w:sz w:val="20"/>
        </w:rPr>
        <w:t>3.1.3</w:t>
      </w:r>
      <w:r>
        <w:rPr>
          <w:rFonts w:ascii="Times New Roman;sans-serif" w:hAnsi="Times New Roman;sans-serif"/>
          <w:b w:val="false"/>
          <w:color w:val="000000"/>
          <w:sz w:val="20"/>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3.1.4</w:t>
      </w:r>
      <w:r>
        <w:rPr>
          <w:rFonts w:ascii="Times New Roman;sans-serif" w:hAnsi="Times New Roman;sans-serif"/>
          <w:b w:val="false"/>
          <w:color w:val="000000"/>
          <w:sz w:val="20"/>
        </w:rPr>
        <w:t>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spacing w:lineRule="auto" w:line="288" w:before="0" w:after="180"/>
        <w:ind w:left="0" w:right="0" w:firstLine="1440"/>
        <w:jc w:val="both"/>
        <w:rPr/>
      </w:pPr>
      <w:r>
        <w:rPr>
          <w:rFonts w:ascii="Times New Roman;sans-serif" w:hAnsi="Times New Roman;sans-serif"/>
          <w:b w:val="false"/>
          <w:color w:val="000000"/>
          <w:sz w:val="20"/>
        </w:rPr>
        <w:t>3.1.5</w:t>
      </w:r>
      <w:r>
        <w:rPr>
          <w:rFonts w:ascii="Times New Roman;sans-serif" w:hAnsi="Times New Roman;sans-serif"/>
          <w:b w:val="false"/>
          <w:color w:val="000000"/>
          <w:sz w:val="20"/>
        </w:rPr>
        <w:t>cause all such Registrable Securities to be listed on each securities exchange or automated quotation system on which similar securities issued by the Company are then listed;</w:t>
      </w:r>
    </w:p>
    <w:p>
      <w:pPr>
        <w:pStyle w:val="TextBody"/>
        <w:spacing w:lineRule="auto" w:line="288" w:before="0" w:after="180"/>
        <w:ind w:left="0" w:right="0" w:firstLine="1440"/>
        <w:jc w:val="both"/>
        <w:rPr/>
      </w:pPr>
      <w:r>
        <w:rPr>
          <w:rFonts w:ascii="Times New Roman;sans-serif" w:hAnsi="Times New Roman;sans-serif"/>
          <w:b w:val="false"/>
          <w:color w:val="000000"/>
          <w:sz w:val="20"/>
        </w:rPr>
        <w:t>3.1.6</w:t>
      </w:r>
      <w:r>
        <w:rPr>
          <w:rFonts w:ascii="Times New Roman;sans-serif" w:hAnsi="Times New Roman;sans-serif"/>
          <w:b w:val="false"/>
          <w:color w:val="000000"/>
          <w:sz w:val="20"/>
        </w:rPr>
        <w:t>provide a transfer agent and registrar for all such Registrable Securities no later than the effective date of such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3.1.7</w:t>
      </w:r>
      <w:r>
        <w:rPr>
          <w:rFonts w:ascii="Times New Roman;sans-serif" w:hAnsi="Times New Roman;sans-serif"/>
          <w:b w:val="false"/>
          <w:color w:val="000000"/>
          <w:sz w:val="20"/>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spacing w:lineRule="auto" w:line="288" w:before="0" w:after="180"/>
        <w:ind w:left="0" w:right="0" w:firstLine="1440"/>
        <w:jc w:val="both"/>
        <w:rPr/>
      </w:pPr>
      <w:r>
        <w:rPr>
          <w:rFonts w:ascii="Times New Roman;sans-serif" w:hAnsi="Times New Roman;sans-serif"/>
          <w:b w:val="false"/>
          <w:color w:val="000000"/>
          <w:sz w:val="20"/>
        </w:rPr>
        <w:t>3.1.8</w:t>
      </w:r>
      <w:r>
        <w:rPr>
          <w:rFonts w:ascii="Times New Roman;sans-serif" w:hAnsi="Times New Roman;sans-serif"/>
          <w:b w:val="false"/>
          <w:color w:val="000000"/>
          <w:sz w:val="20"/>
        </w:rPr>
        <w:t>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pStyle w:val="TextBody"/>
        <w:spacing w:lineRule="auto" w:line="288" w:before="0" w:after="180"/>
        <w:ind w:left="0" w:right="0" w:firstLine="1440"/>
        <w:jc w:val="both"/>
        <w:rPr/>
      </w:pPr>
      <w:r>
        <w:rPr>
          <w:rFonts w:ascii="Times New Roman;sans-serif" w:hAnsi="Times New Roman;sans-serif"/>
          <w:b w:val="false"/>
          <w:color w:val="000000"/>
          <w:sz w:val="20"/>
        </w:rPr>
        <w:t>3.1.9</w:t>
      </w:r>
      <w:r>
        <w:rPr>
          <w:rFonts w:ascii="Times New Roman;sans-serif" w:hAnsi="Times New Roman;sans-serif"/>
          <w:b w:val="false"/>
          <w:color w:val="000000"/>
          <w:sz w:val="20"/>
        </w:rPr>
        <w:t>at least five (5) days prior to the filing of any Registration Statement or Prospectus or any amendment or supplement to such Registration Statement or Prospectus, furnish a draft copy thereof to each seller of such Registrable Securities or its counsel;</w:t>
      </w:r>
    </w:p>
    <w:p>
      <w:pPr>
        <w:pStyle w:val="TextBody"/>
        <w:spacing w:lineRule="auto" w:line="288" w:before="0" w:after="180"/>
        <w:ind w:left="0" w:right="0" w:firstLine="1440"/>
        <w:jc w:val="both"/>
        <w:rPr/>
      </w:pPr>
      <w:r>
        <w:rPr>
          <w:rFonts w:ascii="Times New Roman;sans-serif" w:hAnsi="Times New Roman;sans-serif"/>
          <w:b w:val="false"/>
          <w:color w:val="000000"/>
          <w:sz w:val="20"/>
        </w:rPr>
        <w:t>3.1.10</w:t>
      </w:r>
      <w:r>
        <w:rPr>
          <w:rFonts w:ascii="Times New Roman;sans-serif" w:hAnsi="Times New Roman;sans-serif"/>
          <w:b w:val="false"/>
          <w:color w:val="000000"/>
          <w:sz w:val="20"/>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sans-serif" w:hAnsi="Times New Roman;sans-serif"/>
          <w:b w:val="false"/>
          <w:color w:val="000000"/>
          <w:sz w:val="20"/>
          <w:u w:val="single"/>
        </w:rPr>
        <w:t>Section 3.4</w:t>
      </w:r>
      <w:r>
        <w:rPr>
          <w:color w:val="000000"/>
        </w:rPr>
        <w:t xml:space="preserve"> </w:t>
      </w:r>
      <w:r>
        <w:rPr>
          <w:rFonts w:ascii="Times New Roman;sans-serif" w:hAnsi="Times New Roman;sans-serif"/>
          <w:b w:val="false"/>
          <w:color w:val="000000"/>
          <w:sz w:val="20"/>
        </w:rPr>
        <w:t>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3.1.11</w:t>
      </w:r>
      <w:r>
        <w:rPr>
          <w:rFonts w:ascii="Times New Roman;sans-serif" w:hAnsi="Times New Roman;sans-serif"/>
          <w:b w:val="false"/>
          <w:color w:val="000000"/>
          <w:sz w:val="20"/>
        </w:rPr>
        <w:t xml:space="preserve">permit a representative of the Holders, the Underwriter(s), if any, and any attorney or accountant retained by such Holders or 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representatives or Underwriter(s) enter into a confidentiality agreement, in form and substance reasonably satisfactory to the Company, prior to the release or disclosure of any such information;</w:t>
      </w:r>
    </w:p>
    <w:p>
      <w:pPr>
        <w:pStyle w:val="HorizontalLine"/>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46685"/>
                <wp:effectExtent l="0" t="0" r="0" b="0"/>
                <wp:wrapNone/>
                <wp:docPr id="592" name="Frame5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3.1.12</w:t>
      </w:r>
      <w:r>
        <w:rPr>
          <w:rFonts w:ascii="Times New Roman;sans-serif" w:hAnsi="Times New Roman;sans-serif"/>
          <w:b w:val="false"/>
          <w:color w:val="000000"/>
          <w:sz w:val="20"/>
        </w:rPr>
        <w:t>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pStyle w:val="TextBody"/>
        <w:spacing w:lineRule="auto" w:line="288" w:before="0" w:after="180"/>
        <w:ind w:left="0" w:right="0" w:firstLine="1440"/>
        <w:jc w:val="both"/>
        <w:rPr/>
      </w:pPr>
      <w:r>
        <w:rPr>
          <w:rFonts w:ascii="Times New Roman;sans-serif" w:hAnsi="Times New Roman;sans-serif"/>
          <w:b w:val="false"/>
          <w:color w:val="000000"/>
          <w:sz w:val="20"/>
        </w:rPr>
        <w:t>3.1.13</w:t>
      </w:r>
      <w:r>
        <w:rPr>
          <w:rFonts w:ascii="Times New Roman;sans-serif" w:hAnsi="Times New Roman;sans-serif"/>
          <w:b w:val="false"/>
          <w:color w:val="000000"/>
          <w:sz w:val="20"/>
        </w:rPr>
        <w:t>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pStyle w:val="TextBody"/>
        <w:spacing w:lineRule="auto" w:line="288" w:before="0" w:after="180"/>
        <w:ind w:left="0" w:right="0" w:firstLine="1440"/>
        <w:jc w:val="both"/>
        <w:rPr/>
      </w:pPr>
      <w:r>
        <w:rPr>
          <w:rFonts w:ascii="Times New Roman;sans-serif" w:hAnsi="Times New Roman;sans-serif"/>
          <w:b w:val="false"/>
          <w:color w:val="000000"/>
          <w:sz w:val="20"/>
        </w:rPr>
        <w:t>3.1.14</w:t>
      </w:r>
      <w:r>
        <w:rPr>
          <w:rFonts w:ascii="Times New Roman;sans-serif" w:hAnsi="Times New Roman;sans-serif"/>
          <w:b w:val="false"/>
          <w:color w:val="000000"/>
          <w:sz w:val="20"/>
        </w:rPr>
        <w:t>in the event of any Underwritten Offering, enter into and perform its obligations under an underwriting agreement, in usual and customary form, with the managing Underwriter(s) of such offering;</w:t>
      </w:r>
    </w:p>
    <w:p>
      <w:pPr>
        <w:pStyle w:val="TextBody"/>
        <w:spacing w:lineRule="auto" w:line="288" w:before="0" w:after="180"/>
        <w:ind w:left="0" w:right="0" w:firstLine="1440"/>
        <w:jc w:val="both"/>
        <w:rPr/>
      </w:pPr>
      <w:r>
        <w:rPr>
          <w:rFonts w:ascii="Times New Roman;sans-serif" w:hAnsi="Times New Roman;sans-serif"/>
          <w:b w:val="false"/>
          <w:color w:val="000000"/>
          <w:sz w:val="20"/>
        </w:rPr>
        <w:t>3.1.15</w:t>
      </w:r>
      <w:r>
        <w:rPr>
          <w:rFonts w:ascii="Times New Roman;sans-serif" w:hAnsi="Times New Roman;sans-serif"/>
          <w:b w:val="false"/>
          <w:color w:val="000000"/>
          <w:sz w:val="20"/>
        </w:rPr>
        <w:t xml:space="preserve">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Times New Roman;sans-serif" w:hAnsi="Times New Roman;sans-serif"/>
          <w:b w:val="false"/>
          <w:color w:val="000000"/>
          <w:sz w:val="20"/>
          <w:u w:val="single"/>
        </w:rPr>
        <w:t>Section 11(a)</w:t>
      </w:r>
      <w:r>
        <w:rPr>
          <w:color w:val="000000"/>
        </w:rPr>
        <w:t xml:space="preserve"> </w:t>
      </w:r>
      <w:r>
        <w:rPr>
          <w:rFonts w:ascii="Times New Roman;sans-serif" w:hAnsi="Times New Roman;sans-serif"/>
          <w:b w:val="false"/>
          <w:color w:val="000000"/>
          <w:sz w:val="20"/>
        </w:rPr>
        <w:t>of the Securities Act and Rule 158 thereunder (or any successor rule promulgated thereafter by the Commission);</w:t>
      </w:r>
    </w:p>
    <w:p>
      <w:pPr>
        <w:pStyle w:val="TextBody"/>
        <w:spacing w:lineRule="auto" w:line="288" w:before="0" w:after="180"/>
        <w:ind w:left="0" w:right="0" w:firstLine="1440"/>
        <w:jc w:val="both"/>
        <w:rPr/>
      </w:pPr>
      <w:r>
        <w:rPr>
          <w:rFonts w:ascii="Times New Roman;sans-serif" w:hAnsi="Times New Roman;sans-serif"/>
          <w:b w:val="false"/>
          <w:color w:val="000000"/>
          <w:sz w:val="20"/>
        </w:rPr>
        <w:t>3.1.16</w:t>
      </w:r>
      <w:r>
        <w:rPr>
          <w:rFonts w:ascii="Times New Roman;sans-serif" w:hAnsi="Times New Roman;sans-serif"/>
          <w:b w:val="false"/>
          <w:color w:val="000000"/>
          <w:sz w:val="20"/>
        </w:rPr>
        <w:t>if a Registration, including an Underwritten Offering, involves the Registration of Registrable Securities involving gross proceeds in excess of $50,000,000, use its commercially reasonable efforts to make available senior executives of the Company to participate in customary “road show” presentations that may be reasonably requested by the Underwriter(s) in any Underwritten Offering; and</w:t>
      </w:r>
    </w:p>
    <w:p>
      <w:pPr>
        <w:pStyle w:val="TextBody"/>
        <w:spacing w:lineRule="auto" w:line="288" w:before="0" w:after="180"/>
        <w:ind w:left="0" w:right="0" w:firstLine="1440"/>
        <w:jc w:val="both"/>
        <w:rPr/>
      </w:pPr>
      <w:r>
        <w:rPr>
          <w:rFonts w:ascii="Times New Roman;sans-serif" w:hAnsi="Times New Roman;sans-serif"/>
          <w:b w:val="false"/>
          <w:color w:val="000000"/>
          <w:sz w:val="20"/>
        </w:rPr>
        <w:t>3.1.17</w:t>
      </w:r>
      <w:r>
        <w:rPr>
          <w:rFonts w:ascii="Times New Roman;sans-serif" w:hAnsi="Times New Roman;sans-serif"/>
          <w:b w:val="false"/>
          <w:color w:val="000000"/>
          <w:sz w:val="20"/>
        </w:rPr>
        <w:t>otherwise, in good faith, cooperate reasonably with, and take such customary actions as may reasonably be requested by the Holders, in connection with such Registration.</w:t>
      </w:r>
    </w:p>
    <w:p>
      <w:pPr>
        <w:pStyle w:val="TextBody"/>
        <w:spacing w:lineRule="auto" w:line="288" w:before="0" w:after="180"/>
        <w:ind w:left="0" w:right="0" w:firstLine="360"/>
        <w:jc w:val="both"/>
        <w:rPr/>
      </w:pPr>
      <w:r>
        <w:rPr>
          <w:rFonts w:ascii="Times New Roman;sans-serif" w:hAnsi="Times New Roman;sans-serif"/>
          <w:b/>
          <w:color w:val="000000"/>
          <w:sz w:val="20"/>
        </w:rPr>
        <w:t>Section 3.2.</w:t>
      </w:r>
      <w:r>
        <w:rPr>
          <w:rFonts w:ascii="Times New Roman;sans-serif" w:hAnsi="Times New Roman;sans-serif"/>
          <w:b/>
          <w:color w:val="000000"/>
          <w:sz w:val="20"/>
        </w:rPr>
        <w:t>Registration Expenses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all Registration Expenses shal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pStyle w:val="TextBody"/>
        <w:spacing w:lineRule="auto" w:line="288" w:before="0" w:after="180"/>
        <w:ind w:left="0" w:right="0" w:firstLine="360"/>
        <w:jc w:val="both"/>
        <w:rPr/>
      </w:pPr>
      <w:r>
        <w:rPr>
          <w:rFonts w:ascii="Times New Roman;sans-serif" w:hAnsi="Times New Roman;sans-serif"/>
          <w:b/>
          <w:color w:val="000000"/>
          <w:sz w:val="20"/>
        </w:rPr>
        <w:t>Section 3.3.</w:t>
      </w:r>
      <w:r>
        <w:rPr>
          <w:rFonts w:ascii="Times New Roman;sans-serif" w:hAnsi="Times New Roman;sans-serif"/>
          <w:b/>
          <w:color w:val="000000"/>
          <w:sz w:val="20"/>
        </w:rPr>
        <w:t>Requirements for Participation in Underwritten Offerings</w:t>
      </w:r>
      <w:r>
        <w:rPr>
          <w:rFonts w:ascii="Times New Roman;sans-serif" w:hAnsi="Times New Roman;sans-serif"/>
          <w:b w:val="false"/>
          <w:color w:val="000000"/>
          <w:sz w:val="20"/>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pStyle w:val="TextBody"/>
        <w:spacing w:lineRule="auto" w:line="288" w:before="0" w:after="180"/>
        <w:ind w:left="0" w:right="0" w:firstLine="360"/>
        <w:jc w:val="both"/>
        <w:rPr/>
      </w:pPr>
      <w:r>
        <w:rPr>
          <w:rFonts w:ascii="Times New Roman;sans-serif" w:hAnsi="Times New Roman;sans-serif"/>
          <w:b/>
          <w:color w:val="000000"/>
          <w:sz w:val="20"/>
        </w:rPr>
        <w:t>Section 3.4.</w:t>
      </w:r>
      <w:r>
        <w:rPr>
          <w:rFonts w:ascii="Times New Roman;sans-serif" w:hAnsi="Times New Roman;sans-serif"/>
          <w:b/>
          <w:color w:val="000000"/>
          <w:sz w:val="20"/>
        </w:rPr>
        <w:t>Suspension of Sales; Adverse Disclosure.</w:t>
      </w:r>
      <w:r>
        <w:rPr>
          <w:color w:val="000000"/>
        </w:rPr>
        <w:t xml:space="preserve"> </w:t>
      </w:r>
      <w:r>
        <w:rPr>
          <w:rFonts w:ascii="Times New Roman;sans-serif" w:hAnsi="Times New Roman;sans-serif"/>
          <w:b w:val="false"/>
          <w:color w:val="000000"/>
          <w:sz w:val="20"/>
        </w:rPr>
        <w:t>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Section 3.4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pStyle w:val="HorizontalLine"/>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46685"/>
                <wp:effectExtent l="0" t="0" r="0" b="0"/>
                <wp:wrapNone/>
                <wp:docPr id="593" name="Frame5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jc w:val="both"/>
        <w:rPr/>
      </w:pPr>
      <w:r>
        <w:rPr>
          <w:rFonts w:ascii="Times New Roman;sans-serif" w:hAnsi="Times New Roman;sans-serif"/>
          <w:b/>
          <w:color w:val="000000"/>
          <w:sz w:val="20"/>
        </w:rPr>
        <w:t>Section 3.5.</w:t>
      </w:r>
      <w:r>
        <w:rPr>
          <w:rFonts w:ascii="Times New Roman;sans-serif" w:hAnsi="Times New Roman;sans-serif"/>
          <w:b/>
          <w:color w:val="000000"/>
          <w:sz w:val="20"/>
        </w:rPr>
        <w:t>Reporting Obligations</w:t>
      </w:r>
      <w:r>
        <w:rPr>
          <w:rFonts w:ascii="Times New Roman;sans-serif" w:hAnsi="Times New Roman;sans-serif"/>
          <w:b w:val="false"/>
          <w:color w:val="000000"/>
          <w:sz w:val="20"/>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pStyle w:val="TextBody"/>
        <w:spacing w:lineRule="auto" w:line="288" w:before="0" w:after="180"/>
        <w:ind w:left="0" w:right="0" w:firstLine="360"/>
        <w:jc w:val="both"/>
        <w:rPr/>
      </w:pPr>
      <w:r>
        <w:rPr>
          <w:rFonts w:ascii="Times New Roman;sans-serif" w:hAnsi="Times New Roman;sans-serif"/>
          <w:b/>
          <w:color w:val="000000"/>
          <w:sz w:val="20"/>
        </w:rPr>
        <w:t>Section 3.6.</w:t>
      </w:r>
      <w:r>
        <w:rPr>
          <w:rFonts w:ascii="Times New Roman;sans-serif" w:hAnsi="Times New Roman;sans-serif"/>
          <w:b/>
          <w:color w:val="000000"/>
          <w:sz w:val="20"/>
        </w:rPr>
        <w:t>Limitations on Registration Rights</w:t>
      </w:r>
      <w:r>
        <w:rPr>
          <w:rFonts w:ascii="Times New Roman;sans-serif" w:hAnsi="Times New Roman;sans-serif"/>
          <w:b w:val="false"/>
          <w:color w:val="000000"/>
          <w:sz w:val="20"/>
        </w:rPr>
        <w:t>. Other than the registration rights granted to the purchasers under the Subscription Agreements to be 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INDEMNIFICATION AND CONTRIBUTION</w:t>
      </w:r>
    </w:p>
    <w:p>
      <w:pPr>
        <w:pStyle w:val="TextBody"/>
        <w:spacing w:lineRule="auto" w:line="288" w:before="0" w:after="180"/>
        <w:ind w:left="0" w:right="0" w:firstLine="360"/>
        <w:jc w:val="both"/>
        <w:rPr/>
      </w:pPr>
      <w:r>
        <w:rPr>
          <w:rFonts w:ascii="Times New Roman;sans-serif" w:hAnsi="Times New Roman;sans-serif"/>
          <w:b/>
          <w:color w:val="000000"/>
          <w:sz w:val="20"/>
        </w:rPr>
        <w:t>Section 4.1</w:t>
      </w:r>
      <w:r>
        <w:rPr>
          <w:rFonts w:ascii="Times New Roman;sans-serif" w:hAnsi="Times New Roman;sans-serif"/>
          <w:b/>
          <w:color w:val="000000"/>
          <w:sz w:val="20"/>
        </w:rPr>
        <w:t>Indemnification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4.1.1</w:t>
      </w:r>
      <w:r>
        <w:rPr>
          <w:rFonts w:ascii="Times New Roman;sans-serif" w:hAnsi="Times New Roman;sans-serif"/>
          <w:b w:val="false"/>
          <w:color w:val="000000"/>
          <w:sz w:val="20"/>
        </w:rPr>
        <w:t>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pStyle w:val="TextBody"/>
        <w:spacing w:lineRule="auto" w:line="288" w:before="0" w:after="180"/>
        <w:ind w:left="0" w:right="0" w:firstLine="1440"/>
        <w:jc w:val="both"/>
        <w:rPr/>
      </w:pPr>
      <w:r>
        <w:rPr>
          <w:rFonts w:ascii="Times New Roman;sans-serif" w:hAnsi="Times New Roman;sans-serif"/>
          <w:b w:val="false"/>
          <w:color w:val="000000"/>
          <w:sz w:val="20"/>
        </w:rPr>
        <w:t>4.1.2</w:t>
      </w:r>
      <w:r>
        <w:rPr>
          <w:rFonts w:ascii="Times New Roman;sans-serif" w:hAnsi="Times New Roman;sans-serif"/>
          <w:b w:val="false"/>
          <w:color w:val="000000"/>
          <w:sz w:val="20"/>
        </w:rPr>
        <w:t xml:space="preserve">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pStyle w:val="TextBody"/>
        <w:spacing w:lineRule="auto" w:line="288" w:before="0" w:after="180"/>
        <w:ind w:left="0" w:right="0" w:firstLine="1440"/>
        <w:rPr/>
      </w:pPr>
      <w:r>
        <w:rPr>
          <w:rFonts w:ascii="Times New Roman;sans-serif" w:hAnsi="Times New Roman;sans-serif"/>
          <w:b w:val="false"/>
          <w:color w:val="000000"/>
          <w:sz w:val="20"/>
        </w:rPr>
        <w:t>4.1.3</w:t>
      </w:r>
      <w:r>
        <w:rPr>
          <w:rFonts w:ascii="Times New Roman;sans-serif" w:hAnsi="Times New Roman;sans-serif"/>
          <w:b w:val="false"/>
          <w:color w:val="000000"/>
          <w:sz w:val="20"/>
        </w:rPr>
        <w:t>Any person entitled to indemnification herein shall (i) give prompt written notice to the indemnifying party of any claim with respect to which it seeks indemnification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w:t>
      </w:r>
    </w:p>
    <w:p>
      <w:pPr>
        <w:pStyle w:val="HorizontalLine"/>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46685"/>
                <wp:effectExtent l="0" t="0" r="0" b="0"/>
                <wp:wrapNone/>
                <wp:docPr id="594" name="Frame5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4.1.4</w:t>
      </w:r>
      <w:r>
        <w:rPr>
          <w:rFonts w:ascii="Times New Roman;sans-serif" w:hAnsi="Times New Roman;sans-serif"/>
          <w:b w:val="false"/>
          <w:color w:val="000000"/>
          <w:sz w:val="20"/>
        </w:rPr>
        <w:t xml:space="preserve">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sans-serif" w:hAnsi="Times New Roman;sans-serif"/>
          <w:b w:val="false"/>
          <w:color w:val="000000"/>
          <w:sz w:val="20"/>
          <w:u w:val="single"/>
        </w:rPr>
        <w:t>subsection 4.1.5</w:t>
      </w:r>
      <w:r>
        <w:rPr>
          <w:rFonts w:ascii="Times New Roman;sans-serif" w:hAnsi="Times New Roman;sans-serif"/>
          <w:b w:val="false"/>
          <w:color w:val="000000"/>
          <w:sz w:val="20"/>
        </w:rPr>
        <w:t>) to such party in the event the Company’s or such Holder’s indemnification is unavailable for any reason.</w:t>
      </w:r>
    </w:p>
    <w:p>
      <w:pPr>
        <w:pStyle w:val="TextBody"/>
        <w:spacing w:lineRule="auto" w:line="288" w:before="0" w:after="180"/>
        <w:ind w:left="0" w:right="0" w:firstLine="1440"/>
        <w:jc w:val="both"/>
        <w:rPr/>
      </w:pPr>
      <w:r>
        <w:rPr>
          <w:rFonts w:ascii="Times New Roman;sans-serif" w:hAnsi="Times New Roman;sans-serif"/>
          <w:b w:val="false"/>
          <w:color w:val="000000"/>
          <w:sz w:val="20"/>
        </w:rPr>
        <w:t>4.1.5</w:t>
      </w:r>
      <w:r>
        <w:rPr>
          <w:rFonts w:ascii="Times New Roman;sans-serif" w:hAnsi="Times New Roman;sans-serif"/>
          <w:b w:val="false"/>
          <w:color w:val="000000"/>
          <w:sz w:val="20"/>
        </w:rPr>
        <w:t xml:space="preserve">If the indemnification provided under </w:t>
      </w:r>
      <w:r>
        <w:rPr>
          <w:rFonts w:ascii="Times New Roman;sans-serif" w:hAnsi="Times New Roman;sans-serif"/>
          <w:b w:val="false"/>
          <w:color w:val="000000"/>
          <w:sz w:val="20"/>
          <w:u w:val="single"/>
        </w:rPr>
        <w:t>Section 4.1</w:t>
      </w:r>
      <w:r>
        <w:rPr>
          <w:color w:val="000000"/>
        </w:rPr>
        <w:t xml:space="preserve"> </w:t>
      </w:r>
      <w:r>
        <w:rPr>
          <w:rFonts w:ascii="Times New Roman;sans-serif" w:hAnsi="Times New Roman;sans-serif"/>
          <w:b w:val="false"/>
          <w:color w:val="000000"/>
          <w:sz w:val="20"/>
        </w:rPr>
        <w:t xml:space="preserve">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liability of any Holder under this </w:t>
      </w:r>
      <w:r>
        <w:rPr>
          <w:rFonts w:ascii="Times New Roman;sans-serif" w:hAnsi="Times New Roman;sans-serif"/>
          <w:b w:val="false"/>
          <w:color w:val="000000"/>
          <w:sz w:val="20"/>
          <w:u w:val="single"/>
        </w:rPr>
        <w:t xml:space="preserve">subsection 4.1.5 </w:t>
      </w:r>
      <w:r>
        <w:rPr>
          <w:rFonts w:ascii="Times New Roman;sans-serif" w:hAnsi="Times New Roman;sans-serif"/>
          <w:b w:val="false"/>
          <w:color w:val="000000"/>
          <w:sz w:val="20"/>
        </w:rPr>
        <w:t xml:space="preserve">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sans-serif" w:hAnsi="Times New Roman;sans-serif"/>
          <w:b w:val="false"/>
          <w:color w:val="000000"/>
          <w:sz w:val="20"/>
          <w:u w:val="single"/>
        </w:rPr>
        <w:t>subsections 4.1.1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4.1.3</w:t>
      </w:r>
      <w:r>
        <w:rPr>
          <w:color w:val="000000"/>
        </w:rPr>
        <w:t xml:space="preserve"> </w:t>
      </w:r>
      <w:r>
        <w:rPr>
          <w:rFonts w:ascii="Times New Roman;sans-serif" w:hAnsi="Times New Roman;sans-serif"/>
          <w:b w:val="false"/>
          <w:color w:val="000000"/>
          <w:sz w:val="20"/>
        </w:rPr>
        <w:t xml:space="preserve">above, any legal or other fees, charges or expenses reasonably incurred by such party in connection with any investigation or proceeding. The parties hereto agree that it would not be just and equitable if contribution pursuant to this </w:t>
      </w:r>
      <w:r>
        <w:rPr>
          <w:rFonts w:ascii="Times New Roman;sans-serif" w:hAnsi="Times New Roman;sans-serif"/>
          <w:b w:val="false"/>
          <w:color w:val="000000"/>
          <w:sz w:val="20"/>
          <w:u w:val="single"/>
        </w:rPr>
        <w:t>subsection 4.1.5</w:t>
      </w:r>
      <w:r>
        <w:rPr>
          <w:color w:val="000000"/>
        </w:rPr>
        <w:t xml:space="preserve"> </w:t>
      </w:r>
      <w:r>
        <w:rPr>
          <w:rFonts w:ascii="Times New Roman;sans-serif" w:hAnsi="Times New Roman;sans-serif"/>
          <w:b w:val="false"/>
          <w:color w:val="000000"/>
          <w:sz w:val="20"/>
        </w:rPr>
        <w:t>were determined by pro rata allocation or by any other method of allocation, which does not take account of the equitable considerations referred to in this s</w:t>
      </w:r>
      <w:r>
        <w:rPr>
          <w:rFonts w:ascii="Times New Roman;sans-serif" w:hAnsi="Times New Roman;sans-serif"/>
          <w:b w:val="false"/>
          <w:color w:val="000000"/>
          <w:sz w:val="20"/>
          <w:u w:val="single"/>
        </w:rPr>
        <w:t>ubsection 4.1.5</w:t>
      </w:r>
      <w:r>
        <w:rPr>
          <w:rFonts w:ascii="Times New Roman;sans-serif" w:hAnsi="Times New Roman;sans-serif"/>
          <w:b w:val="false"/>
          <w:color w:val="000000"/>
          <w:sz w:val="20"/>
        </w:rPr>
        <w:t xml:space="preserve">. No person guilty of fraudulent misrepresentation (within the meaning of Section 11(f) of the Securities Act) shall be entitled to contribution pursuant to this </w:t>
      </w:r>
      <w:r>
        <w:rPr>
          <w:rFonts w:ascii="Times New Roman;sans-serif" w:hAnsi="Times New Roman;sans-serif"/>
          <w:b w:val="false"/>
          <w:color w:val="000000"/>
          <w:sz w:val="20"/>
          <w:u w:val="single"/>
        </w:rPr>
        <w:t>subsection 4.1.5</w:t>
      </w:r>
      <w:r>
        <w:rPr>
          <w:color w:val="000000"/>
        </w:rPr>
        <w:t xml:space="preserve"> </w:t>
      </w:r>
      <w:r>
        <w:rPr>
          <w:rFonts w:ascii="Times New Roman;sans-serif" w:hAnsi="Times New Roman;sans-serif"/>
          <w:b w:val="false"/>
          <w:color w:val="000000"/>
          <w:sz w:val="20"/>
        </w:rPr>
        <w:t>from any person who was not guilty of such fraudulent misrepresentation.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4.1.6</w:t>
      </w:r>
      <w:r>
        <w:rPr>
          <w:rFonts w:ascii="Times New Roman;sans-serif" w:hAnsi="Times New Roman;sans-serif"/>
          <w:b w:val="false"/>
          <w:color w:val="000000"/>
          <w:sz w:val="20"/>
        </w:rPr>
        <w:t>Notwithstanding the foregoing, to the extent that the provisions on indemnification and contribution contained in any underwriting agreement entered into in connection with an underwritten public offering are in conflict with the foregoing provisions, the provisions in the underwriting agreement shall control.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LOCK-UP</w:t>
      </w:r>
    </w:p>
    <w:p>
      <w:pPr>
        <w:pStyle w:val="TextBody"/>
        <w:spacing w:lineRule="auto" w:line="288" w:before="0" w:after="180"/>
        <w:ind w:left="0" w:right="0" w:firstLine="360"/>
        <w:jc w:val="both"/>
        <w:rPr/>
      </w:pPr>
      <w:r>
        <w:rPr>
          <w:rFonts w:ascii="Times New Roman;sans-serif" w:hAnsi="Times New Roman;sans-serif"/>
          <w:b/>
          <w:color w:val="000000"/>
          <w:sz w:val="20"/>
        </w:rPr>
        <w:t>Section 5.1</w:t>
      </w:r>
      <w:r>
        <w:rPr>
          <w:rFonts w:ascii="Times New Roman;sans-serif" w:hAnsi="Times New Roman;sans-serif"/>
          <w:b/>
          <w:color w:val="000000"/>
          <w:sz w:val="20"/>
        </w:rPr>
        <w:t>Lock-Up.</w:t>
      </w:r>
      <w:r>
        <w:rPr>
          <w:rFonts w:ascii="Times New Roman;sans-serif" w:hAnsi="Times New Roman;sans-serif"/>
          <w:b w:val="false"/>
          <w:color w:val="000000"/>
          <w:sz w:val="20"/>
        </w:rPr>
        <w:t xml:space="preserve">Except as permitted by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each Holder shall not Transfer any shares of Common Stock, (including, without limitation, the PIPE Shares, any shares of Common Stock issued pursuant to the Business Combination Agreement, and any other shares of Common Stock), beneficially owned or owned of record by such Holder until the date that is 180 days from the Closing Date (the “</w:t>
      </w:r>
      <w:r>
        <w:rPr>
          <w:rFonts w:ascii="Times New Roman;sans-serif" w:hAnsi="Times New Roman;sans-serif"/>
          <w:b/>
          <w:color w:val="000000"/>
          <w:sz w:val="20"/>
        </w:rPr>
        <w:t>Lock-up Period</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5.2</w:t>
      </w:r>
      <w:r>
        <w:rPr>
          <w:rFonts w:ascii="Times New Roman;sans-serif" w:hAnsi="Times New Roman;sans-serif"/>
          <w:b/>
          <w:color w:val="000000"/>
          <w:sz w:val="20"/>
        </w:rPr>
        <w:t xml:space="preserve">Exceptions. </w:t>
      </w:r>
      <w:r>
        <w:rPr>
          <w:rFonts w:ascii="Times New Roman;sans-serif" w:hAnsi="Times New Roman;sans-serif"/>
          <w:b w:val="false"/>
          <w:color w:val="000000"/>
          <w:sz w:val="20"/>
        </w:rPr>
        <w:t>The provisions of</w:t>
      </w:r>
      <w:r>
        <w:rPr>
          <w:color w:val="000000"/>
          <w:u w:val="single"/>
        </w:rPr>
        <w:t xml:space="preserve">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shall not apply to:</w:t>
      </w:r>
    </w:p>
    <w:p>
      <w:pPr>
        <w:pStyle w:val="TextBody"/>
        <w:spacing w:lineRule="auto" w:line="288" w:before="0" w:after="180"/>
        <w:ind w:left="0" w:right="0" w:firstLine="1440"/>
        <w:jc w:val="both"/>
        <w:rPr/>
      </w:pPr>
      <w:r>
        <w:rPr>
          <w:rFonts w:ascii="Times New Roman;sans-serif" w:hAnsi="Times New Roman;sans-serif"/>
          <w:b w:val="false"/>
          <w:color w:val="000000"/>
          <w:sz w:val="20"/>
        </w:rPr>
        <w:t>5.2.1</w:t>
      </w:r>
      <w:r>
        <w:rPr>
          <w:rFonts w:ascii="Times New Roman;sans-serif" w:hAnsi="Times New Roman;sans-serif"/>
          <w:b w:val="false"/>
          <w:color w:val="000000"/>
          <w:sz w:val="20"/>
        </w:rPr>
        <w:t>transactions relating to shares of Common Stock acquired in open market transactions;</w:t>
      </w:r>
    </w:p>
    <w:p>
      <w:pPr>
        <w:pStyle w:val="TextBody"/>
        <w:spacing w:lineRule="auto" w:line="288" w:before="0" w:after="180"/>
        <w:ind w:left="0" w:right="0" w:firstLine="1440"/>
        <w:jc w:val="both"/>
        <w:rPr/>
      </w:pPr>
      <w:r>
        <w:rPr>
          <w:rFonts w:ascii="Times New Roman;sans-serif" w:hAnsi="Times New Roman;sans-serif"/>
          <w:b w:val="false"/>
          <w:color w:val="000000"/>
          <w:sz w:val="20"/>
        </w:rPr>
        <w:t>5.2.2</w:t>
      </w:r>
      <w:r>
        <w:rPr>
          <w:rFonts w:ascii="Times New Roman;sans-serif" w:hAnsi="Times New Roman;sans-serif"/>
          <w:b w:val="false"/>
          <w:color w:val="000000"/>
          <w:sz w:val="20"/>
        </w:rPr>
        <w:t>Transfers of shares of Common Stock or any security convertible into or exercisable or exchangeable for Common Stock as a bona fide gift or charitable contribution;</w:t>
      </w:r>
    </w:p>
    <w:p>
      <w:pPr>
        <w:pStyle w:val="TextBody"/>
        <w:spacing w:lineRule="auto" w:line="288" w:before="0" w:after="180"/>
        <w:ind w:left="0" w:right="0" w:firstLine="1440"/>
        <w:jc w:val="both"/>
        <w:rPr/>
      </w:pPr>
      <w:r>
        <w:rPr>
          <w:rFonts w:ascii="Times New Roman;sans-serif" w:hAnsi="Times New Roman;sans-serif"/>
          <w:b w:val="false"/>
          <w:color w:val="000000"/>
          <w:sz w:val="20"/>
        </w:rPr>
        <w:t>5.2.3</w:t>
      </w:r>
      <w:r>
        <w:rPr>
          <w:rFonts w:ascii="Times New Roman;sans-serif" w:hAnsi="Times New Roman;sans-serif"/>
          <w:b w:val="false"/>
          <w:color w:val="000000"/>
          <w:sz w:val="20"/>
        </w:rPr>
        <w:t>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pStyle w:val="HorizontalLine"/>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46685"/>
                <wp:effectExtent l="0" t="0" r="0" b="0"/>
                <wp:wrapNone/>
                <wp:docPr id="595" name="Frame5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5.2.4</w:t>
      </w:r>
      <w:r>
        <w:rPr>
          <w:rFonts w:ascii="Times New Roman;sans-serif" w:hAnsi="Times New Roman;sans-serif"/>
          <w:b w:val="false"/>
          <w:color w:val="000000"/>
          <w:sz w:val="20"/>
        </w:rPr>
        <w:t>Transfers by will or intestate succession upon the death of the undersigned;</w:t>
      </w:r>
    </w:p>
    <w:p>
      <w:pPr>
        <w:pStyle w:val="TextBody"/>
        <w:spacing w:lineRule="auto" w:line="288" w:before="0" w:after="180"/>
        <w:ind w:left="0" w:right="0" w:firstLine="1440"/>
        <w:jc w:val="both"/>
        <w:rPr/>
      </w:pPr>
      <w:r>
        <w:rPr>
          <w:rFonts w:ascii="Times New Roman;sans-serif" w:hAnsi="Times New Roman;sans-serif"/>
          <w:b w:val="false"/>
          <w:color w:val="000000"/>
          <w:sz w:val="20"/>
        </w:rPr>
        <w:t>5.2.5</w:t>
      </w:r>
      <w:r>
        <w:rPr>
          <w:rFonts w:ascii="Times New Roman;sans-serif" w:hAnsi="Times New Roman;sans-serif"/>
          <w:b w:val="false"/>
          <w:color w:val="000000"/>
          <w:sz w:val="20"/>
        </w:rPr>
        <w:t>the Transfer of shares of Common Stock pursuant to a qualified domestic order, court order or in connection with a divorce settlement;</w:t>
      </w:r>
    </w:p>
    <w:p>
      <w:pPr>
        <w:pStyle w:val="TextBody"/>
        <w:spacing w:lineRule="auto" w:line="288" w:before="0" w:after="180"/>
        <w:ind w:left="0" w:right="0" w:firstLine="1440"/>
        <w:jc w:val="both"/>
        <w:rPr/>
      </w:pPr>
      <w:r>
        <w:rPr>
          <w:rFonts w:ascii="Times New Roman;sans-serif" w:hAnsi="Times New Roman;sans-serif"/>
          <w:b w:val="false"/>
          <w:color w:val="000000"/>
          <w:sz w:val="20"/>
        </w:rPr>
        <w:t>5.2.6</w:t>
      </w:r>
      <w:r>
        <w:rPr>
          <w:rFonts w:ascii="Times New Roman;sans-serif" w:hAnsi="Times New Roman;sans-serif"/>
          <w:b w:val="false"/>
          <w:color w:val="000000"/>
          <w:sz w:val="20"/>
        </w:rPr>
        <w:t>if the 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pStyle w:val="TextBody"/>
        <w:spacing w:lineRule="auto" w:line="288" w:before="0" w:after="180"/>
        <w:ind w:left="0" w:right="0" w:firstLine="1440"/>
        <w:jc w:val="both"/>
        <w:rPr/>
      </w:pPr>
      <w:r>
        <w:rPr>
          <w:rFonts w:ascii="Times New Roman;sans-serif" w:hAnsi="Times New Roman;sans-serif"/>
          <w:b w:val="false"/>
          <w:color w:val="000000"/>
          <w:sz w:val="20"/>
        </w:rPr>
        <w:t>5.2.7</w:t>
      </w:r>
      <w:r>
        <w:rPr>
          <w:rFonts w:ascii="Times New Roman;sans-serif" w:hAnsi="Times New Roman;sans-serif"/>
          <w:b w:val="false"/>
          <w:color w:val="000000"/>
          <w:sz w:val="20"/>
        </w:rPr>
        <w:t>if the Holder is a trust, Transfers to a trustor or beneficiary of the trust or to the estate of a beneficiary of such trust;</w:t>
      </w:r>
    </w:p>
    <w:p>
      <w:pPr>
        <w:pStyle w:val="TextBody"/>
        <w:spacing w:lineRule="auto" w:line="288" w:before="0" w:after="180"/>
        <w:ind w:left="0" w:right="0" w:firstLine="1440"/>
        <w:jc w:val="both"/>
        <w:rPr/>
      </w:pPr>
      <w:r>
        <w:rPr>
          <w:rFonts w:ascii="Times New Roman;sans-serif" w:hAnsi="Times New Roman;sans-serif"/>
          <w:b w:val="false"/>
          <w:color w:val="000000"/>
          <w:sz w:val="20"/>
        </w:rPr>
        <w:t>5.2.8</w:t>
      </w:r>
      <w:r>
        <w:rPr>
          <w:rFonts w:ascii="Times New Roman;sans-serif" w:hAnsi="Times New Roman;sans-serif"/>
          <w:b w:val="false"/>
          <w:color w:val="000000"/>
          <w:sz w:val="20"/>
        </w:rPr>
        <w:t>Transfers to the Company’s officers, directors or their affiliates;</w:t>
      </w:r>
    </w:p>
    <w:p>
      <w:pPr>
        <w:pStyle w:val="TextBody"/>
        <w:spacing w:lineRule="auto" w:line="288" w:before="0" w:after="180"/>
        <w:ind w:left="0" w:right="0" w:firstLine="1440"/>
        <w:jc w:val="both"/>
        <w:rPr/>
      </w:pPr>
      <w:r>
        <w:rPr>
          <w:rFonts w:ascii="Times New Roman;sans-serif" w:hAnsi="Times New Roman;sans-serif"/>
          <w:b w:val="false"/>
          <w:color w:val="000000"/>
          <w:sz w:val="20"/>
        </w:rPr>
        <w:t>5.2.9</w:t>
      </w:r>
      <w:r>
        <w:rPr>
          <w:rFonts w:ascii="Times New Roman;sans-serif" w:hAnsi="Times New Roman;sans-serif"/>
          <w:b w:val="false"/>
          <w:color w:val="000000"/>
          <w:sz w:val="20"/>
        </w:rPr>
        <w:t xml:space="preserve">Transfers to a nominee or custodian of a person or entity to whom a disposition or transfer would be permissible under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5.2.8;</w:t>
      </w:r>
    </w:p>
    <w:p>
      <w:pPr>
        <w:pStyle w:val="TextBody"/>
        <w:spacing w:lineRule="auto" w:line="288" w:before="0" w:after="180"/>
        <w:ind w:left="0" w:right="0" w:firstLine="1440"/>
        <w:jc w:val="both"/>
        <w:rPr/>
      </w:pPr>
      <w:r>
        <w:rPr>
          <w:rFonts w:ascii="Times New Roman;sans-serif" w:hAnsi="Times New Roman;sans-serif"/>
          <w:b w:val="false"/>
          <w:color w:val="000000"/>
          <w:sz w:val="20"/>
        </w:rPr>
        <w:t>5.2.10</w:t>
      </w:r>
      <w:r>
        <w:rPr>
          <w:rFonts w:ascii="Times New Roman;sans-serif" w:hAnsi="Times New Roman;sans-serif"/>
          <w:b w:val="false"/>
          <w:color w:val="000000"/>
          <w:sz w:val="20"/>
        </w:rPr>
        <w:t>pledges of shares of Common Stock or other Registrable Securities as security or collateral in connection with any borrowing or the incurrence of any indebtedness by any Holder; provided, however, that such borrowing or incurrence of indebtedness is secured by a portfolio of assets or equity interests issued by multiple issuers;</w:t>
      </w:r>
    </w:p>
    <w:p>
      <w:pPr>
        <w:pStyle w:val="TextBody"/>
        <w:spacing w:lineRule="auto" w:line="288" w:before="0" w:after="180"/>
        <w:ind w:left="0" w:right="0" w:firstLine="1440"/>
        <w:jc w:val="both"/>
        <w:rPr/>
      </w:pPr>
      <w:r>
        <w:rPr>
          <w:rFonts w:ascii="Times New Roman;sans-serif" w:hAnsi="Times New Roman;sans-serif"/>
          <w:b w:val="false"/>
          <w:color w:val="000000"/>
          <w:sz w:val="20"/>
        </w:rPr>
        <w:t>5.2.11</w:t>
      </w:r>
      <w:r>
        <w:rPr>
          <w:rFonts w:ascii="Times New Roman;sans-serif" w:hAnsi="Times New Roman;sans-serif"/>
          <w:b w:val="false"/>
          <w:color w:val="000000"/>
          <w:sz w:val="20"/>
        </w:rPr>
        <w:t xml:space="preserve">Transfers pursuant to a bona fide third-party tender offer, merger, stock sale, recapitalization, consolidation or other transaction involving a Change in Control of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event that such tender offer, merger, recapitalization, consolidation or other such transaction is not completed, the Common Stock subject to this Agreement shall remain subject to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5.2.12</w:t>
      </w:r>
      <w:r>
        <w:rPr>
          <w:rFonts w:ascii="Times New Roman;sans-serif" w:hAnsi="Times New Roman;sans-serif"/>
          <w:b w:val="false"/>
          <w:color w:val="000000"/>
          <w:sz w:val="20"/>
        </w:rPr>
        <w:t>the establishment of a trading plan pursuant to Rule 10b5-1 promulgated under the Exchange Act; provided, however, that such plan does not provide for the Transfer of Common Stock or any securities convertible into or exercisable or exchangeable for Common Stock during the Lock-Up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5.2.13</w:t>
      </w:r>
      <w:r>
        <w:rPr>
          <w:rFonts w:ascii="Times New Roman;sans-serif" w:hAnsi="Times New Roman;sans-serif"/>
          <w:b w:val="false"/>
          <w:color w:val="000000"/>
          <w:sz w:val="20"/>
        </w:rPr>
        <w:t>Transfers of shares of Common Stock to the Company in connection with the repurchase of the undersigned’s shares in connection with the termination of the undersigned’s employment with the Company pursuant to contractual agreements with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5.2.14</w:t>
      </w:r>
      <w:r>
        <w:rPr>
          <w:rFonts w:ascii="Times New Roman;sans-serif" w:hAnsi="Times New Roman;sans-serif"/>
          <w:b w:val="false"/>
          <w:color w:val="000000"/>
          <w:sz w:val="20"/>
        </w:rPr>
        <w:t>Transfers of shares of Common Stock to satisfy tax withholding obligations in connection with the exercise of options to purchase shares of Common Stock or the vesting of stock-based awards;</w:t>
      </w:r>
    </w:p>
    <w:p>
      <w:pPr>
        <w:pStyle w:val="TextBody"/>
        <w:spacing w:lineRule="auto" w:line="288" w:before="0" w:after="180"/>
        <w:ind w:left="0" w:right="0" w:firstLine="1440"/>
        <w:rPr/>
      </w:pPr>
      <w:r>
        <w:rPr>
          <w:rFonts w:ascii="Times New Roman;sans-serif" w:hAnsi="Times New Roman;sans-serif"/>
          <w:b w:val="false"/>
          <w:color w:val="000000"/>
          <w:sz w:val="20"/>
        </w:rPr>
        <w:t>5.2.15</w:t>
      </w:r>
      <w:r>
        <w:rPr>
          <w:rFonts w:ascii="Times New Roman;sans-serif" w:hAnsi="Times New Roman;sans-serif"/>
          <w:b w:val="false"/>
          <w:color w:val="000000"/>
          <w:sz w:val="20"/>
        </w:rPr>
        <w:t>Transfers of shares of Common Stock in payment on a “net exercise” or “cashless” basis of the exercise or purchase price with respect to the exercise of options to purchase shares of Common Stock;</w:t>
      </w:r>
    </w:p>
    <w:p>
      <w:pPr>
        <w:pStyle w:val="TextBody"/>
        <w:spacing w:lineRule="auto" w:line="288" w:before="0" w:after="180"/>
        <w:ind w:left="0" w:right="0" w:firstLine="1440"/>
        <w:jc w:val="both"/>
        <w:rPr/>
      </w:pPr>
      <w:r>
        <w:rPr>
          <w:rFonts w:ascii="Times New Roman;sans-serif" w:hAnsi="Times New Roman;sans-serif"/>
          <w:b w:val="false"/>
          <w:color w:val="000000"/>
          <w:sz w:val="20"/>
        </w:rPr>
        <w:t>5.2.16</w:t>
      </w:r>
      <w:r>
        <w:rPr>
          <w:rFonts w:ascii="Times New Roman;sans-serif" w:hAnsi="Times New Roman;sans-serif"/>
          <w:b w:val="false"/>
          <w:color w:val="000000"/>
          <w:sz w:val="20"/>
        </w:rPr>
        <w:t xml:space="preserve">Transfers to the Company through the exercise of a stock option granted under a stock incentive plan or stock purchase plan or a 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 </w:t>
      </w:r>
    </w:p>
    <w:p>
      <w:pPr>
        <w:pStyle w:val="TextBody"/>
        <w:spacing w:lineRule="auto" w:line="288" w:before="0" w:after="180"/>
        <w:jc w:val="both"/>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the case of any Transfer pursuant to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5.2.10</w:t>
      </w:r>
      <w:r>
        <w:rPr>
          <w:rFonts w:ascii="Times New Roman;sans-serif" w:hAnsi="Times New Roman;sans-serif"/>
          <w:b w:val="false"/>
          <w:color w:val="000000"/>
          <w:sz w:val="20"/>
        </w:rPr>
        <w:t>, each donee, distribute, pledgee or other transferee shall agree in writing, in form and substance reasonably satisfactory to the Company, to be bound by the provisions of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5.5</w:t>
      </w:r>
      <w:r>
        <w:rPr>
          <w:rFonts w:ascii="Times New Roman;sans-serif" w:hAnsi="Times New Roman;sans-serif"/>
          <w:b/>
          <w:color w:val="000000"/>
          <w:sz w:val="20"/>
        </w:rPr>
        <w:t>Release of Lock-Up Restrictions</w:t>
      </w:r>
      <w:r>
        <w:rPr>
          <w:rFonts w:ascii="Times New Roman;sans-serif" w:hAnsi="Times New Roman;sans-serif"/>
          <w:b w:val="false"/>
          <w:color w:val="000000"/>
          <w:sz w:val="20"/>
        </w:rPr>
        <w:t xml:space="preserve">.Notwithstanding the other provisions set forth herein, the Board may, in its sole discretion, determine to waive, amend, or repeal the restrictions set forth in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above, whether in whole or in part;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any such waiver, amendment or repeal shall (i) not make such restrictions more restrictive or apply for a longer period of time and (ii) require the unanimous approval of the directors present at any duly called meeting at which a quorum is present.</w:t>
      </w:r>
    </w:p>
    <w:p>
      <w:pPr>
        <w:pStyle w:val="HorizontalLine"/>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46685"/>
                <wp:effectExtent l="0" t="0" r="0" b="0"/>
                <wp:wrapNone/>
                <wp:docPr id="596" name="Frame5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w:t>
        <w:br/>
        <w:t>TERMINATION</w:t>
      </w:r>
    </w:p>
    <w:p>
      <w:pPr>
        <w:pStyle w:val="TextBody"/>
        <w:spacing w:lineRule="auto" w:line="288" w:before="0" w:after="180"/>
        <w:ind w:left="0" w:right="0" w:firstLine="360"/>
        <w:jc w:val="both"/>
        <w:rPr/>
      </w:pPr>
      <w:r>
        <w:rPr>
          <w:rFonts w:ascii="Times New Roman;sans-serif" w:hAnsi="Times New Roman;sans-serif"/>
          <w:b/>
          <w:color w:val="000000"/>
          <w:sz w:val="20"/>
        </w:rPr>
        <w:t>Section 6.1</w:t>
      </w:r>
      <w:r>
        <w:rPr>
          <w:rFonts w:ascii="Times New Roman;sans-serif" w:hAnsi="Times New Roman;sans-serif"/>
          <w:b/>
          <w:color w:val="000000"/>
          <w:sz w:val="20"/>
        </w:rPr>
        <w:t>Termination.</w:t>
      </w:r>
      <w:r>
        <w:rPr>
          <w:rFonts w:ascii="Times New Roman;sans-serif" w:hAnsi="Times New Roman;sans-serif"/>
          <w:b w:val="false"/>
          <w:color w:val="000000"/>
          <w:sz w:val="20"/>
        </w:rPr>
        <w:t>This Agreement shall terminate upon the earliest to occur of: (i) the termination of the Business Combination Agreement, (ii) the date on which neither the Holders nor any of their permitted assignees hold any Registrable Securities, and (iii) a Liquidation Event.</w:t>
      </w:r>
    </w:p>
    <w:p>
      <w:pPr>
        <w:pStyle w:val="TextBody"/>
        <w:spacing w:lineRule="auto" w:line="288" w:before="0" w:after="180"/>
        <w:ind w:left="0" w:right="0" w:firstLine="360"/>
        <w:jc w:val="both"/>
        <w:rPr/>
      </w:pPr>
      <w:r>
        <w:rPr>
          <w:rFonts w:ascii="Times New Roman;sans-serif" w:hAnsi="Times New Roman;sans-serif"/>
          <w:b/>
          <w:color w:val="000000"/>
          <w:sz w:val="20"/>
        </w:rPr>
        <w:t>Section 6.2</w:t>
      </w:r>
      <w:r>
        <w:rPr>
          <w:rFonts w:ascii="Times New Roman;sans-serif" w:hAnsi="Times New Roman;sans-serif"/>
          <w:b/>
          <w:color w:val="000000"/>
          <w:sz w:val="20"/>
        </w:rPr>
        <w:t xml:space="preserve">Effect of Business Combination Termination. </w:t>
      </w:r>
      <w:r>
        <w:rPr>
          <w:rFonts w:ascii="Times New Roman;sans-serif" w:hAnsi="Times New Roman;sans-serif"/>
          <w:b w:val="false"/>
          <w:color w:val="000000"/>
          <w:sz w:val="20"/>
        </w:rPr>
        <w:t>In the event of a termination of this Agreement as a result of the termination of the 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w:t>
        <w:br/>
        <w:t>GENERAL PROVISIONS</w:t>
      </w:r>
    </w:p>
    <w:p>
      <w:pPr>
        <w:pStyle w:val="TextBody"/>
        <w:spacing w:lineRule="auto" w:line="288" w:before="0" w:after="180"/>
        <w:ind w:left="0" w:right="0" w:firstLine="360"/>
        <w:jc w:val="both"/>
        <w:rPr/>
      </w:pPr>
      <w:r>
        <w:rPr>
          <w:rFonts w:ascii="Times New Roman;sans-serif" w:hAnsi="Times New Roman;sans-serif"/>
          <w:b/>
          <w:color w:val="000000"/>
          <w:sz w:val="20"/>
        </w:rPr>
        <w:t>Section 7.1.</w:t>
      </w:r>
      <w:r>
        <w:rPr>
          <w:rFonts w:ascii="Times New Roman;sans-serif" w:hAnsi="Times New Roman;sans-serif"/>
          <w:b/>
          <w:color w:val="000000"/>
          <w:sz w:val="20"/>
        </w:rPr>
        <w:t>Notices</w:t>
      </w:r>
      <w:r>
        <w:rPr>
          <w:color w:val="000000"/>
        </w:rPr>
        <w:t xml:space="preserve"> </w:t>
      </w:r>
      <w:r>
        <w:rPr>
          <w:rFonts w:ascii="Times New Roman;sans-serif" w:hAnsi="Times New Roman;sans-serif"/>
          <w:b w:val="false"/>
          <w:color w:val="000000"/>
          <w:sz w:val="20"/>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If to the Company, to it at:</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425 Pontius Ave. N., Ste. 202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Seattle, WA 98102</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Attention: Sujal Patel, Chief Executive Officer</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Email: smpatel@nautilus.bio</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Wilson Sonsini Goodrich &amp; Rosati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650 Page Mill Road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Palo Alto, CA 94304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Attention: Robert F. Kornegay</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a Holder, to the address or email address set forth for Holder on the signature page hereof.</w:t>
      </w:r>
    </w:p>
    <w:p>
      <w:pPr>
        <w:pStyle w:val="TextBody"/>
        <w:spacing w:lineRule="auto" w:line="288" w:before="0" w:after="180"/>
        <w:ind w:left="0" w:right="0" w:firstLine="360"/>
        <w:jc w:val="both"/>
        <w:rPr/>
      </w:pPr>
      <w:r>
        <w:rPr>
          <w:rFonts w:ascii="Times New Roman;sans-serif" w:hAnsi="Times New Roman;sans-serif"/>
          <w:b/>
          <w:color w:val="000000"/>
          <w:sz w:val="20"/>
        </w:rPr>
        <w:t>Section 7.2.</w:t>
      </w:r>
      <w:r>
        <w:rPr>
          <w:rFonts w:ascii="Times New Roman;sans-serif" w:hAnsi="Times New Roman;sans-serif"/>
          <w:b/>
          <w:color w:val="000000"/>
          <w:sz w:val="20"/>
        </w:rPr>
        <w:t xml:space="preserve">Severabiliy. </w:t>
      </w:r>
      <w:r>
        <w:rPr>
          <w:rFonts w:ascii="Times New Roman;sans-serif" w:hAnsi="Times New Roman;sans-serif"/>
          <w:b w:val="false"/>
          <w:color w:val="000000"/>
          <w:sz w:val="20"/>
        </w:rPr>
        <w:t>I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spacing w:lineRule="auto" w:line="288" w:before="0" w:after="180"/>
        <w:ind w:left="0" w:right="0" w:firstLine="360"/>
        <w:jc w:val="both"/>
        <w:rPr/>
      </w:pPr>
      <w:r>
        <w:rPr>
          <w:rFonts w:ascii="Times New Roman;sans-serif" w:hAnsi="Times New Roman;sans-serif"/>
          <w:b/>
          <w:color w:val="000000"/>
          <w:sz w:val="20"/>
        </w:rPr>
        <w:t>Section 7.3.</w:t>
      </w:r>
      <w:r>
        <w:rPr>
          <w:rFonts w:ascii="Times New Roman;sans-serif" w:hAnsi="Times New Roman;sans-serif"/>
          <w:b/>
          <w:color w:val="000000"/>
          <w:sz w:val="20"/>
        </w:rPr>
        <w:t>Entire Agreement; Assignment</w:t>
      </w:r>
      <w:r>
        <w:rPr>
          <w:rFonts w:ascii="Times New Roman;sans-serif" w:hAnsi="Times New Roman;sans-serif"/>
          <w:b w:val="false"/>
          <w:color w:val="000000"/>
          <w:sz w:val="20"/>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5.2.10</w:t>
      </w:r>
      <w:r>
        <w:rPr>
          <w:color w:val="000000"/>
        </w:rPr>
        <w:t xml:space="preserve"> </w:t>
      </w:r>
      <w:r>
        <w:rPr>
          <w:rFonts w:ascii="Times New Roman;sans-serif" w:hAnsi="Times New Roman;sans-serif"/>
          <w:b w:val="false"/>
          <w:color w:val="000000"/>
          <w:sz w:val="20"/>
        </w:rPr>
        <w:t>(such transferees, “</w:t>
      </w:r>
      <w:r>
        <w:rPr>
          <w:rFonts w:ascii="Times New Roman;sans-serif" w:hAnsi="Times New Roman;sans-serif"/>
          <w:b/>
          <w:color w:val="000000"/>
          <w:sz w:val="20"/>
        </w:rPr>
        <w:t>Permitted Transferees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7.4.</w:t>
      </w:r>
      <w:r>
        <w:rPr>
          <w:rFonts w:ascii="Times New Roman;sans-serif" w:hAnsi="Times New Roman;sans-serif"/>
          <w:b/>
          <w:color w:val="000000"/>
          <w:sz w:val="20"/>
        </w:rPr>
        <w:t xml:space="preserve">Parties in Interest. </w:t>
      </w:r>
      <w:r>
        <w:rPr>
          <w:rFonts w:ascii="Times New Roman;sans-serif" w:hAnsi="Times New Roman;sans-serif"/>
          <w:b w:val="false"/>
          <w:color w:val="000000"/>
          <w:sz w:val="20"/>
        </w:rPr>
        <w:t>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7.5.</w:t>
      </w:r>
      <w:r>
        <w:rPr>
          <w:rFonts w:ascii="Times New Roman;sans-serif" w:hAnsi="Times New Roman;sans-serif"/>
          <w:b/>
          <w:color w:val="000000"/>
          <w:sz w:val="20"/>
        </w:rPr>
        <w:t xml:space="preserve">Governing Law. </w:t>
      </w:r>
      <w:r>
        <w:rPr>
          <w:rFonts w:ascii="Times New Roman;sans-serif" w:hAnsi="Times New Roman;sans-serif"/>
          <w:b w:val="false"/>
          <w:color w:val="000000"/>
          <w:sz w:val="20"/>
        </w:rPr>
        <w:t xml:space="preserve">This Agreement shall be governed by, and construed in accordance with, the laws of the State of Delaware applicable to contracts executed in and to be performed in that State. All legal actions and proceedings </w:t>
      </w:r>
    </w:p>
    <w:p>
      <w:pPr>
        <w:pStyle w:val="HorizontalLine"/>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46685"/>
                <wp:effectExtent l="0" t="0" r="0" b="0"/>
                <wp:wrapNone/>
                <wp:docPr id="597" name="Frame5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pPr>
      <w:r>
        <w:rPr>
          <w:rFonts w:ascii="Times New Roman;sans-serif" w:hAnsi="Times New Roman;sans-serif"/>
          <w:b w:val="false"/>
          <w:color w:val="000000"/>
          <w:sz w:val="20"/>
        </w:rPr>
        <w:t xml:space="preserve">arising out of or relating to this Agreement shall be heard and determined exclusively in any Delaware Chancery Court;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(x) 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r>
        <w:rPr>
          <w:rFonts w:ascii="Times New Roman;sans-serif" w:hAnsi="Times New Roman;sans-serif"/>
          <w:b/>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7.6.</w:t>
      </w:r>
      <w:r>
        <w:rPr>
          <w:rFonts w:ascii="Times New Roman;sans-serif" w:hAnsi="Times New Roman;sans-serif"/>
          <w:b/>
          <w:color w:val="000000"/>
          <w:sz w:val="20"/>
        </w:rPr>
        <w:t>Waiver of Jury Trial</w:t>
      </w:r>
      <w:r>
        <w:rPr>
          <w:rFonts w:ascii="Times New Roman;sans-serif" w:hAnsi="Times New Roman;sans-serif"/>
          <w:b w:val="false"/>
          <w:color w:val="000000"/>
          <w:sz w:val="20"/>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sans-serif" w:hAnsi="Times New Roman;sans-serif"/>
          <w:b w:val="false"/>
          <w:color w:val="000000"/>
          <w:sz w:val="20"/>
          <w:u w:val="single"/>
        </w:rPr>
        <w:t>SECTION 7.6.</w:t>
      </w:r>
    </w:p>
    <w:p>
      <w:pPr>
        <w:pStyle w:val="TextBody"/>
        <w:spacing w:lineRule="auto" w:line="288" w:before="0" w:after="180"/>
        <w:ind w:left="0" w:right="0" w:firstLine="360"/>
        <w:rPr/>
      </w:pPr>
      <w:r>
        <w:rPr>
          <w:rFonts w:ascii="Times New Roman;sans-serif" w:hAnsi="Times New Roman;sans-serif"/>
          <w:b/>
          <w:color w:val="000000"/>
          <w:sz w:val="20"/>
        </w:rPr>
        <w:t>Section 7.7.</w:t>
      </w:r>
      <w:r>
        <w:rPr>
          <w:rFonts w:ascii="Times New Roman;sans-serif" w:hAnsi="Times New Roman;sans-serif"/>
          <w:b/>
          <w:color w:val="000000"/>
          <w:sz w:val="20"/>
        </w:rPr>
        <w:t xml:space="preserve">Headings; Interpretation. </w:t>
      </w:r>
      <w:r>
        <w:rPr>
          <w:rFonts w:ascii="Times New Roman;sans-serif" w:hAnsi="Times New Roman;sans-serif"/>
          <w:b w:val="false"/>
          <w:color w:val="000000"/>
          <w:sz w:val="20"/>
        </w:rPr>
        <w:t>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pStyle w:val="TextBody"/>
        <w:spacing w:lineRule="auto" w:line="288" w:before="0" w:after="180"/>
        <w:ind w:left="0" w:right="0" w:firstLine="360"/>
        <w:jc w:val="both"/>
        <w:rPr/>
      </w:pPr>
      <w:r>
        <w:rPr>
          <w:rFonts w:ascii="Times New Roman;sans-serif" w:hAnsi="Times New Roman;sans-serif"/>
          <w:b/>
          <w:color w:val="000000"/>
          <w:sz w:val="20"/>
        </w:rPr>
        <w:t>Section 7.8.</w:t>
      </w:r>
      <w:r>
        <w:rPr>
          <w:rFonts w:ascii="Times New Roman;sans-serif" w:hAnsi="Times New Roman;sans-serif"/>
          <w:b/>
          <w:color w:val="000000"/>
          <w:sz w:val="20"/>
        </w:rPr>
        <w:t>Counterparts</w:t>
      </w:r>
      <w:r>
        <w:rPr>
          <w:rFonts w:ascii="Times New Roman;sans-serif" w:hAnsi="Times New Roman;sans-serif"/>
          <w:b w:val="false"/>
          <w:color w:val="000000"/>
          <w:sz w:val="20"/>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7.9.</w:t>
      </w:r>
      <w:r>
        <w:rPr>
          <w:rFonts w:ascii="Times New Roman;sans-serif" w:hAnsi="Times New Roman;sans-serif"/>
          <w:b/>
          <w:color w:val="000000"/>
          <w:sz w:val="20"/>
        </w:rPr>
        <w:t xml:space="preserve">Specific Performance. </w:t>
      </w:r>
      <w:r>
        <w:rPr>
          <w:rFonts w:ascii="Times New Roman;sans-serif" w:hAnsi="Times New Roman;sans-serif"/>
          <w:b w:val="false"/>
          <w:color w:val="000000"/>
          <w:sz w:val="20"/>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spacing w:lineRule="auto" w:line="288" w:before="0" w:after="180"/>
        <w:ind w:left="0" w:right="0" w:firstLine="360"/>
        <w:jc w:val="both"/>
        <w:rPr/>
      </w:pPr>
      <w:r>
        <w:rPr>
          <w:rFonts w:ascii="Times New Roman;sans-serif" w:hAnsi="Times New Roman;sans-serif"/>
          <w:b/>
          <w:color w:val="000000"/>
          <w:sz w:val="20"/>
        </w:rPr>
        <w:t>Section 7.10.</w:t>
      </w:r>
      <w:r>
        <w:rPr>
          <w:color w:val="000000"/>
        </w:rPr>
        <w:t xml:space="preserve"> </w:t>
      </w:r>
      <w:r>
        <w:rPr>
          <w:rFonts w:ascii="Times New Roman;sans-serif" w:hAnsi="Times New Roman;sans-serif"/>
          <w:b/>
          <w:color w:val="000000"/>
          <w:sz w:val="20"/>
        </w:rPr>
        <w:t xml:space="preserve">Amendment. </w:t>
      </w:r>
      <w:r>
        <w:rPr>
          <w:rFonts w:ascii="Times New Roman;sans-serif" w:hAnsi="Times New Roman;sans-serif"/>
          <w:b w:val="false"/>
          <w:color w:val="000000"/>
          <w:sz w:val="20"/>
        </w:rPr>
        <w:t xml:space="preserve">This Agreement may be amended in writing by the parties hereto at any time prior to the Effective Time. Following the 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w:t>
      </w:r>
    </w:p>
    <w:p>
      <w:pPr>
        <w:pStyle w:val="HorizontalLine"/>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46685"/>
                <wp:effectExtent l="0" t="0" r="0" b="0"/>
                <wp:wrapNone/>
                <wp:docPr id="598" name="Frame5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majority in interest of the then-outstanding number of Registrable Securities held by all New Holders in their capacity as New Holders (provided the New Holders or their Permitted Transferees hold Registrable Securities at the time of such amendment).</w:t>
      </w:r>
    </w:p>
    <w:p>
      <w:pPr>
        <w:pStyle w:val="TextBody"/>
        <w:spacing w:lineRule="auto" w:line="288" w:before="0" w:after="180"/>
        <w:ind w:left="0" w:right="0" w:firstLine="360"/>
        <w:jc w:val="both"/>
        <w:rPr/>
      </w:pPr>
      <w:r>
        <w:rPr>
          <w:rFonts w:ascii="Times New Roman;sans-serif" w:hAnsi="Times New Roman;sans-serif"/>
          <w:b/>
          <w:color w:val="000000"/>
          <w:sz w:val="20"/>
        </w:rPr>
        <w:t>Section 7.11.</w:t>
      </w:r>
      <w:r>
        <w:rPr>
          <w:color w:val="000000"/>
        </w:rPr>
        <w:t xml:space="preserve"> </w:t>
      </w:r>
      <w:r>
        <w:rPr>
          <w:rFonts w:ascii="Times New Roman;sans-serif" w:hAnsi="Times New Roman;sans-serif"/>
          <w:b/>
          <w:color w:val="000000"/>
          <w:sz w:val="20"/>
        </w:rPr>
        <w:t xml:space="preserve">Waiver. </w:t>
      </w:r>
      <w:r>
        <w:rPr>
          <w:rFonts w:ascii="Times New Roman;sans-serif" w:hAnsi="Times New Roman;sans-serif"/>
          <w:b w:val="false"/>
          <w:color w:val="000000"/>
          <w:sz w:val="20"/>
        </w:rPr>
        <w:t>At any time, (i) the Company may (a) extend the time for the performance of any obligation or other act of any Holder, (b) 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pStyle w:val="TextBody"/>
        <w:spacing w:lineRule="auto" w:line="288" w:before="0" w:after="180"/>
        <w:ind w:left="0" w:right="0" w:firstLine="360"/>
        <w:jc w:val="both"/>
        <w:rPr/>
      </w:pPr>
      <w:r>
        <w:rPr>
          <w:rFonts w:ascii="Times New Roman;sans-serif" w:hAnsi="Times New Roman;sans-serif"/>
          <w:b/>
          <w:color w:val="000000"/>
          <w:sz w:val="20"/>
        </w:rPr>
        <w:t>Section 7.12.</w:t>
      </w:r>
      <w:r>
        <w:rPr>
          <w:color w:val="000000"/>
        </w:rPr>
        <w:t xml:space="preserve"> </w:t>
      </w:r>
      <w:r>
        <w:rPr>
          <w:rFonts w:ascii="Times New Roman;sans-serif" w:hAnsi="Times New Roman;sans-serif"/>
          <w:b/>
          <w:color w:val="000000"/>
          <w:sz w:val="20"/>
        </w:rPr>
        <w:t>Further Assurances.</w:t>
      </w:r>
      <w:r>
        <w:rPr>
          <w:color w:val="000000"/>
        </w:rPr>
        <w:t xml:space="preserve"> </w:t>
      </w:r>
      <w:r>
        <w:rPr>
          <w:rFonts w:ascii="Times New Roman;sans-serif" w:hAnsi="Times New Roman;sans-serif"/>
          <w:b w:val="false"/>
          <w:color w:val="000000"/>
          <w:sz w:val="20"/>
        </w:rPr>
        <w:t>At the request of the Company, in the case of any Holder, or at the request of any Holder, in the case of the 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7.13.</w:t>
      </w:r>
      <w:r>
        <w:rPr>
          <w:color w:val="000000"/>
        </w:rPr>
        <w:t xml:space="preserve"> </w:t>
      </w:r>
      <w:r>
        <w:rPr>
          <w:rFonts w:ascii="Times New Roman;sans-serif" w:hAnsi="Times New Roman;sans-serif"/>
          <w:b/>
          <w:color w:val="000000"/>
          <w:sz w:val="20"/>
        </w:rPr>
        <w:t xml:space="preserve">Prior Agreement Superseded. </w:t>
      </w:r>
      <w:r>
        <w:rPr>
          <w:rFonts w:ascii="Times New Roman;sans-serif" w:hAnsi="Times New Roman;sans-serif"/>
          <w:b w:val="false"/>
          <w:color w:val="000000"/>
          <w:sz w:val="20"/>
        </w:rPr>
        <w:t xml:space="preserve">Pursuant to </w:t>
      </w:r>
      <w:r>
        <w:rPr>
          <w:rFonts w:ascii="Times New Roman;sans-serif" w:hAnsi="Times New Roman;sans-serif"/>
          <w:b w:val="false"/>
          <w:color w:val="000000"/>
          <w:sz w:val="20"/>
          <w:u w:val="single"/>
        </w:rPr>
        <w:t>Section 5.6</w:t>
      </w:r>
      <w:r>
        <w:rPr>
          <w:color w:val="000000"/>
        </w:rPr>
        <w:t xml:space="preserve"> </w:t>
      </w:r>
      <w:r>
        <w:rPr>
          <w:rFonts w:ascii="Times New Roman;sans-serif" w:hAnsi="Times New Roman;sans-serif"/>
          <w:b w:val="false"/>
          <w:color w:val="000000"/>
          <w:sz w:val="20"/>
        </w:rPr>
        <w:t>of the Prior Agreement, the undersigned parties who are parties to such Prior Agreement hereby terminate the Prior Agreement, with the intent and effect that the Prior Agreement shall hereby be replaced and superseded in its entirety by this Agreement.</w:t>
      </w:r>
    </w:p>
    <w:p>
      <w:pPr>
        <w:pStyle w:val="TextBody"/>
        <w:spacing w:lineRule="auto" w:line="288" w:before="0" w:after="180"/>
        <w:ind w:left="0" w:right="0" w:firstLine="360"/>
        <w:rPr/>
      </w:pPr>
      <w:r>
        <w:rPr>
          <w:rFonts w:ascii="Times New Roman;sans-serif" w:hAnsi="Times New Roman;sans-serif"/>
          <w:b/>
          <w:color w:val="000000"/>
          <w:sz w:val="20"/>
        </w:rPr>
        <w:t>Section 7.14.</w:t>
      </w:r>
      <w:r>
        <w:rPr>
          <w:color w:val="000000"/>
        </w:rPr>
        <w:t xml:space="preserve"> </w:t>
      </w:r>
      <w:r>
        <w:rPr>
          <w:rFonts w:ascii="Times New Roman;sans-serif" w:hAnsi="Times New Roman;sans-serif"/>
          <w:b/>
          <w:color w:val="000000"/>
          <w:sz w:val="20"/>
        </w:rPr>
        <w:t xml:space="preserve">No Strict Construction. </w:t>
      </w:r>
      <w:r>
        <w:rPr>
          <w:rFonts w:ascii="Times New Roman;sans-serif" w:hAnsi="Times New Roman;sans-serif"/>
          <w:b w:val="false"/>
          <w:color w:val="000000"/>
          <w:sz w:val="20"/>
        </w:rPr>
        <w:t>The language used in this Agreement shall be deemed to be the language chosen by the parties to express their mutual intent and no rule of strict construction shall be applied against any party.</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(Next Page is Signature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46685"/>
                <wp:effectExtent l="0" t="0" r="0" b="0"/>
                <wp:wrapNone/>
                <wp:docPr id="599" name="Frame5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executed this Agreement as of the date first written above.</w:t>
      </w:r>
    </w:p>
    <w:tbl>
      <w:tblPr>
        <w:tblW w:w="3074" w:type="dxa"/>
        <w:jc w:val="right"/>
        <w:tblInd w:w="0" w:type="dxa"/>
        <w:tblCellMar>
          <w:top w:w="28" w:type="dxa"/>
          <w:left w:w="28" w:type="dxa"/>
          <w:bottom w:w="28" w:type="dxa"/>
          <w:right w:w="28" w:type="dxa"/>
        </w:tblCellMar>
      </w:tblPr>
      <w:tblGrid>
        <w:gridCol w:w="233"/>
        <w:gridCol w:w="205"/>
        <w:gridCol w:w="207"/>
        <w:gridCol w:w="705"/>
        <w:gridCol w:w="705"/>
        <w:gridCol w:w="1019"/>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r>
      <w:tr>
        <w:trPr/>
        <w:tc>
          <w:tcPr>
            <w:tcW w:w="307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COMPANY:</w:t>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Chief Financial Officer    </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HorizontalLine"/>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75260"/>
                <wp:effectExtent l="0" t="0" r="0" b="0"/>
                <wp:wrapNone/>
                <wp:docPr id="600" name="Frame5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414" w:type="dxa"/>
        <w:jc w:val="right"/>
        <w:tblInd w:w="0" w:type="dxa"/>
        <w:tblCellMar>
          <w:top w:w="28" w:type="dxa"/>
          <w:left w:w="28" w:type="dxa"/>
          <w:bottom w:w="28" w:type="dxa"/>
          <w:right w:w="28" w:type="dxa"/>
        </w:tblCellMar>
      </w:tblPr>
      <w:tblGrid>
        <w:gridCol w:w="608"/>
        <w:gridCol w:w="535"/>
        <w:gridCol w:w="537"/>
        <w:gridCol w:w="1091"/>
        <w:gridCol w:w="1091"/>
        <w:gridCol w:w="155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HOLDER</w:t>
            </w:r>
            <w:r>
              <w:rPr>
                <w:rFonts w:ascii="Times New Roman;sans-serif" w:hAnsi="Times New Roman;sans-serif"/>
                <w:b w:val="false"/>
                <w:color w:val="000000"/>
                <w:sz w:val="20"/>
              </w:rPr>
              <w:t>:</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Life Sciences Master Fund Ltd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75260"/>
                <wp:effectExtent l="0" t="0" r="0" b="0"/>
                <wp:wrapNone/>
                <wp:docPr id="601" name="Frame5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414" w:type="dxa"/>
        <w:jc w:val="right"/>
        <w:tblInd w:w="0" w:type="dxa"/>
        <w:tblCellMar>
          <w:top w:w="28" w:type="dxa"/>
          <w:left w:w="28" w:type="dxa"/>
          <w:bottom w:w="28" w:type="dxa"/>
          <w:right w:w="28" w:type="dxa"/>
        </w:tblCellMar>
      </w:tblPr>
      <w:tblGrid>
        <w:gridCol w:w="608"/>
        <w:gridCol w:w="535"/>
        <w:gridCol w:w="537"/>
        <w:gridCol w:w="1094"/>
        <w:gridCol w:w="1094"/>
        <w:gridCol w:w="154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Holdings III</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ableContents"/>
              <w:spacing w:before="0" w:after="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75260"/>
                <wp:effectExtent l="0" t="0" r="0" b="0"/>
                <wp:wrapNone/>
                <wp:docPr id="602" name="Frame5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IN WITNESS WHEREOF, each of the undersigned has executed this Agreement as of the date first written above</w:t>
      </w:r>
      <w:r>
        <w:rPr>
          <w:rFonts w:ascii="Times New Roman;sans-serif" w:hAnsi="Times New Roman;sans-serif"/>
          <w:b/>
          <w:color w:val="000000"/>
          <w:sz w:val="20"/>
        </w:rPr>
        <w:t>.</w:t>
      </w:r>
    </w:p>
    <w:tbl>
      <w:tblPr>
        <w:tblW w:w="5415" w:type="dxa"/>
        <w:jc w:val="right"/>
        <w:tblInd w:w="0" w:type="dxa"/>
        <w:tblCellMar>
          <w:top w:w="28" w:type="dxa"/>
          <w:left w:w="28" w:type="dxa"/>
          <w:bottom w:w="28" w:type="dxa"/>
          <w:right w:w="28" w:type="dxa"/>
        </w:tblCellMar>
      </w:tblPr>
      <w:tblGrid>
        <w:gridCol w:w="608"/>
        <w:gridCol w:w="535"/>
        <w:gridCol w:w="537"/>
        <w:gridCol w:w="1092"/>
        <w:gridCol w:w="1092"/>
        <w:gridCol w:w="155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u w:val="single"/>
              </w:rPr>
              <w:t>Sujal Patel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5"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75260"/>
                <wp:effectExtent l="0" t="0" r="0" b="0"/>
                <wp:wrapNone/>
                <wp:docPr id="603" name="Frame5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2789" w:type="dxa"/>
        <w:jc w:val="right"/>
        <w:tblInd w:w="0" w:type="dxa"/>
        <w:tblCellMar>
          <w:top w:w="28" w:type="dxa"/>
          <w:left w:w="28" w:type="dxa"/>
          <w:bottom w:w="28" w:type="dxa"/>
          <w:right w:w="28" w:type="dxa"/>
        </w:tblCellMar>
      </w:tblPr>
      <w:tblGrid>
        <w:gridCol w:w="608"/>
        <w:gridCol w:w="535"/>
        <w:gridCol w:w="537"/>
        <w:gridCol w:w="324"/>
        <w:gridCol w:w="324"/>
        <w:gridCol w:w="46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HOLDER:</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PFV 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Manager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Suraj Patel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75260"/>
                <wp:effectExtent l="0" t="0" r="0" b="0"/>
                <wp:wrapNone/>
                <wp:docPr id="604" name="Frame5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6554" w:type="dxa"/>
        <w:jc w:val="right"/>
        <w:tblInd w:w="0" w:type="dxa"/>
        <w:tblCellMar>
          <w:top w:w="28" w:type="dxa"/>
          <w:left w:w="28" w:type="dxa"/>
          <w:bottom w:w="28" w:type="dxa"/>
          <w:right w:w="28" w:type="dxa"/>
        </w:tblCellMar>
      </w:tblPr>
      <w:tblGrid>
        <w:gridCol w:w="608"/>
        <w:gridCol w:w="535"/>
        <w:gridCol w:w="537"/>
        <w:gridCol w:w="1424"/>
        <w:gridCol w:w="1424"/>
        <w:gridCol w:w="202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2020 Children’s Trust, u/a/d December 3, 2020</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Trustee</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Meera Patel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75260"/>
                <wp:effectExtent l="0" t="0" r="0" b="0"/>
                <wp:wrapNone/>
                <wp:docPr id="605" name="Frame5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p>
      <w:pPr>
        <w:pStyle w:val="TextBody"/>
        <w:spacing w:before="0" w:after="240"/>
        <w:jc w:val="both"/>
        <w:rPr/>
      </w:pPr>
      <w:r>
        <w:rPr/>
      </w:r>
    </w:p>
    <w:tbl>
      <w:tblPr>
        <w:tblW w:w="3209" w:type="dxa"/>
        <w:jc w:val="right"/>
        <w:tblInd w:w="0" w:type="dxa"/>
        <w:tblCellMar>
          <w:top w:w="28" w:type="dxa"/>
          <w:left w:w="28" w:type="dxa"/>
          <w:bottom w:w="28" w:type="dxa"/>
          <w:right w:w="28" w:type="dxa"/>
        </w:tblCellMar>
      </w:tblPr>
      <w:tblGrid>
        <w:gridCol w:w="608"/>
        <w:gridCol w:w="535"/>
        <w:gridCol w:w="537"/>
        <w:gridCol w:w="447"/>
        <w:gridCol w:w="447"/>
        <w:gridCol w:w="63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75260"/>
                <wp:effectExtent l="0" t="0" r="0" b="0"/>
                <wp:wrapNone/>
                <wp:docPr id="606" name="Frame5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059" w:type="dxa"/>
        <w:jc w:val="right"/>
        <w:tblInd w:w="0" w:type="dxa"/>
        <w:tblCellMar>
          <w:top w:w="28" w:type="dxa"/>
          <w:left w:w="28" w:type="dxa"/>
          <w:bottom w:w="28" w:type="dxa"/>
          <w:right w:w="28" w:type="dxa"/>
        </w:tblCellMar>
      </w:tblPr>
      <w:tblGrid>
        <w:gridCol w:w="608"/>
        <w:gridCol w:w="535"/>
        <w:gridCol w:w="537"/>
        <w:gridCol w:w="403"/>
        <w:gridCol w:w="403"/>
        <w:gridCol w:w="573"/>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75260"/>
                <wp:effectExtent l="0" t="0" r="0" b="0"/>
                <wp:wrapNone/>
                <wp:docPr id="607" name="Frame5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p>
      <w:pPr>
        <w:pStyle w:val="TextBody"/>
        <w:spacing w:before="0" w:after="180"/>
        <w:jc w:val="both"/>
        <w:rPr/>
      </w:pPr>
      <w:r>
        <w:rPr/>
      </w:r>
    </w:p>
    <w:tbl>
      <w:tblPr>
        <w:tblW w:w="4500" w:type="dxa"/>
        <w:jc w:val="right"/>
        <w:tblInd w:w="0" w:type="dxa"/>
        <w:tblCellMar>
          <w:top w:w="28" w:type="dxa"/>
          <w:left w:w="28" w:type="dxa"/>
          <w:bottom w:w="28" w:type="dxa"/>
          <w:right w:w="28" w:type="dxa"/>
        </w:tblCellMar>
      </w:tblPr>
      <w:tblGrid>
        <w:gridCol w:w="608"/>
        <w:gridCol w:w="535"/>
        <w:gridCol w:w="537"/>
        <w:gridCol w:w="824"/>
        <w:gridCol w:w="824"/>
        <w:gridCol w:w="117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AH Bio Fund II, L.P.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pPr>
            <w:r>
              <w:rPr>
                <w:rFonts w:ascii="Times New Roman;sans-serif" w:hAnsi="Times New Roman;sans-serif"/>
                <w:b w:val="false"/>
                <w:color w:val="000000"/>
                <w:sz w:val="20"/>
              </w:rPr>
              <w:t xml:space="preserve">for itself and as nominee </w:t>
            </w:r>
            <w:r>
              <w:rPr>
                <w:rFonts w:ascii="Times New Roman;sans-serif" w:hAnsi="Times New Roman;sans-serif"/>
                <w:b w:val="false"/>
                <w:color w:val="000000"/>
                <w:sz w:val="20"/>
                <w:u w:val="single"/>
              </w:rPr>
              <w:t xml:space="preserve">for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AH Bio Fund II-B,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AH Equity Partners Bio II,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COO</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Kupor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75260"/>
                <wp:effectExtent l="0" t="0" r="0" b="0"/>
                <wp:wrapNone/>
                <wp:docPr id="608" name="Frame5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580" w:type="dxa"/>
        <w:jc w:val="right"/>
        <w:tblInd w:w="0" w:type="dxa"/>
        <w:tblCellMar>
          <w:top w:w="28" w:type="dxa"/>
          <w:left w:w="28" w:type="dxa"/>
          <w:bottom w:w="28" w:type="dxa"/>
          <w:right w:w="28" w:type="dxa"/>
        </w:tblCellMar>
      </w:tblPr>
      <w:tblGrid>
        <w:gridCol w:w="608"/>
        <w:gridCol w:w="535"/>
        <w:gridCol w:w="537"/>
        <w:gridCol w:w="1140"/>
        <w:gridCol w:w="1140"/>
        <w:gridCol w:w="1620"/>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Andreessen Horowitz LSV Fund II, L.P.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itself and as nominee for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Andreessen Horowitz LSV Fund II-B, L.P. and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Andreessen Horowitz LSV Fund II-Q,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 Equity Partners LSV II,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Chief Operating Officer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Kupor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75260"/>
                <wp:effectExtent l="0" t="0" r="0" b="0"/>
                <wp:wrapNone/>
                <wp:docPr id="609" name="Frame5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209" w:type="dxa"/>
        <w:jc w:val="right"/>
        <w:tblInd w:w="0" w:type="dxa"/>
        <w:tblCellMar>
          <w:top w:w="28" w:type="dxa"/>
          <w:left w:w="28" w:type="dxa"/>
          <w:bottom w:w="28" w:type="dxa"/>
          <w:right w:w="28" w:type="dxa"/>
        </w:tblCellMar>
      </w:tblPr>
      <w:tblGrid>
        <w:gridCol w:w="608"/>
        <w:gridCol w:w="535"/>
        <w:gridCol w:w="537"/>
        <w:gridCol w:w="446"/>
        <w:gridCol w:w="446"/>
        <w:gridCol w:w="637"/>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75260"/>
                <wp:effectExtent l="0" t="0" r="0" b="0"/>
                <wp:wrapNone/>
                <wp:docPr id="610" name="Frame5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480" w:type="dxa"/>
        <w:jc w:val="right"/>
        <w:tblInd w:w="0" w:type="dxa"/>
        <w:tblCellMar>
          <w:top w:w="28" w:type="dxa"/>
          <w:left w:w="28" w:type="dxa"/>
          <w:bottom w:w="28" w:type="dxa"/>
          <w:right w:w="28" w:type="dxa"/>
        </w:tblCellMar>
      </w:tblPr>
      <w:tblGrid>
        <w:gridCol w:w="608"/>
        <w:gridCol w:w="535"/>
        <w:gridCol w:w="537"/>
        <w:gridCol w:w="527"/>
        <w:gridCol w:w="527"/>
        <w:gridCol w:w="74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HAND Capital,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Manager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75260"/>
                <wp:effectExtent l="0" t="0" r="0" b="0"/>
                <wp:wrapNone/>
                <wp:docPr id="611" name="Frame5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IN WITNESS WHEREOF, each of the undersigned has executed this Agreement as of the date first written above.</w:t>
      </w:r>
      <w:r>
        <w:rPr>
          <w:color w:val="000000"/>
        </w:rPr>
        <w:t xml:space="preserve"> </w:t>
      </w:r>
    </w:p>
    <w:tbl>
      <w:tblPr>
        <w:tblW w:w="3614" w:type="dxa"/>
        <w:jc w:val="right"/>
        <w:tblInd w:w="0" w:type="dxa"/>
        <w:tblCellMar>
          <w:top w:w="28" w:type="dxa"/>
          <w:left w:w="28" w:type="dxa"/>
          <w:bottom w:w="28" w:type="dxa"/>
          <w:right w:w="28" w:type="dxa"/>
        </w:tblCellMar>
      </w:tblPr>
      <w:tblGrid>
        <w:gridCol w:w="608"/>
        <w:gridCol w:w="535"/>
        <w:gridCol w:w="537"/>
        <w:gridCol w:w="565"/>
        <w:gridCol w:w="565"/>
        <w:gridCol w:w="80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Matthew McIlwain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75260"/>
                <wp:effectExtent l="0" t="0" r="0" b="0"/>
                <wp:wrapNone/>
                <wp:docPr id="612" name="Frame5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4845" w:type="dxa"/>
        <w:jc w:val="right"/>
        <w:tblInd w:w="0" w:type="dxa"/>
        <w:tblCellMar>
          <w:top w:w="28" w:type="dxa"/>
          <w:left w:w="28" w:type="dxa"/>
          <w:bottom w:w="28" w:type="dxa"/>
          <w:right w:w="28" w:type="dxa"/>
        </w:tblCellMar>
      </w:tblPr>
      <w:tblGrid>
        <w:gridCol w:w="608"/>
        <w:gridCol w:w="535"/>
        <w:gridCol w:w="537"/>
        <w:gridCol w:w="925"/>
        <w:gridCol w:w="925"/>
        <w:gridCol w:w="131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Venture Fund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Investment Partners,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Madrona VI General Partner, LLC,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Troy Cichos</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75260"/>
                <wp:effectExtent l="0" t="0" r="0" b="0"/>
                <wp:wrapNone/>
                <wp:docPr id="613" name="Frame5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4845" w:type="dxa"/>
        <w:jc w:val="right"/>
        <w:tblInd w:w="0" w:type="dxa"/>
        <w:tblCellMar>
          <w:top w:w="28" w:type="dxa"/>
          <w:left w:w="28" w:type="dxa"/>
          <w:bottom w:w="28" w:type="dxa"/>
          <w:right w:w="28" w:type="dxa"/>
        </w:tblCellMar>
      </w:tblPr>
      <w:tblGrid>
        <w:gridCol w:w="608"/>
        <w:gridCol w:w="535"/>
        <w:gridCol w:w="537"/>
        <w:gridCol w:w="925"/>
        <w:gridCol w:w="925"/>
        <w:gridCol w:w="131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Venture Fund VI-A,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Investment Partners,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Madrona VI General Partner, LLC,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Troy Cichos</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75260"/>
                <wp:effectExtent l="0" t="0" r="0" b="0"/>
                <wp:wrapNone/>
                <wp:docPr id="614" name="Frame5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174" w:type="dxa"/>
        <w:jc w:val="right"/>
        <w:tblInd w:w="0" w:type="dxa"/>
        <w:tblCellMar>
          <w:top w:w="28" w:type="dxa"/>
          <w:left w:w="28" w:type="dxa"/>
          <w:bottom w:w="28" w:type="dxa"/>
          <w:right w:w="28" w:type="dxa"/>
        </w:tblCellMar>
      </w:tblPr>
      <w:tblGrid>
        <w:gridCol w:w="608"/>
        <w:gridCol w:w="535"/>
        <w:gridCol w:w="537"/>
        <w:gridCol w:w="1021"/>
        <w:gridCol w:w="1021"/>
        <w:gridCol w:w="145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VCVC V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VCVC Management V LLC, Its Manager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Cougar Investment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Danielle Harper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75260"/>
                <wp:effectExtent l="0" t="0" r="0" b="0"/>
                <wp:wrapNone/>
                <wp:docPr id="615" name="Frame5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175" w:type="dxa"/>
        <w:jc w:val="right"/>
        <w:tblInd w:w="0" w:type="dxa"/>
        <w:tblCellMar>
          <w:top w:w="28" w:type="dxa"/>
          <w:left w:w="28" w:type="dxa"/>
          <w:bottom w:w="28" w:type="dxa"/>
          <w:right w:w="28" w:type="dxa"/>
        </w:tblCellMar>
      </w:tblPr>
      <w:tblGrid>
        <w:gridCol w:w="608"/>
        <w:gridCol w:w="535"/>
        <w:gridCol w:w="537"/>
        <w:gridCol w:w="1022"/>
        <w:gridCol w:w="1022"/>
        <w:gridCol w:w="145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Vulcan Capital Columbia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VCVC Management V LLC, Its Manager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Cougar Investment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Danielle Harper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75260"/>
                <wp:effectExtent l="0" t="0" r="0" b="0"/>
                <wp:wrapNone/>
                <wp:docPr id="616" name="Frame5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389" w:type="dxa"/>
        <w:jc w:val="right"/>
        <w:tblInd w:w="0" w:type="dxa"/>
        <w:tblCellMar>
          <w:top w:w="28" w:type="dxa"/>
          <w:left w:w="28" w:type="dxa"/>
          <w:bottom w:w="28" w:type="dxa"/>
          <w:right w:w="28" w:type="dxa"/>
        </w:tblCellMar>
      </w:tblPr>
      <w:tblGrid>
        <w:gridCol w:w="608"/>
        <w:gridCol w:w="535"/>
        <w:gridCol w:w="537"/>
        <w:gridCol w:w="500"/>
        <w:gridCol w:w="500"/>
        <w:gridCol w:w="709"/>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0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Melissa Epperly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Melissa Epperly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260"/>
                <wp:effectExtent l="0" t="0" r="0" b="0"/>
                <wp:wrapNone/>
                <wp:docPr id="617" name="Frame5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374" w:type="dxa"/>
        <w:jc w:val="right"/>
        <w:tblInd w:w="0" w:type="dxa"/>
        <w:tblCellMar>
          <w:top w:w="28" w:type="dxa"/>
          <w:left w:w="28" w:type="dxa"/>
          <w:bottom w:w="28" w:type="dxa"/>
          <w:right w:w="28" w:type="dxa"/>
        </w:tblCellMar>
      </w:tblPr>
      <w:tblGrid>
        <w:gridCol w:w="608"/>
        <w:gridCol w:w="535"/>
        <w:gridCol w:w="537"/>
        <w:gridCol w:w="496"/>
        <w:gridCol w:w="496"/>
        <w:gridCol w:w="70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9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Matthew Posard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75260"/>
                <wp:effectExtent l="0" t="0" r="0" b="0"/>
                <wp:wrapNone/>
                <wp:docPr id="618" name="Frame5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045" w:type="dxa"/>
        <w:jc w:val="right"/>
        <w:tblInd w:w="0" w:type="dxa"/>
        <w:tblCellMar>
          <w:top w:w="28" w:type="dxa"/>
          <w:left w:w="28" w:type="dxa"/>
          <w:bottom w:w="28" w:type="dxa"/>
          <w:right w:w="28" w:type="dxa"/>
        </w:tblCellMar>
      </w:tblPr>
      <w:tblGrid>
        <w:gridCol w:w="608"/>
        <w:gridCol w:w="535"/>
        <w:gridCol w:w="537"/>
        <w:gridCol w:w="399"/>
        <w:gridCol w:w="399"/>
        <w:gridCol w:w="567"/>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6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260"/>
                <wp:effectExtent l="0" t="0" r="0" b="0"/>
                <wp:wrapNone/>
                <wp:docPr id="619" name="Frame5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764" w:type="dxa"/>
        <w:jc w:val="right"/>
        <w:tblInd w:w="0" w:type="dxa"/>
        <w:tblCellMar>
          <w:top w:w="28" w:type="dxa"/>
          <w:left w:w="28" w:type="dxa"/>
          <w:bottom w:w="28" w:type="dxa"/>
          <w:right w:w="28" w:type="dxa"/>
        </w:tblCellMar>
      </w:tblPr>
      <w:tblGrid>
        <w:gridCol w:w="608"/>
        <w:gridCol w:w="535"/>
        <w:gridCol w:w="537"/>
        <w:gridCol w:w="610"/>
        <w:gridCol w:w="610"/>
        <w:gridCol w:w="86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75260"/>
                <wp:effectExtent l="0" t="0" r="0" b="0"/>
                <wp:wrapNone/>
                <wp:docPr id="620" name="Frame6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A</w:t>
      </w:r>
    </w:p>
    <w:tbl>
      <w:tblPr>
        <w:tblW w:w="4889" w:type="dxa"/>
        <w:jc w:val="left"/>
        <w:tblInd w:w="0" w:type="dxa"/>
        <w:tblCellMar>
          <w:top w:w="28" w:type="dxa"/>
          <w:left w:w="28" w:type="dxa"/>
          <w:bottom w:w="28" w:type="dxa"/>
          <w:right w:w="28" w:type="dxa"/>
        </w:tblCellMar>
      </w:tblPr>
      <w:tblGrid>
        <w:gridCol w:w="1564"/>
        <w:gridCol w:w="1375"/>
        <w:gridCol w:w="1950"/>
      </w:tblGrid>
      <w:tr>
        <w:trPr/>
        <w:tc>
          <w:tcPr>
            <w:tcW w:w="15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Perceptive Holders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Life Sciences Master Fund Ltd.</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Holdings III</w:t>
            </w:r>
          </w:p>
        </w:tc>
      </w:tr>
      <w:tr>
        <w:trPr/>
        <w:tc>
          <w:tcPr>
            <w:tcW w:w="48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Holders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PFV I,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2020 Children’s Trust, u/a/d December 3, 2020</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 Bio Fund II,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Andreessen Horowitz</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LSV Fund II,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HAND Capital,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Madrona Venture Fund VI,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Madrona Venture Fund VI-A,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VCVC V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Vulcan Capital Columbia Holdings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r>
        <w:trPr/>
        <w:tc>
          <w:tcPr>
            <w:tcW w:w="48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Independent Directors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488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260"/>
                <wp:effectExtent l="0" t="0" r="0" b="0"/>
                <wp:wrapNone/>
                <wp:docPr id="621" name="Frame6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H</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FORM OF TRANSACTION SUPPORT AGREEMENT</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TRANSACTION SUPPORT AGREEMENT</w:t>
      </w:r>
      <w:r>
        <w:rPr>
          <w:color w:val="000000"/>
        </w:rPr>
        <w:t xml:space="preserve"> </w:t>
      </w:r>
      <w:r>
        <w:rPr>
          <w:rFonts w:ascii="Times New Roman;sans-serif" w:hAnsi="Times New Roman;sans-serif"/>
          <w:b w:val="false"/>
          <w:color w:val="000000"/>
          <w:sz w:val="20"/>
        </w:rPr>
        <w:t>(this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entered into as of February 7, 2021, by and among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and [●], a [●] (the “</w:t>
      </w:r>
      <w:r>
        <w:rPr>
          <w:rFonts w:ascii="Times New Roman;sans-serif" w:hAnsi="Times New Roman;sans-serif"/>
          <w:b w:val="false"/>
          <w:color w:val="000000"/>
          <w:sz w:val="20"/>
          <w:u w:val="single"/>
        </w:rPr>
        <w:t>Shareholder</w:t>
      </w:r>
      <w:r>
        <w:rPr>
          <w:color w:val="000000"/>
        </w:rPr>
        <w:t>”</w:t>
      </w:r>
      <w:r>
        <w:rPr>
          <w:rFonts w:ascii="Times New Roman;sans-serif" w:hAnsi="Times New Roman;sans-serif"/>
          <w:b w:val="false"/>
          <w:color w:val="000000"/>
          <w:sz w:val="20"/>
        </w:rPr>
        <w:t>). Each of ARYA and the Shareholder are sometimes referred to herein individually as a “Party” and collectively as the “</w:t>
      </w:r>
      <w:r>
        <w:rPr>
          <w:rFonts w:ascii="Times New Roman;sans-serif" w:hAnsi="Times New Roman;sans-serif"/>
          <w:b w:val="false"/>
          <w:color w:val="000000"/>
          <w:sz w:val="20"/>
          <w:u w:val="single"/>
        </w:rPr>
        <w:t>Parties</w:t>
      </w:r>
      <w:r>
        <w:rPr>
          <w:color w:val="000000"/>
        </w:rPr>
        <w:t>”</w:t>
      </w:r>
      <w:r>
        <w:rPr>
          <w:rFonts w:ascii="Times New Roman;sans-serif" w:hAnsi="Times New Roman;sans-serif"/>
          <w:b w:val="false"/>
          <w:color w:val="000000"/>
          <w:sz w:val="20"/>
        </w:rPr>
        <w:t xml:space="preserve">. Capitalized terms used but not otherwise defined herein shall have the meanings ascribed to them in the Business Combination Agreement (defined below). </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on February 7, 2021, ARYA, Mako Merger Sub, Inc., a Delaware corporation and wholly owned subsidiary of ARYA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entered into that certain Business Combination Agreement (as amended or modified from time to time in accordance with its terms,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the Shareholder is the record and beneficial owner of the number and class or series (as applicable) of issued and outstanding Company Shares set forth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val="false"/>
          <w:color w:val="000000"/>
          <w:sz w:val="20"/>
          <w:u w:val="single"/>
        </w:rPr>
        <w:t>Owned Shares</w:t>
      </w:r>
      <w:r>
        <w:rPr>
          <w:color w:val="000000"/>
        </w:rPr>
        <w:t>”</w:t>
      </w:r>
      <w:r>
        <w:rPr>
          <w:rFonts w:ascii="Times New Roman;sans-serif" w:hAnsi="Times New Roman;sans-serif"/>
          <w:b w:val="false"/>
          <w:color w:val="000000"/>
          <w:sz w:val="20"/>
        </w:rPr>
        <w:t>, and together with any other Company Shares that the Shareholder acquires record and beneficial ownership after the date hereof, collectively, the “</w:t>
      </w:r>
      <w:r>
        <w:rPr>
          <w:rFonts w:ascii="Times New Roman;sans-serif" w:hAnsi="Times New Roman;sans-serif"/>
          <w:b w:val="false"/>
          <w:color w:val="000000"/>
          <w:sz w:val="20"/>
          <w:u w:val="single"/>
        </w:rPr>
        <w:t>Subject Company Shares</w:t>
      </w:r>
      <w:r>
        <w:rPr>
          <w:color w:val="000000"/>
        </w:rPr>
        <w:t>”</w:t>
      </w:r>
      <w:r>
        <w:rPr>
          <w:rFonts w:ascii="Times New Roman;sans-serif" w:hAnsi="Times New Roman;sans-serif"/>
          <w:b w:val="false"/>
          <w:color w:val="000000"/>
          <w:sz w:val="20"/>
        </w:rPr>
        <w:t>); and</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in consideration for the benefits to be received by the Shareholder under the terms of the Business Combination Agreement and as a 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pStyle w:val="TextBody"/>
        <w:spacing w:lineRule="auto" w:line="288" w:before="0" w:after="180"/>
        <w:ind w:left="0" w:right="0" w:firstLine="360"/>
        <w:rPr/>
      </w:pPr>
      <w:r>
        <w:rPr>
          <w:rFonts w:ascii="Times New Roman;sans-serif" w:hAnsi="Times New Roman;sans-serif"/>
          <w:b/>
          <w:color w:val="000000"/>
          <w:sz w:val="20"/>
        </w:rPr>
        <w:t>NOW, THEREFORE</w:t>
      </w:r>
      <w:r>
        <w:rPr>
          <w:rFonts w:ascii="Times New Roman;sans-serif" w:hAnsi="Times New Roman;sans-serif"/>
          <w:b w:val="false"/>
          <w:color w:val="000000"/>
          <w:sz w:val="20"/>
        </w:rPr>
        <w:t>, in consideration of the premises and the mutual promises set forth herein and for other good and valuable consideration, the receipt and sufficiency of which are hereby acknowledged, the Parties, each intending to be legally bound, hereby agree as follows: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Company Shareholder Consent and Related Matters</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provided,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Times New Roman;sans-serif" w:hAnsi="Times New Roman;sans-serif"/>
          <w:b w:val="false"/>
          <w:color w:val="000000"/>
          <w:sz w:val="20"/>
          <w:u w:val="single"/>
        </w:rPr>
        <w:t>Excluded Voting Matters</w:t>
      </w:r>
      <w:r>
        <w:rPr>
          <w:color w:val="000000"/>
        </w:rPr>
        <w:t>”</w:t>
      </w:r>
      <w:r>
        <w:rPr>
          <w:rFonts w:ascii="Times New Roman;sans-serif" w:hAnsi="Times New Roman;sans-serif"/>
          <w:b w:val="false"/>
          <w:color w:val="000000"/>
          <w:sz w:val="20"/>
        </w:rPr>
        <w:t xml:space="preserve">). Without limiting the generality of the foregoing, prior to the Closing, the Shareholder shall vote (or cause to be voted) the Subject Company Shares against and withhold consent with </w:t>
      </w:r>
    </w:p>
    <w:p>
      <w:pPr>
        <w:pStyle w:val="HorizontalLine"/>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260"/>
                <wp:effectExtent l="0" t="0" r="0" b="0"/>
                <wp:wrapNone/>
                <wp:docPr id="622" name="Frame6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 </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(ii) to include the Subject Company Shares in any computation for purposes of establishing a quorum at any such meeting of the Company Shareholders and (iii) 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Times New Roman;sans-serif" w:hAnsi="Times New Roman;sans-serif"/>
          <w:b w:val="false"/>
          <w:color w:val="000000"/>
          <w:sz w:val="20"/>
          <w:u w:val="single"/>
        </w:rPr>
        <w:t>Section 1(a).</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Times New Roman;sans-serif" w:hAnsi="Times New Roman;sans-serif"/>
          <w:b w:val="false"/>
          <w:color w:val="000000"/>
          <w:sz w:val="20"/>
          <w:u w:val="single"/>
        </w:rPr>
        <w:t>Voting Agreement</w:t>
      </w:r>
      <w:r>
        <w:rPr>
          <w:color w:val="000000"/>
        </w:rPr>
        <w:t>”</w:t>
      </w:r>
      <w:r>
        <w:rPr>
          <w:rFonts w:ascii="Times New Roman;sans-serif" w:hAnsi="Times New Roman;sans-serif"/>
          <w:b w:val="false"/>
          <w:color w:val="000000"/>
          <w:sz w:val="20"/>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and with respect to the matters described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The proxyholder may not exercise the proxy granted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on any matter except for those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Other Covenants and Agreements</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pStyle w:val="HorizontalLine"/>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260"/>
                <wp:effectExtent l="0" t="0" r="0" b="0"/>
                <wp:wrapNone/>
                <wp:docPr id="623" name="Frame6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Shareholder Representations and Warranties</w:t>
      </w:r>
      <w:r>
        <w:rPr>
          <w:rFonts w:ascii="Times New Roman;sans-serif" w:hAnsi="Times New Roman;sans-serif"/>
          <w:b w:val="false"/>
          <w:color w:val="000000"/>
          <w:sz w:val="20"/>
        </w:rPr>
        <w:t>. The Shareholder represents and warrants to ARYA as follows: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 </w: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above, as would not adversely affect the ability of the Shareholder to perform, or otherwise comply with, any of his, her or its covenants, agreements or obligations hereunder in any material respect.</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 xml:space="preserve">hereto, together with any other Equity Securities of the Company that the Shareholder acquires record or beneficial ownership after the date hereof that is either permitted pursuant to or acquired in accordance with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 (i) any option, warrant, purchase right, or other Contract that could (either alone or in </w:t>
      </w:r>
    </w:p>
    <w:p>
      <w:pPr>
        <w:pStyle w:val="HorizontalLine"/>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260"/>
                <wp:effectExtent l="0" t="0" r="0" b="0"/>
                <wp:wrapNone/>
                <wp:docPr id="624" name="Frame6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 </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val="false"/>
          <w:color w:val="000000"/>
          <w:sz w:val="20"/>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The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 </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 </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Transfer of Subject Company Shares</w:t>
      </w:r>
      <w:r>
        <w:rPr>
          <w:rFonts w:ascii="Times New Roman;sans-serif" w:hAnsi="Times New Roman;sans-serif"/>
          <w:b w:val="false"/>
          <w:color w:val="000000"/>
          <w:sz w:val="20"/>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with respect to such transferee and his, her or its Subject Company Shares received upon such Transfer, as applicable) prior and as a condition to the occurrence of such Transfer. For purposes of this Agreement, “</w:t>
      </w:r>
      <w:r>
        <w:rPr>
          <w:rFonts w:ascii="Times New Roman;sans-serif" w:hAnsi="Times New Roman;sans-serif"/>
          <w:b w:val="false"/>
          <w:color w:val="000000"/>
          <w:sz w:val="20"/>
          <w:u w:val="single"/>
        </w:rPr>
        <w:t>Transfer</w:t>
      </w:r>
      <w:r>
        <w:rPr>
          <w:color w:val="000000"/>
        </w:rPr>
        <w:t xml:space="preserve">” </w:t>
      </w:r>
      <w:r>
        <w:rPr>
          <w:rFonts w:ascii="Times New Roman;sans-serif" w:hAnsi="Times New Roman;sans-serif"/>
          <w:b w:val="false"/>
          <w:color w:val="000000"/>
          <w:sz w:val="20"/>
        </w:rPr>
        <w:t xml:space="preserve">means any, direct or indirect, sale, transfer, assignment, pledge, mortgage, exchange, hypothecation, </w:t>
      </w:r>
    </w:p>
    <w:p>
      <w:pPr>
        <w:pStyle w:val="HorizontalLine"/>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75260"/>
                <wp:effectExtent l="0" t="0" r="0" b="0"/>
                <wp:wrapNone/>
                <wp:docPr id="625" name="Frame6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grant of a security interest or encumbrance in or disposition of an interest (whether with or without consideration, whether voluntarily or involuntarily or by operation of law or otherwise). </w:t>
      </w:r>
    </w:p>
    <w:p>
      <w:pPr>
        <w:pStyle w:val="TextBody"/>
        <w:spacing w:lineRule="auto" w:line="288" w:before="0" w:after="180"/>
        <w:ind w:left="0" w:right="0" w:firstLine="36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This Agreement (including the proxy granted pursuant to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xml:space="preserve">) shall automatically terminate, without any notice or other action by any Party, and be void </w:t>
      </w:r>
      <w:r>
        <w:rPr>
          <w:rFonts w:ascii="Times New Roman;sans-serif" w:hAnsi="Times New Roman;sans-serif"/>
          <w:b w:val="false"/>
          <w:i/>
          <w:color w:val="000000"/>
          <w:sz w:val="20"/>
        </w:rPr>
        <w:t>ab initio</w:t>
      </w:r>
      <w:r>
        <w:rPr>
          <w:color w:val="000000"/>
        </w:rPr>
        <w:t xml:space="preserve"> </w:t>
      </w:r>
      <w:r>
        <w:rPr>
          <w:rFonts w:ascii="Times New Roman;sans-serif" w:hAnsi="Times New Roman;sans-serif"/>
          <w:b w:val="false"/>
          <w:color w:val="000000"/>
          <w:sz w:val="20"/>
        </w:rPr>
        <w:t xml:space="preserve">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sans-serif" w:hAnsi="Times New Roman;sans-serif"/>
          <w:b w:val="false"/>
          <w:color w:val="000000"/>
          <w:sz w:val="20"/>
          <w:u w:val="single"/>
        </w:rPr>
        <w:t>Section 5(b)</w:t>
      </w:r>
      <w:r>
        <w:rPr>
          <w:color w:val="000000"/>
        </w:rPr>
        <w:t xml:space="preserve"> </w:t>
      </w:r>
      <w:r>
        <w:rPr>
          <w:rFonts w:ascii="Times New Roman;sans-serif" w:hAnsi="Times New Roman;sans-serif"/>
          <w:b w:val="false"/>
          <w:color w:val="000000"/>
          <w:sz w:val="20"/>
        </w:rPr>
        <w:t xml:space="preserve">shall not affect any Liability on the part of any Party for a Willful Breach of any covenant or agreement set forth in this Agreement prior to such termination or Fraud, (ii) </w:t>
      </w:r>
      <w:r>
        <w:rPr>
          <w:rFonts w:ascii="Times New Roman;sans-serif" w:hAnsi="Times New Roman;sans-serif"/>
          <w:b w:val="false"/>
          <w:color w:val="000000"/>
          <w:sz w:val="20"/>
          <w:u w:val="single"/>
        </w:rPr>
        <w:t>Section 2(a)(i)(A)</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 xml:space="preserve">(Confidentiality and Access to Information) of the Business Combination Agreement) and the representations and warranties set forth in </w:t>
      </w:r>
      <w:r>
        <w:rPr>
          <w:rFonts w:ascii="Times New Roman;sans-serif" w:hAnsi="Times New Roman;sans-serif"/>
          <w:b w:val="false"/>
          <w:color w:val="000000"/>
          <w:sz w:val="20"/>
          <w:u w:val="single"/>
        </w:rPr>
        <w:t>Sections 3(g)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shall each survive the termination of this Agreement, (iii) </w:t>
      </w:r>
      <w:r>
        <w:rPr>
          <w:rFonts w:ascii="Times New Roman;sans-serif" w:hAnsi="Times New Roman;sans-serif"/>
          <w:b w:val="false"/>
          <w:color w:val="000000"/>
          <w:sz w:val="20"/>
          <w:u w:val="single"/>
        </w:rPr>
        <w:t>Section 2(a)(i)(A)</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5.4(a)</w:t>
      </w:r>
      <w:r>
        <w:rPr>
          <w:color w:val="000000"/>
        </w:rPr>
        <w:t xml:space="preserve"> </w:t>
      </w:r>
      <w:r>
        <w:rPr>
          <w:rFonts w:ascii="Times New Roman;sans-serif" w:hAnsi="Times New Roman;sans-serif"/>
          <w:b w:val="false"/>
          <w:color w:val="000000"/>
          <w:sz w:val="20"/>
        </w:rPr>
        <w:t xml:space="preserve">(Public Announcements) of the Business Combination Agreement) and </w:t>
      </w:r>
      <w:r>
        <w:rPr>
          <w:rFonts w:ascii="Times New Roman;sans-serif" w:hAnsi="Times New Roman;sans-serif"/>
          <w:b w:val="false"/>
          <w:color w:val="000000"/>
          <w:sz w:val="20"/>
          <w:u w:val="single"/>
        </w:rPr>
        <w:t>Section 16</w:t>
      </w:r>
      <w:r>
        <w:rPr>
          <w:color w:val="000000"/>
        </w:rPr>
        <w:t xml:space="preserve"> </w:t>
      </w:r>
      <w:r>
        <w:rPr>
          <w:rFonts w:ascii="Times New Roman;sans-serif" w:hAnsi="Times New Roman;sans-serif"/>
          <w:b w:val="false"/>
          <w:color w:val="000000"/>
          <w:sz w:val="20"/>
        </w:rPr>
        <w:t xml:space="preserve">shall each survive the termination of this Agreement pursuant to </w:t>
      </w:r>
      <w:r>
        <w:rPr>
          <w:rFonts w:ascii="Times New Roman;sans-serif" w:hAnsi="Times New Roman;sans-serif"/>
          <w:b w:val="false"/>
          <w:color w:val="000000"/>
          <w:sz w:val="20"/>
          <w:u w:val="single"/>
        </w:rPr>
        <w:t>Section 5(a)</w:t>
      </w:r>
      <w:r>
        <w:rPr>
          <w:rFonts w:ascii="Times New Roman;sans-serif" w:hAnsi="Times New Roman;sans-serif"/>
          <w:b w:val="false"/>
          <w:color w:val="000000"/>
          <w:sz w:val="20"/>
        </w:rPr>
        <w:t xml:space="preserve">, (iv) </w:t>
      </w:r>
      <w:r>
        <w:rPr>
          <w:rFonts w:ascii="Times New Roman;sans-serif" w:hAnsi="Times New Roman;sans-serif"/>
          <w:b w:val="false"/>
          <w:color w:val="000000"/>
          <w:sz w:val="20"/>
          <w:u w:val="single"/>
        </w:rPr>
        <w:t>Section 2(a)(i)(B)</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8.18</w:t>
      </w:r>
      <w:r>
        <w:rPr>
          <w:color w:val="000000"/>
        </w:rPr>
        <w:t xml:space="preserve"> </w:t>
      </w:r>
      <w:r>
        <w:rPr>
          <w:rFonts w:ascii="Times New Roman;sans-serif" w:hAnsi="Times New Roman;sans-serif"/>
          <w:b w:val="false"/>
          <w:color w:val="000000"/>
          <w:sz w:val="20"/>
        </w:rPr>
        <w:t xml:space="preserve">(Trust Account Waiver) of the Business Combination Agreement) shall survive the termination of this Agreement pursuant to </w:t>
      </w:r>
      <w:r>
        <w:rPr>
          <w:rFonts w:ascii="Times New Roman;sans-serif" w:hAnsi="Times New Roman;sans-serif"/>
          <w:b w:val="false"/>
          <w:color w:val="000000"/>
          <w:sz w:val="20"/>
          <w:u w:val="single"/>
        </w:rPr>
        <w:t xml:space="preserve">Section 5(b) </w:t>
      </w:r>
      <w:r>
        <w:rPr>
          <w:rFonts w:ascii="Times New Roman;sans-serif" w:hAnsi="Times New Roman;sans-serif"/>
          <w:b w:val="false"/>
          <w:color w:val="000000"/>
          <w:sz w:val="20"/>
        </w:rPr>
        <w:t xml:space="preserve">and (A) this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Sections 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15</w:t>
      </w:r>
      <w:r>
        <w:rPr>
          <w:color w:val="000000"/>
        </w:rPr>
        <w:t xml:space="preserve"> </w:t>
      </w:r>
      <w:r>
        <w:rPr>
          <w:rFonts w:ascii="Times New Roman;sans-serif" w:hAnsi="Times New Roman;sans-serif"/>
          <w:b w:val="false"/>
          <w:color w:val="000000"/>
          <w:sz w:val="20"/>
        </w:rPr>
        <w:t xml:space="preserve">and (B) </w:t>
      </w:r>
      <w:r>
        <w:rPr>
          <w:rFonts w:ascii="Times New Roman;sans-serif" w:hAnsi="Times New Roman;sans-serif"/>
          <w:b w:val="false"/>
          <w:color w:val="000000"/>
          <w:sz w:val="20"/>
          <w:u w:val="single"/>
        </w:rPr>
        <w:t>Sections 8</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10</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Sections 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Sections 17</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22</w:t>
      </w:r>
      <w:r>
        <w:rPr>
          <w:color w:val="000000"/>
        </w:rPr>
        <w:t xml:space="preserve"> </w:t>
      </w:r>
      <w:r>
        <w:rPr>
          <w:rFonts w:ascii="Times New Roman;sans-serif" w:hAnsi="Times New Roman;sans-serif"/>
          <w:b w:val="false"/>
          <w:color w:val="000000"/>
          <w:sz w:val="20"/>
        </w:rPr>
        <w:t>(to the extent related to any of the provisions that survive the termination of this Agreement) shall survive any termination of this Agreement. . For purposes of this Agreement, (x) “</w:t>
      </w:r>
      <w:r>
        <w:rPr>
          <w:rFonts w:ascii="Times New Roman;sans-serif" w:hAnsi="Times New Roman;sans-serif"/>
          <w:b w:val="false"/>
          <w:color w:val="000000"/>
          <w:sz w:val="20"/>
          <w:u w:val="single"/>
        </w:rPr>
        <w:t>Willful Breach</w:t>
      </w:r>
      <w:r>
        <w:rPr>
          <w:color w:val="000000"/>
        </w:rPr>
        <w:t xml:space="preserve">” </w:t>
      </w:r>
      <w:r>
        <w:rPr>
          <w:rFonts w:ascii="Times New Roman;sans-serif" w:hAnsi="Times New Roman;sans-serif"/>
          <w:b w:val="false"/>
          <w:color w:val="000000"/>
          <w:sz w:val="20"/>
        </w:rPr>
        <w:t>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sans-serif" w:hAnsi="Times New Roman;sans-serif"/>
          <w:b w:val="false"/>
          <w:color w:val="000000"/>
          <w:sz w:val="20"/>
          <w:u w:val="single"/>
        </w:rPr>
        <w:t>Fraud</w:t>
      </w:r>
      <w:r>
        <w:rPr>
          <w:color w:val="000000"/>
        </w:rPr>
        <w:t xml:space="preserve">” </w:t>
      </w:r>
      <w:r>
        <w:rPr>
          <w:rFonts w:ascii="Times New Roman;sans-serif" w:hAnsi="Times New Roman;sans-serif"/>
          <w:b w:val="false"/>
          <w:color w:val="000000"/>
          <w:sz w:val="20"/>
        </w:rPr>
        <w:t>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Fiduciary Duties</w:t>
      </w:r>
      <w:r>
        <w:rPr>
          <w:rFonts w:ascii="Times New Roman;sans-serif" w:hAnsi="Times New Roman;sans-serif"/>
          <w:b w:val="false"/>
          <w:color w:val="000000"/>
          <w:sz w:val="20"/>
        </w:rPr>
        <w:t xml:space="preserve">.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 </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No Recourse</w:t>
      </w:r>
      <w:r>
        <w:rPr>
          <w:rFonts w:ascii="Times New Roman;sans-serif" w:hAnsi="Times New Roman;sans-serif"/>
          <w:b w:val="false"/>
          <w:color w:val="000000"/>
          <w:sz w:val="20"/>
        </w:rPr>
        <w:t xml:space="preserve">.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w:t>
      </w:r>
    </w:p>
    <w:p>
      <w:pPr>
        <w:pStyle w:val="HorizontalLine"/>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75260"/>
                <wp:effectExtent l="0" t="0" r="0" b="0"/>
                <wp:wrapNone/>
                <wp:docPr id="626" name="Frame6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 </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to ARYA,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Michael Altman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altman@perceptivelife.com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Kirkland &amp; Ellis LLP 601 Lexington Avenue New York, NY 10022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Jonathan Davis,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Ryan Brissette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jonathan.davis@kirkland.com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to the Shareholder, to the address and email set forth on the signature pages hereto.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Kornegay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T. Ishii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Brian Keyes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rishii@wsgr.com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bkeyes@wsgr.com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previously furnished to the others in writing in the manner set forth above.</w:t>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This Agreement, the Business Combination Agreement and documents referred to herein and therein constitutes the entire agreement of the Parties with respect to the subject matter of this </w:t>
      </w:r>
    </w:p>
    <w:p>
      <w:pPr>
        <w:pStyle w:val="HorizontalLine"/>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75260"/>
                <wp:effectExtent l="0" t="0" r="0" b="0"/>
                <wp:wrapNone/>
                <wp:docPr id="627" name="Frame6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and supersedes all prior agreements and undertakings, both written and oral, among the Parties with respect to the subject matter of this Agreement, except as otherwise expressly provided in this Agreement. </w:t>
      </w:r>
    </w:p>
    <w:p>
      <w:pPr>
        <w:pStyle w:val="TextBody"/>
        <w:spacing w:lineRule="auto" w:line="288" w:before="0" w:after="180"/>
        <w:ind w:left="0" w:right="0" w:firstLine="360"/>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Amendments and Waivers; Assignment</w:t>
      </w:r>
      <w:r>
        <w:rPr>
          <w:color w:val="000000"/>
        </w:rPr>
        <w:t xml:space="preserve"> </w:t>
      </w:r>
      <w:r>
        <w:rPr>
          <w:rFonts w:ascii="Times New Roman;sans-serif" w:hAnsi="Times New Roman;sans-serif"/>
          <w:b w:val="false"/>
          <w:color w:val="000000"/>
          <w:sz w:val="20"/>
        </w:rPr>
        <w:t xml:space="preserve">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shall be void.</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Fees and Expenses</w:t>
      </w:r>
      <w:r>
        <w:rPr>
          <w:rFonts w:ascii="Times New Roman;sans-serif" w:hAnsi="Times New Roman;sans-serif"/>
          <w:b w:val="false"/>
          <w:color w:val="000000"/>
          <w:sz w:val="20"/>
        </w:rPr>
        <w:t xml:space="preserve">.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 </w:t>
      </w:r>
    </w:p>
    <w:p>
      <w:pPr>
        <w:pStyle w:val="TextBody"/>
        <w:spacing w:lineRule="auto" w:line="288" w:before="0" w:after="180"/>
        <w:ind w:left="0" w:right="0" w:firstLine="360"/>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Third Party Beneficiaries</w:t>
      </w:r>
      <w:r>
        <w:rPr>
          <w:rFonts w:ascii="Times New Roman;sans-serif" w:hAnsi="Times New Roman;sans-serif"/>
          <w:b w:val="false"/>
          <w:color w:val="000000"/>
          <w:sz w:val="20"/>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No Ownership Interest</w:t>
      </w:r>
      <w:r>
        <w:rPr>
          <w:rFonts w:ascii="Times New Roman;sans-serif" w:hAnsi="Times New Roman;sans-serif"/>
          <w:b w:val="false"/>
          <w:color w:val="000000"/>
          <w:sz w:val="20"/>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Acknowledgments</w:t>
      </w:r>
      <w:r>
        <w:rPr>
          <w:rFonts w:ascii="Times New Roman;sans-serif" w:hAnsi="Times New Roman;sans-serif"/>
          <w:b w:val="false"/>
          <w:color w:val="000000"/>
          <w:sz w:val="20"/>
        </w:rPr>
        <w:t xml:space="preserve">.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 </w:t>
      </w:r>
    </w:p>
    <w:p>
      <w:pPr>
        <w:pStyle w:val="HorizontalLine"/>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75260"/>
                <wp:effectExtent l="0" t="0" r="0" b="0"/>
                <wp:wrapNone/>
                <wp:docPr id="628" name="Frame6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otherwise and (d) the Shareholder acknowledges that he, she or it has had the opportunity to consult with its, his or her own counsel.</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Non-Survival</w:t>
      </w:r>
      <w:r>
        <w:rPr>
          <w:rFonts w:ascii="Times New Roman;sans-serif" w:hAnsi="Times New Roman;sans-serif"/>
          <w:b w:val="false"/>
          <w:color w:val="000000"/>
          <w:sz w:val="20"/>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360"/>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spacing w:lineRule="auto" w:line="288" w:before="0" w:after="180"/>
        <w:ind w:left="0" w:right="0" w:firstLine="360"/>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Construction; Interpretation</w:t>
      </w:r>
      <w:r>
        <w:rPr>
          <w:rFonts w:ascii="Times New Roman;sans-serif" w:hAnsi="Times New Roman;sans-serif"/>
          <w:b w:val="false"/>
          <w:color w:val="000000"/>
          <w:sz w:val="20"/>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Counterparts; Electronic Signatures</w:t>
      </w:r>
      <w:r>
        <w:rPr>
          <w:rFonts w:ascii="Times New Roman;sans-serif" w:hAnsi="Times New Roman;sans-serif"/>
          <w:b w:val="false"/>
          <w:color w:val="000000"/>
          <w:sz w:val="20"/>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w:t>
      </w:r>
    </w:p>
    <w:p>
      <w:pPr>
        <w:pStyle w:val="HorizontalLine"/>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75260"/>
                <wp:effectExtent l="0" t="0" r="0" b="0"/>
                <wp:wrapNone/>
                <wp:docPr id="629" name="Frame6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Submission to Jurisdiction</w:t>
      </w:r>
      <w:r>
        <w:rPr>
          <w:rFonts w:ascii="Times New Roman;sans-serif" w:hAnsi="Times New Roman;sans-serif"/>
          <w:b w:val="false"/>
          <w:color w:val="000000"/>
          <w:sz w:val="20"/>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Section 22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pStyle w:val="TextBody"/>
        <w:spacing w:lineRule="auto" w:line="288" w:before="0" w:after="396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75260"/>
                <wp:effectExtent l="0" t="0" r="0" b="0"/>
                <wp:wrapNone/>
                <wp:docPr id="630" name="Frame6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and delivered this Transaction Support Agreement as of the date first above written.</w:t>
      </w:r>
    </w:p>
    <w:tbl>
      <w:tblPr>
        <w:tblW w:w="3913" w:type="dxa"/>
        <w:jc w:val="left"/>
        <w:tblInd w:w="0" w:type="dxa"/>
        <w:tblCellMar>
          <w:top w:w="28" w:type="dxa"/>
          <w:left w:w="28" w:type="dxa"/>
          <w:bottom w:w="28" w:type="dxa"/>
          <w:right w:w="28" w:type="dxa"/>
        </w:tblCellMar>
      </w:tblPr>
      <w:tblGrid>
        <w:gridCol w:w="678"/>
        <w:gridCol w:w="596"/>
        <w:gridCol w:w="596"/>
        <w:gridCol w:w="596"/>
        <w:gridCol w:w="596"/>
        <w:gridCol w:w="851"/>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46685"/>
                <wp:effectExtent l="0" t="0" r="0" b="0"/>
                <wp:wrapNone/>
                <wp:docPr id="631" name="Frame6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and delivered this Transaction Support Agreement as of the date first above written.</w:t>
      </w:r>
    </w:p>
    <w:tbl>
      <w:tblPr>
        <w:tblW w:w="1785" w:type="dxa"/>
        <w:jc w:val="left"/>
        <w:tblInd w:w="0" w:type="dxa"/>
        <w:tblCellMar>
          <w:top w:w="28" w:type="dxa"/>
          <w:left w:w="28" w:type="dxa"/>
          <w:bottom w:w="28" w:type="dxa"/>
          <w:right w:w="28" w:type="dxa"/>
        </w:tblCellMar>
      </w:tblPr>
      <w:tblGrid>
        <w:gridCol w:w="309"/>
        <w:gridCol w:w="272"/>
        <w:gridCol w:w="272"/>
        <w:gridCol w:w="272"/>
        <w:gridCol w:w="272"/>
        <w:gridCol w:w="388"/>
      </w:tblGrid>
      <w:tr>
        <w:trPr/>
        <w:tc>
          <w:tcPr>
            <w:tcW w:w="3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w:t>
            </w:r>
          </w:p>
        </w:tc>
      </w:tr>
      <w:tr>
        <w:trPr/>
        <w:tc>
          <w:tcPr>
            <w:tcW w:w="8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3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46685"/>
                <wp:effectExtent l="0" t="0" r="0" b="0"/>
                <wp:wrapNone/>
                <wp:docPr id="632" name="Frame6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before="0" w:after="180"/>
        <w:jc w:val="right"/>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SCHEDULE A</w:t>
      </w:r>
    </w:p>
    <w:tbl>
      <w:tblPr>
        <w:tblW w:w="4620" w:type="dxa"/>
        <w:jc w:val="center"/>
        <w:tblInd w:w="0" w:type="dxa"/>
        <w:tblCellMar>
          <w:top w:w="28" w:type="dxa"/>
          <w:left w:w="28" w:type="dxa"/>
          <w:bottom w:w="28" w:type="dxa"/>
          <w:right w:w="28" w:type="dxa"/>
        </w:tblCellMar>
      </w:tblPr>
      <w:tblGrid>
        <w:gridCol w:w="1069"/>
        <w:gridCol w:w="939"/>
        <w:gridCol w:w="947"/>
        <w:gridCol w:w="487"/>
        <w:gridCol w:w="487"/>
        <w:gridCol w:w="691"/>
      </w:tblGrid>
      <w:tr>
        <w:trPr/>
        <w:tc>
          <w:tcPr>
            <w:tcW w:w="10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Class/Series Securities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Preferred Seed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Series A Preferred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Series B Preferred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Common Shares</w:t>
            </w:r>
          </w:p>
        </w:tc>
        <w:tc>
          <w:tcPr>
            <w:tcW w:w="166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46685"/>
                <wp:effectExtent l="0" t="0" r="0" b="0"/>
                <wp:wrapNone/>
                <wp:docPr id="633" name="Frame6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color w:val="000000"/>
          <w:sz w:val="20"/>
        </w:rPr>
        <w:t>Purposes of the Plan</w:t>
      </w:r>
      <w:r>
        <w:rPr>
          <w:rFonts w:ascii="Times New Roman;sans-serif" w:hAnsi="Times New Roman;sans-serif"/>
          <w:b w:val="false"/>
          <w:color w:val="000000"/>
          <w:sz w:val="20"/>
        </w:rPr>
        <w:t>. The purposes of this Plan 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attract and retain the best available personnel for positions of substantial responsibility,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to provide additional incentive to Employees, Directors and Consultants,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promote the success of the Company’s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Plan permits the grant of Incentive Stock Options, Nonstatutory Stock Options, Stock Appreciation Rights, Restricted Stock, Restricted Stock Units and Performance Awards.</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color w:val="000000"/>
          <w:sz w:val="20"/>
        </w:rPr>
        <w:t>Definitions</w:t>
      </w:r>
      <w:r>
        <w:rPr>
          <w:rFonts w:ascii="Times New Roman;sans-serif" w:hAnsi="Times New Roman;sans-serif"/>
          <w:b w:val="false"/>
          <w:color w:val="000000"/>
          <w:sz w:val="20"/>
        </w:rPr>
        <w:t>. As used herein, the following definitions will apply:</w:t>
      </w:r>
    </w:p>
    <w:p>
      <w:pPr>
        <w:pStyle w:val="TextBody"/>
        <w:spacing w:lineRule="auto" w:line="288" w:before="0" w:after="180"/>
        <w:ind w:left="0" w:right="0" w:firstLine="720"/>
        <w:jc w:val="both"/>
        <w:rPr/>
      </w:pPr>
      <w:r>
        <w:rPr>
          <w:rFonts w:ascii="Times New Roman;sans-serif" w:hAnsi="Times New Roman;sans-serif"/>
          <w:b w:val="false"/>
          <w:color w:val="000000"/>
          <w:sz w:val="20"/>
        </w:rPr>
        <w:t>2.1</w:t>
      </w:r>
      <w:r>
        <w:rPr>
          <w:color w:val="000000"/>
        </w:rPr>
        <w:t>“</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means the Board or any of its Committees as will be administering the Plan, in accordance with Section 4 of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2.2</w:t>
      </w:r>
      <w:r>
        <w:rPr>
          <w:color w:val="000000"/>
        </w:rPr>
        <w:t>“</w:t>
      </w:r>
      <w:r>
        <w:rPr>
          <w:rFonts w:ascii="Times New Roman;sans-serif" w:hAnsi="Times New Roman;sans-serif"/>
          <w:b/>
          <w:color w:val="000000"/>
          <w:sz w:val="20"/>
        </w:rPr>
        <w:t>Applicable Laws</w:t>
      </w:r>
      <w:r>
        <w:rPr>
          <w:color w:val="000000"/>
        </w:rPr>
        <w:t xml:space="preserve">” </w:t>
      </w:r>
      <w:r>
        <w:rPr>
          <w:rFonts w:ascii="Times New Roman;sans-serif" w:hAnsi="Times New Roman;sans-serif"/>
          <w:b w:val="false"/>
          <w:color w:val="000000"/>
          <w:sz w:val="20"/>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2.3</w:t>
      </w:r>
      <w:r>
        <w:rPr>
          <w:color w:val="000000"/>
        </w:rPr>
        <w:t>“</w:t>
      </w:r>
      <w:r>
        <w:rPr>
          <w:rFonts w:ascii="Times New Roman;sans-serif" w:hAnsi="Times New Roman;sans-serif"/>
          <w:b/>
          <w:color w:val="000000"/>
          <w:sz w:val="20"/>
        </w:rPr>
        <w:t>Award</w:t>
      </w:r>
      <w:r>
        <w:rPr>
          <w:color w:val="000000"/>
        </w:rPr>
        <w:t xml:space="preserve">” </w:t>
      </w:r>
      <w:r>
        <w:rPr>
          <w:rFonts w:ascii="Times New Roman;sans-serif" w:hAnsi="Times New Roman;sans-serif"/>
          <w:b w:val="false"/>
          <w:color w:val="000000"/>
          <w:sz w:val="20"/>
        </w:rPr>
        <w:t>means, individually or collectively, a grant under the Plan of Options, Stock Appreciation Rights, Restricted Stock, Restricted Stock Units, or Performance Awards.</w:t>
      </w:r>
    </w:p>
    <w:p>
      <w:pPr>
        <w:pStyle w:val="TextBody"/>
        <w:spacing w:lineRule="auto" w:line="288" w:before="0" w:after="180"/>
        <w:ind w:left="0" w:right="0" w:firstLine="720"/>
        <w:jc w:val="both"/>
        <w:rPr/>
      </w:pPr>
      <w:r>
        <w:rPr>
          <w:rFonts w:ascii="Times New Roman;sans-serif" w:hAnsi="Times New Roman;sans-serif"/>
          <w:b w:val="false"/>
          <w:color w:val="000000"/>
          <w:sz w:val="20"/>
        </w:rPr>
        <w:t>2.4</w:t>
      </w:r>
      <w:r>
        <w:rPr>
          <w:color w:val="000000"/>
        </w:rPr>
        <w:t>“</w:t>
      </w:r>
      <w:r>
        <w:rPr>
          <w:rFonts w:ascii="Times New Roman;sans-serif" w:hAnsi="Times New Roman;sans-serif"/>
          <w:b/>
          <w:color w:val="000000"/>
          <w:sz w:val="20"/>
        </w:rPr>
        <w:t>Award Agreement</w:t>
      </w:r>
      <w:r>
        <w:rPr>
          <w:color w:val="000000"/>
        </w:rPr>
        <w:t xml:space="preserve">” </w:t>
      </w:r>
      <w:r>
        <w:rPr>
          <w:rFonts w:ascii="Times New Roman;sans-serif" w:hAnsi="Times New Roman;sans-serif"/>
          <w:b w:val="false"/>
          <w:color w:val="000000"/>
          <w:sz w:val="20"/>
        </w:rPr>
        <w:t>means the written or electronic agreement setting forth the terms and provisions applicable to each Award granted under the Plan. The Award Agreement is subject to the terms and conditions of the Plan.</w:t>
      </w:r>
    </w:p>
    <w:p>
      <w:pPr>
        <w:pStyle w:val="TextBody"/>
        <w:spacing w:lineRule="auto" w:line="288" w:before="0" w:after="180"/>
        <w:jc w:val="both"/>
        <w:rPr/>
      </w:pPr>
      <w:r>
        <w:rPr>
          <w:rFonts w:ascii="Times New Roman;sans-serif" w:hAnsi="Times New Roman;sans-serif"/>
          <w:b w:val="false"/>
          <w:color w:val="000000"/>
          <w:sz w:val="20"/>
        </w:rPr>
        <w:t>2.5</w:t>
      </w: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jc w:val="both"/>
        <w:rPr/>
      </w:pPr>
      <w:r>
        <w:rPr>
          <w:rFonts w:ascii="Times New Roman;sans-serif" w:hAnsi="Times New Roman;sans-serif"/>
          <w:b w:val="false"/>
          <w:color w:val="000000"/>
          <w:sz w:val="20"/>
        </w:rPr>
        <w:t>2.6</w:t>
      </w: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occurrence of any of the following events:</w:t>
      </w:r>
    </w:p>
    <w:p>
      <w:pPr>
        <w:pStyle w:val="TextBody"/>
        <w:spacing w:lineRule="auto" w:line="288" w:before="0" w:after="180"/>
        <w:ind w:left="0" w:right="0" w:firstLine="1530"/>
        <w:jc w:val="both"/>
        <w:rPr/>
      </w:pPr>
      <w:r>
        <w:rPr>
          <w:rFonts w:ascii="Times New Roman;sans-serif" w:hAnsi="Times New Roman;sans-serif"/>
          <w:b w:val="false"/>
          <w:color w:val="000000"/>
          <w:sz w:val="20"/>
        </w:rPr>
        <w:t>(a)</w:t>
      </w:r>
      <w:r>
        <w:rPr>
          <w:rFonts w:ascii="Times New Roman;sans-serif" w:hAnsi="Times New Roman;sans-serif"/>
          <w:b/>
          <w:color w:val="000000"/>
          <w:sz w:val="20"/>
        </w:rPr>
        <w:t>Change in Ownership of the Company</w:t>
      </w:r>
      <w:r>
        <w:rPr>
          <w:rFonts w:ascii="Times New Roman;sans-serif" w:hAnsi="Times New Roman;sans-serif"/>
          <w:b w:val="false"/>
          <w:color w:val="000000"/>
          <w:sz w:val="20"/>
        </w:rPr>
        <w:t>. A change in the ownership of the Company which occurs on the date that any one person, or more than one person acting as a group (“</w:t>
      </w:r>
      <w:r>
        <w:rPr>
          <w:rFonts w:ascii="Times New Roman;sans-serif" w:hAnsi="Times New Roman;sans-serif"/>
          <w:b/>
          <w:color w:val="000000"/>
          <w:sz w:val="20"/>
        </w:rPr>
        <w:t>Person</w:t>
      </w:r>
      <w:r>
        <w:rPr>
          <w:color w:val="000000"/>
        </w:rPr>
        <w:t>”</w:t>
      </w:r>
      <w:r>
        <w:rPr>
          <w:rFonts w:ascii="Times New Roman;sans-serif" w:hAnsi="Times New Roman;sans-serif"/>
          <w:b w:val="false"/>
          <w:color w:val="000000"/>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spacing w:lineRule="auto" w:line="288" w:before="0" w:after="180"/>
        <w:ind w:left="0" w:right="0" w:firstLine="1530"/>
        <w:jc w:val="both"/>
        <w:rPr/>
      </w:pPr>
      <w:r>
        <w:rPr>
          <w:rFonts w:ascii="Times New Roman;sans-serif" w:hAnsi="Times New Roman;sans-serif"/>
          <w:b w:val="false"/>
          <w:color w:val="000000"/>
          <w:sz w:val="20"/>
        </w:rPr>
        <w:t>(b)</w:t>
      </w:r>
      <w:r>
        <w:rPr>
          <w:rFonts w:ascii="Times New Roman;sans-serif" w:hAnsi="Times New Roman;sans-serif"/>
          <w:b/>
          <w:color w:val="000000"/>
          <w:sz w:val="20"/>
        </w:rPr>
        <w:t>Change in Effective Control of the Company</w:t>
      </w:r>
      <w:r>
        <w:rPr>
          <w:rFonts w:ascii="Times New Roman;sans-serif" w:hAnsi="Times New Roman;sans-serif"/>
          <w:b w:val="false"/>
          <w:color w:val="000000"/>
          <w:sz w:val="20"/>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w:t>
      </w:r>
    </w:p>
    <w:p>
      <w:pPr>
        <w:pStyle w:val="HorizontalLine"/>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46685"/>
                <wp:effectExtent l="0" t="0" r="0" b="0"/>
                <wp:wrapNone/>
                <wp:docPr id="634" name="Frame6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spacing w:lineRule="auto" w:line="288" w:before="0" w:after="180"/>
        <w:ind w:left="0" w:right="0" w:firstLine="1530"/>
        <w:jc w:val="both"/>
        <w:rPr/>
      </w:pPr>
      <w:r>
        <w:rPr>
          <w:rFonts w:ascii="Times New Roman;sans-serif" w:hAnsi="Times New Roman;sans-serif"/>
          <w:b w:val="false"/>
          <w:color w:val="000000"/>
          <w:sz w:val="20"/>
        </w:rPr>
        <w:t>(c)</w:t>
      </w:r>
      <w:r>
        <w:rPr>
          <w:rFonts w:ascii="Times New Roman;sans-serif" w:hAnsi="Times New Roman;sans-serif"/>
          <w:b/>
          <w:color w:val="000000"/>
          <w:sz w:val="20"/>
        </w:rPr>
        <w:t>Change in Ownership of a Substantial Portion of the Company’s Assets</w:t>
      </w:r>
      <w:r>
        <w:rPr>
          <w:rFonts w:ascii="Times New Roman;sans-serif" w:hAnsi="Times New Roman;sans-serif"/>
          <w:b w:val="false"/>
          <w:color w:val="000000"/>
          <w:sz w:val="20"/>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spacing w:lineRule="auto" w:line="288" w:before="0" w:after="180"/>
        <w:ind w:left="0" w:right="0" w:firstLine="171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Section 2.7, persons will be considered to be acting as a group if they are owners of a corporation that enters into a merger, consolidation, purchase or acquisition of stock, or similar business transaction with the Company.</w:t>
      </w:r>
    </w:p>
    <w:p>
      <w:pPr>
        <w:pStyle w:val="TextBody"/>
        <w:spacing w:lineRule="auto" w:line="288" w:before="0" w:after="180"/>
        <w:ind w:left="0" w:right="0" w:firstLine="171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will not be deemed a Change in Control unless the transaction qualifies as a change in control event within the meaning of Section 409A.</w:t>
      </w:r>
    </w:p>
    <w:p>
      <w:pPr>
        <w:pStyle w:val="TextBody"/>
        <w:spacing w:lineRule="auto" w:line="288" w:before="0" w:after="180"/>
        <w:ind w:left="0" w:right="0" w:firstLine="1710"/>
        <w:rPr>
          <w:rFonts w:ascii="Times New Roman;sans-serif" w:hAnsi="Times New Roman;sans-serif"/>
          <w:b w:val="false"/>
          <w:color w:val="000000"/>
          <w:sz w:val="20"/>
        </w:rPr>
      </w:pPr>
      <w:r>
        <w:rPr>
          <w:rFonts w:ascii="Times New Roman;sans-serif" w:hAnsi="Times New Roman;sans-serif"/>
          <w:b w:val="false"/>
          <w:color w:val="000000"/>
          <w:sz w:val="20"/>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2.7</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720"/>
        <w:jc w:val="both"/>
        <w:rPr/>
      </w:pPr>
      <w:r>
        <w:rPr>
          <w:rFonts w:ascii="Times New Roman;sans-serif" w:hAnsi="Times New Roman;sans-serif"/>
          <w:b w:val="false"/>
          <w:color w:val="000000"/>
          <w:sz w:val="20"/>
        </w:rPr>
        <w:t>2.8</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a committee of Directors or of other individuals satisfying Applicable Laws appointed by the Board, or by a duly authorized committee of the Board, in accordance with Section 4 hereof.</w:t>
      </w:r>
    </w:p>
    <w:p>
      <w:pPr>
        <w:pStyle w:val="TextBody"/>
        <w:spacing w:lineRule="auto" w:line="288" w:before="0" w:after="180"/>
        <w:ind w:left="0" w:right="0" w:firstLine="720"/>
        <w:jc w:val="both"/>
        <w:rPr/>
      </w:pPr>
      <w:r>
        <w:rPr>
          <w:rFonts w:ascii="Times New Roman;sans-serif" w:hAnsi="Times New Roman;sans-serif"/>
          <w:b w:val="false"/>
          <w:color w:val="000000"/>
          <w:sz w:val="20"/>
        </w:rPr>
        <w:t>2.9</w:t>
      </w: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2.10</w:t>
      </w: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pStyle w:val="TextBody"/>
        <w:spacing w:lineRule="auto" w:line="288" w:before="0" w:after="180"/>
        <w:ind w:left="0" w:right="0" w:firstLine="720"/>
        <w:jc w:val="both"/>
        <w:rPr/>
      </w:pPr>
      <w:r>
        <w:rPr>
          <w:rFonts w:ascii="Times New Roman;sans-serif" w:hAnsi="Times New Roman;sans-serif"/>
          <w:b w:val="false"/>
          <w:color w:val="000000"/>
          <w:sz w:val="20"/>
        </w:rPr>
        <w:t>2.11</w:t>
      </w:r>
      <w:r>
        <w:rPr>
          <w:color w:val="000000"/>
        </w:rPr>
        <w:t>“</w:t>
      </w:r>
      <w:r>
        <w:rPr>
          <w:rFonts w:ascii="Times New Roman;sans-serif" w:hAnsi="Times New Roman;sans-serif"/>
          <w:b/>
          <w:color w:val="000000"/>
          <w:sz w:val="20"/>
        </w:rPr>
        <w:t>Consultant</w:t>
      </w:r>
      <w:r>
        <w:rPr>
          <w:color w:val="000000"/>
        </w:rPr>
        <w:t xml:space="preserve">” </w:t>
      </w:r>
      <w:r>
        <w:rPr>
          <w:rFonts w:ascii="Times New Roman;sans-serif" w:hAnsi="Times New Roman;sans-serif"/>
          <w:b w:val="false"/>
          <w:color w:val="000000"/>
          <w:sz w:val="20"/>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spacing w:lineRule="auto" w:line="288" w:before="0" w:after="180"/>
        <w:ind w:left="0" w:right="0" w:firstLine="270"/>
        <w:jc w:val="both"/>
        <w:rPr/>
      </w:pPr>
      <w:r>
        <w:rPr>
          <w:rFonts w:ascii="Times New Roman;sans-serif" w:hAnsi="Times New Roman;sans-serif"/>
          <w:b w:val="false"/>
          <w:color w:val="000000"/>
          <w:sz w:val="20"/>
        </w:rPr>
        <w:t>2.12</w:t>
      </w:r>
      <w:r>
        <w:rPr>
          <w:color w:val="000000"/>
        </w:rPr>
        <w:t>“</w:t>
      </w:r>
      <w:r>
        <w:rPr>
          <w:rFonts w:ascii="Times New Roman;sans-serif" w:hAnsi="Times New Roman;sans-serif"/>
          <w:b/>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HorizontalLine"/>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46685"/>
                <wp:effectExtent l="0" t="0" r="0" b="0"/>
                <wp:wrapNone/>
                <wp:docPr id="635" name="Frame6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2.13</w:t>
      </w:r>
      <w:r>
        <w:rPr>
          <w:color w:val="000000"/>
        </w:rPr>
        <w:t>“</w:t>
      </w:r>
      <w:r>
        <w:rPr>
          <w:rFonts w:ascii="Times New Roman;sans-serif" w:hAnsi="Times New Roman;sans-serif"/>
          <w:b/>
          <w:color w:val="000000"/>
          <w:sz w:val="20"/>
        </w:rPr>
        <w:t>Disability</w:t>
      </w:r>
      <w:r>
        <w:rPr>
          <w:color w:val="000000"/>
        </w:rPr>
        <w:t xml:space="preserve">” </w:t>
      </w:r>
      <w:r>
        <w:rPr>
          <w:rFonts w:ascii="Times New Roman;sans-serif" w:hAnsi="Times New Roman;sans-serif"/>
          <w:b w:val="false"/>
          <w:color w:val="000000"/>
          <w:sz w:val="20"/>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spacing w:lineRule="auto" w:line="288" w:before="0" w:after="180"/>
        <w:ind w:left="0" w:right="0" w:firstLine="720"/>
        <w:jc w:val="both"/>
        <w:rPr/>
      </w:pPr>
      <w:r>
        <w:rPr>
          <w:rFonts w:ascii="Times New Roman;sans-serif" w:hAnsi="Times New Roman;sans-serif"/>
          <w:b w:val="false"/>
          <w:color w:val="000000"/>
          <w:sz w:val="20"/>
        </w:rPr>
        <w:t>2.14</w:t>
      </w: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 xml:space="preserve">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 </w:t>
      </w:r>
    </w:p>
    <w:p>
      <w:pPr>
        <w:pStyle w:val="TextBody"/>
        <w:spacing w:lineRule="auto" w:line="288" w:before="0" w:after="180"/>
        <w:ind w:left="0" w:right="0" w:firstLine="720"/>
        <w:jc w:val="both"/>
        <w:rPr/>
      </w:pPr>
      <w:r>
        <w:rPr>
          <w:rFonts w:ascii="Times New Roman;sans-serif" w:hAnsi="Times New Roman;sans-serif"/>
          <w:b w:val="false"/>
          <w:color w:val="000000"/>
          <w:sz w:val="20"/>
        </w:rPr>
        <w:t>2.15</w:t>
      </w:r>
      <w:r>
        <w:rPr>
          <w:color w:val="000000"/>
        </w:rPr>
        <w:t>“</w:t>
      </w:r>
      <w:r>
        <w:rPr>
          <w:rFonts w:ascii="Times New Roman;sans-serif" w:hAnsi="Times New Roman;sans-serif"/>
          <w:b/>
          <w:color w:val="000000"/>
          <w:sz w:val="20"/>
        </w:rPr>
        <w:t>Employee</w:t>
      </w:r>
      <w:r>
        <w:rPr>
          <w:color w:val="000000"/>
        </w:rPr>
        <w:t xml:space="preserve">” </w:t>
      </w:r>
      <w:r>
        <w:rPr>
          <w:rFonts w:ascii="Times New Roman;sans-serif" w:hAnsi="Times New Roman;sans-serif"/>
          <w:b w:val="false"/>
          <w:color w:val="000000"/>
          <w:sz w:val="20"/>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2.16</w:t>
      </w: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U.S. Securities Exchange Act of 1934, as amended, including the rules and regulations promulgated thereunder.</w:t>
      </w:r>
    </w:p>
    <w:p>
      <w:pPr>
        <w:pStyle w:val="TextBody"/>
        <w:spacing w:lineRule="auto" w:line="288" w:before="0" w:after="180"/>
        <w:ind w:left="0" w:right="0" w:firstLine="720"/>
        <w:rPr/>
      </w:pPr>
      <w:r>
        <w:rPr>
          <w:rFonts w:ascii="Times New Roman;sans-serif" w:hAnsi="Times New Roman;sans-serif"/>
          <w:b w:val="false"/>
          <w:color w:val="000000"/>
          <w:sz w:val="20"/>
        </w:rPr>
        <w:t>2.17</w:t>
      </w:r>
      <w:r>
        <w:rPr>
          <w:color w:val="000000"/>
        </w:rPr>
        <w:t>“</w:t>
      </w:r>
      <w:r>
        <w:rPr>
          <w:rFonts w:ascii="Times New Roman;sans-serif" w:hAnsi="Times New Roman;sans-serif"/>
          <w:b/>
          <w:color w:val="000000"/>
          <w:sz w:val="20"/>
        </w:rPr>
        <w:t>Exchange Program</w:t>
      </w:r>
      <w:r>
        <w:rPr>
          <w:color w:val="000000"/>
        </w:rPr>
        <w:t xml:space="preserve">” </w:t>
      </w:r>
      <w:r>
        <w:rPr>
          <w:rFonts w:ascii="Times New Roman;sans-serif" w:hAnsi="Times New Roman;sans-serif"/>
          <w:b w:val="false"/>
          <w:color w:val="000000"/>
          <w:sz w:val="20"/>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spacing w:lineRule="auto" w:line="288" w:before="0" w:after="180"/>
        <w:ind w:left="0" w:right="0" w:firstLine="720"/>
        <w:jc w:val="both"/>
        <w:rPr/>
      </w:pPr>
      <w:r>
        <w:rPr>
          <w:rFonts w:ascii="Times New Roman;sans-serif" w:hAnsi="Times New Roman;sans-serif"/>
          <w:b w:val="false"/>
          <w:color w:val="000000"/>
          <w:sz w:val="20"/>
        </w:rPr>
        <w:t>2.18</w:t>
      </w: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means, as of any date and unless the Administrator determines otherwise, the value of Common Stock determined as follows:</w:t>
      </w:r>
    </w:p>
    <w:p>
      <w:pPr>
        <w:pStyle w:val="TextBody"/>
        <w:spacing w:lineRule="auto" w:line="288" w:before="0" w:after="180"/>
        <w:ind w:left="0" w:right="0" w:firstLine="153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w:t>
      </w:r>
    </w:p>
    <w:p>
      <w:pPr>
        <w:pStyle w:val="TextBody"/>
        <w:spacing w:lineRule="auto" w:line="288" w:before="0" w:after="180"/>
        <w:ind w:left="0" w:right="0" w:firstLine="153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 or</w:t>
      </w:r>
    </w:p>
    <w:p>
      <w:pPr>
        <w:pStyle w:val="TextBody"/>
        <w:spacing w:lineRule="auto" w:line="288" w:before="0" w:after="180"/>
        <w:ind w:left="0" w:right="0" w:firstLine="153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In the absence of an established market for the Common Stock, the Fair Market Value will be determined in good faith by the Administrator.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spacing w:lineRule="auto" w:line="288" w:before="0" w:after="180"/>
        <w:ind w:left="0" w:right="0" w:firstLine="720"/>
        <w:jc w:val="both"/>
        <w:rPr/>
      </w:pPr>
      <w:r>
        <w:rPr>
          <w:rFonts w:ascii="Times New Roman;sans-serif" w:hAnsi="Times New Roman;sans-serif"/>
          <w:b w:val="false"/>
          <w:color w:val="000000"/>
          <w:sz w:val="20"/>
        </w:rPr>
        <w:t>2.19</w:t>
      </w:r>
      <w:r>
        <w:rPr>
          <w:color w:val="000000"/>
        </w:rPr>
        <w:t>“</w:t>
      </w:r>
      <w:r>
        <w:rPr>
          <w:rFonts w:ascii="Times New Roman;sans-serif" w:hAnsi="Times New Roman;sans-serif"/>
          <w:b/>
          <w:color w:val="000000"/>
          <w:sz w:val="20"/>
        </w:rPr>
        <w:t>Fiscal Year</w:t>
      </w:r>
      <w:r>
        <w:rPr>
          <w:color w:val="000000"/>
        </w:rPr>
        <w:t xml:space="preserve">” </w:t>
      </w:r>
      <w:r>
        <w:rPr>
          <w:rFonts w:ascii="Times New Roman;sans-serif" w:hAnsi="Times New Roman;sans-serif"/>
          <w:b w:val="false"/>
          <w:color w:val="000000"/>
          <w:sz w:val="20"/>
        </w:rPr>
        <w:t>means the fiscal year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2.20</w:t>
      </w:r>
      <w:r>
        <w:rPr>
          <w:color w:val="000000"/>
        </w:rPr>
        <w:t>“</w:t>
      </w:r>
      <w:r>
        <w:rPr>
          <w:rFonts w:ascii="Times New Roman;sans-serif" w:hAnsi="Times New Roman;sans-serif"/>
          <w:b/>
          <w:color w:val="000000"/>
          <w:sz w:val="20"/>
        </w:rPr>
        <w:t>Incentive Stock Option</w:t>
      </w:r>
      <w:r>
        <w:rPr>
          <w:color w:val="000000"/>
        </w:rPr>
        <w:t xml:space="preserve">” </w:t>
      </w:r>
      <w:r>
        <w:rPr>
          <w:rFonts w:ascii="Times New Roman;sans-serif" w:hAnsi="Times New Roman;sans-serif"/>
          <w:b w:val="false"/>
          <w:color w:val="000000"/>
          <w:sz w:val="20"/>
        </w:rPr>
        <w:t>means an Option that by its terms qualifies and is otherwise intended to qualify as an incentive stock option within the meaning of Code Section 422 and the regulations promulgated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2.21</w:t>
      </w:r>
      <w:r>
        <w:rPr>
          <w:color w:val="000000"/>
        </w:rPr>
        <w:t>“</w:t>
      </w:r>
      <w:r>
        <w:rPr>
          <w:rFonts w:ascii="Times New Roman;sans-serif" w:hAnsi="Times New Roman;sans-serif"/>
          <w:b/>
          <w:color w:val="000000"/>
          <w:sz w:val="20"/>
        </w:rPr>
        <w:t>Inside Director</w:t>
      </w:r>
      <w:r>
        <w:rPr>
          <w:color w:val="000000"/>
        </w:rPr>
        <w:t xml:space="preserve">” </w:t>
      </w:r>
      <w:r>
        <w:rPr>
          <w:rFonts w:ascii="Times New Roman;sans-serif" w:hAnsi="Times New Roman;sans-serif"/>
          <w:b w:val="false"/>
          <w:color w:val="000000"/>
          <w:sz w:val="20"/>
        </w:rPr>
        <w:t xml:space="preserve">means a Director who is an Employee. </w:t>
      </w:r>
    </w:p>
    <w:p>
      <w:pPr>
        <w:pStyle w:val="HorizontalLine"/>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46685"/>
                <wp:effectExtent l="0" t="0" r="0" b="0"/>
                <wp:wrapNone/>
                <wp:docPr id="636" name="Frame6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2.22</w:t>
      </w:r>
      <w:r>
        <w:rPr>
          <w:color w:val="000000"/>
        </w:rPr>
        <w:t>“</w:t>
      </w:r>
      <w:r>
        <w:rPr>
          <w:rFonts w:ascii="Times New Roman;sans-serif" w:hAnsi="Times New Roman;sans-serif"/>
          <w:b/>
          <w:color w:val="000000"/>
          <w:sz w:val="20"/>
        </w:rPr>
        <w:t>Nonstatutory Stock Option</w:t>
      </w:r>
      <w:r>
        <w:rPr>
          <w:color w:val="000000"/>
        </w:rPr>
        <w:t xml:space="preserve">” </w:t>
      </w:r>
      <w:r>
        <w:rPr>
          <w:rFonts w:ascii="Times New Roman;sans-serif" w:hAnsi="Times New Roman;sans-serif"/>
          <w:b w:val="false"/>
          <w:color w:val="000000"/>
          <w:sz w:val="20"/>
        </w:rPr>
        <w:t>means an Option that by its terms does not qualify or is not intended to qualify as an Incentive Stock Option.</w:t>
      </w:r>
    </w:p>
    <w:p>
      <w:pPr>
        <w:pStyle w:val="TextBody"/>
        <w:spacing w:lineRule="auto" w:line="288" w:before="0" w:after="180"/>
        <w:ind w:left="0" w:right="0" w:firstLine="720"/>
        <w:rPr/>
      </w:pPr>
      <w:r>
        <w:rPr>
          <w:rFonts w:ascii="Times New Roman;sans-serif" w:hAnsi="Times New Roman;sans-serif"/>
          <w:b w:val="false"/>
          <w:color w:val="000000"/>
          <w:sz w:val="20"/>
        </w:rPr>
        <w:t>2.23</w:t>
      </w:r>
      <w:r>
        <w:rPr>
          <w:color w:val="000000"/>
        </w:rPr>
        <w:t>“</w:t>
      </w:r>
      <w:r>
        <w:rPr>
          <w:rFonts w:ascii="Times New Roman;sans-serif" w:hAnsi="Times New Roman;sans-serif"/>
          <w:b/>
          <w:color w:val="000000"/>
          <w:sz w:val="20"/>
        </w:rPr>
        <w:t>Officer</w:t>
      </w:r>
      <w:r>
        <w:rPr>
          <w:color w:val="000000"/>
        </w:rPr>
        <w:t xml:space="preserve">” </w:t>
      </w:r>
      <w:r>
        <w:rPr>
          <w:rFonts w:ascii="Times New Roman;sans-serif" w:hAnsi="Times New Roman;sans-serif"/>
          <w:b w:val="false"/>
          <w:color w:val="000000"/>
          <w:sz w:val="20"/>
        </w:rPr>
        <w:t xml:space="preserve">means a person who is an officer of the Company within the meaning of Section 16 of the Exchange Act and the rules and regulations promulgated thereunder. </w:t>
      </w:r>
    </w:p>
    <w:p>
      <w:pPr>
        <w:pStyle w:val="TextBody"/>
        <w:spacing w:lineRule="auto" w:line="288" w:before="0" w:after="180"/>
        <w:ind w:left="0" w:right="0" w:firstLine="720"/>
        <w:jc w:val="both"/>
        <w:rPr/>
      </w:pPr>
      <w:r>
        <w:rPr>
          <w:rFonts w:ascii="Times New Roman;sans-serif" w:hAnsi="Times New Roman;sans-serif"/>
          <w:b w:val="false"/>
          <w:color w:val="000000"/>
          <w:sz w:val="20"/>
        </w:rPr>
        <w:t>2.24</w:t>
      </w:r>
      <w:r>
        <w:rPr>
          <w:color w:val="000000"/>
        </w:rPr>
        <w:t>“</w:t>
      </w:r>
      <w:r>
        <w:rPr>
          <w:rFonts w:ascii="Times New Roman;sans-serif" w:hAnsi="Times New Roman;sans-serif"/>
          <w:b/>
          <w:color w:val="000000"/>
          <w:sz w:val="20"/>
        </w:rPr>
        <w:t>Option</w:t>
      </w:r>
      <w:r>
        <w:rPr>
          <w:color w:val="000000"/>
        </w:rPr>
        <w:t xml:space="preserve">” </w:t>
      </w:r>
      <w:r>
        <w:rPr>
          <w:rFonts w:ascii="Times New Roman;sans-serif" w:hAnsi="Times New Roman;sans-serif"/>
          <w:b w:val="false"/>
          <w:color w:val="000000"/>
          <w:sz w:val="20"/>
        </w:rPr>
        <w:t>means a stock option granted pursuant to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2.25</w:t>
      </w:r>
      <w:r>
        <w:rPr>
          <w:color w:val="000000"/>
        </w:rPr>
        <w:t>“</w:t>
      </w:r>
      <w:r>
        <w:rPr>
          <w:rFonts w:ascii="Times New Roman;sans-serif" w:hAnsi="Times New Roman;sans-serif"/>
          <w:b/>
          <w:color w:val="000000"/>
          <w:sz w:val="20"/>
        </w:rPr>
        <w:t>Outside Director</w:t>
      </w:r>
      <w:r>
        <w:rPr>
          <w:color w:val="000000"/>
        </w:rPr>
        <w:t xml:space="preserve">” </w:t>
      </w:r>
      <w:r>
        <w:rPr>
          <w:rFonts w:ascii="Times New Roman;sans-serif" w:hAnsi="Times New Roman;sans-serif"/>
          <w:b w:val="false"/>
          <w:color w:val="000000"/>
          <w:sz w:val="20"/>
        </w:rPr>
        <w:t>means a Director who is not an Employee.</w:t>
      </w:r>
    </w:p>
    <w:p>
      <w:pPr>
        <w:pStyle w:val="TextBody"/>
        <w:spacing w:lineRule="auto" w:line="288" w:before="0" w:after="180"/>
        <w:ind w:left="0" w:right="0" w:firstLine="720"/>
        <w:jc w:val="both"/>
        <w:rPr/>
      </w:pPr>
      <w:r>
        <w:rPr>
          <w:rFonts w:ascii="Times New Roman;sans-serif" w:hAnsi="Times New Roman;sans-serif"/>
          <w:b w:val="false"/>
          <w:color w:val="000000"/>
          <w:sz w:val="20"/>
        </w:rPr>
        <w:t>2.26</w:t>
      </w: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means a “parent corporation,” whether now or hereafter existing, as defined in Code Section 424(e).</w:t>
      </w:r>
    </w:p>
    <w:p>
      <w:pPr>
        <w:pStyle w:val="TextBody"/>
        <w:spacing w:lineRule="auto" w:line="288" w:before="0" w:after="180"/>
        <w:ind w:left="0" w:right="0" w:firstLine="720"/>
        <w:jc w:val="both"/>
        <w:rPr/>
      </w:pPr>
      <w:r>
        <w:rPr>
          <w:rFonts w:ascii="Times New Roman;sans-serif" w:hAnsi="Times New Roman;sans-serif"/>
          <w:b w:val="false"/>
          <w:color w:val="000000"/>
          <w:sz w:val="20"/>
        </w:rPr>
        <w:t>2.27</w:t>
      </w: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means the holder of an outstanding Award.</w:t>
      </w:r>
    </w:p>
    <w:p>
      <w:pPr>
        <w:pStyle w:val="TextBody"/>
        <w:spacing w:lineRule="auto" w:line="288" w:before="0" w:after="180"/>
        <w:ind w:left="0" w:right="0" w:firstLine="720"/>
        <w:jc w:val="both"/>
        <w:rPr/>
      </w:pPr>
      <w:r>
        <w:rPr>
          <w:rFonts w:ascii="Times New Roman;sans-serif" w:hAnsi="Times New Roman;sans-serif"/>
          <w:b w:val="false"/>
          <w:color w:val="000000"/>
          <w:sz w:val="20"/>
        </w:rPr>
        <w:t>2.28</w:t>
      </w:r>
      <w:r>
        <w:rPr>
          <w:color w:val="000000"/>
        </w:rPr>
        <w:t>“</w:t>
      </w:r>
      <w:r>
        <w:rPr>
          <w:rFonts w:ascii="Times New Roman;sans-serif" w:hAnsi="Times New Roman;sans-serif"/>
          <w:b/>
          <w:color w:val="000000"/>
          <w:sz w:val="20"/>
        </w:rPr>
        <w:t>Performance Awards</w:t>
      </w:r>
      <w:r>
        <w:rPr>
          <w:color w:val="000000"/>
        </w:rPr>
        <w:t xml:space="preserve">” </w:t>
      </w:r>
      <w:r>
        <w:rPr>
          <w:rFonts w:ascii="Times New Roman;sans-serif" w:hAnsi="Times New Roman;sans-serif"/>
          <w:b w:val="false"/>
          <w:color w:val="000000"/>
          <w:sz w:val="20"/>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spacing w:lineRule="auto" w:line="288" w:before="0" w:after="180"/>
        <w:ind w:left="0" w:right="0" w:firstLine="720"/>
        <w:jc w:val="both"/>
        <w:rPr/>
      </w:pPr>
      <w:r>
        <w:rPr>
          <w:rFonts w:ascii="Times New Roman;sans-serif" w:hAnsi="Times New Roman;sans-serif"/>
          <w:b w:val="false"/>
          <w:color w:val="000000"/>
          <w:sz w:val="20"/>
        </w:rPr>
        <w:t>2.29</w:t>
      </w:r>
      <w:r>
        <w:rPr>
          <w:color w:val="000000"/>
        </w:rPr>
        <w:t>“</w:t>
      </w:r>
      <w:r>
        <w:rPr>
          <w:rFonts w:ascii="Times New Roman;sans-serif" w:hAnsi="Times New Roman;sans-serif"/>
          <w:b/>
          <w:color w:val="000000"/>
          <w:sz w:val="20"/>
        </w:rPr>
        <w:t>Performance Period</w:t>
      </w:r>
      <w:r>
        <w:rPr>
          <w:color w:val="000000"/>
        </w:rPr>
        <w:t xml:space="preserve">” </w:t>
      </w:r>
      <w:r>
        <w:rPr>
          <w:rFonts w:ascii="Times New Roman;sans-serif" w:hAnsi="Times New Roman;sans-serif"/>
          <w:b w:val="false"/>
          <w:color w:val="000000"/>
          <w:sz w:val="20"/>
        </w:rPr>
        <w:t>means Performance Period as defined in Section 10.1.</w:t>
      </w:r>
    </w:p>
    <w:p>
      <w:pPr>
        <w:pStyle w:val="TextBody"/>
        <w:spacing w:lineRule="auto" w:line="288" w:before="0" w:after="180"/>
        <w:ind w:left="0" w:right="0" w:firstLine="720"/>
        <w:jc w:val="both"/>
        <w:rPr/>
      </w:pPr>
      <w:r>
        <w:rPr>
          <w:rFonts w:ascii="Times New Roman;sans-serif" w:hAnsi="Times New Roman;sans-serif"/>
          <w:b w:val="false"/>
          <w:color w:val="000000"/>
          <w:sz w:val="20"/>
        </w:rPr>
        <w:t>2.30</w:t>
      </w:r>
      <w:r>
        <w:rPr>
          <w:color w:val="000000"/>
        </w:rPr>
        <w:t>“</w:t>
      </w:r>
      <w:r>
        <w:rPr>
          <w:rFonts w:ascii="Times New Roman;sans-serif" w:hAnsi="Times New Roman;sans-serif"/>
          <w:b/>
          <w:color w:val="000000"/>
          <w:sz w:val="20"/>
        </w:rPr>
        <w:t>Period of Restriction</w:t>
      </w:r>
      <w:r>
        <w:rPr>
          <w:color w:val="000000"/>
        </w:rPr>
        <w:t xml:space="preserve">” </w:t>
      </w:r>
      <w:r>
        <w:rPr>
          <w:rFonts w:ascii="Times New Roman;sans-serif" w:hAnsi="Times New Roman;sans-serif"/>
          <w:b w:val="false"/>
          <w:color w:val="000000"/>
          <w:sz w:val="20"/>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spacing w:lineRule="auto" w:line="288" w:before="0" w:after="180"/>
        <w:ind w:left="0" w:right="0" w:firstLine="720"/>
        <w:jc w:val="both"/>
        <w:rPr/>
      </w:pPr>
      <w:r>
        <w:rPr>
          <w:rFonts w:ascii="Times New Roman;sans-serif" w:hAnsi="Times New Roman;sans-serif"/>
          <w:b w:val="false"/>
          <w:color w:val="000000"/>
          <w:sz w:val="20"/>
        </w:rPr>
        <w:t>2.31</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this 2021 Equity Incentive Plan, as may be amended from time to time.</w:t>
      </w:r>
    </w:p>
    <w:p>
      <w:pPr>
        <w:pStyle w:val="TextBody"/>
        <w:spacing w:lineRule="auto" w:line="288" w:before="0" w:after="180"/>
        <w:ind w:left="0" w:right="0" w:firstLine="720"/>
        <w:jc w:val="both"/>
        <w:rPr/>
      </w:pPr>
      <w:r>
        <w:rPr>
          <w:rFonts w:ascii="Times New Roman;sans-serif" w:hAnsi="Times New Roman;sans-serif"/>
          <w:b w:val="false"/>
          <w:color w:val="000000"/>
          <w:sz w:val="20"/>
        </w:rPr>
        <w:t>2.32</w:t>
      </w:r>
      <w:r>
        <w:rPr>
          <w:color w:val="000000"/>
        </w:rPr>
        <w:t>“</w:t>
      </w:r>
      <w:r>
        <w:rPr>
          <w:rFonts w:ascii="Times New Roman;sans-serif" w:hAnsi="Times New Roman;sans-serif"/>
          <w:b/>
          <w:color w:val="000000"/>
          <w:sz w:val="20"/>
        </w:rPr>
        <w:t>Restricted Stock</w:t>
      </w:r>
      <w:r>
        <w:rPr>
          <w:color w:val="000000"/>
        </w:rPr>
        <w:t xml:space="preserve">” </w:t>
      </w:r>
      <w:r>
        <w:rPr>
          <w:rFonts w:ascii="Times New Roman;sans-serif" w:hAnsi="Times New Roman;sans-serif"/>
          <w:b w:val="false"/>
          <w:color w:val="000000"/>
          <w:sz w:val="20"/>
        </w:rPr>
        <w:t>means Shares issued pursuant to an Award of Restricted Stock under Section 8 of the Plan, or issued pursuant to the early exercise of an Option.</w:t>
      </w:r>
    </w:p>
    <w:p>
      <w:pPr>
        <w:pStyle w:val="TextBody"/>
        <w:spacing w:lineRule="auto" w:line="288" w:before="0" w:after="180"/>
        <w:ind w:left="0" w:right="0" w:firstLine="720"/>
        <w:jc w:val="both"/>
        <w:rPr/>
      </w:pPr>
      <w:r>
        <w:rPr>
          <w:rFonts w:ascii="Times New Roman;sans-serif" w:hAnsi="Times New Roman;sans-serif"/>
          <w:b w:val="false"/>
          <w:color w:val="000000"/>
          <w:sz w:val="20"/>
        </w:rPr>
        <w:t>2.33</w:t>
      </w:r>
      <w:r>
        <w:rPr>
          <w:color w:val="000000"/>
        </w:rPr>
        <w:t>“</w:t>
      </w:r>
      <w:r>
        <w:rPr>
          <w:rFonts w:ascii="Times New Roman;sans-serif" w:hAnsi="Times New Roman;sans-serif"/>
          <w:b/>
          <w:color w:val="000000"/>
          <w:sz w:val="20"/>
        </w:rPr>
        <w:t>Restricted Stock Unit</w:t>
      </w:r>
      <w:r>
        <w:rPr>
          <w:color w:val="000000"/>
        </w:rPr>
        <w:t xml:space="preserve">” </w:t>
      </w:r>
      <w:r>
        <w:rPr>
          <w:rFonts w:ascii="Times New Roman;sans-serif" w:hAnsi="Times New Roman;sans-serif"/>
          <w:b w:val="false"/>
          <w:color w:val="000000"/>
          <w:sz w:val="20"/>
        </w:rPr>
        <w:t>means a bookkeeping entry representing an amount equal to the Fair Market Value of one Share, granted pursuant to Section 9. Each Restricted Stock Unit represents an unfunded and unsecured obligation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2.34</w:t>
      </w:r>
      <w:r>
        <w:rPr>
          <w:color w:val="000000"/>
        </w:rPr>
        <w:t>“</w:t>
      </w:r>
      <w:r>
        <w:rPr>
          <w:rFonts w:ascii="Times New Roman;sans-serif" w:hAnsi="Times New Roman;sans-serif"/>
          <w:b/>
          <w:color w:val="000000"/>
          <w:sz w:val="20"/>
        </w:rPr>
        <w:t>Rule 16b</w:t>
        <w:noBreakHyphen/>
        <w:t>3</w:t>
      </w:r>
      <w:r>
        <w:rPr>
          <w:color w:val="000000"/>
        </w:rPr>
        <w:t xml:space="preserve">” </w:t>
      </w:r>
      <w:r>
        <w:rPr>
          <w:rFonts w:ascii="Times New Roman;sans-serif" w:hAnsi="Times New Roman;sans-serif"/>
          <w:b w:val="false"/>
          <w:color w:val="000000"/>
          <w:sz w:val="20"/>
        </w:rPr>
        <w:t>means Rule 16b</w:t>
        <w:noBreakHyphen/>
        <w:t>3 of the Exchange Act or any successor to Rule 16b</w:t>
        <w:noBreakHyphen/>
        <w:t>3, as in effect when discretion is being exercised with respect to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2.35</w:t>
      </w:r>
      <w:r>
        <w:rPr>
          <w:color w:val="000000"/>
        </w:rPr>
        <w:t>“</w:t>
      </w:r>
      <w:r>
        <w:rPr>
          <w:rFonts w:ascii="Times New Roman;sans-serif" w:hAnsi="Times New Roman;sans-serif"/>
          <w:b/>
          <w:color w:val="000000"/>
          <w:sz w:val="20"/>
        </w:rPr>
        <w:t>Section 16b</w:t>
      </w:r>
      <w:r>
        <w:rPr>
          <w:color w:val="000000"/>
        </w:rPr>
        <w:t xml:space="preserve">” </w:t>
      </w:r>
      <w:r>
        <w:rPr>
          <w:rFonts w:ascii="Times New Roman;sans-serif" w:hAnsi="Times New Roman;sans-serif"/>
          <w:b w:val="false"/>
          <w:color w:val="000000"/>
          <w:sz w:val="20"/>
        </w:rPr>
        <w:t>means Section 16(b) of the Exchange Act.</w:t>
      </w:r>
    </w:p>
    <w:p>
      <w:pPr>
        <w:pStyle w:val="TextBody"/>
        <w:spacing w:lineRule="auto" w:line="288" w:before="0" w:after="180"/>
        <w:ind w:left="0" w:right="0" w:firstLine="720"/>
        <w:jc w:val="both"/>
        <w:rPr/>
      </w:pPr>
      <w:r>
        <w:rPr>
          <w:rFonts w:ascii="Times New Roman;sans-serif" w:hAnsi="Times New Roman;sans-serif"/>
          <w:b w:val="false"/>
          <w:color w:val="000000"/>
          <w:sz w:val="20"/>
        </w:rPr>
        <w:t>2.36</w:t>
      </w:r>
      <w:r>
        <w:rPr>
          <w:color w:val="000000"/>
        </w:rPr>
        <w:t>“</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means Code Section 409A and the U.S. Treasury Regulations and guidance thereunder, and any applicable state law equivalent, as each may be promulgated, amended or modified from time to time.</w:t>
      </w:r>
    </w:p>
    <w:p>
      <w:pPr>
        <w:pStyle w:val="TextBody"/>
        <w:spacing w:lineRule="auto" w:line="288" w:before="0" w:after="180"/>
        <w:ind w:left="0" w:right="0" w:firstLine="720"/>
        <w:jc w:val="both"/>
        <w:rPr/>
      </w:pPr>
      <w:r>
        <w:rPr>
          <w:rFonts w:ascii="Times New Roman;sans-serif" w:hAnsi="Times New Roman;sans-serif"/>
          <w:b w:val="false"/>
          <w:color w:val="000000"/>
          <w:sz w:val="20"/>
        </w:rPr>
        <w:t>2.37</w:t>
      </w:r>
      <w:r>
        <w:rPr>
          <w:color w:val="000000"/>
        </w:rPr>
        <w:t>“</w:t>
      </w:r>
      <w:r>
        <w:rPr>
          <w:rFonts w:ascii="Times New Roman;sans-serif" w:hAnsi="Times New Roman;sans-serif"/>
          <w:b/>
          <w:color w:val="000000"/>
          <w:sz w:val="20"/>
        </w:rPr>
        <w:t>Securities Act</w:t>
      </w:r>
      <w:r>
        <w:rPr>
          <w:color w:val="000000"/>
        </w:rPr>
        <w:t xml:space="preserve">” </w:t>
      </w:r>
      <w:r>
        <w:rPr>
          <w:rFonts w:ascii="Times New Roman;sans-serif" w:hAnsi="Times New Roman;sans-serif"/>
          <w:b w:val="false"/>
          <w:color w:val="000000"/>
          <w:sz w:val="20"/>
        </w:rPr>
        <w:t xml:space="preserve">means the U.S. Securities Act of 1933, as amended, including the rules and regulations promulgated thereunder. </w:t>
      </w:r>
    </w:p>
    <w:p>
      <w:pPr>
        <w:pStyle w:val="TextBody"/>
        <w:spacing w:lineRule="auto" w:line="288" w:before="0" w:after="180"/>
        <w:ind w:left="0" w:right="0" w:firstLine="720"/>
        <w:jc w:val="both"/>
        <w:rPr/>
      </w:pPr>
      <w:r>
        <w:rPr>
          <w:rFonts w:ascii="Times New Roman;sans-serif" w:hAnsi="Times New Roman;sans-serif"/>
          <w:b w:val="false"/>
          <w:color w:val="000000"/>
          <w:sz w:val="20"/>
        </w:rPr>
        <w:t>2.38</w:t>
      </w:r>
      <w:r>
        <w:rPr>
          <w:color w:val="000000"/>
        </w:rPr>
        <w:t>“</w:t>
      </w:r>
      <w:r>
        <w:rPr>
          <w:rFonts w:ascii="Times New Roman;sans-serif" w:hAnsi="Times New Roman;sans-serif"/>
          <w:b/>
          <w:color w:val="000000"/>
          <w:sz w:val="20"/>
        </w:rPr>
        <w:t>Service Provider</w:t>
      </w:r>
      <w:r>
        <w:rPr>
          <w:color w:val="000000"/>
        </w:rPr>
        <w:t xml:space="preserve">” </w:t>
      </w:r>
      <w:r>
        <w:rPr>
          <w:rFonts w:ascii="Times New Roman;sans-serif" w:hAnsi="Times New Roman;sans-serif"/>
          <w:b w:val="false"/>
          <w:color w:val="000000"/>
          <w:sz w:val="20"/>
        </w:rPr>
        <w:t>means an Employee, Director or Consultant.</w:t>
      </w:r>
    </w:p>
    <w:p>
      <w:pPr>
        <w:pStyle w:val="TextBody"/>
        <w:spacing w:lineRule="auto" w:line="288" w:before="0" w:after="180"/>
        <w:ind w:left="0" w:right="0" w:firstLine="720"/>
        <w:rPr/>
      </w:pPr>
      <w:r>
        <w:rPr>
          <w:rFonts w:ascii="Times New Roman;sans-serif" w:hAnsi="Times New Roman;sans-serif"/>
          <w:b w:val="false"/>
          <w:color w:val="000000"/>
          <w:sz w:val="20"/>
        </w:rPr>
        <w:t>2.39</w:t>
      </w:r>
      <w:r>
        <w:rPr>
          <w:color w:val="000000"/>
        </w:rPr>
        <w:t>“</w:t>
      </w:r>
      <w:r>
        <w:rPr>
          <w:rFonts w:ascii="Times New Roman;sans-serif" w:hAnsi="Times New Roman;sans-serif"/>
          <w:b/>
          <w:color w:val="000000"/>
          <w:sz w:val="20"/>
        </w:rPr>
        <w:t>Share</w:t>
      </w:r>
      <w:r>
        <w:rPr>
          <w:color w:val="000000"/>
        </w:rPr>
        <w:t xml:space="preserve">” </w:t>
      </w:r>
      <w:r>
        <w:rPr>
          <w:rFonts w:ascii="Times New Roman;sans-serif" w:hAnsi="Times New Roman;sans-serif"/>
          <w:b w:val="false"/>
          <w:color w:val="000000"/>
          <w:sz w:val="20"/>
        </w:rPr>
        <w:t>means a share of the Common Stock, as adjusted in accordance with Section 15 of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2.40</w:t>
      </w:r>
      <w:r>
        <w:rPr>
          <w:color w:val="000000"/>
        </w:rPr>
        <w:t>“</w:t>
      </w:r>
      <w:r>
        <w:rPr>
          <w:rFonts w:ascii="Times New Roman;sans-serif" w:hAnsi="Times New Roman;sans-serif"/>
          <w:b/>
          <w:color w:val="000000"/>
          <w:sz w:val="20"/>
        </w:rPr>
        <w:t>Stock Appreciation Right</w:t>
      </w:r>
      <w:r>
        <w:rPr>
          <w:color w:val="000000"/>
        </w:rPr>
        <w:t xml:space="preserve">” </w:t>
      </w:r>
      <w:r>
        <w:rPr>
          <w:rFonts w:ascii="Times New Roman;sans-serif" w:hAnsi="Times New Roman;sans-serif"/>
          <w:b w:val="false"/>
          <w:color w:val="000000"/>
          <w:sz w:val="20"/>
        </w:rPr>
        <w:t>means an Award, granted alone or in connection with an Option, that pursuant to Section 7 is designated as a Stock Appreciation Right.</w:t>
      </w:r>
    </w:p>
    <w:p>
      <w:pPr>
        <w:pStyle w:val="TextBody"/>
        <w:spacing w:lineRule="auto" w:line="288" w:before="0" w:after="180"/>
        <w:ind w:left="0" w:right="0" w:firstLine="720"/>
        <w:jc w:val="both"/>
        <w:rPr/>
      </w:pPr>
      <w:r>
        <w:rPr>
          <w:rFonts w:ascii="Times New Roman;sans-serif" w:hAnsi="Times New Roman;sans-serif"/>
          <w:b w:val="false"/>
          <w:color w:val="000000"/>
          <w:sz w:val="20"/>
        </w:rPr>
        <w:t>2.41</w:t>
      </w: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means a “subsidiary corporation,” whether now or hereafter existing, as defined in Code Section 424(f).</w:t>
      </w:r>
    </w:p>
    <w:p>
      <w:pPr>
        <w:pStyle w:val="HorizontalLine"/>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46685"/>
                <wp:effectExtent l="0" t="0" r="0" b="0"/>
                <wp:wrapNone/>
                <wp:docPr id="637" name="Frame6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2.42</w:t>
      </w:r>
      <w:r>
        <w:rPr>
          <w:color w:val="000000"/>
        </w:rPr>
        <w:t>“</w:t>
      </w:r>
      <w:r>
        <w:rPr>
          <w:rFonts w:ascii="Times New Roman;sans-serif" w:hAnsi="Times New Roman;sans-serif"/>
          <w:b/>
          <w:color w:val="000000"/>
          <w:sz w:val="20"/>
        </w:rPr>
        <w:t>Trading Day</w:t>
      </w:r>
      <w:r>
        <w:rPr>
          <w:color w:val="000000"/>
        </w:rPr>
        <w:t xml:space="preserve">” </w:t>
      </w:r>
      <w:r>
        <w:rPr>
          <w:rFonts w:ascii="Times New Roman;sans-serif" w:hAnsi="Times New Roman;sans-serif"/>
          <w:b w:val="false"/>
          <w:color w:val="000000"/>
          <w:sz w:val="20"/>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spacing w:lineRule="auto" w:line="288" w:before="0" w:after="180"/>
        <w:ind w:left="0" w:right="0" w:firstLine="720"/>
        <w:jc w:val="both"/>
        <w:rPr/>
      </w:pPr>
      <w:r>
        <w:rPr>
          <w:rFonts w:ascii="Times New Roman;sans-serif" w:hAnsi="Times New Roman;sans-serif"/>
          <w:b w:val="false"/>
          <w:color w:val="000000"/>
          <w:sz w:val="20"/>
        </w:rPr>
        <w:t>2.43</w:t>
      </w:r>
      <w:r>
        <w:rPr>
          <w:color w:val="000000"/>
        </w:rPr>
        <w:t>“</w:t>
      </w:r>
      <w:r>
        <w:rPr>
          <w:rFonts w:ascii="Times New Roman;sans-serif" w:hAnsi="Times New Roman;sans-serif"/>
          <w:b/>
          <w:color w:val="000000"/>
          <w:sz w:val="20"/>
        </w:rPr>
        <w:t>U.S. Treasury Regulations</w:t>
      </w:r>
      <w:r>
        <w:rPr>
          <w:color w:val="000000"/>
        </w:rPr>
        <w:t xml:space="preserve">” </w:t>
      </w:r>
      <w:r>
        <w:rPr>
          <w:rFonts w:ascii="Times New Roman;sans-serif" w:hAnsi="Times New Roman;sans-serif"/>
          <w:b w:val="false"/>
          <w:color w:val="000000"/>
          <w:sz w:val="20"/>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3.1</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Times New Roman;sans-serif" w:hAnsi="Times New Roman;sans-serif"/>
          <w:b/>
          <w:color w:val="000000"/>
          <w:sz w:val="20"/>
        </w:rPr>
        <w:t>Assumed Awards</w:t>
      </w:r>
      <w:r>
        <w:rPr>
          <w:color w:val="000000"/>
        </w:rPr>
        <w:t>”</w:t>
      </w:r>
      <w:r>
        <w:rPr>
          <w:rFonts w:ascii="Times New Roman;sans-serif" w:hAnsi="Times New Roman;sans-serif"/>
          <w:b w:val="false"/>
          <w:color w:val="000000"/>
          <w:sz w:val="20"/>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3.2</w:t>
      </w:r>
      <w:r>
        <w:rPr>
          <w:rFonts w:ascii="Times New Roman;sans-serif" w:hAnsi="Times New Roman;sans-serif"/>
          <w:b/>
          <w:color w:val="000000"/>
          <w:sz w:val="20"/>
        </w:rPr>
        <w:t>Automatic Share Reserve Increase</w:t>
      </w:r>
      <w:r>
        <w:rPr>
          <w:rFonts w:ascii="Times New Roman;sans-serif" w:hAnsi="Times New Roman;sans-serif"/>
          <w:b w:val="false"/>
          <w:color w:val="000000"/>
          <w:sz w:val="20"/>
        </w:rPr>
        <w:t xml:space="preserve">.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 </w:t>
      </w:r>
    </w:p>
    <w:p>
      <w:pPr>
        <w:pStyle w:val="TextBody"/>
        <w:spacing w:lineRule="auto" w:line="288" w:before="0" w:after="180"/>
        <w:ind w:left="0" w:right="0" w:firstLine="720"/>
        <w:rPr/>
      </w:pPr>
      <w:r>
        <w:rPr>
          <w:rFonts w:ascii="Times New Roman;sans-serif" w:hAnsi="Times New Roman;sans-serif"/>
          <w:b w:val="false"/>
          <w:color w:val="000000"/>
          <w:sz w:val="20"/>
        </w:rPr>
        <w:t>3.3</w:t>
      </w:r>
      <w:r>
        <w:rPr>
          <w:rFonts w:ascii="Times New Roman;sans-serif" w:hAnsi="Times New Roman;sans-serif"/>
          <w:b/>
          <w:color w:val="000000"/>
          <w:sz w:val="20"/>
        </w:rPr>
        <w:t>Lapsed Awards</w:t>
      </w:r>
      <w:r>
        <w:rPr>
          <w:rFonts w:ascii="Times New Roman;sans-serif" w:hAnsi="Times New Roman;sans-serif"/>
          <w:b w:val="false"/>
          <w:color w:val="000000"/>
          <w:sz w:val="20"/>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 </w:t>
      </w:r>
    </w:p>
    <w:p>
      <w:pPr>
        <w:pStyle w:val="TextBody"/>
        <w:spacing w:lineRule="auto" w:line="288" w:before="0" w:after="180"/>
        <w:ind w:left="0" w:right="0" w:firstLine="720"/>
        <w:jc w:val="both"/>
        <w:rPr/>
      </w:pPr>
      <w:r>
        <w:rPr>
          <w:rFonts w:ascii="Times New Roman;sans-serif" w:hAnsi="Times New Roman;sans-serif"/>
          <w:b w:val="false"/>
          <w:color w:val="000000"/>
          <w:sz w:val="20"/>
        </w:rPr>
        <w:t>3.4</w:t>
      </w:r>
      <w:r>
        <w:rPr>
          <w:rFonts w:ascii="Times New Roman;sans-serif" w:hAnsi="Times New Roman;sans-serif"/>
          <w:b/>
          <w:color w:val="000000"/>
          <w:sz w:val="20"/>
        </w:rPr>
        <w:t>Share Reserve</w:t>
      </w:r>
      <w:r>
        <w:rPr>
          <w:rFonts w:ascii="Times New Roman;sans-serif" w:hAnsi="Times New Roman;sans-serif"/>
          <w:b w:val="false"/>
          <w:color w:val="000000"/>
          <w:sz w:val="20"/>
        </w:rPr>
        <w:t>. The Company, during the term of this Plan, will at all times reserve and keep available such number of Shares as will be sufficient to satisfy the requirements of the Plan.</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color w:val="000000"/>
          <w:sz w:val="20"/>
        </w:rPr>
        <w:t>Administration of the Plan</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46685"/>
                <wp:effectExtent l="0" t="0" r="0" b="0"/>
                <wp:wrapNone/>
                <wp:docPr id="638" name="Frame6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80"/>
        <w:jc w:val="right"/>
        <w:rPr/>
      </w:pPr>
      <w:r>
        <w:rPr/>
      </w:r>
    </w:p>
    <w:p>
      <w:pPr>
        <w:pStyle w:val="TextBody"/>
        <w:spacing w:lineRule="auto" w:line="288" w:before="0" w:after="180"/>
        <w:jc w:val="both"/>
        <w:rPr/>
      </w:pPr>
      <w:r>
        <w:rPr>
          <w:rFonts w:ascii="Times New Roman;sans-serif" w:hAnsi="Times New Roman;sans-serif"/>
          <w:b w:val="false"/>
          <w:color w:val="000000"/>
          <w:sz w:val="20"/>
        </w:rPr>
        <w:t>4.1</w:t>
      </w:r>
      <w:r>
        <w:rPr>
          <w:rFonts w:ascii="Times New Roman;sans-serif" w:hAnsi="Times New Roman;sans-serif"/>
          <w:b/>
          <w:color w:val="000000"/>
          <w:sz w:val="20"/>
        </w:rPr>
        <w:t>Procedure</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4.1.1</w:t>
      </w:r>
      <w:r>
        <w:rPr>
          <w:rFonts w:ascii="Times New Roman;sans-serif" w:hAnsi="Times New Roman;sans-serif"/>
          <w:b/>
          <w:color w:val="000000"/>
          <w:sz w:val="20"/>
        </w:rPr>
        <w:t>Multiple Administrative Bodies</w:t>
      </w:r>
      <w:r>
        <w:rPr>
          <w:rFonts w:ascii="Times New Roman;sans-serif" w:hAnsi="Times New Roman;sans-serif"/>
          <w:b w:val="false"/>
          <w:color w:val="000000"/>
          <w:sz w:val="20"/>
        </w:rPr>
        <w:t>. Different Committees with respect to different groups of Service Providers may administer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4.1.2</w:t>
      </w:r>
      <w:r>
        <w:rPr>
          <w:rFonts w:ascii="Times New Roman;sans-serif" w:hAnsi="Times New Roman;sans-serif"/>
          <w:b/>
          <w:color w:val="000000"/>
          <w:sz w:val="20"/>
        </w:rPr>
        <w:t>Rule 16b-3</w:t>
      </w:r>
      <w:r>
        <w:rPr>
          <w:rFonts w:ascii="Times New Roman;sans-serif" w:hAnsi="Times New Roman;sans-serif"/>
          <w:b w:val="false"/>
          <w:color w:val="000000"/>
          <w:sz w:val="20"/>
        </w:rPr>
        <w:t>. To the extent desirable to qualify transactions hereunder as exempt under Rule 16b-3, the transactions contemplated hereunder will be structured to satisfy the requirements for exemption under Rule 16b-3.</w:t>
      </w:r>
    </w:p>
    <w:p>
      <w:pPr>
        <w:pStyle w:val="TextBody"/>
        <w:spacing w:lineRule="auto" w:line="288" w:before="0" w:after="180"/>
        <w:ind w:left="0" w:right="0" w:firstLine="1440"/>
        <w:jc w:val="both"/>
        <w:rPr/>
      </w:pPr>
      <w:r>
        <w:rPr>
          <w:rFonts w:ascii="Times New Roman;sans-serif" w:hAnsi="Times New Roman;sans-serif"/>
          <w:b w:val="false"/>
          <w:color w:val="000000"/>
          <w:sz w:val="20"/>
        </w:rPr>
        <w:t>4.1.3</w:t>
      </w:r>
      <w:r>
        <w:rPr>
          <w:rFonts w:ascii="Times New Roman;sans-serif" w:hAnsi="Times New Roman;sans-serif"/>
          <w:b/>
          <w:color w:val="000000"/>
          <w:sz w:val="20"/>
        </w:rPr>
        <w:t>Other Administration</w:t>
      </w:r>
      <w:r>
        <w:rPr>
          <w:rFonts w:ascii="Times New Roman;sans-serif" w:hAnsi="Times New Roman;sans-serif"/>
          <w:b w:val="false"/>
          <w:color w:val="000000"/>
          <w:sz w:val="20"/>
        </w:rPr>
        <w:t xml:space="preserve">. Other than as provided above, the Plan will be administered by (A) the Board or (B) a Committee, which Committee will be constituted to comply with Applicable Laws. </w:t>
      </w:r>
    </w:p>
    <w:p>
      <w:pPr>
        <w:pStyle w:val="TextBody"/>
        <w:spacing w:lineRule="auto" w:line="288" w:before="0" w:after="180"/>
        <w:ind w:left="0" w:right="0" w:firstLine="720"/>
        <w:jc w:val="both"/>
        <w:rPr/>
      </w:pPr>
      <w:r>
        <w:rPr>
          <w:rFonts w:ascii="Times New Roman;sans-serif" w:hAnsi="Times New Roman;sans-serif"/>
          <w:b w:val="false"/>
          <w:color w:val="000000"/>
          <w:sz w:val="20"/>
        </w:rPr>
        <w:t>4.2</w:t>
      </w:r>
      <w:r>
        <w:rPr>
          <w:rFonts w:ascii="Times New Roman;sans-serif" w:hAnsi="Times New Roman;sans-serif"/>
          <w:b/>
          <w:color w:val="000000"/>
          <w:sz w:val="20"/>
        </w:rPr>
        <w:t>Powers of the Administrator</w:t>
      </w:r>
      <w:r>
        <w:rPr>
          <w:rFonts w:ascii="Times New Roman;sans-serif" w:hAnsi="Times New Roman;sans-serif"/>
          <w:b w:val="false"/>
          <w:color w:val="000000"/>
          <w:sz w:val="20"/>
        </w:rPr>
        <w:t>. Subject to the provisions of the Plan, and in the case of a Committee, subject to the specific duties delegated by the Board to such Committee, the Administrator will have the authority, in its discretion: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to determine the Fair Market Value;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to select the Service Providers to whom Awards may be granted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to determine the number of Shares or dollar amounts to be covered by each Award granted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to approve forms of Award Agreements for use under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to institute and determine the terms and conditions of an Exchange Program, including, subject to Section 20.3, to unilaterally implement an Exchange Program without the consent of the applicable Award holder;</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to construe and interpret the terms of the Plan and Awards granted pursuant to the Plan; </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to prescribe, amend and rescind rules and regulations relating to the Plan, including rules and regulations relating to sub-plans established for the purpose of facilitating compliance with applicable non</w:t>
        <w:noBreakHyphen/>
        <w:t>U.S. laws, easing the administration of the Plan and/or for qualifying for favorable tax treatment under applicable non</w:t>
        <w:noBreakHyphen/>
        <w:t>U.S. laws, in each case as the Administrator may deem necessary or advisable;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to allow Participants to satisfy withholding tax obligations in a manner prescribed in Section 16;</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to authorize any person to execute on behalf of the Company any instrument required to effect the grant of an Award previously granted by the Administrator;</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to allow a Participant to defer the receipt of the payment of cash or the delivery of Shares that otherwise would be due to such Participant under an Award; and</w:t>
      </w:r>
    </w:p>
    <w:p>
      <w:pPr>
        <w:pStyle w:val="HorizontalLine"/>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46685"/>
                <wp:effectExtent l="0" t="0" r="0" b="0"/>
                <wp:wrapNone/>
                <wp:docPr id="639" name="Frame6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to make all other determinations deemed necessary or advisable for administering the Plan.</w:t>
      </w:r>
    </w:p>
    <w:p>
      <w:pPr>
        <w:pStyle w:val="TextBody"/>
        <w:spacing w:lineRule="auto" w:line="288" w:before="0" w:after="180"/>
        <w:ind w:left="0" w:right="0" w:firstLine="720"/>
        <w:rPr/>
      </w:pPr>
      <w:r>
        <w:rPr>
          <w:rFonts w:ascii="Times New Roman;sans-serif" w:hAnsi="Times New Roman;sans-serif"/>
          <w:b w:val="false"/>
          <w:color w:val="000000"/>
          <w:sz w:val="20"/>
        </w:rPr>
        <w:t>4.3</w:t>
      </w:r>
      <w:r>
        <w:rPr>
          <w:rFonts w:ascii="Times New Roman;sans-serif" w:hAnsi="Times New Roman;sans-serif"/>
          <w:b/>
          <w:color w:val="000000"/>
          <w:sz w:val="20"/>
        </w:rPr>
        <w:t>Effect of Administrator’s Decision</w:t>
      </w:r>
      <w:r>
        <w:rPr>
          <w:rFonts w:ascii="Times New Roman;sans-serif" w:hAnsi="Times New Roman;sans-serif"/>
          <w:b w:val="false"/>
          <w:color w:val="000000"/>
          <w:sz w:val="20"/>
        </w:rPr>
        <w:t>. The Administrator’s decisions, determinations and interpretations will be final and binding on all Participants and any other holders of Awards and will be given the maximum deference permitted by Applicable Laws.</w:t>
      </w:r>
    </w:p>
    <w:p>
      <w:pPr>
        <w:pStyle w:val="TextBody"/>
        <w:spacing w:lineRule="auto" w:line="288" w:before="0" w:after="180"/>
        <w:ind w:left="0" w:right="0" w:firstLine="360"/>
        <w:rPr/>
      </w:pPr>
      <w:r>
        <w:rPr>
          <w:rFonts w:ascii="Times New Roman;sans-serif" w:hAnsi="Times New Roman;sans-serif"/>
          <w:b w:val="false"/>
          <w:color w:val="000000"/>
          <w:sz w:val="20"/>
        </w:rPr>
        <w:t>5.</w:t>
      </w:r>
      <w:r>
        <w:rPr>
          <w:rFonts w:ascii="Times New Roman;sans-serif" w:hAnsi="Times New Roman;sans-serif"/>
          <w:b/>
          <w:color w:val="000000"/>
          <w:sz w:val="20"/>
        </w:rPr>
        <w:t>Eligibility</w:t>
      </w:r>
      <w:r>
        <w:rPr>
          <w:rFonts w:ascii="Times New Roman;sans-serif" w:hAnsi="Times New Roman;sans-serif"/>
          <w:b w:val="false"/>
          <w:color w:val="000000"/>
          <w:sz w:val="20"/>
        </w:rPr>
        <w:t>. Nonstatutory Stock Options, Stock Appreciation Rights, Restricted Stock, Restricted Stock Units, or Performance Awards may be granted to Service Providers. Incentive Stock Options may be granted only to Employees.</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color w:val="000000"/>
          <w:sz w:val="20"/>
        </w:rPr>
        <w:t>Stock Options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6.1</w:t>
      </w:r>
      <w:r>
        <w:rPr>
          <w:rFonts w:ascii="Times New Roman;sans-serif" w:hAnsi="Times New Roman;sans-serif"/>
          <w:b/>
          <w:color w:val="000000"/>
          <w:sz w:val="20"/>
        </w:rPr>
        <w:t>Grant of Options</w:t>
      </w:r>
      <w:r>
        <w:rPr>
          <w:rFonts w:ascii="Times New Roman;sans-serif" w:hAnsi="Times New Roman;sans-serif"/>
          <w:b w:val="false"/>
          <w:color w:val="000000"/>
          <w:sz w:val="20"/>
        </w:rPr>
        <w:t>. Subject to the terms and provisions of the Plan, the Administrator, at any time and from time to time, may grant Options to Service Providers in such amounts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6.2</w:t>
      </w:r>
      <w:r>
        <w:rPr>
          <w:rFonts w:ascii="Times New Roman;sans-serif" w:hAnsi="Times New Roman;sans-serif"/>
          <w:b/>
          <w:color w:val="000000"/>
          <w:sz w:val="20"/>
        </w:rPr>
        <w:t>Option Agreement</w:t>
      </w:r>
      <w:r>
        <w:rPr>
          <w:rFonts w:ascii="Times New Roman;sans-serif" w:hAnsi="Times New Roman;sans-serif"/>
          <w:b w:val="false"/>
          <w:color w:val="000000"/>
          <w:sz w:val="20"/>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6.3</w:t>
      </w:r>
      <w:r>
        <w:rPr>
          <w:rFonts w:ascii="Times New Roman;sans-serif" w:hAnsi="Times New Roman;sans-serif"/>
          <w:b/>
          <w:color w:val="000000"/>
          <w:sz w:val="20"/>
        </w:rPr>
        <w:t>Limitations</w:t>
      </w:r>
      <w:r>
        <w:rPr>
          <w:rFonts w:ascii="Times New Roman;sans-serif" w:hAnsi="Times New Roman;sans-serif"/>
          <w:b w:val="false"/>
          <w:color w:val="000000"/>
          <w:sz w:val="20"/>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6.4</w:t>
      </w:r>
      <w:r>
        <w:rPr>
          <w:rFonts w:ascii="Times New Roman;sans-serif" w:hAnsi="Times New Roman;sans-serif"/>
          <w:b/>
          <w:color w:val="000000"/>
          <w:sz w:val="20"/>
        </w:rPr>
        <w:t>Term of Option</w:t>
      </w:r>
      <w:r>
        <w:rPr>
          <w:rFonts w:ascii="Times New Roman;sans-serif" w:hAnsi="Times New Roman;sans-serif"/>
          <w:b w:val="false"/>
          <w:color w:val="000000"/>
          <w:sz w:val="20"/>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6.5</w:t>
      </w:r>
      <w:r>
        <w:rPr>
          <w:rFonts w:ascii="Times New Roman;sans-serif" w:hAnsi="Times New Roman;sans-serif"/>
          <w:b/>
          <w:color w:val="000000"/>
          <w:sz w:val="20"/>
        </w:rPr>
        <w:t>Option Exercise Price and Consideration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6.5.1</w:t>
      </w:r>
      <w:r>
        <w:rPr>
          <w:rFonts w:ascii="Times New Roman;sans-serif" w:hAnsi="Times New Roman;sans-serif"/>
          <w:b/>
          <w:color w:val="000000"/>
          <w:sz w:val="20"/>
        </w:rPr>
        <w:t>Exercise Price</w:t>
      </w:r>
      <w:r>
        <w:rPr>
          <w:rFonts w:ascii="Times New Roman;sans-serif" w:hAnsi="Times New Roman;sans-serif"/>
          <w:b w:val="false"/>
          <w:color w:val="000000"/>
          <w:sz w:val="20"/>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spacing w:lineRule="auto" w:line="288" w:before="0" w:after="180"/>
        <w:ind w:left="0" w:right="0" w:firstLine="1440"/>
        <w:jc w:val="both"/>
        <w:rPr/>
      </w:pPr>
      <w:r>
        <w:rPr>
          <w:rFonts w:ascii="Times New Roman;sans-serif" w:hAnsi="Times New Roman;sans-serif"/>
          <w:b w:val="false"/>
          <w:color w:val="000000"/>
          <w:sz w:val="20"/>
        </w:rPr>
        <w:t>6.5.2</w:t>
      </w:r>
      <w:r>
        <w:rPr>
          <w:rFonts w:ascii="Times New Roman;sans-serif" w:hAnsi="Times New Roman;sans-serif"/>
          <w:b/>
          <w:color w:val="000000"/>
          <w:sz w:val="20"/>
        </w:rPr>
        <w:t>Waiting Period and Exercise Dates</w:t>
      </w:r>
      <w:r>
        <w:rPr>
          <w:rFonts w:ascii="Times New Roman;sans-serif" w:hAnsi="Times New Roman;sans-serif"/>
          <w:b w:val="false"/>
          <w:color w:val="000000"/>
          <w:sz w:val="20"/>
        </w:rPr>
        <w:t>. At the time an Option is granted, the Administrator will fix the period within which the Option may be exercised and will determine any conditions that must be satisfied before the Option may be exercised.</w:t>
      </w:r>
    </w:p>
    <w:p>
      <w:pPr>
        <w:pStyle w:val="HorizontalLine"/>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46685"/>
                <wp:effectExtent l="0" t="0" r="0" b="0"/>
                <wp:wrapNone/>
                <wp:docPr id="640" name="Frame6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jc w:val="both"/>
        <w:rPr/>
      </w:pPr>
      <w:r>
        <w:rPr>
          <w:rFonts w:ascii="Times New Roman;sans-serif" w:hAnsi="Times New Roman;sans-serif"/>
          <w:b w:val="false"/>
          <w:color w:val="000000"/>
          <w:sz w:val="20"/>
        </w:rPr>
        <w:t>6.5.3</w:t>
      </w:r>
      <w:r>
        <w:rPr>
          <w:rFonts w:ascii="Times New Roman;sans-serif" w:hAnsi="Times New Roman;sans-serif"/>
          <w:b/>
          <w:color w:val="000000"/>
          <w:sz w:val="20"/>
        </w:rPr>
        <w:t>Form of Consideration</w:t>
      </w:r>
      <w:r>
        <w:rPr>
          <w:rFonts w:ascii="Times New Roman;sans-serif" w:hAnsi="Times New Roman;sans-serif"/>
          <w:b w:val="false"/>
          <w:color w:val="000000"/>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spacing w:lineRule="auto" w:line="288" w:before="0" w:after="180"/>
        <w:jc w:val="both"/>
        <w:rPr/>
      </w:pPr>
      <w:r>
        <w:rPr>
          <w:rFonts w:ascii="Times New Roman;sans-serif" w:hAnsi="Times New Roman;sans-serif"/>
          <w:b w:val="false"/>
          <w:color w:val="000000"/>
          <w:sz w:val="20"/>
        </w:rPr>
        <w:t>6.6</w:t>
      </w:r>
      <w:r>
        <w:rPr>
          <w:rFonts w:ascii="Times New Roman;sans-serif" w:hAnsi="Times New Roman;sans-serif"/>
          <w:b/>
          <w:color w:val="000000"/>
          <w:sz w:val="20"/>
        </w:rPr>
        <w:t>Exercise of Option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6.6.1</w:t>
      </w:r>
      <w:r>
        <w:rPr>
          <w:rFonts w:ascii="Times New Roman;sans-serif" w:hAnsi="Times New Roman;sans-serif"/>
          <w:b/>
          <w:color w:val="000000"/>
          <w:sz w:val="20"/>
        </w:rPr>
        <w:t>Procedure for Exercise; Rights as a Stockholder</w:t>
      </w:r>
      <w:r>
        <w:rPr>
          <w:rFonts w:ascii="Times New Roman;sans-serif" w:hAnsi="Times New Roman;sans-serif"/>
          <w:b w:val="false"/>
          <w:color w:val="000000"/>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Exercising an Option in any manner will decrease the number of Shares thereafter available, both for purposes of the Plan and for sale under the Option, by the number of Shares as to which the Option is exercised.</w:t>
      </w:r>
    </w:p>
    <w:p>
      <w:pPr>
        <w:pStyle w:val="TextBody"/>
        <w:spacing w:lineRule="auto" w:line="288" w:before="0" w:after="180"/>
        <w:ind w:left="0" w:right="0" w:firstLine="1440"/>
        <w:rPr/>
      </w:pPr>
      <w:r>
        <w:rPr>
          <w:rFonts w:ascii="Times New Roman;sans-serif" w:hAnsi="Times New Roman;sans-serif"/>
          <w:b w:val="false"/>
          <w:color w:val="000000"/>
          <w:sz w:val="20"/>
        </w:rPr>
        <w:t>6.6.2</w:t>
      </w:r>
      <w:r>
        <w:rPr>
          <w:rFonts w:ascii="Times New Roman;sans-serif" w:hAnsi="Times New Roman;sans-serif"/>
          <w:b/>
          <w:color w:val="000000"/>
          <w:sz w:val="20"/>
        </w:rPr>
        <w:t>Termination of Relationship as a Service Provider</w:t>
      </w:r>
      <w:r>
        <w:rPr>
          <w:rFonts w:ascii="Times New Roman;sans-serif" w:hAnsi="Times New Roman;sans-serif"/>
          <w:b w:val="false"/>
          <w:color w:val="000000"/>
          <w:sz w:val="20"/>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6.6.3</w:t>
      </w:r>
      <w:r>
        <w:rPr>
          <w:rFonts w:ascii="Times New Roman;sans-serif" w:hAnsi="Times New Roman;sans-serif"/>
          <w:b/>
          <w:color w:val="000000"/>
          <w:sz w:val="20"/>
        </w:rPr>
        <w:t>Disability of Participant</w:t>
      </w:r>
      <w:r>
        <w:rPr>
          <w:rFonts w:ascii="Times New Roman;sans-serif" w:hAnsi="Times New Roman;sans-serif"/>
          <w:b w:val="false"/>
          <w:color w:val="000000"/>
          <w:sz w:val="20"/>
        </w:rPr>
        <w:t xml:space="preserve">.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w:t>
      </w:r>
    </w:p>
    <w:p>
      <w:pPr>
        <w:pStyle w:val="HorizontalLine"/>
        <w:rPr/>
      </w:pPr>
      <w:r>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46685"/>
                <wp:effectExtent l="0" t="0" r="0" b="0"/>
                <wp:wrapNone/>
                <wp:docPr id="641" name="Frame6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after such cessation the Participant does not exercise his or her Option within the time specified herein, the Option will terminate, and the Shares covered by such Option will revert to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6.6.4</w:t>
      </w:r>
      <w:r>
        <w:rPr>
          <w:rFonts w:ascii="Times New Roman;sans-serif" w:hAnsi="Times New Roman;sans-serif"/>
          <w:b/>
          <w:color w:val="000000"/>
          <w:sz w:val="20"/>
        </w:rPr>
        <w:t>Death of Participant</w:t>
      </w:r>
      <w:r>
        <w:rPr>
          <w:rFonts w:ascii="Times New Roman;sans-serif" w:hAnsi="Times New Roman;sans-serif"/>
          <w:b w:val="false"/>
          <w:color w:val="000000"/>
          <w:sz w:val="20"/>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sans-serif" w:hAnsi="Times New Roman;sans-serif"/>
          <w:b/>
          <w:color w:val="000000"/>
          <w:sz w:val="20"/>
        </w:rPr>
        <w:t>Legal Representative</w:t>
      </w:r>
      <w:r>
        <w:rPr>
          <w:color w:val="000000"/>
        </w:rPr>
        <w:t>”</w:t>
      </w:r>
      <w:r>
        <w:rPr>
          <w:rFonts w:ascii="Times New Roman;sans-serif" w:hAnsi="Times New Roman;sans-serif"/>
          <w:b w:val="false"/>
          <w:color w:val="000000"/>
          <w:sz w:val="20"/>
        </w:rPr>
        <w:t xml:space="preser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 </w:t>
      </w:r>
    </w:p>
    <w:p>
      <w:pPr>
        <w:pStyle w:val="TextBody"/>
        <w:spacing w:lineRule="auto" w:line="288" w:before="0" w:after="180"/>
        <w:ind w:left="0" w:right="0" w:firstLine="1440"/>
        <w:rPr/>
      </w:pPr>
      <w:r>
        <w:rPr>
          <w:rFonts w:ascii="Times New Roman;sans-serif" w:hAnsi="Times New Roman;sans-serif"/>
          <w:b w:val="false"/>
          <w:color w:val="000000"/>
          <w:sz w:val="20"/>
        </w:rPr>
        <w:t>6.6.5</w:t>
      </w:r>
      <w:r>
        <w:rPr>
          <w:rFonts w:ascii="Times New Roman;sans-serif" w:hAnsi="Times New Roman;sans-serif"/>
          <w:b/>
          <w:color w:val="000000"/>
          <w:sz w:val="20"/>
        </w:rPr>
        <w:t>Tolling Expiration</w:t>
      </w:r>
      <w:r>
        <w:rPr>
          <w:rFonts w:ascii="Times New Roman;sans-serif" w:hAnsi="Times New Roman;sans-serif"/>
          <w:b w:val="false"/>
          <w:color w:val="000000"/>
          <w:sz w:val="20"/>
        </w:rPr>
        <w:t>. A Participant’s Award Agreement may also provide that:</w:t>
      </w:r>
    </w:p>
    <w:p>
      <w:pPr>
        <w:pStyle w:val="TextBody"/>
        <w:spacing w:lineRule="auto" w:line="288" w:before="0" w:after="180"/>
        <w:ind w:left="0" w:right="0" w:firstLine="21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pStyle w:val="TextBody"/>
        <w:spacing w:lineRule="auto" w:line="288" w:before="0" w:after="180"/>
        <w:ind w:left="0" w:right="0" w:firstLine="21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color w:val="000000"/>
          <w:sz w:val="20"/>
        </w:rPr>
        <w:t>Stock Appreciation Rights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7.1</w:t>
      </w:r>
      <w:r>
        <w:rPr>
          <w:rFonts w:ascii="Times New Roman;sans-serif" w:hAnsi="Times New Roman;sans-serif"/>
          <w:b/>
          <w:color w:val="000000"/>
          <w:sz w:val="20"/>
        </w:rPr>
        <w:t>Grant of Stock Appreciation Rights</w:t>
      </w:r>
      <w:r>
        <w:rPr>
          <w:rFonts w:ascii="Times New Roman;sans-serif" w:hAnsi="Times New Roman;sans-serif"/>
          <w:b w:val="false"/>
          <w:color w:val="000000"/>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spacing w:lineRule="auto" w:line="288" w:before="0" w:after="180"/>
        <w:ind w:left="0" w:right="0" w:firstLine="720"/>
        <w:jc w:val="both"/>
        <w:rPr/>
      </w:pPr>
      <w:r>
        <w:rPr>
          <w:rFonts w:ascii="Times New Roman;sans-serif" w:hAnsi="Times New Roman;sans-serif"/>
          <w:b w:val="false"/>
          <w:color w:val="000000"/>
          <w:sz w:val="20"/>
        </w:rPr>
        <w:t>7.2</w:t>
      </w:r>
      <w:r>
        <w:rPr>
          <w:rFonts w:ascii="Times New Roman;sans-serif" w:hAnsi="Times New Roman;sans-serif"/>
          <w:b/>
          <w:color w:val="000000"/>
          <w:sz w:val="20"/>
        </w:rPr>
        <w:t>Number of Shares</w:t>
      </w:r>
      <w:r>
        <w:rPr>
          <w:rFonts w:ascii="Times New Roman;sans-serif" w:hAnsi="Times New Roman;sans-serif"/>
          <w:b w:val="false"/>
          <w:color w:val="000000"/>
          <w:sz w:val="20"/>
        </w:rPr>
        <w:t>. The Administrator will have complete discretion to determine the number of Shares subject to any Award of Stock Appreciation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7.3</w:t>
      </w:r>
      <w:r>
        <w:rPr>
          <w:rFonts w:ascii="Times New Roman;sans-serif" w:hAnsi="Times New Roman;sans-serif"/>
          <w:b/>
          <w:color w:val="000000"/>
          <w:sz w:val="20"/>
        </w:rPr>
        <w:t>Exercise Price and Other Terms</w:t>
      </w:r>
      <w:r>
        <w:rPr>
          <w:rFonts w:ascii="Times New Roman;sans-serif" w:hAnsi="Times New Roman;sans-serif"/>
          <w:b w:val="false"/>
          <w:color w:val="000000"/>
          <w:sz w:val="20"/>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7.4</w:t>
      </w:r>
      <w:r>
        <w:rPr>
          <w:rFonts w:ascii="Times New Roman;sans-serif" w:hAnsi="Times New Roman;sans-serif"/>
          <w:b/>
          <w:color w:val="000000"/>
          <w:sz w:val="20"/>
        </w:rPr>
        <w:t>Stock Appreciation Right Agreement</w:t>
      </w:r>
      <w:r>
        <w:rPr>
          <w:rFonts w:ascii="Times New Roman;sans-serif" w:hAnsi="Times New Roman;sans-serif"/>
          <w:b w:val="false"/>
          <w:color w:val="000000"/>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HorizontalLine"/>
        <w:rPr/>
      </w:pPr>
      <w:r>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46685"/>
                <wp:effectExtent l="0" t="0" r="0" b="0"/>
                <wp:wrapNone/>
                <wp:docPr id="642" name="Frame6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7.5</w:t>
      </w:r>
      <w:r>
        <w:rPr>
          <w:rFonts w:ascii="Times New Roman;sans-serif" w:hAnsi="Times New Roman;sans-serif"/>
          <w:b/>
          <w:color w:val="000000"/>
          <w:sz w:val="20"/>
        </w:rPr>
        <w:t>Expiration of Stock Appreciation Rights</w:t>
      </w:r>
      <w:r>
        <w:rPr>
          <w:rFonts w:ascii="Times New Roman;sans-serif" w:hAnsi="Times New Roman;sans-serif"/>
          <w:b w:val="false"/>
          <w:color w:val="000000"/>
          <w:sz w:val="20"/>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7.6</w:t>
      </w:r>
      <w:r>
        <w:rPr>
          <w:rFonts w:ascii="Times New Roman;sans-serif" w:hAnsi="Times New Roman;sans-serif"/>
          <w:b/>
          <w:color w:val="000000"/>
          <w:sz w:val="20"/>
        </w:rPr>
        <w:t>Payment of Stock Appreciation Right Amount</w:t>
      </w:r>
      <w:r>
        <w:rPr>
          <w:rFonts w:ascii="Times New Roman;sans-serif" w:hAnsi="Times New Roman;sans-serif"/>
          <w:b w:val="false"/>
          <w:color w:val="000000"/>
          <w:sz w:val="20"/>
        </w:rPr>
        <w:t>. Upon exercise of a Stock Appreciation Right, a Participant will be entitled to receive payment from the Company in an amount determined by multiplying: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difference between the Fair Market Value of a Share on the date of exercise over the exercise price; times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number of Shares with respect to which the Stock Appreciation Right is exercised.</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 the discretion of the Administrator, the payment upon Stock Appreciation Right exercise may be in cash, in Shares of equivalent value, or in some combination thereof.</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color w:val="000000"/>
          <w:sz w:val="20"/>
        </w:rPr>
        <w:t>Restricted Stock</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8.1</w:t>
      </w:r>
      <w:r>
        <w:rPr>
          <w:rFonts w:ascii="Times New Roman;sans-serif" w:hAnsi="Times New Roman;sans-serif"/>
          <w:b/>
          <w:color w:val="000000"/>
          <w:sz w:val="20"/>
        </w:rPr>
        <w:t>Grant of Restricted Stock</w:t>
      </w:r>
      <w:r>
        <w:rPr>
          <w:rFonts w:ascii="Times New Roman;sans-serif" w:hAnsi="Times New Roman;sans-serif"/>
          <w:b w:val="false"/>
          <w:color w:val="000000"/>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8.2</w:t>
      </w:r>
      <w:r>
        <w:rPr>
          <w:rFonts w:ascii="Times New Roman;sans-serif" w:hAnsi="Times New Roman;sans-serif"/>
          <w:b/>
          <w:color w:val="000000"/>
          <w:sz w:val="20"/>
        </w:rPr>
        <w:t>Restricted Stock Agreement</w:t>
      </w:r>
      <w:r>
        <w:rPr>
          <w:rFonts w:ascii="Times New Roman;sans-serif" w:hAnsi="Times New Roman;sans-serif"/>
          <w:b w:val="false"/>
          <w:color w:val="000000"/>
          <w:sz w:val="20"/>
        </w:rPr>
        <w:t xml:space="preserve">.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 </w:t>
      </w:r>
    </w:p>
    <w:p>
      <w:pPr>
        <w:pStyle w:val="TextBody"/>
        <w:spacing w:lineRule="auto" w:line="288" w:before="0" w:after="180"/>
        <w:ind w:left="0" w:right="0" w:firstLine="720"/>
        <w:jc w:val="both"/>
        <w:rPr/>
      </w:pPr>
      <w:r>
        <w:rPr>
          <w:rFonts w:ascii="Times New Roman;sans-serif" w:hAnsi="Times New Roman;sans-serif"/>
          <w:b w:val="false"/>
          <w:color w:val="000000"/>
          <w:sz w:val="20"/>
        </w:rPr>
        <w:t>8.3</w:t>
      </w:r>
      <w:r>
        <w:rPr>
          <w:rFonts w:ascii="Times New Roman;sans-serif" w:hAnsi="Times New Roman;sans-serif"/>
          <w:b/>
          <w:color w:val="000000"/>
          <w:sz w:val="20"/>
        </w:rPr>
        <w:t>Transferability</w:t>
      </w:r>
      <w:r>
        <w:rPr>
          <w:rFonts w:ascii="Times New Roman;sans-serif" w:hAnsi="Times New Roman;sans-serif"/>
          <w:b w:val="false"/>
          <w:color w:val="000000"/>
          <w:sz w:val="20"/>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spacing w:lineRule="auto" w:line="288" w:before="0" w:after="180"/>
        <w:ind w:left="0" w:right="0" w:firstLine="720"/>
        <w:jc w:val="both"/>
        <w:rPr/>
      </w:pPr>
      <w:r>
        <w:rPr>
          <w:rFonts w:ascii="Times New Roman;sans-serif" w:hAnsi="Times New Roman;sans-serif"/>
          <w:b w:val="false"/>
          <w:color w:val="000000"/>
          <w:sz w:val="20"/>
        </w:rPr>
        <w:t>8.4</w:t>
      </w:r>
      <w:r>
        <w:rPr>
          <w:rFonts w:ascii="Times New Roman;sans-serif" w:hAnsi="Times New Roman;sans-serif"/>
          <w:b/>
          <w:color w:val="000000"/>
          <w:sz w:val="20"/>
        </w:rPr>
        <w:t>Other Restrictions</w:t>
      </w:r>
      <w:r>
        <w:rPr>
          <w:rFonts w:ascii="Times New Roman;sans-serif" w:hAnsi="Times New Roman;sans-serif"/>
          <w:b w:val="false"/>
          <w:color w:val="000000"/>
          <w:sz w:val="20"/>
        </w:rPr>
        <w:t>. The Administrator, in its sole discretion, may impose such other restrictions on Shares of Restricted Stock as it may deem advisable or appropriate.</w:t>
      </w:r>
    </w:p>
    <w:p>
      <w:pPr>
        <w:pStyle w:val="TextBody"/>
        <w:spacing w:lineRule="auto" w:line="288" w:before="0" w:after="180"/>
        <w:ind w:left="0" w:right="0" w:firstLine="720"/>
        <w:jc w:val="both"/>
        <w:rPr/>
      </w:pPr>
      <w:r>
        <w:rPr>
          <w:rFonts w:ascii="Times New Roman;sans-serif" w:hAnsi="Times New Roman;sans-serif"/>
          <w:b w:val="false"/>
          <w:color w:val="000000"/>
          <w:sz w:val="20"/>
        </w:rPr>
        <w:t>8.5</w:t>
      </w:r>
      <w:r>
        <w:rPr>
          <w:rFonts w:ascii="Times New Roman;sans-serif" w:hAnsi="Times New Roman;sans-serif"/>
          <w:b/>
          <w:color w:val="000000"/>
          <w:sz w:val="20"/>
        </w:rPr>
        <w:t>Removal of Restrictions</w:t>
      </w:r>
      <w:r>
        <w:rPr>
          <w:rFonts w:ascii="Times New Roman;sans-serif" w:hAnsi="Times New Roman;sans-serif"/>
          <w:b w:val="false"/>
          <w:color w:val="000000"/>
          <w:sz w:val="20"/>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spacing w:lineRule="auto" w:line="288" w:before="0" w:after="180"/>
        <w:ind w:left="0" w:right="0" w:firstLine="720"/>
        <w:jc w:val="both"/>
        <w:rPr/>
      </w:pPr>
      <w:r>
        <w:rPr>
          <w:rFonts w:ascii="Times New Roman;sans-serif" w:hAnsi="Times New Roman;sans-serif"/>
          <w:b w:val="false"/>
          <w:color w:val="000000"/>
          <w:sz w:val="20"/>
        </w:rPr>
        <w:t>8.6</w:t>
      </w:r>
      <w:r>
        <w:rPr>
          <w:rFonts w:ascii="Times New Roman;sans-serif" w:hAnsi="Times New Roman;sans-serif"/>
          <w:b/>
          <w:color w:val="000000"/>
          <w:sz w:val="20"/>
        </w:rPr>
        <w:t>Voting Rights</w:t>
      </w:r>
      <w:r>
        <w:rPr>
          <w:rFonts w:ascii="Times New Roman;sans-serif" w:hAnsi="Times New Roman;sans-serif"/>
          <w:b w:val="false"/>
          <w:color w:val="000000"/>
          <w:sz w:val="20"/>
        </w:rPr>
        <w:t>. During the Period of Restriction, Service Providers holding Shares of Restricted Stock granted hereunder may exercise full voting rights with respect to those Shares, unless the Administrator determines otherwise.</w:t>
      </w:r>
    </w:p>
    <w:p>
      <w:pPr>
        <w:pStyle w:val="TextBody"/>
        <w:spacing w:lineRule="auto" w:line="288" w:before="0" w:after="180"/>
        <w:ind w:left="0" w:right="0" w:firstLine="720"/>
        <w:jc w:val="both"/>
        <w:rPr/>
      </w:pPr>
      <w:r>
        <w:rPr>
          <w:rFonts w:ascii="Times New Roman;sans-serif" w:hAnsi="Times New Roman;sans-serif"/>
          <w:b w:val="false"/>
          <w:color w:val="000000"/>
          <w:sz w:val="20"/>
        </w:rPr>
        <w:t>8.7</w:t>
      </w:r>
      <w:r>
        <w:rPr>
          <w:rFonts w:ascii="Times New Roman;sans-serif" w:hAnsi="Times New Roman;sans-serif"/>
          <w:b/>
          <w:color w:val="000000"/>
          <w:sz w:val="20"/>
        </w:rPr>
        <w:t>Dividends and Other Distributions</w:t>
      </w:r>
      <w:r>
        <w:rPr>
          <w:rFonts w:ascii="Times New Roman;sans-serif" w:hAnsi="Times New Roman;sans-serif"/>
          <w:b w:val="false"/>
          <w:color w:val="000000"/>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spacing w:lineRule="auto" w:line="288" w:before="0" w:after="180"/>
        <w:ind w:left="0" w:right="0" w:firstLine="720"/>
        <w:rPr/>
      </w:pPr>
      <w:r>
        <w:rPr>
          <w:rFonts w:ascii="Times New Roman;sans-serif" w:hAnsi="Times New Roman;sans-serif"/>
          <w:b w:val="false"/>
          <w:color w:val="000000"/>
          <w:sz w:val="20"/>
        </w:rPr>
        <w:t>8.8</w:t>
      </w:r>
      <w:r>
        <w:rPr>
          <w:rFonts w:ascii="Times New Roman;sans-serif" w:hAnsi="Times New Roman;sans-serif"/>
          <w:b/>
          <w:color w:val="000000"/>
          <w:sz w:val="20"/>
        </w:rPr>
        <w:t>Return of Restricted Stock to Company</w:t>
      </w:r>
      <w:r>
        <w:rPr>
          <w:rFonts w:ascii="Times New Roman;sans-serif" w:hAnsi="Times New Roman;sans-serif"/>
          <w:b w:val="false"/>
          <w:color w:val="000000"/>
          <w:sz w:val="20"/>
        </w:rPr>
        <w:t>. On the date set forth in the Award Agreement, the Restricted Stock for which restrictions have not lapsed will revert to the Company and again will become available for grant under the Plan.</w:t>
      </w:r>
    </w:p>
    <w:p>
      <w:pPr>
        <w:pStyle w:val="HorizontalLine"/>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46685"/>
                <wp:effectExtent l="0" t="0" r="0" b="0"/>
                <wp:wrapNone/>
                <wp:docPr id="643" name="Frame6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color w:val="000000"/>
          <w:sz w:val="20"/>
        </w:rPr>
        <w:t>Restricted Stock Units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9.1</w:t>
      </w:r>
      <w:r>
        <w:rPr>
          <w:rFonts w:ascii="Times New Roman;sans-serif" w:hAnsi="Times New Roman;sans-serif"/>
          <w:b/>
          <w:color w:val="000000"/>
          <w:sz w:val="20"/>
        </w:rPr>
        <w:t>Grant</w:t>
      </w:r>
      <w:r>
        <w:rPr>
          <w:rFonts w:ascii="Times New Roman;sans-serif" w:hAnsi="Times New Roman;sans-serif"/>
          <w:b w:val="false"/>
          <w:color w:val="000000"/>
          <w:sz w:val="20"/>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spacing w:lineRule="auto" w:line="288" w:before="0" w:after="180"/>
        <w:ind w:left="0" w:right="0" w:firstLine="720"/>
        <w:jc w:val="both"/>
        <w:rPr/>
      </w:pPr>
      <w:r>
        <w:rPr>
          <w:rFonts w:ascii="Times New Roman;sans-serif" w:hAnsi="Times New Roman;sans-serif"/>
          <w:b w:val="false"/>
          <w:color w:val="000000"/>
          <w:sz w:val="20"/>
        </w:rPr>
        <w:t>9.2</w:t>
      </w:r>
      <w:r>
        <w:rPr>
          <w:rFonts w:ascii="Times New Roman;sans-serif" w:hAnsi="Times New Roman;sans-serif"/>
          <w:b/>
          <w:color w:val="000000"/>
          <w:sz w:val="20"/>
        </w:rPr>
        <w:t>Vesting Criteria and Other Terms</w:t>
      </w:r>
      <w:r>
        <w:rPr>
          <w:rFonts w:ascii="Times New Roman;sans-serif" w:hAnsi="Times New Roman;sans-serif"/>
          <w:b w:val="false"/>
          <w:color w:val="000000"/>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spacing w:lineRule="auto" w:line="288" w:before="0" w:after="180"/>
        <w:ind w:left="0" w:right="0" w:firstLine="720"/>
        <w:jc w:val="both"/>
        <w:rPr/>
      </w:pPr>
      <w:r>
        <w:rPr>
          <w:rFonts w:ascii="Times New Roman;sans-serif" w:hAnsi="Times New Roman;sans-serif"/>
          <w:b w:val="false"/>
          <w:color w:val="000000"/>
          <w:sz w:val="20"/>
        </w:rPr>
        <w:t>9.3</w:t>
      </w:r>
      <w:r>
        <w:rPr>
          <w:rFonts w:ascii="Times New Roman;sans-serif" w:hAnsi="Times New Roman;sans-serif"/>
          <w:b/>
          <w:color w:val="000000"/>
          <w:sz w:val="20"/>
        </w:rPr>
        <w:t>Earning Restricted Stock Units</w:t>
      </w:r>
      <w:r>
        <w:rPr>
          <w:rFonts w:ascii="Times New Roman;sans-serif" w:hAnsi="Times New Roman;sans-serif"/>
          <w:b w:val="false"/>
          <w:color w:val="000000"/>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spacing w:lineRule="auto" w:line="288" w:before="0" w:after="180"/>
        <w:ind w:left="0" w:right="0" w:firstLine="720"/>
        <w:jc w:val="both"/>
        <w:rPr/>
      </w:pPr>
      <w:r>
        <w:rPr>
          <w:rFonts w:ascii="Times New Roman;sans-serif" w:hAnsi="Times New Roman;sans-serif"/>
          <w:b w:val="false"/>
          <w:color w:val="000000"/>
          <w:sz w:val="20"/>
        </w:rPr>
        <w:t>9.4</w:t>
      </w:r>
      <w:r>
        <w:rPr>
          <w:rFonts w:ascii="Times New Roman;sans-serif" w:hAnsi="Times New Roman;sans-serif"/>
          <w:b/>
          <w:color w:val="000000"/>
          <w:sz w:val="20"/>
        </w:rPr>
        <w:t>Form and Timing of Payment</w:t>
      </w:r>
      <w:r>
        <w:rPr>
          <w:rFonts w:ascii="Times New Roman;sans-serif" w:hAnsi="Times New Roman;sans-serif"/>
          <w:b w:val="false"/>
          <w:color w:val="000000"/>
          <w:sz w:val="20"/>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spacing w:lineRule="auto" w:line="288" w:before="0" w:after="180"/>
        <w:ind w:left="0" w:right="0" w:firstLine="720"/>
        <w:jc w:val="both"/>
        <w:rPr/>
      </w:pPr>
      <w:r>
        <w:rPr>
          <w:rFonts w:ascii="Times New Roman;sans-serif" w:hAnsi="Times New Roman;sans-serif"/>
          <w:b w:val="false"/>
          <w:color w:val="000000"/>
          <w:sz w:val="20"/>
        </w:rPr>
        <w:t>9.5</w:t>
      </w:r>
      <w:r>
        <w:rPr>
          <w:rFonts w:ascii="Times New Roman;sans-serif" w:hAnsi="Times New Roman;sans-serif"/>
          <w:b/>
          <w:color w:val="000000"/>
          <w:sz w:val="20"/>
        </w:rPr>
        <w:t>Cancellation</w:t>
      </w:r>
      <w:r>
        <w:rPr>
          <w:rFonts w:ascii="Times New Roman;sans-serif" w:hAnsi="Times New Roman;sans-serif"/>
          <w:b w:val="false"/>
          <w:color w:val="000000"/>
          <w:sz w:val="20"/>
        </w:rPr>
        <w:t>. On the date set forth in the Award Agreement, all unearned Restricted Stock Units will be forfeited to the Company.</w:t>
      </w:r>
    </w:p>
    <w:p>
      <w:pPr>
        <w:pStyle w:val="TextBody"/>
        <w:spacing w:lineRule="auto" w:line="288" w:before="0" w:after="180"/>
        <w:ind w:left="0" w:right="0" w:firstLine="360"/>
        <w:rPr/>
      </w:pPr>
      <w:r>
        <w:rPr>
          <w:rFonts w:ascii="Times New Roman;sans-serif" w:hAnsi="Times New Roman;sans-serif"/>
          <w:b w:val="false"/>
          <w:color w:val="000000"/>
          <w:sz w:val="20"/>
        </w:rPr>
        <w:t>10.</w:t>
      </w:r>
      <w:r>
        <w:rPr>
          <w:rFonts w:ascii="Times New Roman;sans-serif" w:hAnsi="Times New Roman;sans-serif"/>
          <w:b/>
          <w:color w:val="000000"/>
          <w:sz w:val="20"/>
        </w:rPr>
        <w:t>Performance Awards</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10.1</w:t>
      </w:r>
      <w:r>
        <w:rPr>
          <w:rFonts w:ascii="Times New Roman;sans-serif" w:hAnsi="Times New Roman;sans-serif"/>
          <w:b/>
          <w:color w:val="000000"/>
          <w:sz w:val="20"/>
        </w:rPr>
        <w:t>Award Agreement</w:t>
      </w:r>
      <w:r>
        <w:rPr>
          <w:rFonts w:ascii="Times New Roman;sans-serif" w:hAnsi="Times New Roman;sans-serif"/>
          <w:b w:val="false"/>
          <w:color w:val="000000"/>
          <w:sz w:val="20"/>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spacing w:lineRule="auto" w:line="288" w:before="0" w:after="180"/>
        <w:ind w:left="0" w:right="0" w:firstLine="720"/>
        <w:jc w:val="both"/>
        <w:rPr/>
      </w:pPr>
      <w:r>
        <w:rPr>
          <w:rFonts w:ascii="Times New Roman;sans-serif" w:hAnsi="Times New Roman;sans-serif"/>
          <w:b w:val="false"/>
          <w:color w:val="000000"/>
          <w:sz w:val="20"/>
        </w:rPr>
        <w:t>10.2</w:t>
      </w:r>
      <w:r>
        <w:rPr>
          <w:rFonts w:ascii="Times New Roman;sans-serif" w:hAnsi="Times New Roman;sans-serif"/>
          <w:b/>
          <w:color w:val="000000"/>
          <w:sz w:val="20"/>
        </w:rPr>
        <w:t>Objectives or Vesting Provisions and Other Terms</w:t>
      </w:r>
      <w:r>
        <w:rPr>
          <w:rFonts w:ascii="Times New Roman;sans-serif" w:hAnsi="Times New Roman;sans-serif"/>
          <w:b w:val="false"/>
          <w:color w:val="000000"/>
          <w:sz w:val="20"/>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spacing w:lineRule="auto" w:line="288" w:before="0" w:after="180"/>
        <w:ind w:left="0" w:right="0" w:firstLine="630"/>
        <w:rPr/>
      </w:pPr>
      <w:r>
        <w:rPr>
          <w:rFonts w:ascii="Times New Roman;sans-serif" w:hAnsi="Times New Roman;sans-serif"/>
          <w:b w:val="false"/>
          <w:color w:val="000000"/>
          <w:sz w:val="20"/>
        </w:rPr>
        <w:t>10.3</w:t>
      </w:r>
      <w:r>
        <w:rPr>
          <w:rFonts w:ascii="Times New Roman;sans-serif" w:hAnsi="Times New Roman;sans-serif"/>
          <w:b/>
          <w:color w:val="000000"/>
          <w:sz w:val="20"/>
        </w:rPr>
        <w:t>Earning Performance Awards</w:t>
      </w:r>
      <w:r>
        <w:rPr>
          <w:rFonts w:ascii="Times New Roman;sans-serif" w:hAnsi="Times New Roman;sans-serif"/>
          <w:b w:val="false"/>
          <w:color w:val="000000"/>
          <w:sz w:val="20"/>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spacing w:lineRule="auto" w:line="288" w:before="0" w:after="180"/>
        <w:ind w:left="0" w:right="0" w:firstLine="630"/>
        <w:jc w:val="both"/>
        <w:rPr/>
      </w:pPr>
      <w:r>
        <w:rPr>
          <w:rFonts w:ascii="Times New Roman;sans-serif" w:hAnsi="Times New Roman;sans-serif"/>
          <w:b w:val="false"/>
          <w:color w:val="000000"/>
          <w:sz w:val="20"/>
        </w:rPr>
        <w:t>10.4</w:t>
      </w:r>
      <w:r>
        <w:rPr>
          <w:rFonts w:ascii="Times New Roman;sans-serif" w:hAnsi="Times New Roman;sans-serif"/>
          <w:b/>
          <w:color w:val="000000"/>
          <w:sz w:val="20"/>
        </w:rPr>
        <w:t>Form and Timing of Payment</w:t>
      </w:r>
      <w:r>
        <w:rPr>
          <w:rFonts w:ascii="Times New Roman;sans-serif" w:hAnsi="Times New Roman;sans-serif"/>
          <w:b w:val="false"/>
          <w:color w:val="000000"/>
          <w:sz w:val="20"/>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spacing w:lineRule="auto" w:line="288" w:before="0" w:after="180"/>
        <w:ind w:left="0" w:right="0" w:firstLine="630"/>
        <w:jc w:val="both"/>
        <w:rPr/>
      </w:pPr>
      <w:r>
        <w:rPr>
          <w:rFonts w:ascii="Times New Roman;sans-serif" w:hAnsi="Times New Roman;sans-serif"/>
          <w:b w:val="false"/>
          <w:color w:val="000000"/>
          <w:sz w:val="20"/>
        </w:rPr>
        <w:t>10.5</w:t>
      </w:r>
      <w:r>
        <w:rPr>
          <w:rFonts w:ascii="Times New Roman;sans-serif" w:hAnsi="Times New Roman;sans-serif"/>
          <w:b/>
          <w:color w:val="000000"/>
          <w:sz w:val="20"/>
        </w:rPr>
        <w:t>Cancellation of Performance Awards</w:t>
      </w:r>
      <w:r>
        <w:rPr>
          <w:rFonts w:ascii="Times New Roman;sans-serif" w:hAnsi="Times New Roman;sans-serif"/>
          <w:b w:val="false"/>
          <w:color w:val="000000"/>
          <w:sz w:val="20"/>
        </w:rPr>
        <w:t>. On the date set forth in the Award Agreement, all unearned or unvested Performance Awards will be forfeited to the Company, and again will be available for grant under the Plan.</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color w:val="000000"/>
          <w:sz w:val="20"/>
        </w:rPr>
        <w:t>Outside Director Award Limitations</w:t>
      </w:r>
      <w:r>
        <w:rPr>
          <w:rFonts w:ascii="Times New Roman;sans-serif" w:hAnsi="Times New Roman;sans-serif"/>
          <w:b w:val="false"/>
          <w:color w:val="000000"/>
          <w:sz w:val="20"/>
        </w:rPr>
        <w:t xml:space="preserve">.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w:t>
      </w:r>
    </w:p>
    <w:p>
      <w:pPr>
        <w:pStyle w:val="HorizontalLine"/>
        <w:rPr/>
      </w:pPr>
      <w:r>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46685"/>
                <wp:effectExtent l="0" t="0" r="0" b="0"/>
                <wp:wrapNone/>
                <wp:docPr id="644" name="Frame6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 </w:t>
      </w:r>
    </w:p>
    <w:p>
      <w:pPr>
        <w:pStyle w:val="TextBody"/>
        <w:spacing w:lineRule="auto" w:line="288" w:before="0" w:after="180"/>
        <w:ind w:left="0" w:right="0" w:firstLine="360"/>
        <w:rPr/>
      </w:pPr>
      <w:r>
        <w:rPr>
          <w:rFonts w:ascii="Times New Roman;sans-serif" w:hAnsi="Times New Roman;sans-serif"/>
          <w:b w:val="false"/>
          <w:color w:val="000000"/>
          <w:sz w:val="20"/>
        </w:rPr>
        <w:t>12.</w:t>
      </w:r>
      <w:r>
        <w:rPr>
          <w:rFonts w:ascii="Times New Roman;sans-serif" w:hAnsi="Times New Roman;sans-serif"/>
          <w:b/>
          <w:color w:val="000000"/>
          <w:sz w:val="20"/>
        </w:rPr>
        <w:t>Compliance With Section 409A</w:t>
      </w:r>
      <w:r>
        <w:rPr>
          <w:rFonts w:ascii="Times New Roman;sans-serif" w:hAnsi="Times New Roman;sans-serif"/>
          <w:b w:val="false"/>
          <w:color w:val="000000"/>
          <w:sz w:val="20"/>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color w:val="000000"/>
          <w:sz w:val="20"/>
        </w:rPr>
        <w:t>Leaves of Absence/Transfer Between Locations</w:t>
      </w:r>
      <w:r>
        <w:rPr>
          <w:rFonts w:ascii="Times New Roman;sans-serif" w:hAnsi="Times New Roman;sans-serif"/>
          <w:b w:val="false"/>
          <w:color w:val="000000"/>
          <w:sz w:val="20"/>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color w:val="000000"/>
          <w:sz w:val="20"/>
        </w:rPr>
        <w:t>Limited Transferability of Awards</w:t>
      </w:r>
      <w:r>
        <w:rPr>
          <w:rFonts w:ascii="Times New Roman;sans-serif" w:hAnsi="Times New Roman;sans-serif"/>
          <w:b w:val="false"/>
          <w:color w:val="000000"/>
          <w:sz w:val="20"/>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color w:val="000000"/>
          <w:sz w:val="20"/>
        </w:rPr>
        <w:t>Adjustments; Dissolution or Liquidation; Merger or Change in Control</w:t>
      </w:r>
      <w:r>
        <w:rPr>
          <w:rFonts w:ascii="Times New Roman;sans-serif" w:hAnsi="Times New Roman;sans-serif"/>
          <w:b w:val="false"/>
          <w:color w:val="000000"/>
          <w:sz w:val="20"/>
        </w:rPr>
        <w:t>.</w:t>
      </w:r>
    </w:p>
    <w:p>
      <w:pPr>
        <w:pStyle w:val="TextBody"/>
        <w:spacing w:lineRule="auto" w:line="288" w:before="0" w:after="180"/>
        <w:ind w:left="0" w:right="0" w:firstLine="630"/>
        <w:jc w:val="both"/>
        <w:rPr/>
      </w:pPr>
      <w:r>
        <w:rPr>
          <w:rFonts w:ascii="Times New Roman;sans-serif" w:hAnsi="Times New Roman;sans-serif"/>
          <w:b w:val="false"/>
          <w:color w:val="000000"/>
          <w:sz w:val="20"/>
        </w:rPr>
        <w:t>15.1</w:t>
      </w:r>
      <w:r>
        <w:rPr>
          <w:rFonts w:ascii="Times New Roman;sans-serif" w:hAnsi="Times New Roman;sans-serif"/>
          <w:b/>
          <w:color w:val="000000"/>
          <w:sz w:val="20"/>
        </w:rPr>
        <w:t>Adjustments</w:t>
      </w:r>
      <w:r>
        <w:rPr>
          <w:rFonts w:ascii="Times New Roman;sans-serif" w:hAnsi="Times New Roman;sans-serif"/>
          <w:b w:val="false"/>
          <w:color w:val="000000"/>
          <w:sz w:val="20"/>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spacing w:lineRule="auto" w:line="288" w:before="0" w:after="180"/>
        <w:ind w:left="0" w:right="0" w:firstLine="630"/>
        <w:jc w:val="both"/>
        <w:rPr/>
      </w:pPr>
      <w:r>
        <w:rPr>
          <w:rFonts w:ascii="Times New Roman;sans-serif" w:hAnsi="Times New Roman;sans-serif"/>
          <w:b w:val="false"/>
          <w:color w:val="000000"/>
          <w:sz w:val="20"/>
        </w:rPr>
        <w:t>15.2</w:t>
      </w:r>
      <w:r>
        <w:rPr>
          <w:rFonts w:ascii="Times New Roman;sans-serif" w:hAnsi="Times New Roman;sans-serif"/>
          <w:b/>
          <w:color w:val="000000"/>
          <w:sz w:val="20"/>
        </w:rPr>
        <w:t>Dissolution or Liquidation</w:t>
      </w:r>
      <w:r>
        <w:rPr>
          <w:rFonts w:ascii="Times New Roman;sans-serif" w:hAnsi="Times New Roman;sans-serif"/>
          <w:b w:val="false"/>
          <w:color w:val="000000"/>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spacing w:lineRule="auto" w:line="288" w:before="0" w:after="180"/>
        <w:ind w:left="0" w:right="0" w:firstLine="630"/>
        <w:jc w:val="both"/>
        <w:rPr/>
      </w:pPr>
      <w:r>
        <w:rPr>
          <w:rFonts w:ascii="Times New Roman;sans-serif" w:hAnsi="Times New Roman;sans-serif"/>
          <w:b w:val="false"/>
          <w:color w:val="000000"/>
          <w:sz w:val="20"/>
        </w:rPr>
        <w:t>15.3</w:t>
      </w:r>
      <w:r>
        <w:rPr>
          <w:rFonts w:ascii="Times New Roman;sans-serif" w:hAnsi="Times New Roman;sans-serif"/>
          <w:b/>
          <w:color w:val="000000"/>
          <w:sz w:val="20"/>
        </w:rPr>
        <w:t>Merger or Change in Control</w:t>
      </w:r>
      <w:r>
        <w:rPr>
          <w:rFonts w:ascii="Times New Roman;sans-serif" w:hAnsi="Times New Roman;sans-serif"/>
          <w:b w:val="false"/>
          <w:color w:val="000000"/>
          <w:sz w:val="20"/>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w:t>
      </w:r>
    </w:p>
    <w:p>
      <w:pPr>
        <w:pStyle w:val="HorizontalLine"/>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46685"/>
                <wp:effectExtent l="0" t="0" r="0" b="0"/>
                <wp:wrapNone/>
                <wp:docPr id="645" name="Frame6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180"/>
        <w:jc w:val="right"/>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 </w:t>
      </w:r>
    </w:p>
    <w:p>
      <w:pPr>
        <w:pStyle w:val="HorizontalLine"/>
        <w:rPr/>
      </w:pPr>
      <w:r>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46685"/>
                <wp:effectExtent l="0" t="0" r="0" b="0"/>
                <wp:wrapNone/>
                <wp:docPr id="646" name="Frame6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180"/>
        <w:jc w:val="right"/>
        <w:rPr/>
      </w:pPr>
      <w:r>
        <w:rPr/>
      </w:r>
    </w:p>
    <w:p>
      <w:pPr>
        <w:pStyle w:val="TextBody"/>
        <w:spacing w:lineRule="auto" w:line="288"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spacing w:lineRule="auto" w:line="288" w:before="0" w:after="180"/>
        <w:ind w:left="0" w:right="0" w:firstLine="630"/>
        <w:jc w:val="both"/>
        <w:rPr/>
      </w:pPr>
      <w:r>
        <w:rPr>
          <w:rFonts w:ascii="Times New Roman;sans-serif" w:hAnsi="Times New Roman;sans-serif"/>
          <w:b w:val="false"/>
          <w:color w:val="000000"/>
          <w:sz w:val="20"/>
        </w:rPr>
        <w:t>15.4</w:t>
      </w:r>
      <w:r>
        <w:rPr>
          <w:rFonts w:ascii="Times New Roman;sans-serif" w:hAnsi="Times New Roman;sans-serif"/>
          <w:b/>
          <w:color w:val="000000"/>
          <w:sz w:val="20"/>
        </w:rPr>
        <w:t>Outside Director Awards</w:t>
      </w:r>
      <w:r>
        <w:rPr>
          <w:rFonts w:ascii="Times New Roman;sans-serif" w:hAnsi="Times New Roman;sans-serif"/>
          <w:b w:val="false"/>
          <w:color w:val="000000"/>
          <w:sz w:val="20"/>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color w:val="000000"/>
          <w:sz w:val="20"/>
        </w:rPr>
        <w:t>Tax Withholding</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16.1</w:t>
      </w:r>
      <w:r>
        <w:rPr>
          <w:rFonts w:ascii="Times New Roman;sans-serif" w:hAnsi="Times New Roman;sans-serif"/>
          <w:b/>
          <w:color w:val="000000"/>
          <w:sz w:val="20"/>
        </w:rPr>
        <w:t>Withholding Requirements</w:t>
      </w:r>
      <w:r>
        <w:rPr>
          <w:rFonts w:ascii="Times New Roman;sans-serif" w:hAnsi="Times New Roman;sans-serif"/>
          <w:b w:val="false"/>
          <w:color w:val="000000"/>
          <w:sz w:val="20"/>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noBreakHyphen/>
        <w:t xml:space="preserve">U.S., and other taxes (including the Participant’s FICA or other social insurance contribution obligation) required to be withheld or paid with respect to such Award (or exercise thereof). </w:t>
      </w:r>
    </w:p>
    <w:p>
      <w:pPr>
        <w:pStyle w:val="TextBody"/>
        <w:spacing w:lineRule="auto" w:line="288" w:before="0" w:after="180"/>
        <w:ind w:left="0" w:right="0" w:firstLine="720"/>
        <w:jc w:val="both"/>
        <w:rPr/>
      </w:pPr>
      <w:r>
        <w:rPr>
          <w:rFonts w:ascii="Times New Roman;sans-serif" w:hAnsi="Times New Roman;sans-serif"/>
          <w:b w:val="false"/>
          <w:color w:val="000000"/>
          <w:sz w:val="20"/>
        </w:rPr>
        <w:t>16.2</w:t>
      </w:r>
      <w:r>
        <w:rPr>
          <w:rFonts w:ascii="Times New Roman;sans-serif" w:hAnsi="Times New Roman;sans-serif"/>
          <w:b/>
          <w:color w:val="000000"/>
          <w:sz w:val="20"/>
        </w:rPr>
        <w:t>Withholding Arrangements</w:t>
      </w:r>
      <w:r>
        <w:rPr>
          <w:rFonts w:ascii="Times New Roman;sans-serif" w:hAnsi="Times New Roman;sans-serif"/>
          <w:b w:val="false"/>
          <w:color w:val="000000"/>
          <w:sz w:val="20"/>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spacing w:lineRule="auto" w:line="288" w:before="0" w:after="180"/>
        <w:ind w:left="0" w:right="0" w:firstLine="360"/>
        <w:rPr/>
      </w:pPr>
      <w:r>
        <w:rPr>
          <w:rFonts w:ascii="Times New Roman;sans-serif" w:hAnsi="Times New Roman;sans-serif"/>
          <w:b w:val="false"/>
          <w:color w:val="000000"/>
          <w:sz w:val="20"/>
        </w:rPr>
        <w:t>17.</w:t>
      </w:r>
      <w:r>
        <w:rPr>
          <w:rFonts w:ascii="Times New Roman;sans-serif" w:hAnsi="Times New Roman;sans-serif"/>
          <w:b/>
          <w:color w:val="000000"/>
          <w:sz w:val="20"/>
        </w:rPr>
        <w:t>No Effect on Employment or Service</w:t>
      </w:r>
      <w:r>
        <w:rPr>
          <w:rFonts w:ascii="Times New Roman;sans-serif" w:hAnsi="Times New Roman;sans-serif"/>
          <w:b w:val="false"/>
          <w:color w:val="000000"/>
          <w:sz w:val="20"/>
        </w:rPr>
        <w:t xml:space="preserve">.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w:t>
      </w:r>
    </w:p>
    <w:p>
      <w:pPr>
        <w:pStyle w:val="HorizontalLine"/>
        <w:rPr/>
      </w:pPr>
      <w:r>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46685"/>
                <wp:effectExtent l="0" t="0" r="0" b="0"/>
                <wp:wrapNone/>
                <wp:docPr id="647" name="Frame6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180"/>
        <w:jc w:val="right"/>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or Parents, as applicable, to terminate such relationship at any time, free from any liability or claim under the Plan.</w:t>
      </w:r>
    </w:p>
    <w:p>
      <w:pPr>
        <w:pStyle w:val="TextBody"/>
        <w:spacing w:lineRule="auto" w:line="288" w:before="0" w:after="180"/>
        <w:ind w:left="0" w:right="0" w:firstLine="360"/>
        <w:rPr/>
      </w:pPr>
      <w:r>
        <w:rPr>
          <w:rFonts w:ascii="Times New Roman;sans-serif" w:hAnsi="Times New Roman;sans-serif"/>
          <w:b w:val="false"/>
          <w:color w:val="000000"/>
          <w:sz w:val="20"/>
        </w:rPr>
        <w:t>18.</w:t>
      </w:r>
      <w:r>
        <w:rPr>
          <w:rFonts w:ascii="Times New Roman;sans-serif" w:hAnsi="Times New Roman;sans-serif"/>
          <w:b/>
          <w:color w:val="000000"/>
          <w:sz w:val="20"/>
        </w:rPr>
        <w:t>Date of Grant</w:t>
      </w:r>
      <w:r>
        <w:rPr>
          <w:rFonts w:ascii="Times New Roman;sans-serif" w:hAnsi="Times New Roman;sans-serif"/>
          <w:b w:val="false"/>
          <w:color w:val="000000"/>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color w:val="000000"/>
          <w:sz w:val="20"/>
        </w:rPr>
        <w:t>Term of Plan</w:t>
      </w:r>
      <w:r>
        <w:rPr>
          <w:rFonts w:ascii="Times New Roman;sans-serif" w:hAnsi="Times New Roman;sans-serif"/>
          <w:b w:val="false"/>
          <w:color w:val="000000"/>
          <w:sz w:val="20"/>
        </w:rPr>
        <w:t>. Subject to Section 23 of the Plan, the Plan will become effective upon the later to occur of (a) its adoption by the Board, (b) 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color w:val="000000"/>
          <w:sz w:val="20"/>
        </w:rPr>
        <w:t>Amendment and Termination of the Plan</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20.1</w:t>
      </w:r>
      <w:r>
        <w:rPr>
          <w:rFonts w:ascii="Times New Roman;sans-serif" w:hAnsi="Times New Roman;sans-serif"/>
          <w:b/>
          <w:color w:val="000000"/>
          <w:sz w:val="20"/>
        </w:rPr>
        <w:t>Amendment and Termination</w:t>
      </w:r>
      <w:r>
        <w:rPr>
          <w:rFonts w:ascii="Times New Roman;sans-serif" w:hAnsi="Times New Roman;sans-serif"/>
          <w:b w:val="false"/>
          <w:color w:val="000000"/>
          <w:sz w:val="20"/>
        </w:rPr>
        <w:t xml:space="preserve">. The Administrator, in its sole discretion, may amend, alter, suspend or terminate the Plan, or any part thereof, at any time and for any reason. </w:t>
      </w:r>
    </w:p>
    <w:p>
      <w:pPr>
        <w:pStyle w:val="TextBody"/>
        <w:spacing w:lineRule="auto" w:line="288" w:before="0" w:after="180"/>
        <w:ind w:left="0" w:right="0" w:firstLine="720"/>
        <w:jc w:val="both"/>
        <w:rPr/>
      </w:pPr>
      <w:r>
        <w:rPr>
          <w:rFonts w:ascii="Times New Roman;sans-serif" w:hAnsi="Times New Roman;sans-serif"/>
          <w:b w:val="false"/>
          <w:color w:val="000000"/>
          <w:sz w:val="20"/>
        </w:rPr>
        <w:t>20.2</w:t>
      </w:r>
      <w:r>
        <w:rPr>
          <w:rFonts w:ascii="Times New Roman;sans-serif" w:hAnsi="Times New Roman;sans-serif"/>
          <w:b/>
          <w:color w:val="000000"/>
          <w:sz w:val="20"/>
        </w:rPr>
        <w:t>Stockholder Approval</w:t>
      </w:r>
      <w:r>
        <w:rPr>
          <w:rFonts w:ascii="Times New Roman;sans-serif" w:hAnsi="Times New Roman;sans-serif"/>
          <w:b w:val="false"/>
          <w:color w:val="000000"/>
          <w:sz w:val="20"/>
        </w:rPr>
        <w:t xml:space="preserve">. The Company will obtain stockholder approval of any Plan amendment to the extent necessary and desirable to comply with Applicable Laws. </w:t>
      </w:r>
    </w:p>
    <w:p>
      <w:pPr>
        <w:pStyle w:val="TextBody"/>
        <w:spacing w:lineRule="auto" w:line="288" w:before="0" w:after="180"/>
        <w:ind w:left="0" w:right="0" w:firstLine="720"/>
        <w:jc w:val="both"/>
        <w:rPr/>
      </w:pPr>
      <w:r>
        <w:rPr>
          <w:rFonts w:ascii="Times New Roman;sans-serif" w:hAnsi="Times New Roman;sans-serif"/>
          <w:b w:val="false"/>
          <w:color w:val="000000"/>
          <w:sz w:val="20"/>
        </w:rPr>
        <w:t>20.3</w:t>
      </w:r>
      <w:r>
        <w:rPr>
          <w:rFonts w:ascii="Times New Roman;sans-serif" w:hAnsi="Times New Roman;sans-serif"/>
          <w:b/>
          <w:color w:val="000000"/>
          <w:sz w:val="20"/>
        </w:rPr>
        <w:t>Effect of Amendment or Termination</w:t>
      </w:r>
      <w:r>
        <w:rPr>
          <w:rFonts w:ascii="Times New Roman;sans-serif" w:hAnsi="Times New Roman;sans-serif"/>
          <w:b w:val="false"/>
          <w:color w:val="000000"/>
          <w:sz w:val="20"/>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color w:val="000000"/>
          <w:sz w:val="20"/>
        </w:rPr>
        <w:t>Conditions Upon Issuance of Shares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21.1</w:t>
      </w:r>
      <w:r>
        <w:rPr>
          <w:rFonts w:ascii="Times New Roman;sans-serif" w:hAnsi="Times New Roman;sans-serif"/>
          <w:b/>
          <w:color w:val="000000"/>
          <w:sz w:val="20"/>
        </w:rPr>
        <w:t>Legal Compliance</w:t>
      </w:r>
      <w:r>
        <w:rPr>
          <w:rFonts w:ascii="Times New Roman;sans-serif" w:hAnsi="Times New Roman;sans-serif"/>
          <w:b w:val="false"/>
          <w:color w:val="000000"/>
          <w:sz w:val="20"/>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spacing w:lineRule="auto" w:line="288" w:before="0" w:after="180"/>
        <w:ind w:left="0" w:right="0" w:firstLine="720"/>
        <w:jc w:val="both"/>
        <w:rPr/>
      </w:pPr>
      <w:r>
        <w:rPr>
          <w:rFonts w:ascii="Times New Roman;sans-serif" w:hAnsi="Times New Roman;sans-serif"/>
          <w:b w:val="false"/>
          <w:color w:val="000000"/>
          <w:sz w:val="20"/>
        </w:rPr>
        <w:t>21.2</w:t>
      </w:r>
      <w:r>
        <w:rPr>
          <w:rFonts w:ascii="Times New Roman;sans-serif" w:hAnsi="Times New Roman;sans-serif"/>
          <w:b/>
          <w:color w:val="000000"/>
          <w:sz w:val="20"/>
        </w:rPr>
        <w:t>Investment Representations</w:t>
      </w:r>
      <w:r>
        <w:rPr>
          <w:rFonts w:ascii="Times New Roman;sans-serif" w:hAnsi="Times New Roman;sans-serif"/>
          <w:b w:val="false"/>
          <w:color w:val="000000"/>
          <w:sz w:val="20"/>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color w:val="000000"/>
          <w:sz w:val="20"/>
        </w:rPr>
        <w:t>Inability to Obtain Authority</w:t>
      </w:r>
      <w:r>
        <w:rPr>
          <w:rFonts w:ascii="Times New Roman;sans-serif" w:hAnsi="Times New Roman;sans-serif"/>
          <w:b w:val="false"/>
          <w:color w:val="000000"/>
          <w:sz w:val="20"/>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p>
      <w:pPr>
        <w:pStyle w:val="TextBody"/>
        <w:spacing w:lineRule="auto" w:line="288" w:before="0" w:after="180"/>
        <w:ind w:left="0" w:right="0" w:firstLine="360"/>
        <w:rPr/>
      </w:pPr>
      <w:r>
        <w:rPr>
          <w:rFonts w:ascii="Times New Roman;sans-serif" w:hAnsi="Times New Roman;sans-serif"/>
          <w:b w:val="false"/>
          <w:color w:val="000000"/>
          <w:sz w:val="20"/>
        </w:rPr>
        <w:t>23.</w:t>
      </w:r>
      <w:r>
        <w:rPr>
          <w:rFonts w:ascii="Times New Roman;sans-serif" w:hAnsi="Times New Roman;sans-serif"/>
          <w:b/>
          <w:color w:val="000000"/>
          <w:sz w:val="20"/>
        </w:rPr>
        <w:t>Stockholder Approval</w:t>
      </w:r>
      <w:r>
        <w:rPr>
          <w:rFonts w:ascii="Times New Roman;sans-serif" w:hAnsi="Times New Roman;sans-serif"/>
          <w:b w:val="false"/>
          <w:color w:val="000000"/>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spacing w:lineRule="auto" w:line="288" w:before="0" w:after="180"/>
        <w:ind w:left="0" w:right="0" w:firstLine="360"/>
        <w:rPr/>
      </w:pPr>
      <w:r>
        <w:rPr>
          <w:rFonts w:ascii="Times New Roman;sans-serif" w:hAnsi="Times New Roman;sans-serif"/>
          <w:b w:val="false"/>
          <w:color w:val="000000"/>
          <w:sz w:val="20"/>
        </w:rPr>
        <w:t>24.</w:t>
      </w:r>
      <w:r>
        <w:rPr>
          <w:rFonts w:ascii="Times New Roman;sans-serif" w:hAnsi="Times New Roman;sans-serif"/>
          <w:b/>
          <w:color w:val="000000"/>
          <w:sz w:val="20"/>
        </w:rPr>
        <w:t>Forfeiture Events</w:t>
      </w:r>
      <w:r>
        <w:rPr>
          <w:rFonts w:ascii="Times New Roman;sans-serif" w:hAnsi="Times New Roman;sans-serif"/>
          <w:b w:val="false"/>
          <w:color w:val="000000"/>
          <w:sz w:val="20"/>
        </w:rPr>
        <w:t xml:space="preserve">.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w:t>
      </w:r>
    </w:p>
    <w:p>
      <w:pPr>
        <w:pStyle w:val="HorizontalLine"/>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46685"/>
                <wp:effectExtent l="0" t="0" r="0" b="0"/>
                <wp:wrapNone/>
                <wp:docPr id="648" name="Frame6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180"/>
        <w:jc w:val="right"/>
        <w:rPr/>
      </w:pPr>
      <w:r>
        <w:rPr/>
      </w:r>
    </w:p>
    <w:p>
      <w:pPr>
        <w:pStyle w:val="TextBody"/>
        <w:spacing w:lineRule="auto" w:line="288" w:before="0" w:after="180"/>
        <w:rPr/>
      </w:pPr>
      <w:r>
        <w:rPr>
          <w:rFonts w:ascii="Times New Roman;sans-serif" w:hAnsi="Times New Roman;sans-serif"/>
          <w:b w:val="false"/>
          <w:color w:val="000000"/>
          <w:sz w:val="20"/>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sans-serif" w:hAnsi="Times New Roman;sans-serif"/>
          <w:b/>
          <w:color w:val="000000"/>
          <w:sz w:val="20"/>
        </w:rPr>
        <w:t>Clawback Policy</w:t>
      </w:r>
      <w:r>
        <w:rPr>
          <w:color w:val="000000"/>
        </w:rPr>
        <w:t>”</w:t>
      </w:r>
      <w:r>
        <w:rPr>
          <w:rFonts w:ascii="Times New Roman;sans-serif" w:hAnsi="Times New Roman;sans-serif"/>
          <w:b w:val="false"/>
          <w:color w:val="000000"/>
          <w:sz w:val="20"/>
        </w:rPr>
        <w:t xml:space="preserve">).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 constitute an event that triggers or contributes to any right of a Participant to resign for “good reason” or “constructive termination” (or similar term) under any agreement with the Company or any Parent or Subsidiary of the Company.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46685"/>
                <wp:effectExtent l="0" t="0" r="0" b="0"/>
                <wp:wrapNone/>
                <wp:docPr id="649" name="Frame6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J</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ind w:left="0" w:right="0" w:firstLine="360"/>
        <w:rPr/>
      </w:pPr>
      <w:r>
        <w:rPr>
          <w:rFonts w:ascii="Times New Roman;sans-serif" w:hAnsi="Times New Roman;sans-serif"/>
          <w:b/>
          <w:color w:val="000000"/>
          <w:sz w:val="20"/>
        </w:rPr>
        <w:t>1.</w:t>
      </w:r>
      <w:r>
        <w:rPr>
          <w:rFonts w:ascii="Times New Roman;sans-serif" w:hAnsi="Times New Roman;sans-serif"/>
          <w:b w:val="false"/>
          <w:color w:val="000000"/>
          <w:sz w:val="20"/>
          <w:u w:val="single"/>
        </w:rPr>
        <w:t>Purpose</w:t>
      </w:r>
      <w:r>
        <w:rPr>
          <w:rFonts w:ascii="Times New Roman;sans-serif" w:hAnsi="Times New Roman;sans-serif"/>
          <w:b w:val="false"/>
          <w:color w:val="000000"/>
          <w:sz w:val="20"/>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sans-serif" w:hAnsi="Times New Roman;sans-serif"/>
          <w:b/>
          <w:color w:val="000000"/>
          <w:sz w:val="20"/>
        </w:rPr>
        <w:t>423 Component</w:t>
      </w:r>
      <w:r>
        <w:rPr>
          <w:color w:val="000000"/>
        </w:rPr>
        <w:t>”</w:t>
      </w:r>
      <w:r>
        <w:rPr>
          <w:rFonts w:ascii="Times New Roman;sans-serif" w:hAnsi="Times New Roman;sans-serif"/>
          <w:b w:val="false"/>
          <w:color w:val="000000"/>
          <w:sz w:val="20"/>
        </w:rPr>
        <w:t>) and a component that is not intended to qualify as an “employee stock purchase plan” under Code Section 423 (the “</w:t>
      </w:r>
      <w:r>
        <w:rPr>
          <w:rFonts w:ascii="Times New Roman;sans-serif" w:hAnsi="Times New Roman;sans-serif"/>
          <w:b/>
          <w:color w:val="000000"/>
          <w:sz w:val="20"/>
        </w:rPr>
        <w:t>Non</w:t>
        <w:noBreakHyphen/>
        <w:t>423 Component</w:t>
      </w:r>
      <w:r>
        <w:rPr>
          <w:color w:val="000000"/>
        </w:rPr>
        <w:t>”</w:t>
      </w:r>
      <w:r>
        <w:rPr>
          <w:rFonts w:ascii="Times New Roman;sans-serif" w:hAnsi="Times New Roman;sans-serif"/>
          <w:b w:val="false"/>
          <w:color w:val="000000"/>
          <w:sz w:val="20"/>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noBreakHyphen/>
        <w:t>423 Component that does not qualify as an “employee stock purchase plan” under Code Section 423; an option granted under the Non</w:t>
        <w:noBreakHyphen/>
        <w:t>423 Component will provide for substantially the same benefits as an option granted under the 423 Component, except that a Non</w:t>
        <w:noBreakHyphen/>
        <w:t>423 Component option may include features necessary to comply with applicable non</w:t>
        <w:noBreakHyphen/>
        <w:t>U.S. laws pursuant to rules, procedures or sub</w:t>
        <w:noBreakHyphen/>
        <w:t>plans adopted by the Administrator. Except as otherwise provided herein or by the Administrator, the Non</w:t>
        <w:noBreakHyphen/>
        <w:t>423 Component will operate and be administered in the same manner as the 423 Component.</w:t>
      </w:r>
    </w:p>
    <w:p>
      <w:pPr>
        <w:pStyle w:val="TextBody"/>
        <w:spacing w:lineRule="auto" w:line="288" w:before="0" w:after="180"/>
        <w:ind w:left="0" w:right="0" w:firstLine="360"/>
        <w:rPr/>
      </w:pPr>
      <w:r>
        <w:rPr>
          <w:rFonts w:ascii="Times New Roman;sans-serif" w:hAnsi="Times New Roman;sans-serif"/>
          <w:b/>
          <w:color w:val="000000"/>
          <w:sz w:val="20"/>
        </w:rPr>
        <w:t>2.</w:t>
      </w:r>
      <w:r>
        <w:rPr>
          <w:rFonts w:ascii="Times New Roman;sans-serif" w:hAnsi="Times New Roman;sans-serif"/>
          <w:b/>
          <w:color w:val="000000"/>
          <w:sz w:val="20"/>
        </w:rPr>
        <w:t>Definitions</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val="false"/>
          <w:color w:val="000000"/>
          <w:sz w:val="20"/>
        </w:rPr>
        <w:t>2.1</w:t>
      </w:r>
      <w:r>
        <w:rPr>
          <w:color w:val="000000"/>
        </w:rPr>
        <w:t>“</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means the Board or any Committee designated by the Board to administer the Plan pursuant to Section 3.</w:t>
      </w:r>
    </w:p>
    <w:p>
      <w:pPr>
        <w:pStyle w:val="TextBody"/>
        <w:spacing w:lineRule="auto" w:line="288" w:before="0" w:after="180"/>
        <w:ind w:left="0" w:right="0" w:firstLine="720"/>
        <w:rPr/>
      </w:pPr>
      <w:r>
        <w:rPr>
          <w:rFonts w:ascii="Times New Roman;sans-serif" w:hAnsi="Times New Roman;sans-serif"/>
          <w:b w:val="false"/>
          <w:color w:val="000000"/>
          <w:sz w:val="20"/>
        </w:rPr>
        <w:t>2.2</w:t>
      </w:r>
      <w:r>
        <w:rPr>
          <w:color w:val="000000"/>
        </w:rPr>
        <w:t>“</w:t>
      </w:r>
      <w:r>
        <w:rPr>
          <w:rFonts w:ascii="Times New Roman;sans-serif" w:hAnsi="Times New Roman;sans-serif"/>
          <w:b/>
          <w:color w:val="000000"/>
          <w:sz w:val="20"/>
        </w:rPr>
        <w:t>Applicable Laws</w:t>
      </w:r>
      <w:r>
        <w:rPr>
          <w:color w:val="000000"/>
        </w:rPr>
        <w:t xml:space="preserve">” </w:t>
      </w:r>
      <w:r>
        <w:rPr>
          <w:rFonts w:ascii="Times New Roman;sans-serif" w:hAnsi="Times New Roman;sans-serif"/>
          <w:b w:val="false"/>
          <w:color w:val="000000"/>
          <w:sz w:val="20"/>
        </w:rPr>
        <w:t>means the legal and regulatory requirements relating to the administration of equity</w:t>
        <w:noBreakHyphen/>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noBreakHyphen/>
        <w:t>U.S. country or jurisdiction where options are, or will be, granted under the Plan.</w:t>
      </w:r>
    </w:p>
    <w:p>
      <w:pPr>
        <w:pStyle w:val="TextBody"/>
        <w:spacing w:lineRule="auto" w:line="288" w:before="0" w:after="180"/>
        <w:ind w:left="0" w:right="0" w:firstLine="720"/>
        <w:rPr/>
      </w:pPr>
      <w:r>
        <w:rPr>
          <w:rFonts w:ascii="Times New Roman;sans-serif" w:hAnsi="Times New Roman;sans-serif"/>
          <w:b w:val="false"/>
          <w:color w:val="000000"/>
          <w:sz w:val="20"/>
        </w:rPr>
        <w:t>2.3</w:t>
      </w: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ind w:left="0" w:right="0" w:firstLine="720"/>
        <w:rPr/>
      </w:pPr>
      <w:r>
        <w:rPr>
          <w:rFonts w:ascii="Times New Roman;sans-serif" w:hAnsi="Times New Roman;sans-serif"/>
          <w:b w:val="false"/>
          <w:color w:val="000000"/>
          <w:sz w:val="20"/>
        </w:rPr>
        <w:t>2.4</w:t>
      </w: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occurrence of any of the following events: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color w:val="000000"/>
          <w:sz w:val="20"/>
        </w:rPr>
        <w:t>Change in Ownership of the Company</w:t>
      </w:r>
      <w:r>
        <w:rPr>
          <w:rFonts w:ascii="Times New Roman;sans-serif" w:hAnsi="Times New Roman;sans-serif"/>
          <w:b w:val="false"/>
          <w:color w:val="000000"/>
          <w:sz w:val="20"/>
        </w:rPr>
        <w:t>. A change in the ownership of the Company which occurs on the date that any one 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color w:val="000000"/>
          <w:sz w:val="20"/>
        </w:rPr>
        <w:t>Change in Effective Control of the Company</w:t>
      </w:r>
      <w:r>
        <w:rPr>
          <w:rFonts w:ascii="Times New Roman;sans-serif" w:hAnsi="Times New Roman;sans-serif"/>
          <w:b w:val="false"/>
          <w:color w:val="000000"/>
          <w:sz w:val="20"/>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w:t>
      </w:r>
    </w:p>
    <w:p>
      <w:pPr>
        <w:pStyle w:val="HorizontalLine"/>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46685"/>
                <wp:effectExtent l="0" t="0" r="0" b="0"/>
                <wp:wrapNone/>
                <wp:docPr id="650" name="Frame6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control of the Company, the acquisition of additional control of the Company by the same Person will not be considered a Change in Control; or</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color w:val="000000"/>
          <w:sz w:val="20"/>
        </w:rPr>
        <w:t>Change in Ownership of a Substantial Portion of the Company’s Assets</w:t>
      </w:r>
      <w:r>
        <w:rPr>
          <w:rFonts w:ascii="Times New Roman;sans-serif" w:hAnsi="Times New Roman;sans-serif"/>
          <w:b w:val="false"/>
          <w:color w:val="000000"/>
          <w:sz w:val="20"/>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purposes of this Section 2.4, persons will be considered to be acting as a group if they are owners of a corporation that enters into a merger, consolidation, purchase or acquisition of stock, or similar business transaction with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will not be deemed a Change in Control unless the transaction qualifies as a change in control event within the meaning of Section 409A.</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spacing w:lineRule="auto" w:line="288" w:before="0" w:after="180"/>
        <w:ind w:left="0" w:right="0" w:firstLine="720"/>
        <w:rPr/>
      </w:pPr>
      <w:r>
        <w:rPr>
          <w:rFonts w:ascii="Times New Roman;sans-serif" w:hAnsi="Times New Roman;sans-serif"/>
          <w:b w:val="false"/>
          <w:color w:val="000000"/>
          <w:sz w:val="20"/>
        </w:rPr>
        <w:t>2.5</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720"/>
        <w:rPr/>
      </w:pPr>
      <w:r>
        <w:rPr>
          <w:rFonts w:ascii="Times New Roman;sans-serif" w:hAnsi="Times New Roman;sans-serif"/>
          <w:b w:val="false"/>
          <w:color w:val="000000"/>
          <w:sz w:val="20"/>
        </w:rPr>
        <w:t>2.6</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a committee of the Board appointed in accordance with Section 3 hereof.</w:t>
      </w:r>
    </w:p>
    <w:p>
      <w:pPr>
        <w:pStyle w:val="TextBody"/>
        <w:spacing w:lineRule="auto" w:line="288" w:before="0" w:after="180"/>
        <w:ind w:left="0" w:right="0" w:firstLine="720"/>
        <w:rPr/>
      </w:pPr>
      <w:r>
        <w:rPr>
          <w:rFonts w:ascii="Times New Roman;sans-serif" w:hAnsi="Times New Roman;sans-serif"/>
          <w:b w:val="false"/>
          <w:color w:val="000000"/>
          <w:sz w:val="20"/>
        </w:rPr>
        <w:t>2.7</w:t>
      </w: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spacing w:lineRule="auto" w:line="288" w:before="0" w:after="180"/>
        <w:ind w:left="0" w:right="0" w:firstLine="720"/>
        <w:rPr/>
      </w:pPr>
      <w:r>
        <w:rPr>
          <w:rFonts w:ascii="Times New Roman;sans-serif" w:hAnsi="Times New Roman;sans-serif"/>
          <w:b w:val="false"/>
          <w:color w:val="000000"/>
          <w:sz w:val="20"/>
        </w:rPr>
        <w:t>2.8</w:t>
      </w: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pStyle w:val="TextBody"/>
        <w:spacing w:lineRule="auto" w:line="288" w:before="0" w:after="180"/>
        <w:ind w:left="0" w:right="0" w:firstLine="720"/>
        <w:rPr/>
      </w:pPr>
      <w:r>
        <w:rPr>
          <w:rFonts w:ascii="Times New Roman;sans-serif" w:hAnsi="Times New Roman;sans-serif"/>
          <w:b w:val="false"/>
          <w:color w:val="000000"/>
          <w:sz w:val="20"/>
        </w:rPr>
        <w:t>2.9</w:t>
      </w:r>
      <w:r>
        <w:rPr>
          <w:color w:val="000000"/>
        </w:rPr>
        <w:t>“</w:t>
      </w:r>
      <w:r>
        <w:rPr>
          <w:rFonts w:ascii="Times New Roman;sans-serif" w:hAnsi="Times New Roman;sans-serif"/>
          <w:b/>
          <w:color w:val="000000"/>
          <w:sz w:val="20"/>
        </w:rPr>
        <w:t>Compensation</w:t>
      </w:r>
      <w:r>
        <w:rPr>
          <w:color w:val="000000"/>
        </w:rPr>
        <w:t xml:space="preserve">” </w:t>
      </w:r>
      <w:r>
        <w:rPr>
          <w:rFonts w:ascii="Times New Roman;sans-serif" w:hAnsi="Times New Roman;sans-serif"/>
          <w:b w:val="false"/>
          <w:color w:val="000000"/>
          <w:sz w:val="20"/>
        </w:rPr>
        <w:t>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pStyle w:val="TextBody"/>
        <w:spacing w:lineRule="auto" w:line="288" w:before="0" w:after="180"/>
        <w:ind w:left="0" w:right="0" w:firstLine="720"/>
        <w:rPr/>
      </w:pPr>
      <w:r>
        <w:rPr>
          <w:rFonts w:ascii="Times New Roman;sans-serif" w:hAnsi="Times New Roman;sans-serif"/>
          <w:b w:val="false"/>
          <w:color w:val="000000"/>
          <w:sz w:val="20"/>
        </w:rPr>
        <w:t>2.10</w:t>
      </w:r>
      <w:r>
        <w:rPr>
          <w:color w:val="000000"/>
        </w:rPr>
        <w:t>“</w:t>
      </w:r>
      <w:r>
        <w:rPr>
          <w:rFonts w:ascii="Times New Roman;sans-serif" w:hAnsi="Times New Roman;sans-serif"/>
          <w:b/>
          <w:color w:val="000000"/>
          <w:sz w:val="20"/>
        </w:rPr>
        <w:t>Contributions</w:t>
      </w:r>
      <w:r>
        <w:rPr>
          <w:color w:val="000000"/>
        </w:rPr>
        <w:t xml:space="preserve">” </w:t>
      </w:r>
      <w:r>
        <w:rPr>
          <w:rFonts w:ascii="Times New Roman;sans-serif" w:hAnsi="Times New Roman;sans-serif"/>
          <w:b w:val="false"/>
          <w:color w:val="000000"/>
          <w:sz w:val="20"/>
        </w:rPr>
        <w:t>means the payroll deductions and other additional payments that the Company may permit to be made by a Participant to fund the exercise of options granted pursuant to the Plan.</w:t>
      </w:r>
    </w:p>
    <w:p>
      <w:pPr>
        <w:pStyle w:val="TextBody"/>
        <w:spacing w:lineRule="auto" w:line="288" w:before="0" w:after="180"/>
        <w:ind w:left="0" w:right="0" w:firstLine="720"/>
        <w:rPr/>
      </w:pPr>
      <w:r>
        <w:rPr>
          <w:rFonts w:ascii="Times New Roman;sans-serif" w:hAnsi="Times New Roman;sans-serif"/>
          <w:b w:val="false"/>
          <w:color w:val="000000"/>
          <w:sz w:val="20"/>
        </w:rPr>
        <w:t>2.11</w:t>
      </w:r>
      <w:r>
        <w:rPr>
          <w:color w:val="000000"/>
        </w:rPr>
        <w:t>“</w:t>
      </w:r>
      <w:r>
        <w:rPr>
          <w:rFonts w:ascii="Times New Roman;sans-serif" w:hAnsi="Times New Roman;sans-serif"/>
          <w:b/>
          <w:color w:val="000000"/>
          <w:sz w:val="20"/>
        </w:rPr>
        <w:t>Designated Company</w:t>
      </w:r>
      <w:r>
        <w:rPr>
          <w:color w:val="000000"/>
        </w:rPr>
        <w:t xml:space="preserve">” </w:t>
      </w:r>
      <w:r>
        <w:rPr>
          <w:rFonts w:ascii="Times New Roman;sans-serif" w:hAnsi="Times New Roman;sans-serif"/>
          <w:b w:val="false"/>
          <w:color w:val="000000"/>
          <w:sz w:val="20"/>
        </w:rPr>
        <w:t xml:space="preserve">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w:t>
      </w:r>
    </w:p>
    <w:p>
      <w:pPr>
        <w:pStyle w:val="HorizontalLine"/>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46685"/>
                <wp:effectExtent l="0" t="0" r="0" b="0"/>
                <wp:wrapNone/>
                <wp:docPr id="651" name="Frame6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Subsidiary that is a Designated Company under the 423 Component will not be a Designated Company under the Non</w:t>
        <w:noBreakHyphen/>
        <w:t>423 Component.</w:t>
      </w:r>
    </w:p>
    <w:p>
      <w:pPr>
        <w:pStyle w:val="TextBody"/>
        <w:spacing w:lineRule="auto" w:line="288" w:before="0" w:after="180"/>
        <w:ind w:left="0" w:right="0" w:firstLine="720"/>
        <w:rPr/>
      </w:pPr>
      <w:r>
        <w:rPr>
          <w:rFonts w:ascii="Times New Roman;sans-serif" w:hAnsi="Times New Roman;sans-serif"/>
          <w:b w:val="false"/>
          <w:color w:val="000000"/>
          <w:sz w:val="20"/>
        </w:rPr>
        <w:t>2.12</w:t>
      </w:r>
      <w:r>
        <w:rPr>
          <w:color w:val="000000"/>
        </w:rPr>
        <w:t>“</w:t>
      </w:r>
      <w:r>
        <w:rPr>
          <w:rFonts w:ascii="Times New Roman;sans-serif" w:hAnsi="Times New Roman;sans-serif"/>
          <w:b/>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TextBody"/>
        <w:spacing w:lineRule="auto" w:line="288" w:before="0" w:after="180"/>
        <w:ind w:left="0" w:right="0" w:firstLine="720"/>
        <w:rPr/>
      </w:pPr>
      <w:r>
        <w:rPr>
          <w:rFonts w:ascii="Times New Roman;sans-serif" w:hAnsi="Times New Roman;sans-serif"/>
          <w:b w:val="false"/>
          <w:color w:val="000000"/>
          <w:sz w:val="20"/>
        </w:rPr>
        <w:t>2.13</w:t>
      </w:r>
      <w:r>
        <w:rPr>
          <w:color w:val="000000"/>
        </w:rPr>
        <w:t>“</w:t>
      </w:r>
      <w:r>
        <w:rPr>
          <w:rFonts w:ascii="Times New Roman;sans-serif" w:hAnsi="Times New Roman;sans-serif"/>
          <w:b/>
          <w:color w:val="000000"/>
          <w:sz w:val="20"/>
        </w:rPr>
        <w:t>Effective</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Times New Roman;sans-serif" w:hAnsi="Times New Roman;sans-serif"/>
          <w:b/>
          <w:color w:val="000000"/>
          <w:sz w:val="20"/>
        </w:rPr>
        <w:t>Merger</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firstLine="720"/>
        <w:rPr/>
      </w:pPr>
      <w:r>
        <w:rPr>
          <w:rFonts w:ascii="Times New Roman;sans-serif" w:hAnsi="Times New Roman;sans-serif"/>
          <w:b w:val="false"/>
          <w:color w:val="000000"/>
          <w:sz w:val="20"/>
        </w:rPr>
        <w:t>2.14</w:t>
      </w:r>
      <w:r>
        <w:rPr>
          <w:color w:val="000000"/>
        </w:rPr>
        <w:t>“</w:t>
      </w:r>
      <w:r>
        <w:rPr>
          <w:rFonts w:ascii="Times New Roman;sans-serif" w:hAnsi="Times New Roman;sans-serif"/>
          <w:b/>
          <w:color w:val="000000"/>
          <w:sz w:val="20"/>
        </w:rPr>
        <w:t>Eligible</w:t>
      </w:r>
      <w:r>
        <w:rPr>
          <w:color w:val="000000"/>
        </w:rPr>
        <w:t xml:space="preserve"> </w:t>
      </w:r>
      <w:r>
        <w:rPr>
          <w:rFonts w:ascii="Times New Roman;sans-serif" w:hAnsi="Times New Roman;sans-serif"/>
          <w:b/>
          <w:color w:val="000000"/>
          <w:sz w:val="20"/>
        </w:rPr>
        <w:t>Employee</w:t>
      </w:r>
      <w:r>
        <w:rPr>
          <w:color w:val="000000"/>
        </w:rPr>
        <w:t xml:space="preserve">” </w:t>
      </w:r>
      <w:r>
        <w:rPr>
          <w:rFonts w:ascii="Times New Roman;sans-serif" w:hAnsi="Times New Roman;sans-serif"/>
          <w:b w:val="false"/>
          <w:color w:val="000000"/>
          <w:sz w:val="20"/>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noBreakHyphen/>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noBreakHyphen/>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noBreakHyphen/>
        <w:t>2(e)(2)(ii). Such exclusions may be applied with respect to an Offering under the Non</w:t>
        <w:noBreakHyphen/>
        <w:t>423 Component without regard to the limitations of U.S. Treasury Regulations Section 1.423</w:t>
        <w:noBreakHyphen/>
        <w:t>2.</w:t>
      </w:r>
    </w:p>
    <w:p>
      <w:pPr>
        <w:pStyle w:val="TextBody"/>
        <w:spacing w:lineRule="auto" w:line="288" w:before="0" w:after="180"/>
        <w:ind w:left="0" w:right="0" w:firstLine="720"/>
        <w:rPr/>
      </w:pPr>
      <w:r>
        <w:rPr>
          <w:rFonts w:ascii="Times New Roman;sans-serif" w:hAnsi="Times New Roman;sans-serif"/>
          <w:b w:val="false"/>
          <w:color w:val="000000"/>
          <w:sz w:val="20"/>
        </w:rPr>
        <w:t>2.15</w:t>
      </w:r>
      <w:r>
        <w:rPr>
          <w:color w:val="000000"/>
        </w:rPr>
        <w:t>“</w:t>
      </w:r>
      <w:r>
        <w:rPr>
          <w:rFonts w:ascii="Times New Roman;sans-serif" w:hAnsi="Times New Roman;sans-serif"/>
          <w:b/>
          <w:color w:val="000000"/>
          <w:sz w:val="20"/>
        </w:rPr>
        <w:t>Employer</w:t>
      </w:r>
      <w:r>
        <w:rPr>
          <w:color w:val="000000"/>
        </w:rPr>
        <w:t xml:space="preserve">” </w:t>
      </w:r>
      <w:r>
        <w:rPr>
          <w:rFonts w:ascii="Times New Roman;sans-serif" w:hAnsi="Times New Roman;sans-serif"/>
          <w:b w:val="false"/>
          <w:color w:val="000000"/>
          <w:sz w:val="20"/>
        </w:rPr>
        <w:t>means the employer of the applicable Eligible Employee(s).</w:t>
      </w:r>
    </w:p>
    <w:p>
      <w:pPr>
        <w:pStyle w:val="TextBody"/>
        <w:spacing w:lineRule="auto" w:line="288" w:before="0" w:after="180"/>
        <w:ind w:left="0" w:right="0" w:firstLine="720"/>
        <w:rPr/>
      </w:pPr>
      <w:r>
        <w:rPr>
          <w:rFonts w:ascii="Times New Roman;sans-serif" w:hAnsi="Times New Roman;sans-serif"/>
          <w:b w:val="false"/>
          <w:color w:val="000000"/>
          <w:sz w:val="20"/>
        </w:rPr>
        <w:t>2.16</w:t>
      </w:r>
      <w:r>
        <w:rPr>
          <w:color w:val="000000"/>
        </w:rPr>
        <w:t>“</w:t>
      </w:r>
      <w:r>
        <w:rPr>
          <w:rFonts w:ascii="Times New Roman;sans-serif" w:hAnsi="Times New Roman;sans-serif"/>
          <w:b/>
          <w:color w:val="000000"/>
          <w:sz w:val="20"/>
        </w:rPr>
        <w:t>Enrollment</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first Trading Day of each Offering Period.</w:t>
      </w:r>
    </w:p>
    <w:p>
      <w:pPr>
        <w:pStyle w:val="TextBody"/>
        <w:spacing w:lineRule="auto" w:line="288" w:before="0" w:after="180"/>
        <w:ind w:left="0" w:right="0" w:firstLine="720"/>
        <w:rPr/>
      </w:pPr>
      <w:r>
        <w:rPr>
          <w:rFonts w:ascii="Times New Roman;sans-serif" w:hAnsi="Times New Roman;sans-serif"/>
          <w:b w:val="false"/>
          <w:color w:val="000000"/>
          <w:sz w:val="20"/>
        </w:rPr>
        <w:t>2.17</w:t>
      </w:r>
      <w:r>
        <w:rPr>
          <w:color w:val="000000"/>
        </w:rPr>
        <w:t>“</w:t>
      </w:r>
      <w:r>
        <w:rPr>
          <w:rFonts w:ascii="Times New Roman;sans-serif" w:hAnsi="Times New Roman;sans-serif"/>
          <w:b/>
          <w:color w:val="000000"/>
          <w:sz w:val="20"/>
        </w:rPr>
        <w:t>Exchange</w:t>
      </w:r>
      <w:r>
        <w:rPr>
          <w:color w:val="000000"/>
        </w:rPr>
        <w:t xml:space="preserve"> </w:t>
      </w:r>
      <w:r>
        <w:rPr>
          <w:rFonts w:ascii="Times New Roman;sans-serif" w:hAnsi="Times New Roman;sans-serif"/>
          <w:b/>
          <w:color w:val="000000"/>
          <w:sz w:val="20"/>
        </w:rPr>
        <w:t>Act</w:t>
      </w:r>
      <w:r>
        <w:rPr>
          <w:color w:val="000000"/>
        </w:rPr>
        <w:t xml:space="preserve">” </w:t>
      </w:r>
      <w:r>
        <w:rPr>
          <w:rFonts w:ascii="Times New Roman;sans-serif" w:hAnsi="Times New Roman;sans-serif"/>
          <w:b w:val="false"/>
          <w:color w:val="000000"/>
          <w:sz w:val="20"/>
        </w:rPr>
        <w:t>means the U.S. Securities Exchange Act of 1934, as amended, including the rules and regulations promulgated thereunder.</w:t>
      </w:r>
    </w:p>
    <w:p>
      <w:pPr>
        <w:pStyle w:val="TextBody"/>
        <w:spacing w:lineRule="auto" w:line="288" w:before="0" w:after="180"/>
        <w:ind w:left="0" w:right="0" w:firstLine="720"/>
        <w:rPr/>
      </w:pPr>
      <w:r>
        <w:rPr>
          <w:rFonts w:ascii="Times New Roman;sans-serif" w:hAnsi="Times New Roman;sans-serif"/>
          <w:b w:val="false"/>
          <w:color w:val="000000"/>
          <w:sz w:val="20"/>
        </w:rPr>
        <w:t>2.18</w:t>
      </w:r>
      <w:r>
        <w:rPr>
          <w:color w:val="000000"/>
        </w:rPr>
        <w:t>“</w:t>
      </w:r>
      <w:r>
        <w:rPr>
          <w:rFonts w:ascii="Times New Roman;sans-serif" w:hAnsi="Times New Roman;sans-serif"/>
          <w:b/>
          <w:color w:val="000000"/>
          <w:sz w:val="20"/>
        </w:rPr>
        <w:t>Exercise</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pStyle w:val="TextBody"/>
        <w:spacing w:lineRule="auto" w:line="288" w:before="0" w:after="180"/>
        <w:ind w:left="0" w:right="0" w:firstLine="720"/>
        <w:rPr/>
      </w:pPr>
      <w:r>
        <w:rPr>
          <w:rFonts w:ascii="Times New Roman;sans-serif" w:hAnsi="Times New Roman;sans-serif"/>
          <w:b w:val="false"/>
          <w:color w:val="000000"/>
          <w:sz w:val="20"/>
        </w:rPr>
        <w:t>2.19</w:t>
      </w: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means, as of any date and unless the Administrator determines otherwise, the value of Common Stock determined as follows: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w:t>
      </w:r>
    </w:p>
    <w:p>
      <w:pPr>
        <w:pStyle w:val="HorizontalLine"/>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46685"/>
                <wp:effectExtent l="0" t="0" r="0" b="0"/>
                <wp:wrapNone/>
                <wp:docPr id="652" name="Frame6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pPr>
      <w:r>
        <w:rPr>
          <w:rFonts w:ascii="Times New Roman;sans-serif" w:hAnsi="Times New Roman;sans-serif"/>
          <w:b w:val="false"/>
          <w:color w:val="000000"/>
          <w:sz w:val="20"/>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Times New Roman;sans-serif" w:hAnsi="Times New Roman;sans-serif"/>
          <w:b w:val="false"/>
          <w:i/>
          <w:color w:val="000000"/>
          <w:sz w:val="20"/>
        </w:rPr>
        <w:t>Wall Street Journal</w:t>
      </w:r>
      <w:r>
        <w:rPr>
          <w:color w:val="000000"/>
        </w:rPr>
        <w:t xml:space="preserve"> </w:t>
      </w:r>
      <w:r>
        <w:rPr>
          <w:rFonts w:ascii="Times New Roman;sans-serif" w:hAnsi="Times New Roman;sans-serif"/>
          <w:b w:val="false"/>
          <w:color w:val="000000"/>
          <w:sz w:val="20"/>
        </w:rPr>
        <w:t>or such other source as the Administrator deems reliable;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 or</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In the absence of an established market for the Common Stock, the Fair Market Value will be determined in good faith by the Administrator.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fair market value for purposes of tax withholding may be made in the Administrator’s discretion subject to Applicable Laws and is not required to be consistent with the determination of Fair Market Value for other purposes. </w:t>
      </w:r>
    </w:p>
    <w:p>
      <w:pPr>
        <w:pStyle w:val="TextBody"/>
        <w:spacing w:lineRule="auto" w:line="288" w:before="0" w:after="180"/>
        <w:ind w:left="0" w:right="0" w:firstLine="720"/>
        <w:rPr/>
      </w:pPr>
      <w:r>
        <w:rPr>
          <w:rFonts w:ascii="Times New Roman;sans-serif" w:hAnsi="Times New Roman;sans-serif"/>
          <w:b w:val="false"/>
          <w:color w:val="000000"/>
          <w:sz w:val="20"/>
        </w:rPr>
        <w:t>2.20</w:t>
      </w:r>
      <w:r>
        <w:rPr>
          <w:color w:val="000000"/>
        </w:rPr>
        <w:t>“</w:t>
      </w:r>
      <w:r>
        <w:rPr>
          <w:rFonts w:ascii="Times New Roman;sans-serif" w:hAnsi="Times New Roman;sans-serif"/>
          <w:b/>
          <w:color w:val="000000"/>
          <w:sz w:val="20"/>
        </w:rPr>
        <w:t>Fiscal</w:t>
      </w:r>
      <w:r>
        <w:rPr>
          <w:color w:val="000000"/>
        </w:rPr>
        <w:t xml:space="preserve"> </w:t>
      </w:r>
      <w:r>
        <w:rPr>
          <w:rFonts w:ascii="Times New Roman;sans-serif" w:hAnsi="Times New Roman;sans-serif"/>
          <w:b/>
          <w:color w:val="000000"/>
          <w:sz w:val="20"/>
        </w:rPr>
        <w:t>Year</w:t>
      </w:r>
      <w:r>
        <w:rPr>
          <w:color w:val="000000"/>
        </w:rPr>
        <w:t xml:space="preserve">” </w:t>
      </w:r>
      <w:r>
        <w:rPr>
          <w:rFonts w:ascii="Times New Roman;sans-serif" w:hAnsi="Times New Roman;sans-serif"/>
          <w:b w:val="false"/>
          <w:color w:val="000000"/>
          <w:sz w:val="20"/>
        </w:rPr>
        <w:t>means the fiscal year of the Company.</w:t>
      </w:r>
    </w:p>
    <w:p>
      <w:pPr>
        <w:pStyle w:val="TextBody"/>
        <w:spacing w:lineRule="auto" w:line="288" w:before="0" w:after="180"/>
        <w:ind w:left="0" w:right="0" w:firstLine="720"/>
        <w:rPr/>
      </w:pPr>
      <w:r>
        <w:rPr>
          <w:rFonts w:ascii="Times New Roman;sans-serif" w:hAnsi="Times New Roman;sans-serif"/>
          <w:b w:val="false"/>
          <w:color w:val="000000"/>
          <w:sz w:val="20"/>
        </w:rPr>
        <w:t>2.21</w:t>
      </w:r>
      <w:r>
        <w:rPr>
          <w:color w:val="000000"/>
        </w:rPr>
        <w:t>“</w:t>
      </w:r>
      <w:r>
        <w:rPr>
          <w:rFonts w:ascii="Times New Roman;sans-serif" w:hAnsi="Times New Roman;sans-serif"/>
          <w:b/>
          <w:color w:val="000000"/>
          <w:sz w:val="20"/>
        </w:rPr>
        <w:t>New Exercise Date</w:t>
      </w:r>
      <w:r>
        <w:rPr>
          <w:color w:val="000000"/>
        </w:rPr>
        <w:t xml:space="preserve">” </w:t>
      </w:r>
      <w:r>
        <w:rPr>
          <w:rFonts w:ascii="Times New Roman;sans-serif" w:hAnsi="Times New Roman;sans-serif"/>
          <w:b w:val="false"/>
          <w:color w:val="000000"/>
          <w:sz w:val="20"/>
        </w:rPr>
        <w:t>means a new Exercise Date if the Administrator shortens any Offering Period then in progress.</w:t>
      </w:r>
    </w:p>
    <w:p>
      <w:pPr>
        <w:pStyle w:val="TextBody"/>
        <w:spacing w:lineRule="auto" w:line="288" w:before="0" w:after="180"/>
        <w:ind w:left="0" w:right="0" w:firstLine="720"/>
        <w:rPr/>
      </w:pPr>
      <w:r>
        <w:rPr>
          <w:rFonts w:ascii="Times New Roman;sans-serif" w:hAnsi="Times New Roman;sans-serif"/>
          <w:b w:val="false"/>
          <w:color w:val="000000"/>
          <w:sz w:val="20"/>
        </w:rPr>
        <w:t>2.22</w:t>
      </w:r>
      <w:r>
        <w:rPr>
          <w:color w:val="000000"/>
        </w:rPr>
        <w:t>“</w:t>
      </w:r>
      <w:r>
        <w:rPr>
          <w:rFonts w:ascii="Times New Roman;sans-serif" w:hAnsi="Times New Roman;sans-serif"/>
          <w:b/>
          <w:color w:val="000000"/>
          <w:sz w:val="20"/>
        </w:rPr>
        <w:t>Offering</w:t>
      </w:r>
      <w:r>
        <w:rPr>
          <w:color w:val="000000"/>
        </w:rPr>
        <w:t xml:space="preserve">” </w:t>
      </w:r>
      <w:r>
        <w:rPr>
          <w:rFonts w:ascii="Times New Roman;sans-serif" w:hAnsi="Times New Roman;sans-serif"/>
          <w:b w:val="false"/>
          <w:color w:val="000000"/>
          <w:sz w:val="20"/>
        </w:rPr>
        <w:t>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noBreakHyphen/>
        <w:t>2(a)(1), the terms of each Offering need not be identical provided that the terms of the Plan and an Offering together satisfy U.S. Treasury Regulations Section 1.423</w:t>
        <w:noBreakHyphen/>
        <w:t>2(a)(2) and (a)(3).</w:t>
      </w:r>
    </w:p>
    <w:p>
      <w:pPr>
        <w:pStyle w:val="TextBody"/>
        <w:spacing w:lineRule="auto" w:line="288" w:before="0" w:after="180"/>
        <w:ind w:left="0" w:right="0" w:firstLine="720"/>
        <w:rPr/>
      </w:pPr>
      <w:r>
        <w:rPr>
          <w:rFonts w:ascii="Times New Roman;sans-serif" w:hAnsi="Times New Roman;sans-serif"/>
          <w:b w:val="false"/>
          <w:color w:val="000000"/>
          <w:sz w:val="20"/>
        </w:rPr>
        <w:t>2.23</w:t>
      </w:r>
      <w:r>
        <w:rPr>
          <w:color w:val="000000"/>
        </w:rPr>
        <w:t>“</w:t>
      </w:r>
      <w:r>
        <w:rPr>
          <w:rFonts w:ascii="Times New Roman;sans-serif" w:hAnsi="Times New Roman;sans-serif"/>
          <w:b/>
          <w:color w:val="000000"/>
          <w:sz w:val="20"/>
        </w:rPr>
        <w:t>Offering</w:t>
      </w:r>
      <w:r>
        <w:rPr>
          <w:color w:val="000000"/>
        </w:rPr>
        <w:t xml:space="preserve"> </w:t>
      </w:r>
      <w:r>
        <w:rPr>
          <w:rFonts w:ascii="Times New Roman;sans-serif" w:hAnsi="Times New Roman;sans-serif"/>
          <w:b/>
          <w:color w:val="000000"/>
          <w:sz w:val="20"/>
        </w:rPr>
        <w:t>Period</w:t>
      </w:r>
      <w:r>
        <w:rPr>
          <w:color w:val="000000"/>
        </w:rPr>
        <w:t xml:space="preserve">” </w:t>
      </w:r>
      <w:r>
        <w:rPr>
          <w:rFonts w:ascii="Times New Roman;sans-serif" w:hAnsi="Times New Roman;sans-serif"/>
          <w:b w:val="false"/>
          <w:color w:val="000000"/>
          <w:sz w:val="20"/>
        </w:rPr>
        <w:t>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pStyle w:val="TextBody"/>
        <w:spacing w:lineRule="auto" w:line="288" w:before="0" w:after="180"/>
        <w:ind w:left="0" w:right="0" w:firstLine="720"/>
        <w:rPr/>
      </w:pPr>
      <w:r>
        <w:rPr>
          <w:rFonts w:ascii="Times New Roman;sans-serif" w:hAnsi="Times New Roman;sans-serif"/>
          <w:b w:val="false"/>
          <w:color w:val="000000"/>
          <w:sz w:val="20"/>
        </w:rPr>
        <w:t>2.24</w:t>
      </w: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means a “</w:t>
      </w:r>
      <w:r>
        <w:rPr>
          <w:rFonts w:ascii="Times New Roman;sans-serif" w:hAnsi="Times New Roman;sans-serif"/>
          <w:b/>
          <w:color w:val="000000"/>
          <w:sz w:val="20"/>
        </w:rPr>
        <w:t>parent corporation</w:t>
      </w:r>
      <w:r>
        <w:rPr>
          <w:rFonts w:ascii="Times New Roman;sans-serif" w:hAnsi="Times New Roman;sans-serif"/>
          <w:b w:val="false"/>
          <w:color w:val="000000"/>
          <w:sz w:val="20"/>
        </w:rPr>
        <w:t>,” whether now or hereafter existing, as defined in Code Section 424(e).</w:t>
      </w:r>
    </w:p>
    <w:p>
      <w:pPr>
        <w:pStyle w:val="TextBody"/>
        <w:spacing w:lineRule="auto" w:line="288" w:before="0" w:after="180"/>
        <w:ind w:left="0" w:right="0" w:firstLine="720"/>
        <w:rPr/>
      </w:pPr>
      <w:r>
        <w:rPr>
          <w:rFonts w:ascii="Times New Roman;sans-serif" w:hAnsi="Times New Roman;sans-serif"/>
          <w:b w:val="false"/>
          <w:color w:val="000000"/>
          <w:sz w:val="20"/>
        </w:rPr>
        <w:t>2.25</w:t>
      </w: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means an Eligible Employee that participates in the Plan.</w:t>
      </w:r>
    </w:p>
    <w:p>
      <w:pPr>
        <w:pStyle w:val="TextBody"/>
        <w:spacing w:lineRule="auto" w:line="288" w:before="0" w:after="180"/>
        <w:ind w:left="0" w:right="0" w:firstLine="720"/>
        <w:rPr/>
      </w:pPr>
      <w:r>
        <w:rPr>
          <w:rFonts w:ascii="Times New Roman;sans-serif" w:hAnsi="Times New Roman;sans-serif"/>
          <w:b w:val="false"/>
          <w:color w:val="000000"/>
          <w:sz w:val="20"/>
        </w:rPr>
        <w:t>2.26</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this Nautilus Biotechnology, Inc. 2021 Employee Stock Purchase Plan.</w:t>
      </w:r>
    </w:p>
    <w:p>
      <w:pPr>
        <w:pStyle w:val="TextBody"/>
        <w:spacing w:lineRule="auto" w:line="288" w:before="0" w:after="180"/>
        <w:ind w:left="0" w:right="0" w:firstLine="720"/>
        <w:rPr/>
      </w:pPr>
      <w:r>
        <w:rPr>
          <w:rFonts w:ascii="Times New Roman;sans-serif" w:hAnsi="Times New Roman;sans-serif"/>
          <w:b w:val="false"/>
          <w:color w:val="000000"/>
          <w:sz w:val="20"/>
        </w:rPr>
        <w:t>2.27</w:t>
      </w:r>
      <w:r>
        <w:rPr>
          <w:color w:val="000000"/>
        </w:rPr>
        <w:t>“</w:t>
      </w:r>
      <w:r>
        <w:rPr>
          <w:rFonts w:ascii="Times New Roman;sans-serif" w:hAnsi="Times New Roman;sans-serif"/>
          <w:b/>
          <w:color w:val="000000"/>
          <w:sz w:val="20"/>
        </w:rPr>
        <w:t>Purchase</w:t>
      </w:r>
      <w:r>
        <w:rPr>
          <w:color w:val="000000"/>
        </w:rPr>
        <w:t xml:space="preserve"> </w:t>
      </w:r>
      <w:r>
        <w:rPr>
          <w:rFonts w:ascii="Times New Roman;sans-serif" w:hAnsi="Times New Roman;sans-serif"/>
          <w:b/>
          <w:color w:val="000000"/>
          <w:sz w:val="20"/>
        </w:rPr>
        <w:t>Period</w:t>
      </w:r>
      <w:r>
        <w:rPr>
          <w:color w:val="000000"/>
        </w:rPr>
        <w:t xml:space="preserve">” </w:t>
      </w:r>
      <w:r>
        <w:rPr>
          <w:rFonts w:ascii="Times New Roman;sans-serif" w:hAnsi="Times New Roman;sans-serif"/>
          <w:b w:val="false"/>
          <w:color w:val="000000"/>
          <w:sz w:val="20"/>
        </w:rPr>
        <w:t>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pStyle w:val="TextBody"/>
        <w:spacing w:lineRule="auto" w:line="288" w:before="0" w:after="180"/>
        <w:ind w:left="0" w:right="0" w:firstLine="720"/>
        <w:rPr/>
      </w:pPr>
      <w:r>
        <w:rPr>
          <w:rFonts w:ascii="Times New Roman;sans-serif" w:hAnsi="Times New Roman;sans-serif"/>
          <w:b w:val="false"/>
          <w:color w:val="000000"/>
          <w:sz w:val="20"/>
        </w:rPr>
        <w:t>2.28</w:t>
      </w:r>
      <w:r>
        <w:rPr>
          <w:color w:val="000000"/>
        </w:rPr>
        <w:t>“</w:t>
      </w:r>
      <w:r>
        <w:rPr>
          <w:rFonts w:ascii="Times New Roman;sans-serif" w:hAnsi="Times New Roman;sans-serif"/>
          <w:b/>
          <w:color w:val="000000"/>
          <w:sz w:val="20"/>
        </w:rPr>
        <w:t>Purchase</w:t>
      </w:r>
      <w:r>
        <w:rPr>
          <w:color w:val="000000"/>
        </w:rPr>
        <w:t xml:space="preserve"> </w:t>
      </w:r>
      <w:r>
        <w:rPr>
          <w:rFonts w:ascii="Times New Roman;sans-serif" w:hAnsi="Times New Roman;sans-serif"/>
          <w:b/>
          <w:color w:val="000000"/>
          <w:sz w:val="20"/>
        </w:rPr>
        <w:t>Price</w:t>
      </w:r>
      <w:r>
        <w:rPr>
          <w:color w:val="000000"/>
        </w:rPr>
        <w:t xml:space="preserve">” </w:t>
      </w:r>
      <w:r>
        <w:rPr>
          <w:rFonts w:ascii="Times New Roman;sans-serif" w:hAnsi="Times New Roman;sans-serif"/>
          <w:b w:val="false"/>
          <w:color w:val="000000"/>
          <w:sz w:val="20"/>
        </w:rPr>
        <w:t>means an amount equal to eighty</w:t>
        <w:noBreakHyphen/>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pStyle w:val="HorizontalLine"/>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146685"/>
                <wp:effectExtent l="0" t="0" r="0" b="0"/>
                <wp:wrapNone/>
                <wp:docPr id="653" name="Frame6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2.29</w:t>
      </w:r>
      <w:r>
        <w:rPr>
          <w:color w:val="000000"/>
        </w:rPr>
        <w:t>“</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means Code Section 409A and the U.S. Treasury Regulations and guidance thereunder, and any applicable state law equivalent, as each may be promulgated, amended or modified from time to time.</w:t>
      </w:r>
    </w:p>
    <w:p>
      <w:pPr>
        <w:pStyle w:val="TextBody"/>
        <w:spacing w:lineRule="auto" w:line="288" w:before="0" w:after="180"/>
        <w:ind w:left="0" w:right="0" w:firstLine="720"/>
        <w:rPr/>
      </w:pPr>
      <w:r>
        <w:rPr>
          <w:rFonts w:ascii="Times New Roman;sans-serif" w:hAnsi="Times New Roman;sans-serif"/>
          <w:b w:val="false"/>
          <w:color w:val="000000"/>
          <w:sz w:val="20"/>
        </w:rPr>
        <w:t>2.30</w:t>
      </w: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means a “subsidiary corporation,” whether now or hereafter existing, as defined in Code Section 424(f).</w:t>
      </w:r>
    </w:p>
    <w:p>
      <w:pPr>
        <w:pStyle w:val="TextBody"/>
        <w:spacing w:lineRule="auto" w:line="288" w:before="0" w:after="180"/>
        <w:ind w:left="0" w:right="0" w:firstLine="720"/>
        <w:rPr/>
      </w:pPr>
      <w:r>
        <w:rPr>
          <w:rFonts w:ascii="Times New Roman;sans-serif" w:hAnsi="Times New Roman;sans-serif"/>
          <w:b w:val="false"/>
          <w:color w:val="000000"/>
          <w:sz w:val="20"/>
        </w:rPr>
        <w:t>2.31</w:t>
      </w:r>
      <w:r>
        <w:rPr>
          <w:color w:val="000000"/>
        </w:rPr>
        <w:t>“</w:t>
      </w:r>
      <w:r>
        <w:rPr>
          <w:rFonts w:ascii="Times New Roman;sans-serif" w:hAnsi="Times New Roman;sans-serif"/>
          <w:b/>
          <w:color w:val="000000"/>
          <w:sz w:val="20"/>
        </w:rPr>
        <w:t>Trading</w:t>
      </w:r>
      <w:r>
        <w:rPr>
          <w:color w:val="000000"/>
        </w:rPr>
        <w:t xml:space="preserve"> </w:t>
      </w:r>
      <w:r>
        <w:rPr>
          <w:rFonts w:ascii="Times New Roman;sans-serif" w:hAnsi="Times New Roman;sans-serif"/>
          <w:b/>
          <w:color w:val="000000"/>
          <w:sz w:val="20"/>
        </w:rPr>
        <w:t>Day</w:t>
      </w:r>
      <w:r>
        <w:rPr>
          <w:color w:val="000000"/>
        </w:rPr>
        <w:t xml:space="preserve">” </w:t>
      </w:r>
      <w:r>
        <w:rPr>
          <w:rFonts w:ascii="Times New Roman;sans-serif" w:hAnsi="Times New Roman;sans-serif"/>
          <w:b w:val="false"/>
          <w:color w:val="000000"/>
          <w:sz w:val="20"/>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spacing w:lineRule="auto" w:line="288" w:before="0" w:after="180"/>
        <w:ind w:left="0" w:right="0" w:firstLine="720"/>
        <w:rPr/>
      </w:pPr>
      <w:r>
        <w:rPr>
          <w:rFonts w:ascii="Times New Roman;sans-serif" w:hAnsi="Times New Roman;sans-serif"/>
          <w:b w:val="false"/>
          <w:color w:val="000000"/>
          <w:sz w:val="20"/>
        </w:rPr>
        <w:t>2.32</w:t>
      </w:r>
      <w:r>
        <w:rPr>
          <w:color w:val="000000"/>
        </w:rPr>
        <w:t>“</w:t>
      </w:r>
      <w:r>
        <w:rPr>
          <w:rFonts w:ascii="Times New Roman;sans-serif" w:hAnsi="Times New Roman;sans-serif"/>
          <w:b/>
          <w:color w:val="000000"/>
          <w:sz w:val="20"/>
        </w:rPr>
        <w:t>U.S. Treasury Regulations</w:t>
      </w:r>
      <w:r>
        <w:rPr>
          <w:color w:val="000000"/>
        </w:rPr>
        <w:t xml:space="preserve">” </w:t>
      </w:r>
      <w:r>
        <w:rPr>
          <w:rFonts w:ascii="Times New Roman;sans-serif" w:hAnsi="Times New Roman;sans-serif"/>
          <w:b w:val="false"/>
          <w:color w:val="000000"/>
          <w:sz w:val="20"/>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color w:val="000000"/>
          <w:sz w:val="20"/>
        </w:rPr>
        <w:t>Stock</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val="false"/>
          <w:color w:val="000000"/>
          <w:sz w:val="20"/>
        </w:rPr>
        <w:t>3.1</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Subject to adjustment upon changes in capitalization of the Company as provided in Section 17 hereof, the maximum number of shares of Common Stock that will be made available for sale under the Plan will be 1,244,900 shares of Common Stock.</w:t>
      </w:r>
    </w:p>
    <w:p>
      <w:pPr>
        <w:pStyle w:val="TextBody"/>
        <w:spacing w:lineRule="auto" w:line="288" w:before="0" w:after="180"/>
        <w:ind w:left="0" w:right="0" w:firstLine="720"/>
        <w:rPr/>
      </w:pPr>
      <w:r>
        <w:rPr>
          <w:rFonts w:ascii="Times New Roman;sans-serif" w:hAnsi="Times New Roman;sans-serif"/>
          <w:b w:val="false"/>
          <w:color w:val="000000"/>
          <w:sz w:val="20"/>
        </w:rPr>
        <w:t>3.2</w:t>
      </w:r>
      <w:r>
        <w:rPr>
          <w:rFonts w:ascii="Times New Roman;sans-serif" w:hAnsi="Times New Roman;sans-serif"/>
          <w:b/>
          <w:color w:val="000000"/>
          <w:sz w:val="20"/>
        </w:rPr>
        <w:t>Automatic Share Reserve Increase</w:t>
      </w:r>
      <w:r>
        <w:rPr>
          <w:rFonts w:ascii="Times New Roman;sans-serif" w:hAnsi="Times New Roman;sans-serif"/>
          <w:b w:val="false"/>
          <w:color w:val="000000"/>
          <w:sz w:val="20"/>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color w:val="000000"/>
          <w:sz w:val="20"/>
        </w:rPr>
        <w:t>Administration</w:t>
      </w:r>
      <w:r>
        <w:rPr>
          <w:rFonts w:ascii="Times New Roman;sans-serif" w:hAnsi="Times New Roman;sans-serif"/>
          <w:b w:val="false"/>
          <w:color w:val="000000"/>
          <w:sz w:val="20"/>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spacing w:lineRule="auto" w:line="288" w:before="0" w:after="18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construe, interpret and apply the terms of the Plan, </w:t>
      </w:r>
    </w:p>
    <w:p>
      <w:pPr>
        <w:pStyle w:val="TextBody"/>
        <w:spacing w:lineRule="auto" w:line="288" w:before="0" w:after="18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delegate ministerial duties to any of the Company’s employees, </w:t>
      </w:r>
    </w:p>
    <w:p>
      <w:pPr>
        <w:pStyle w:val="TextBody"/>
        <w:spacing w:lineRule="auto" w:line="288" w:before="0" w:after="18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designate separate Offerings under the Plan, </w:t>
      </w:r>
    </w:p>
    <w:p>
      <w:pPr>
        <w:pStyle w:val="TextBody"/>
        <w:spacing w:lineRule="auto" w:line="288" w:before="0" w:after="180"/>
        <w:ind w:left="0" w:right="0" w:firstLine="720"/>
        <w:rPr/>
      </w:pPr>
      <w:r>
        <w:rPr>
          <w:rFonts w:ascii="Times New Roman;sans-serif" w:hAnsi="Times New Roman;sans-serif"/>
          <w:b w:val="false"/>
          <w:color w:val="000000"/>
          <w:sz w:val="20"/>
        </w:rPr>
        <w:t>(d)</w:t>
      </w:r>
      <w:r>
        <w:rPr>
          <w:rFonts w:ascii="Times New Roman;sans-serif" w:hAnsi="Times New Roman;sans-serif"/>
          <w:b w:val="false"/>
          <w:color w:val="000000"/>
          <w:sz w:val="20"/>
        </w:rPr>
        <w:t>designate Subsidiaries as participating in the 423 Component or Non</w:t>
        <w:noBreakHyphen/>
        <w:t xml:space="preserve">423 Component, </w:t>
      </w:r>
    </w:p>
    <w:p>
      <w:pPr>
        <w:pStyle w:val="TextBody"/>
        <w:spacing w:lineRule="auto" w:line="288" w:before="0" w:after="180"/>
        <w:ind w:left="0" w:right="0" w:firstLine="720"/>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determine eligibility, </w:t>
      </w:r>
    </w:p>
    <w:p>
      <w:pPr>
        <w:pStyle w:val="TextBody"/>
        <w:spacing w:lineRule="auto" w:line="288" w:before="0" w:after="180"/>
        <w:ind w:left="0" w:right="0" w:firstLine="72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adjudicate all disputed claims filed under the Plan, and </w:t>
      </w:r>
    </w:p>
    <w:p>
      <w:pPr>
        <w:pStyle w:val="TextBody"/>
        <w:spacing w:lineRule="auto" w:line="288" w:before="0" w:after="180"/>
        <w:ind w:left="0" w:right="0" w:firstLine="720"/>
        <w:rPr/>
      </w:pPr>
      <w:r>
        <w:rPr>
          <w:rFonts w:ascii="Times New Roman;sans-serif" w:hAnsi="Times New Roman;sans-serif"/>
          <w:b w:val="false"/>
          <w:color w:val="000000"/>
          <w:sz w:val="20"/>
        </w:rPr>
        <w:t>(g)</w:t>
      </w:r>
      <w:r>
        <w:rPr>
          <w:rFonts w:ascii="Times New Roman;sans-serif" w:hAnsi="Times New Roman;sans-serif"/>
          <w:b w:val="false"/>
          <w:color w:val="000000"/>
          <w:sz w:val="20"/>
        </w:rPr>
        <w:t>establish such procedures that it deems necessary or advisable for the administration of the Plan (including, without limitation, to adopt such procedures, sub</w:t>
        <w:noBreakHyphen/>
        <w:t>plans, and appendices to the enrollment agreement as are necessary or appropriate to permit the participation in the Plan by employees who are foreign nationals or employed outside the U.S., the terms of which sub</w:t>
        <w:noBreakHyphen/>
        <w:t>plans and appendices may take precedence over other provisions of this Plan, with the exception of Section 3 hereof, but unless otherwise superseded by the terms of such sub</w:t>
        <w:noBreakHyphen/>
        <w:t>plan or appendix, the provisions of this Plan will govern the operation of such sub</w:t>
        <w:noBreakHyphen/>
        <w:t>plan or appendix). Unless otherwise determined by the Administrator, the Eligible Employees eligible to participate in each sub</w:t>
        <w:noBreakHyphen/>
        <w:t>plan will participate in a separate Offering under the 423 Component, or if the terms would not qualify under the 423 Component, in the Non</w:t>
        <w:noBreakHyphen/>
        <w:t xml:space="preserve">423 Component, in either case unless such designation would cause the 423 Component to violate the requirements of Code Section 423. </w:t>
      </w:r>
    </w:p>
    <w:p>
      <w:pPr>
        <w:pStyle w:val="HorizontalLine"/>
        <w:rPr/>
      </w:pPr>
      <w:r>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146685"/>
                <wp:effectExtent l="0" t="0" r="0" b="0"/>
                <wp:wrapNone/>
                <wp:docPr id="654" name="Frame6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noBreakHyphen/>
        <w:t>2(f), the terms of an option granted under the Plan or an Offering to citizens or residents of a non</w:t>
        <w:noBreakHyphen/>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5.Eligibility.</w:t>
      </w:r>
    </w:p>
    <w:p>
      <w:pPr>
        <w:pStyle w:val="TextBody"/>
        <w:spacing w:lineRule="auto" w:line="288" w:before="0" w:after="180"/>
        <w:ind w:left="0" w:right="0" w:firstLine="720"/>
        <w:rPr/>
      </w:pPr>
      <w:r>
        <w:rPr>
          <w:rFonts w:ascii="Times New Roman;sans-serif" w:hAnsi="Times New Roman;sans-serif"/>
          <w:b w:val="false"/>
          <w:color w:val="000000"/>
          <w:sz w:val="20"/>
        </w:rPr>
        <w:t>5.1</w:t>
      </w:r>
      <w:r>
        <w:rPr>
          <w:rFonts w:ascii="Times New Roman;sans-serif" w:hAnsi="Times New Roman;sans-serif"/>
          <w:b/>
          <w:color w:val="000000"/>
          <w:sz w:val="20"/>
        </w:rPr>
        <w:t>Offering Periods.</w:t>
      </w:r>
      <w:r>
        <w:rPr>
          <w:color w:val="000000"/>
        </w:rPr>
        <w:t xml:space="preserve"> </w:t>
      </w:r>
      <w:r>
        <w:rPr>
          <w:rFonts w:ascii="Times New Roman;sans-serif" w:hAnsi="Times New Roman;sans-serif"/>
          <w:b w:val="false"/>
          <w:color w:val="000000"/>
          <w:sz w:val="20"/>
        </w:rPr>
        <w:t>Any Eligible Employee on a given Enrollment Date will be eligible to participate in the Plan, subject to the requirements of Section 7.</w:t>
      </w:r>
    </w:p>
    <w:p>
      <w:pPr>
        <w:pStyle w:val="TextBody"/>
        <w:spacing w:lineRule="auto" w:line="288" w:before="0" w:after="180"/>
        <w:ind w:left="0" w:right="0" w:firstLine="720"/>
        <w:rPr/>
      </w:pPr>
      <w:r>
        <w:rPr>
          <w:rFonts w:ascii="Times New Roman;sans-serif" w:hAnsi="Times New Roman;sans-serif"/>
          <w:b w:val="false"/>
          <w:color w:val="000000"/>
          <w:sz w:val="20"/>
        </w:rPr>
        <w:t>5.2</w:t>
      </w:r>
      <w:r>
        <w:rPr>
          <w:rFonts w:ascii="Times New Roman;sans-serif" w:hAnsi="Times New Roman;sans-serif"/>
          <w:b/>
          <w:color w:val="000000"/>
          <w:sz w:val="20"/>
        </w:rPr>
        <w:t>Non</w:t>
        <w:noBreakHyphen/>
        <w:t xml:space="preserve">U.S. Employees. </w:t>
      </w:r>
      <w:r>
        <w:rPr>
          <w:rFonts w:ascii="Times New Roman;sans-serif" w:hAnsi="Times New Roman;sans-serif"/>
          <w:b w:val="false"/>
          <w:color w:val="000000"/>
          <w:sz w:val="20"/>
        </w:rPr>
        <w:t>Eligible Employees who are citizens or residents of a non</w:t>
        <w:noBreakHyphen/>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noBreakHyphen/>
        <w:t>423 Component, an Eligible Employee may be excluded from participation in the Plan or an Offering if the Administrator has determined that participation of such Eligible Employee is not advisable or practicable.</w:t>
      </w:r>
    </w:p>
    <w:p>
      <w:pPr>
        <w:pStyle w:val="TextBody"/>
        <w:spacing w:lineRule="auto" w:line="288" w:before="0" w:after="180"/>
        <w:ind w:left="0" w:right="0" w:firstLine="720"/>
        <w:rPr/>
      </w:pPr>
      <w:r>
        <w:rPr>
          <w:rFonts w:ascii="Times New Roman;sans-serif" w:hAnsi="Times New Roman;sans-serif"/>
          <w:b w:val="false"/>
          <w:color w:val="000000"/>
          <w:sz w:val="20"/>
        </w:rPr>
        <w:t>5.3</w:t>
      </w:r>
      <w:r>
        <w:rPr>
          <w:rFonts w:ascii="Times New Roman;sans-serif" w:hAnsi="Times New Roman;sans-serif"/>
          <w:b/>
          <w:color w:val="000000"/>
          <w:sz w:val="20"/>
        </w:rPr>
        <w:t>Limitations.</w:t>
      </w:r>
      <w:r>
        <w:rPr>
          <w:color w:val="000000"/>
        </w:rPr>
        <w:t xml:space="preserve"> </w:t>
      </w:r>
      <w:r>
        <w:rPr>
          <w:rFonts w:ascii="Times New Roman;sans-serif" w:hAnsi="Times New Roman;sans-serif"/>
          <w:b w:val="false"/>
          <w:color w:val="000000"/>
          <w:sz w:val="20"/>
        </w:rPr>
        <w:t>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noBreakHyphen/>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color w:val="000000"/>
          <w:sz w:val="20"/>
        </w:rPr>
        <w:t>Offering Periods.</w:t>
      </w:r>
      <w:r>
        <w:rPr>
          <w:color w:val="000000"/>
        </w:rPr>
        <w:t xml:space="preserve"> </w:t>
      </w:r>
      <w:r>
        <w:rPr>
          <w:rFonts w:ascii="Times New Roman;sans-serif" w:hAnsi="Times New Roman;sans-serif"/>
          <w:b w:val="false"/>
          <w:color w:val="000000"/>
          <w:sz w:val="20"/>
        </w:rPr>
        <w:t>The Plan will be implemented by Offering Periods as established by the Administrator from time to time. Offering Periods will expire on the earliest to occur of (a) the completion of the purchase of shares on the last Exercise Date occurring within twenty</w:t>
        <w:noBreakHyphen/>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noBreakHyphen/>
        <w:t>seven (27) months.</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color w:val="000000"/>
          <w:sz w:val="20"/>
        </w:rPr>
        <w:t>Participation.</w:t>
      </w:r>
      <w:r>
        <w:rPr>
          <w:color w:val="000000"/>
        </w:rPr>
        <w:t xml:space="preserve"> </w:t>
      </w:r>
      <w:r>
        <w:rPr>
          <w:rFonts w:ascii="Times New Roman;sans-serif" w:hAnsi="Times New Roman;sans-serif"/>
          <w:b w:val="false"/>
          <w:color w:val="000000"/>
          <w:sz w:val="20"/>
        </w:rPr>
        <w:t>An Eligible Employee may participate in the Plan pursuant to Section 5.1 by (a) submitting to the Company’s stock administration office (or its designee), a properly completed subscription agreement authorizing Contributions in the form provided by the Administrator for such purpose (which may be similar to the form attached hereto as</w:t>
      </w:r>
      <w:r>
        <w:rPr>
          <w:color w:val="000000"/>
        </w:rPr>
        <w:t xml:space="preserve"> </w:t>
      </w:r>
      <w:r>
        <w:rPr>
          <w:rFonts w:ascii="Times New Roman;sans-serif" w:hAnsi="Times New Roman;sans-serif"/>
          <w:b/>
          <w:color w:val="000000"/>
          <w:sz w:val="20"/>
        </w:rPr>
        <w:t>Exhibit A</w:t>
      </w:r>
      <w:r>
        <w:rPr>
          <w:rFonts w:ascii="Times New Roman;sans-serif" w:hAnsi="Times New Roman;sans-serif"/>
          <w:b w:val="false"/>
          <w:color w:val="000000"/>
          <w:sz w:val="20"/>
        </w:rPr>
        <w:t>), or (b) following an electronic or other enrollment procedure determined by the Administrator, in either case, on or before a date determined by the Administrator prior to an applicable Enrollment Date.</w:t>
      </w:r>
    </w:p>
    <w:p>
      <w:pPr>
        <w:pStyle w:val="HorizontalLine"/>
        <w:rPr/>
      </w:pPr>
      <w:r>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46685"/>
                <wp:effectExtent l="0" t="0" r="0" b="0"/>
                <wp:wrapNone/>
                <wp:docPr id="655" name="Frame6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color w:val="000000"/>
          <w:sz w:val="20"/>
        </w:rPr>
        <w:t>Contributions.</w:t>
      </w:r>
    </w:p>
    <w:p>
      <w:pPr>
        <w:pStyle w:val="TextBody"/>
        <w:spacing w:lineRule="auto" w:line="288" w:before="0" w:after="180"/>
        <w:ind w:left="0" w:right="0" w:firstLine="720"/>
        <w:rPr/>
      </w:pPr>
      <w:r>
        <w:rPr>
          <w:rFonts w:ascii="Times New Roman;sans-serif" w:hAnsi="Times New Roman;sans-serif"/>
          <w:b w:val="false"/>
          <w:color w:val="000000"/>
          <w:sz w:val="20"/>
        </w:rPr>
        <w:t>8.1</w:t>
      </w:r>
      <w:r>
        <w:rPr>
          <w:rFonts w:ascii="Times New Roman;sans-serif" w:hAnsi="Times New Roman;sans-serif"/>
          <w:b/>
          <w:color w:val="000000"/>
          <w:sz w:val="20"/>
        </w:rPr>
        <w:t xml:space="preserve">Contribution Amounts. </w:t>
      </w:r>
      <w:r>
        <w:rPr>
          <w:rFonts w:ascii="Times New Roman;sans-serif" w:hAnsi="Times New Roman;sans-serif"/>
          <w:b w:val="false"/>
          <w:color w:val="000000"/>
          <w:sz w:val="20"/>
        </w:rPr>
        <w:t xml:space="preserve">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 </w:t>
      </w:r>
    </w:p>
    <w:p>
      <w:pPr>
        <w:pStyle w:val="TextBody"/>
        <w:spacing w:lineRule="auto" w:line="288" w:before="0" w:after="180"/>
        <w:ind w:left="0" w:right="0" w:firstLine="720"/>
        <w:rPr/>
      </w:pPr>
      <w:r>
        <w:rPr>
          <w:rFonts w:ascii="Times New Roman;sans-serif" w:hAnsi="Times New Roman;sans-serif"/>
          <w:b w:val="false"/>
          <w:color w:val="000000"/>
          <w:sz w:val="20"/>
        </w:rPr>
        <w:t>8.2</w:t>
      </w:r>
      <w:r>
        <w:rPr>
          <w:rFonts w:ascii="Times New Roman;sans-serif" w:hAnsi="Times New Roman;sans-serif"/>
          <w:b/>
          <w:color w:val="000000"/>
          <w:sz w:val="20"/>
        </w:rPr>
        <w:t xml:space="preserve">Contribution Methods. </w:t>
      </w:r>
      <w:r>
        <w:rPr>
          <w:rFonts w:ascii="Times New Roman;sans-serif" w:hAnsi="Times New Roman;sans-serif"/>
          <w:b w:val="false"/>
          <w:color w:val="000000"/>
          <w:sz w:val="20"/>
        </w:rPr>
        <w:t xml:space="preserve">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spacing w:lineRule="auto" w:line="288" w:before="0" w:after="180"/>
        <w:ind w:left="0" w:right="0" w:firstLine="720"/>
        <w:rPr/>
      </w:pPr>
      <w:r>
        <w:rPr>
          <w:rFonts w:ascii="Times New Roman;sans-serif" w:hAnsi="Times New Roman;sans-serif"/>
          <w:b w:val="false"/>
          <w:color w:val="000000"/>
          <w:sz w:val="20"/>
        </w:rPr>
        <w:t>8.3</w:t>
      </w:r>
      <w:r>
        <w:rPr>
          <w:rFonts w:ascii="Times New Roman;sans-serif" w:hAnsi="Times New Roman;sans-serif"/>
          <w:b/>
          <w:color w:val="000000"/>
          <w:sz w:val="20"/>
        </w:rPr>
        <w:t xml:space="preserve">Participant Changes to Contributions. </w:t>
      </w:r>
      <w:r>
        <w:rPr>
          <w:rFonts w:ascii="Times New Roman;sans-serif" w:hAnsi="Times New Roman;sans-serif"/>
          <w:b w:val="false"/>
          <w:color w:val="000000"/>
          <w:sz w:val="20"/>
        </w:rPr>
        <w:t>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 </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pStyle w:val="HorizontalLine"/>
        <w:rPr/>
      </w:pPr>
      <w:r>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146685"/>
                <wp:effectExtent l="0" t="0" r="0" b="0"/>
                <wp:wrapNone/>
                <wp:docPr id="656" name="Frame6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8.4</w:t>
      </w:r>
      <w:r>
        <w:rPr>
          <w:rFonts w:ascii="Times New Roman;sans-serif" w:hAnsi="Times New Roman;sans-serif"/>
          <w:b/>
          <w:color w:val="000000"/>
          <w:sz w:val="20"/>
        </w:rPr>
        <w:t>Other Contribution Changes.</w:t>
      </w:r>
      <w:r>
        <w:rPr>
          <w:color w:val="000000"/>
        </w:rPr>
        <w:t xml:space="preserve"> </w:t>
      </w:r>
      <w:r>
        <w:rPr>
          <w:rFonts w:ascii="Times New Roman;sans-serif" w:hAnsi="Times New Roman;sans-serif"/>
          <w:b w:val="false"/>
          <w:color w:val="000000"/>
          <w:sz w:val="20"/>
        </w:rPr>
        <w:t>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pStyle w:val="TextBody"/>
        <w:spacing w:lineRule="auto" w:line="288" w:before="0" w:after="180"/>
        <w:ind w:left="0" w:right="0" w:firstLine="720"/>
        <w:rPr/>
      </w:pPr>
      <w:r>
        <w:rPr>
          <w:rFonts w:ascii="Times New Roman;sans-serif" w:hAnsi="Times New Roman;sans-serif"/>
          <w:b w:val="false"/>
          <w:color w:val="000000"/>
          <w:sz w:val="20"/>
        </w:rPr>
        <w:t>8.5</w:t>
      </w:r>
      <w:r>
        <w:rPr>
          <w:rFonts w:ascii="Times New Roman;sans-serif" w:hAnsi="Times New Roman;sans-serif"/>
          <w:b/>
          <w:color w:val="000000"/>
          <w:sz w:val="20"/>
        </w:rPr>
        <w:t xml:space="preserve">Cash Contributions. </w:t>
      </w:r>
      <w:r>
        <w:rPr>
          <w:rFonts w:ascii="Times New Roman;sans-serif" w:hAnsi="Times New Roman;sans-serif"/>
          <w:b w:val="false"/>
          <w:color w:val="000000"/>
          <w:sz w:val="20"/>
        </w:rPr>
        <w:t>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noBreakHyphen/>
        <w:t>423 Component.</w:t>
      </w:r>
    </w:p>
    <w:p>
      <w:pPr>
        <w:pStyle w:val="TextBody"/>
        <w:spacing w:lineRule="auto" w:line="288" w:before="0" w:after="180"/>
        <w:ind w:left="0" w:right="0" w:firstLine="720"/>
        <w:rPr/>
      </w:pPr>
      <w:r>
        <w:rPr>
          <w:rFonts w:ascii="Times New Roman;sans-serif" w:hAnsi="Times New Roman;sans-serif"/>
          <w:b w:val="false"/>
          <w:color w:val="000000"/>
          <w:sz w:val="20"/>
        </w:rPr>
        <w:t>8.6</w:t>
      </w:r>
      <w:r>
        <w:rPr>
          <w:rFonts w:ascii="Times New Roman;sans-serif" w:hAnsi="Times New Roman;sans-serif"/>
          <w:b/>
          <w:color w:val="000000"/>
          <w:sz w:val="20"/>
        </w:rPr>
        <w:t xml:space="preserve">Tax Withholdings. </w:t>
      </w:r>
      <w:r>
        <w:rPr>
          <w:rFonts w:ascii="Times New Roman;sans-serif" w:hAnsi="Times New Roman;sans-serif"/>
          <w:b w:val="false"/>
          <w:color w:val="000000"/>
          <w:sz w:val="20"/>
        </w:rPr>
        <w:t>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noBreakHyphen/>
        <w:t>2(f).</w:t>
      </w:r>
    </w:p>
    <w:p>
      <w:pPr>
        <w:pStyle w:val="TextBody"/>
        <w:spacing w:lineRule="auto" w:line="288" w:before="0" w:after="180"/>
        <w:ind w:left="0" w:right="0" w:firstLine="720"/>
        <w:rPr/>
      </w:pPr>
      <w:r>
        <w:rPr>
          <w:rFonts w:ascii="Times New Roman;sans-serif" w:hAnsi="Times New Roman;sans-serif"/>
          <w:b w:val="false"/>
          <w:color w:val="000000"/>
          <w:sz w:val="20"/>
        </w:rPr>
        <w:t>8.7</w:t>
      </w:r>
      <w:r>
        <w:rPr>
          <w:rFonts w:ascii="Times New Roman;sans-serif" w:hAnsi="Times New Roman;sans-serif"/>
          <w:b/>
          <w:color w:val="000000"/>
          <w:sz w:val="20"/>
        </w:rPr>
        <w:t xml:space="preserve">Use of Funds. </w:t>
      </w:r>
      <w:r>
        <w:rPr>
          <w:rFonts w:ascii="Times New Roman;sans-serif" w:hAnsi="Times New Roman;sans-serif"/>
          <w:b w:val="false"/>
          <w:color w:val="000000"/>
          <w:sz w:val="20"/>
        </w:rPr>
        <w:t>The Company may use all Contributions received or held by it under the Plan for any corporate purpose, and the Company will not be obligated to segregate such Contributions except under Offerings or for Participants in the Non</w:t>
        <w:noBreakHyphen/>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noBreakHyphen/>
        <w:t>2(f). Until shares of Common Stock are issued, Participants will have only the rights of an unsecured creditor with respect to such shares.</w:t>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color w:val="000000"/>
          <w:sz w:val="20"/>
        </w:rPr>
        <w:t>Grant of Option.</w:t>
      </w:r>
      <w:r>
        <w:rPr>
          <w:color w:val="000000"/>
        </w:rPr>
        <w:t xml:space="preserve"> </w:t>
      </w:r>
      <w:r>
        <w:rPr>
          <w:rFonts w:ascii="Times New Roman;sans-serif" w:hAnsi="Times New Roman;sans-serif"/>
          <w:b w:val="false"/>
          <w:color w:val="000000"/>
          <w:sz w:val="20"/>
        </w:rPr>
        <w:t xml:space="preserve">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spacing w:lineRule="auto" w:line="288" w:before="0" w:after="180"/>
        <w:ind w:left="0" w:right="0" w:firstLine="720"/>
        <w:rPr/>
      </w:pPr>
      <w:r>
        <w:rPr>
          <w:rFonts w:ascii="Times New Roman;sans-serif" w:hAnsi="Times New Roman;sans-serif"/>
          <w:b w:val="false"/>
          <w:color w:val="000000"/>
          <w:sz w:val="20"/>
        </w:rPr>
        <w:t>9.1</w:t>
      </w:r>
      <w:r>
        <w:rPr>
          <w:rFonts w:ascii="Times New Roman;sans-serif" w:hAnsi="Times New Roman;sans-serif"/>
          <w:b/>
          <w:color w:val="000000"/>
          <w:sz w:val="20"/>
        </w:rPr>
        <w:t>Certain Option Limits.</w:t>
      </w:r>
      <w:r>
        <w:rPr>
          <w:color w:val="000000"/>
        </w:rPr>
        <w:t xml:space="preserve"> </w:t>
      </w:r>
      <w:r>
        <w:rPr>
          <w:rFonts w:ascii="Times New Roman;sans-serif" w:hAnsi="Times New Roman;sans-serif"/>
          <w:b w:val="false"/>
          <w:color w:val="000000"/>
          <w:sz w:val="20"/>
        </w:rPr>
        <w:t>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pStyle w:val="TextBody"/>
        <w:spacing w:lineRule="auto" w:line="288" w:before="0" w:after="180"/>
        <w:ind w:left="0" w:right="0" w:firstLine="720"/>
        <w:rPr/>
      </w:pPr>
      <w:r>
        <w:rPr>
          <w:rFonts w:ascii="Times New Roman;sans-serif" w:hAnsi="Times New Roman;sans-serif"/>
          <w:b w:val="false"/>
          <w:color w:val="000000"/>
          <w:sz w:val="20"/>
        </w:rPr>
        <w:t>9.2</w:t>
      </w:r>
      <w:r>
        <w:rPr>
          <w:rFonts w:ascii="Times New Roman;sans-serif" w:hAnsi="Times New Roman;sans-serif"/>
          <w:b/>
          <w:color w:val="000000"/>
          <w:sz w:val="20"/>
        </w:rPr>
        <w:t xml:space="preserve">Option Receipt. </w:t>
      </w:r>
      <w:r>
        <w:rPr>
          <w:rFonts w:ascii="Times New Roman;sans-serif" w:hAnsi="Times New Roman;sans-serif"/>
          <w:b w:val="false"/>
          <w:color w:val="000000"/>
          <w:sz w:val="20"/>
        </w:rPr>
        <w:t xml:space="preserve">The Eligible Employee may accept the grant of an option under the Plan by electing to participate in the Plan in accordance with the requirements of Section 7. </w:t>
      </w:r>
    </w:p>
    <w:p>
      <w:pPr>
        <w:pStyle w:val="HorizontalLine"/>
        <w:rPr/>
      </w:pPr>
      <w:r>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146685"/>
                <wp:effectExtent l="0" t="0" r="0" b="0"/>
                <wp:wrapNone/>
                <wp:docPr id="657" name="Frame6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9.3</w:t>
      </w:r>
      <w:r>
        <w:rPr>
          <w:rFonts w:ascii="Times New Roman;sans-serif" w:hAnsi="Times New Roman;sans-serif"/>
          <w:b/>
          <w:color w:val="000000"/>
          <w:sz w:val="20"/>
        </w:rPr>
        <w:t xml:space="preserve">Option Term. </w:t>
      </w:r>
      <w:r>
        <w:rPr>
          <w:rFonts w:ascii="Times New Roman;sans-serif" w:hAnsi="Times New Roman;sans-serif"/>
          <w:b w:val="false"/>
          <w:color w:val="000000"/>
          <w:sz w:val="20"/>
        </w:rPr>
        <w:t>Exercise of the option will occur as provided in Section 10, unless the Participant’s participation has terminated pursuant to Sections 12 or 13. The option will expire on the last day of the Offering Period.</w:t>
      </w:r>
    </w:p>
    <w:p>
      <w:pPr>
        <w:pStyle w:val="TextBody"/>
        <w:spacing w:lineRule="auto" w:line="288" w:before="0" w:after="180"/>
        <w:ind w:left="0" w:right="0" w:firstLine="360"/>
        <w:rPr/>
      </w:pPr>
      <w:r>
        <w:rPr>
          <w:rFonts w:ascii="Times New Roman;sans-serif" w:hAnsi="Times New Roman;sans-serif"/>
          <w:b/>
          <w:color w:val="000000"/>
          <w:sz w:val="20"/>
        </w:rPr>
        <w:t>10.</w:t>
      </w:r>
      <w:r>
        <w:rPr>
          <w:rFonts w:ascii="Times New Roman;sans-serif" w:hAnsi="Times New Roman;sans-serif"/>
          <w:b/>
          <w:color w:val="000000"/>
          <w:sz w:val="20"/>
        </w:rPr>
        <w:t>Exercise of Option.</w:t>
      </w:r>
    </w:p>
    <w:p>
      <w:pPr>
        <w:pStyle w:val="TextBody"/>
        <w:spacing w:lineRule="auto" w:line="288" w:before="0" w:after="180"/>
        <w:ind w:left="0" w:right="0" w:firstLine="720"/>
        <w:rPr/>
      </w:pPr>
      <w:r>
        <w:rPr>
          <w:rFonts w:ascii="Times New Roman;sans-serif" w:hAnsi="Times New Roman;sans-serif"/>
          <w:b w:val="false"/>
          <w:color w:val="000000"/>
          <w:sz w:val="20"/>
        </w:rPr>
        <w:t>10.1</w:t>
      </w:r>
      <w:r>
        <w:rPr>
          <w:rFonts w:ascii="Times New Roman;sans-serif" w:hAnsi="Times New Roman;sans-serif"/>
          <w:b/>
          <w:color w:val="000000"/>
          <w:sz w:val="20"/>
        </w:rPr>
        <w:t xml:space="preserve">Automatic Exercise. </w:t>
      </w:r>
      <w:r>
        <w:rPr>
          <w:rFonts w:ascii="Times New Roman;sans-serif" w:hAnsi="Times New Roman;sans-serif"/>
          <w:b w:val="false"/>
          <w:color w:val="000000"/>
          <w:sz w:val="20"/>
        </w:rPr>
        <w:t>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pStyle w:val="TextBody"/>
        <w:spacing w:lineRule="auto" w:line="288" w:before="0" w:after="180"/>
        <w:ind w:left="0" w:right="0" w:firstLine="720"/>
        <w:rPr/>
      </w:pPr>
      <w:r>
        <w:rPr>
          <w:rFonts w:ascii="Times New Roman;sans-serif" w:hAnsi="Times New Roman;sans-serif"/>
          <w:b w:val="false"/>
          <w:color w:val="000000"/>
          <w:sz w:val="20"/>
        </w:rPr>
        <w:t>10.2</w:t>
      </w:r>
      <w:r>
        <w:rPr>
          <w:rFonts w:ascii="Times New Roman;sans-serif" w:hAnsi="Times New Roman;sans-serif"/>
          <w:b/>
          <w:color w:val="000000"/>
          <w:sz w:val="20"/>
        </w:rPr>
        <w:t xml:space="preserve">Pro Rata Allocations. </w:t>
      </w:r>
      <w:r>
        <w:rPr>
          <w:rFonts w:ascii="Times New Roman;sans-serif" w:hAnsi="Times New Roman;sans-serif"/>
          <w:b w:val="false"/>
          <w:color w:val="000000"/>
          <w:sz w:val="20"/>
        </w:rPr>
        <w:t>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color w:val="000000"/>
          <w:sz w:val="20"/>
        </w:rPr>
        <w:t>Delivery.</w:t>
      </w:r>
      <w:r>
        <w:rPr>
          <w:color w:val="000000"/>
        </w:rPr>
        <w:t xml:space="preserve"> </w:t>
      </w:r>
      <w:r>
        <w:rPr>
          <w:rFonts w:ascii="Times New Roman;sans-serif" w:hAnsi="Times New Roman;sans-serif"/>
          <w:b w:val="false"/>
          <w:color w:val="000000"/>
          <w:sz w:val="20"/>
        </w:rPr>
        <w:t>As soon as reasonably practicable after each Exercise Date on which a purchase of shares of Common Stock occurs, the Company 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pStyle w:val="TextBody"/>
        <w:spacing w:lineRule="auto" w:line="288" w:before="0" w:after="180"/>
        <w:ind w:left="0" w:right="0" w:firstLine="360"/>
        <w:rPr/>
      </w:pPr>
      <w:r>
        <w:rPr>
          <w:rFonts w:ascii="Times New Roman;sans-serif" w:hAnsi="Times New Roman;sans-serif"/>
          <w:b/>
          <w:color w:val="000000"/>
          <w:sz w:val="20"/>
        </w:rPr>
        <w:t>12.</w:t>
      </w:r>
      <w:r>
        <w:rPr>
          <w:rFonts w:ascii="Times New Roman;sans-serif" w:hAnsi="Times New Roman;sans-serif"/>
          <w:b/>
          <w:color w:val="000000"/>
          <w:sz w:val="20"/>
        </w:rPr>
        <w:t>Withdrawal.</w:t>
      </w:r>
    </w:p>
    <w:p>
      <w:pPr>
        <w:pStyle w:val="TextBody"/>
        <w:spacing w:lineRule="auto" w:line="288" w:before="0" w:after="180"/>
        <w:ind w:left="0" w:right="0" w:firstLine="720"/>
        <w:rPr/>
      </w:pPr>
      <w:r>
        <w:rPr>
          <w:rFonts w:ascii="Times New Roman;sans-serif" w:hAnsi="Times New Roman;sans-serif"/>
          <w:b w:val="false"/>
          <w:color w:val="000000"/>
          <w:sz w:val="20"/>
        </w:rPr>
        <w:t>12.1</w:t>
      </w:r>
      <w:r>
        <w:rPr>
          <w:rFonts w:ascii="Times New Roman;sans-serif" w:hAnsi="Times New Roman;sans-serif"/>
          <w:b/>
          <w:color w:val="000000"/>
          <w:sz w:val="20"/>
        </w:rPr>
        <w:t>Withdrawal Procedures.</w:t>
      </w:r>
      <w:r>
        <w:rPr>
          <w:color w:val="000000"/>
        </w:rPr>
        <w:t xml:space="preserve"> </w:t>
      </w:r>
      <w:r>
        <w:rPr>
          <w:rFonts w:ascii="Times New Roman;sans-serif" w:hAnsi="Times New Roman;sans-serif"/>
          <w:b w:val="false"/>
          <w:color w:val="000000"/>
          <w:sz w:val="20"/>
        </w:rPr>
        <w:t xml:space="preserve">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sans-serif" w:hAnsi="Times New Roman;sans-serif"/>
          <w:b/>
          <w:color w:val="000000"/>
          <w:sz w:val="20"/>
          <w:u w:val="single"/>
        </w:rPr>
        <w:t>Exhibit B</w:t>
      </w:r>
      <w:r>
        <w:rPr>
          <w:rFonts w:ascii="Times New Roman;sans-serif" w:hAnsi="Times New Roman;sans-serif"/>
          <w:b w:val="false"/>
          <w:color w:val="000000"/>
          <w:sz w:val="20"/>
        </w:rPr>
        <w:t xml:space="preserve">),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w:t>
      </w:r>
    </w:p>
    <w:p>
      <w:pPr>
        <w:pStyle w:val="HorizontalLine"/>
        <w:rPr/>
      </w:pPr>
      <w:r>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146685"/>
                <wp:effectExtent l="0" t="0" r="0" b="0"/>
                <wp:wrapNone/>
                <wp:docPr id="658" name="Frame6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noBreakHyphen/>
        <w:t>enrolls in the Plan in accordance with the provisions of Section 7.</w:t>
      </w:r>
    </w:p>
    <w:p>
      <w:pPr>
        <w:pStyle w:val="TextBody"/>
        <w:spacing w:lineRule="auto" w:line="288" w:before="0" w:after="180"/>
        <w:ind w:left="0" w:right="0" w:firstLine="720"/>
        <w:rPr/>
      </w:pPr>
      <w:r>
        <w:rPr>
          <w:rFonts w:ascii="Times New Roman;sans-serif" w:hAnsi="Times New Roman;sans-serif"/>
          <w:b w:val="false"/>
          <w:color w:val="000000"/>
          <w:sz w:val="20"/>
        </w:rPr>
        <w:t>12.2</w:t>
      </w:r>
      <w:r>
        <w:rPr>
          <w:rFonts w:ascii="Times New Roman;sans-serif" w:hAnsi="Times New Roman;sans-serif"/>
          <w:b/>
          <w:color w:val="000000"/>
          <w:sz w:val="20"/>
        </w:rPr>
        <w:t>No Effect on Future Participation.</w:t>
      </w:r>
      <w:r>
        <w:rPr>
          <w:color w:val="000000"/>
        </w:rPr>
        <w:t xml:space="preserve"> </w:t>
      </w:r>
      <w:r>
        <w:rPr>
          <w:rFonts w:ascii="Times New Roman;sans-serif" w:hAnsi="Times New Roman;sans-serif"/>
          <w:b w:val="false"/>
          <w:color w:val="000000"/>
          <w:sz w:val="20"/>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color w:val="000000"/>
          <w:sz w:val="20"/>
        </w:rPr>
        <w:t>Termination of Employment.</w:t>
      </w:r>
      <w:r>
        <w:rPr>
          <w:color w:val="000000"/>
        </w:rPr>
        <w:t xml:space="preserve"> </w:t>
      </w:r>
      <w:r>
        <w:rPr>
          <w:rFonts w:ascii="Times New Roman;sans-serif" w:hAnsi="Times New Roman;sans-serif"/>
          <w:b w:val="false"/>
          <w:color w:val="000000"/>
          <w:sz w:val="20"/>
        </w:rPr>
        <w:t>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noBreakHyphen/>
        <w:t>423 Component, the exercise of the option will be qualified under the 423 Component only to the extent it complies with Code Section 423; further, no Participant will be deemed to switch from an Offering under the Non</w:t>
        <w:noBreakHyphen/>
        <w:t>423 Component to an Offering under the 423 Component or vice versa unless (and then only to the extent) such switch would not cause the 423 Component or any option thereunder to fail to comply with Code Section 423.</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color w:val="000000"/>
          <w:sz w:val="20"/>
        </w:rPr>
        <w:t xml:space="preserve">Section 409A. </w:t>
      </w:r>
      <w:r>
        <w:rPr>
          <w:rFonts w:ascii="Times New Roman;sans-serif" w:hAnsi="Times New Roman;sans-serif"/>
          <w:b w:val="false"/>
          <w:color w:val="000000"/>
          <w:sz w:val="20"/>
        </w:rPr>
        <w:t>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color w:val="000000"/>
          <w:sz w:val="20"/>
        </w:rPr>
        <w:t xml:space="preserve">Rights as Stockholder. </w:t>
      </w:r>
      <w:r>
        <w:rPr>
          <w:rFonts w:ascii="Times New Roman;sans-serif" w:hAnsi="Times New Roman;sans-serif"/>
          <w:b w:val="false"/>
          <w:color w:val="000000"/>
          <w:sz w:val="20"/>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color w:val="000000"/>
          <w:sz w:val="20"/>
        </w:rPr>
        <w:t xml:space="preserve">Transferability. </w:t>
      </w:r>
      <w:r>
        <w:rPr>
          <w:rFonts w:ascii="Times New Roman;sans-serif" w:hAnsi="Times New Roman;sans-serif"/>
          <w:b w:val="false"/>
          <w:color w:val="000000"/>
          <w:sz w:val="20"/>
        </w:rPr>
        <w:t>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pStyle w:val="HorizontalLine"/>
        <w:rPr/>
      </w:pPr>
      <w:r>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146685"/>
                <wp:effectExtent l="0" t="0" r="0" b="0"/>
                <wp:wrapNone/>
                <wp:docPr id="659" name="Frame6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pPr>
      <w:r>
        <w:rPr>
          <w:rFonts w:ascii="Times New Roman;sans-serif" w:hAnsi="Times New Roman;sans-serif"/>
          <w:b/>
          <w:color w:val="000000"/>
          <w:sz w:val="20"/>
        </w:rPr>
        <w:t>17.</w:t>
      </w:r>
      <w:r>
        <w:rPr>
          <w:rFonts w:ascii="Times New Roman;sans-serif" w:hAnsi="Times New Roman;sans-serif"/>
          <w:b/>
          <w:color w:val="000000"/>
          <w:sz w:val="20"/>
        </w:rPr>
        <w:t>Adjustments, Dissolution, Liquidation, Merger or Change in Control.</w:t>
      </w:r>
    </w:p>
    <w:p>
      <w:pPr>
        <w:pStyle w:val="TextBody"/>
        <w:spacing w:lineRule="auto" w:line="288" w:before="0" w:after="180"/>
        <w:ind w:left="0" w:right="0" w:firstLine="720"/>
        <w:rPr/>
      </w:pPr>
      <w:r>
        <w:rPr>
          <w:rFonts w:ascii="Times New Roman;sans-serif" w:hAnsi="Times New Roman;sans-serif"/>
          <w:b w:val="false"/>
          <w:color w:val="000000"/>
          <w:sz w:val="20"/>
        </w:rPr>
        <w:t>17.1</w:t>
      </w:r>
      <w:r>
        <w:rPr>
          <w:rFonts w:ascii="Times New Roman;sans-serif" w:hAnsi="Times New Roman;sans-serif"/>
          <w:b/>
          <w:color w:val="000000"/>
          <w:sz w:val="20"/>
        </w:rPr>
        <w:t>Adjustments.</w:t>
      </w:r>
      <w:r>
        <w:rPr>
          <w:color w:val="000000"/>
        </w:rPr>
        <w:t xml:space="preserve"> </w:t>
      </w:r>
      <w:r>
        <w:rPr>
          <w:rFonts w:ascii="Times New Roman;sans-serif" w:hAnsi="Times New Roman;sans-serif"/>
          <w:b w:val="false"/>
          <w:color w:val="000000"/>
          <w:sz w:val="20"/>
        </w:rPr>
        <w:t>In the event that any dividend or other distribution (whether in the form of cash, Common Stock, other securities, or other property), recapitalization, stock split, reverse stock split, reorganization, merger, consolidation, split</w:t>
        <w:noBreakHyphen/>
        <w:t>up, spin</w:t>
        <w:noBreakHyphen/>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pStyle w:val="TextBody"/>
        <w:spacing w:lineRule="auto" w:line="288" w:before="0" w:after="180"/>
        <w:ind w:left="0" w:right="0" w:firstLine="720"/>
        <w:rPr/>
      </w:pPr>
      <w:r>
        <w:rPr>
          <w:rFonts w:ascii="Times New Roman;sans-serif" w:hAnsi="Times New Roman;sans-serif"/>
          <w:b w:val="false"/>
          <w:color w:val="000000"/>
          <w:sz w:val="20"/>
        </w:rPr>
        <w:t>17.2</w:t>
      </w:r>
      <w:r>
        <w:rPr>
          <w:rFonts w:ascii="Times New Roman;sans-serif" w:hAnsi="Times New Roman;sans-serif"/>
          <w:b/>
          <w:color w:val="000000"/>
          <w:sz w:val="20"/>
        </w:rPr>
        <w:t>Dissolution or Liquidation.</w:t>
      </w:r>
      <w:r>
        <w:rPr>
          <w:color w:val="000000"/>
        </w:rPr>
        <w:t xml:space="preserve"> </w:t>
      </w:r>
      <w:r>
        <w:rPr>
          <w:rFonts w:ascii="Times New Roman;sans-serif" w:hAnsi="Times New Roman;sans-serif"/>
          <w:b w:val="false"/>
          <w:color w:val="000000"/>
          <w:sz w:val="20"/>
        </w:rPr>
        <w:t>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pStyle w:val="TextBody"/>
        <w:spacing w:lineRule="auto" w:line="288" w:before="0" w:after="180"/>
        <w:ind w:left="0" w:right="0" w:firstLine="720"/>
        <w:rPr/>
      </w:pPr>
      <w:r>
        <w:rPr>
          <w:rFonts w:ascii="Times New Roman;sans-serif" w:hAnsi="Times New Roman;sans-serif"/>
          <w:b w:val="false"/>
          <w:color w:val="000000"/>
          <w:sz w:val="20"/>
        </w:rPr>
        <w:t>17.3</w:t>
      </w:r>
      <w:r>
        <w:rPr>
          <w:rFonts w:ascii="Times New Roman;sans-serif" w:hAnsi="Times New Roman;sans-serif"/>
          <w:b/>
          <w:color w:val="000000"/>
          <w:sz w:val="20"/>
        </w:rPr>
        <w:t>Merger or Change in Control.</w:t>
      </w:r>
      <w:r>
        <w:rPr>
          <w:color w:val="000000"/>
        </w:rPr>
        <w:t xml:space="preserve"> </w:t>
      </w:r>
      <w:r>
        <w:rPr>
          <w:rFonts w:ascii="Times New Roman;sans-serif" w:hAnsi="Times New Roman;sans-serif"/>
          <w:b w:val="false"/>
          <w:color w:val="000000"/>
          <w:sz w:val="20"/>
        </w:rPr>
        <w:t>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pStyle w:val="TextBody"/>
        <w:spacing w:lineRule="auto" w:line="288" w:before="0" w:after="180"/>
        <w:ind w:left="0" w:right="0" w:firstLine="360"/>
        <w:rPr/>
      </w:pPr>
      <w:r>
        <w:rPr>
          <w:rFonts w:ascii="Times New Roman;sans-serif" w:hAnsi="Times New Roman;sans-serif"/>
          <w:b/>
          <w:color w:val="000000"/>
          <w:sz w:val="20"/>
        </w:rPr>
        <w:t>18.</w:t>
      </w:r>
      <w:r>
        <w:rPr>
          <w:rFonts w:ascii="Times New Roman;sans-serif" w:hAnsi="Times New Roman;sans-serif"/>
          <w:b/>
          <w:color w:val="000000"/>
          <w:sz w:val="20"/>
        </w:rPr>
        <w:t>Amendment or Termination.</w:t>
      </w:r>
    </w:p>
    <w:p>
      <w:pPr>
        <w:pStyle w:val="TextBody"/>
        <w:spacing w:lineRule="auto" w:line="288" w:before="0" w:after="180"/>
        <w:ind w:left="0" w:right="0" w:firstLine="720"/>
        <w:rPr/>
      </w:pPr>
      <w:r>
        <w:rPr>
          <w:rFonts w:ascii="Times New Roman;sans-serif" w:hAnsi="Times New Roman;sans-serif"/>
          <w:b w:val="false"/>
          <w:color w:val="000000"/>
          <w:sz w:val="20"/>
        </w:rPr>
        <w:t>18.1</w:t>
      </w:r>
      <w:r>
        <w:rPr>
          <w:rFonts w:ascii="Times New Roman;sans-serif" w:hAnsi="Times New Roman;sans-serif"/>
          <w:b/>
          <w:color w:val="000000"/>
          <w:sz w:val="20"/>
        </w:rPr>
        <w:t xml:space="preserve">Amendment, Suspension, Termination. </w:t>
      </w:r>
      <w:r>
        <w:rPr>
          <w:rFonts w:ascii="Times New Roman;sans-serif" w:hAnsi="Times New Roman;sans-serif"/>
          <w:b w:val="false"/>
          <w:color w:val="000000"/>
          <w:sz w:val="20"/>
        </w:rPr>
        <w:t>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pStyle w:val="TextBody"/>
        <w:spacing w:lineRule="auto" w:line="288" w:before="0" w:after="180"/>
        <w:ind w:left="0" w:right="0" w:firstLine="720"/>
        <w:rPr/>
      </w:pPr>
      <w:r>
        <w:rPr>
          <w:rFonts w:ascii="Times New Roman;sans-serif" w:hAnsi="Times New Roman;sans-serif"/>
          <w:b w:val="false"/>
          <w:color w:val="000000"/>
          <w:sz w:val="20"/>
        </w:rPr>
        <w:t>18.2</w:t>
      </w:r>
      <w:r>
        <w:rPr>
          <w:rFonts w:ascii="Times New Roman;sans-serif" w:hAnsi="Times New Roman;sans-serif"/>
          <w:b/>
          <w:color w:val="000000"/>
          <w:sz w:val="20"/>
        </w:rPr>
        <w:t>Certain Administrator Changes</w:t>
      </w:r>
      <w:r>
        <w:rPr>
          <w:rFonts w:ascii="Times New Roman;sans-serif" w:hAnsi="Times New Roman;sans-serif"/>
          <w:b w:val="false"/>
          <w:color w:val="000000"/>
          <w:sz w:val="20"/>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HorizontalLine"/>
        <w:rPr/>
      </w:pPr>
      <w:r>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146685"/>
                <wp:effectExtent l="0" t="0" r="0" b="0"/>
                <wp:wrapNone/>
                <wp:docPr id="660" name="Frame6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18.3</w:t>
      </w:r>
      <w:r>
        <w:rPr>
          <w:rFonts w:ascii="Times New Roman;sans-serif" w:hAnsi="Times New Roman;sans-serif"/>
          <w:b/>
          <w:color w:val="000000"/>
          <w:sz w:val="20"/>
        </w:rPr>
        <w:t>Changes Due to Accounting Consequences.</w:t>
      </w:r>
      <w:r>
        <w:rPr>
          <w:color w:val="000000"/>
        </w:rPr>
        <w:t xml:space="preserve"> </w:t>
      </w:r>
      <w:r>
        <w:rPr>
          <w:rFonts w:ascii="Times New Roman;sans-serif" w:hAnsi="Times New Roman;sans-serif"/>
          <w:b w:val="false"/>
          <w:color w:val="000000"/>
          <w:sz w:val="20"/>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altering the Purchase Price for any Purchase Period or Offering Period including a Purchase Period or Offering Period underway at the time of the change in Purchase Price;</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shortening any Purchase Period or Offering Period by setting a New Exercise Date, including a Purchase Period or Offering Period underway at the time of the Administrator action;</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reducing the maximum percentage of Compensation a Participant may elect to set aside as Contributions; and</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reducing the maximum number of shares of Common Stock a Participant may purchase during any Purchase Period or Offering Period.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Such modifications or amendments will not require stockholder approval or the consent of any Plan Participants.</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color w:val="000000"/>
          <w:sz w:val="20"/>
        </w:rPr>
        <w:t xml:space="preserve">Conditions Upon Issuance of Shares. </w:t>
      </w:r>
    </w:p>
    <w:p>
      <w:pPr>
        <w:pStyle w:val="TextBody"/>
        <w:spacing w:lineRule="auto" w:line="288" w:before="0" w:after="180"/>
        <w:ind w:left="0" w:right="0" w:firstLine="720"/>
        <w:rPr/>
      </w:pPr>
      <w:r>
        <w:rPr>
          <w:rFonts w:ascii="Times New Roman;sans-serif" w:hAnsi="Times New Roman;sans-serif"/>
          <w:b w:val="false"/>
          <w:color w:val="000000"/>
          <w:sz w:val="20"/>
        </w:rPr>
        <w:t>19.1</w:t>
      </w:r>
      <w:r>
        <w:rPr>
          <w:rFonts w:ascii="Times New Roman;sans-serif" w:hAnsi="Times New Roman;sans-serif"/>
          <w:b/>
          <w:color w:val="000000"/>
          <w:sz w:val="20"/>
        </w:rPr>
        <w:t xml:space="preserve">Legal Compliance. </w:t>
      </w:r>
      <w:r>
        <w:rPr>
          <w:rFonts w:ascii="Times New Roman;sans-serif" w:hAnsi="Times New Roman;sans-serif"/>
          <w:b w:val="false"/>
          <w:color w:val="000000"/>
          <w:sz w:val="20"/>
        </w:rPr>
        <w:t>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pStyle w:val="TextBody"/>
        <w:spacing w:lineRule="auto" w:line="288" w:before="0" w:after="180"/>
        <w:ind w:left="0" w:right="0" w:firstLine="720"/>
        <w:rPr/>
      </w:pPr>
      <w:r>
        <w:rPr>
          <w:rFonts w:ascii="Times New Roman;sans-serif" w:hAnsi="Times New Roman;sans-serif"/>
          <w:b w:val="false"/>
          <w:color w:val="000000"/>
          <w:sz w:val="20"/>
        </w:rPr>
        <w:t>19.2</w:t>
      </w:r>
      <w:r>
        <w:rPr>
          <w:rFonts w:ascii="Times New Roman;sans-serif" w:hAnsi="Times New Roman;sans-serif"/>
          <w:b/>
          <w:color w:val="000000"/>
          <w:sz w:val="20"/>
        </w:rPr>
        <w:t>Investment Representations</w:t>
      </w:r>
      <w:r>
        <w:rPr>
          <w:rFonts w:ascii="Times New Roman;sans-serif" w:hAnsi="Times New Roman;sans-serif"/>
          <w:b w:val="false"/>
          <w:color w:val="000000"/>
          <w:sz w:val="20"/>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color w:val="000000"/>
          <w:sz w:val="20"/>
        </w:rPr>
        <w:t>Term of Plan.</w:t>
      </w:r>
      <w:r>
        <w:rPr>
          <w:color w:val="000000"/>
        </w:rPr>
        <w:t xml:space="preserve"> </w:t>
      </w:r>
      <w:r>
        <w:rPr>
          <w:rFonts w:ascii="Times New Roman;sans-serif" w:hAnsi="Times New Roman;sans-serif"/>
          <w:b w:val="false"/>
          <w:color w:val="000000"/>
          <w:sz w:val="20"/>
        </w:rPr>
        <w:t>The Plan will become effective upon the later to occur of (a) its adoption by the Board, (b) approval by the Company’s stockholders, or (c) the time as of immediately prior to the completion of the Merger. The Plan will continue in effect for a term of twenty (20) years, unless sooner terminated under Section 18.</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color w:val="000000"/>
          <w:sz w:val="20"/>
        </w:rPr>
        <w:t>Stockholder Approval.</w:t>
      </w:r>
      <w:r>
        <w:rPr>
          <w:color w:val="000000"/>
        </w:rPr>
        <w:t xml:space="preserve"> </w:t>
      </w:r>
      <w:r>
        <w:rPr>
          <w:rFonts w:ascii="Times New Roman;sans-serif" w:hAnsi="Times New Roman;sans-serif"/>
          <w:b w:val="false"/>
          <w:color w:val="000000"/>
          <w:sz w:val="20"/>
        </w:rPr>
        <w:t>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color w:val="000000"/>
          <w:sz w:val="20"/>
        </w:rPr>
        <w:t>Interest.</w:t>
      </w:r>
      <w:r>
        <w:rPr>
          <w:color w:val="000000"/>
        </w:rPr>
        <w:t xml:space="preserve"> </w:t>
      </w:r>
      <w:r>
        <w:rPr>
          <w:rFonts w:ascii="Times New Roman;sans-serif" w:hAnsi="Times New Roman;sans-serif"/>
          <w:b w:val="false"/>
          <w:color w:val="000000"/>
          <w:sz w:val="20"/>
        </w:rPr>
        <w:t>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noBreakHyphen/>
        <w:t>2(f).</w:t>
      </w:r>
    </w:p>
    <w:p>
      <w:pPr>
        <w:pStyle w:val="TextBody"/>
        <w:spacing w:lineRule="auto" w:line="288" w:before="0" w:after="180"/>
        <w:ind w:left="0" w:right="0" w:firstLine="360"/>
        <w:rPr/>
      </w:pPr>
      <w:r>
        <w:rPr>
          <w:rFonts w:ascii="Times New Roman;sans-serif" w:hAnsi="Times New Roman;sans-serif"/>
          <w:b w:val="false"/>
          <w:color w:val="000000"/>
          <w:sz w:val="20"/>
        </w:rPr>
        <w:t>23.</w:t>
      </w:r>
      <w:r>
        <w:rPr>
          <w:rFonts w:ascii="Times New Roman;sans-serif" w:hAnsi="Times New Roman;sans-serif"/>
          <w:b/>
          <w:color w:val="000000"/>
          <w:sz w:val="20"/>
        </w:rPr>
        <w:t>No Effect on Employment.</w:t>
      </w:r>
      <w:r>
        <w:rPr>
          <w:color w:val="000000"/>
        </w:rPr>
        <w:t xml:space="preserve"> </w:t>
      </w:r>
      <w:r>
        <w:rPr>
          <w:rFonts w:ascii="Times New Roman;sans-serif" w:hAnsi="Times New Roman;sans-serif"/>
          <w:b w:val="false"/>
          <w:color w:val="000000"/>
          <w:sz w:val="20"/>
        </w:rPr>
        <w:t>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pStyle w:val="TextBody"/>
        <w:spacing w:lineRule="auto" w:line="288" w:before="0" w:after="180"/>
        <w:ind w:left="0" w:right="0" w:firstLine="360"/>
        <w:rPr/>
      </w:pPr>
      <w:r>
        <w:rPr>
          <w:rFonts w:ascii="Times New Roman;sans-serif" w:hAnsi="Times New Roman;sans-serif"/>
          <w:b w:val="false"/>
          <w:color w:val="000000"/>
          <w:sz w:val="20"/>
        </w:rPr>
        <w:t>24.</w:t>
      </w:r>
      <w:r>
        <w:rPr>
          <w:rFonts w:ascii="Times New Roman;sans-serif" w:hAnsi="Times New Roman;sans-serif"/>
          <w:b/>
          <w:color w:val="000000"/>
          <w:sz w:val="20"/>
        </w:rPr>
        <w:t>Reports</w:t>
      </w:r>
      <w:r>
        <w:rPr>
          <w:rFonts w:ascii="Times New Roman;sans-serif" w:hAnsi="Times New Roman;sans-serif"/>
          <w:b w:val="false"/>
          <w:color w:val="000000"/>
          <w:sz w:val="20"/>
        </w:rPr>
        <w:t xml:space="preserve">. Individual accounts will be maintained for each Participant in the Plan. Statements of account will be given to participating Eligible Employees at least annually, which statements will set forth the amounts of </w:t>
      </w:r>
    </w:p>
    <w:p>
      <w:pPr>
        <w:pStyle w:val="HorizontalLine"/>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146685"/>
                <wp:effectExtent l="0" t="0" r="0" b="0"/>
                <wp:wrapNone/>
                <wp:docPr id="661" name="Frame6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Contributions, the Purchase Price, the number of shares of Common Stock purchased and the remaining cash balance, if any.</w:t>
      </w:r>
    </w:p>
    <w:p>
      <w:pPr>
        <w:pStyle w:val="TextBody"/>
        <w:spacing w:lineRule="auto" w:line="288" w:before="0" w:after="180"/>
        <w:ind w:left="0" w:right="0" w:firstLine="360"/>
        <w:rPr/>
      </w:pPr>
      <w:r>
        <w:rPr>
          <w:rFonts w:ascii="Times New Roman;sans-serif" w:hAnsi="Times New Roman;sans-serif"/>
          <w:b w:val="false"/>
          <w:color w:val="000000"/>
          <w:sz w:val="20"/>
        </w:rPr>
        <w:t>25.</w:t>
      </w:r>
      <w:r>
        <w:rPr>
          <w:rFonts w:ascii="Times New Roman;sans-serif" w:hAnsi="Times New Roman;sans-serif"/>
          <w:b/>
          <w:color w:val="000000"/>
          <w:sz w:val="20"/>
        </w:rPr>
        <w:t>Notices.</w:t>
      </w:r>
      <w:r>
        <w:rPr>
          <w:color w:val="000000"/>
        </w:rPr>
        <w:t xml:space="preserve"> </w:t>
      </w:r>
      <w:r>
        <w:rPr>
          <w:rFonts w:ascii="Times New Roman;sans-serif" w:hAnsi="Times New Roman;sans-serif"/>
          <w:b w:val="false"/>
          <w:color w:val="000000"/>
          <w:sz w:val="20"/>
        </w:rPr>
        <w:t>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spacing w:lineRule="auto" w:line="288" w:before="0" w:after="180"/>
        <w:ind w:left="0" w:right="0" w:firstLine="360"/>
        <w:rPr/>
      </w:pPr>
      <w:r>
        <w:rPr>
          <w:rFonts w:ascii="Times New Roman;sans-serif" w:hAnsi="Times New Roman;sans-serif"/>
          <w:b w:val="false"/>
          <w:color w:val="000000"/>
          <w:sz w:val="20"/>
        </w:rPr>
        <w:t>26.</w:t>
      </w:r>
      <w:r>
        <w:rPr>
          <w:rFonts w:ascii="Times New Roman;sans-serif" w:hAnsi="Times New Roman;sans-serif"/>
          <w:b/>
          <w:color w:val="000000"/>
          <w:sz w:val="20"/>
        </w:rPr>
        <w:t xml:space="preserve">Legal Construction. </w:t>
      </w:r>
    </w:p>
    <w:p>
      <w:pPr>
        <w:pStyle w:val="TextBody"/>
        <w:spacing w:lineRule="auto" w:line="288" w:before="0" w:after="180"/>
        <w:ind w:left="0" w:right="0" w:firstLine="720"/>
        <w:rPr/>
      </w:pPr>
      <w:r>
        <w:rPr>
          <w:rFonts w:ascii="Times New Roman;sans-serif" w:hAnsi="Times New Roman;sans-serif"/>
          <w:b w:val="false"/>
          <w:color w:val="000000"/>
          <w:sz w:val="20"/>
        </w:rPr>
        <w:t>26.1</w:t>
      </w:r>
      <w:r>
        <w:rPr>
          <w:rFonts w:ascii="Times New Roman;sans-serif" w:hAnsi="Times New Roman;sans-serif"/>
          <w:b/>
          <w:color w:val="000000"/>
          <w:sz w:val="20"/>
        </w:rPr>
        <w:t>Severability.</w:t>
      </w:r>
      <w:r>
        <w:rPr>
          <w:color w:val="000000"/>
        </w:rPr>
        <w:t xml:space="preserve"> </w:t>
      </w:r>
      <w:r>
        <w:rPr>
          <w:rFonts w:ascii="Times New Roman;sans-serif" w:hAnsi="Times New Roman;sans-serif"/>
          <w:b w:val="false"/>
          <w:color w:val="000000"/>
          <w:sz w:val="20"/>
        </w:rPr>
        <w:t>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spacing w:lineRule="auto" w:line="288" w:before="0" w:after="180"/>
        <w:ind w:left="0" w:right="0" w:firstLine="720"/>
        <w:rPr/>
      </w:pPr>
      <w:r>
        <w:rPr>
          <w:rFonts w:ascii="Times New Roman;sans-serif" w:hAnsi="Times New Roman;sans-serif"/>
          <w:b w:val="false"/>
          <w:color w:val="000000"/>
          <w:sz w:val="20"/>
        </w:rPr>
        <w:t>26.2</w:t>
      </w:r>
      <w:r>
        <w:rPr>
          <w:rFonts w:ascii="Times New Roman;sans-serif" w:hAnsi="Times New Roman;sans-serif"/>
          <w:b/>
          <w:color w:val="000000"/>
          <w:sz w:val="20"/>
        </w:rPr>
        <w:t>Governing Law.</w:t>
      </w:r>
      <w:r>
        <w:rPr>
          <w:color w:val="000000"/>
        </w:rPr>
        <w:t xml:space="preserve"> </w:t>
      </w:r>
      <w:r>
        <w:rPr>
          <w:rFonts w:ascii="Times New Roman;sans-serif" w:hAnsi="Times New Roman;sans-serif"/>
          <w:b w:val="false"/>
          <w:color w:val="000000"/>
          <w:sz w:val="20"/>
        </w:rPr>
        <w:t>The Plan will be governed by, and construed in accordance with, the laws of the State of Delaware, but without regard to its conflict of law provisions.</w:t>
      </w:r>
    </w:p>
    <w:p>
      <w:pPr>
        <w:pStyle w:val="TextBody"/>
        <w:spacing w:lineRule="auto" w:line="288" w:before="0" w:after="180"/>
        <w:ind w:left="0" w:right="0" w:firstLine="720"/>
        <w:rPr/>
      </w:pPr>
      <w:r>
        <w:rPr>
          <w:rFonts w:ascii="Times New Roman;sans-serif" w:hAnsi="Times New Roman;sans-serif"/>
          <w:b w:val="false"/>
          <w:color w:val="000000"/>
          <w:sz w:val="20"/>
        </w:rPr>
        <w:t>26.3</w:t>
      </w:r>
      <w:r>
        <w:rPr>
          <w:rFonts w:ascii="Times New Roman;sans-serif" w:hAnsi="Times New Roman;sans-serif"/>
          <w:b/>
          <w:color w:val="000000"/>
          <w:sz w:val="20"/>
        </w:rPr>
        <w:t>Headings.</w:t>
      </w:r>
      <w:r>
        <w:rPr>
          <w:color w:val="000000"/>
        </w:rPr>
        <w:t xml:space="preserve"> </w:t>
      </w:r>
      <w:r>
        <w:rPr>
          <w:rFonts w:ascii="Times New Roman;sans-serif" w:hAnsi="Times New Roman;sans-serif"/>
          <w:b w:val="false"/>
          <w:color w:val="000000"/>
          <w:sz w:val="20"/>
        </w:rPr>
        <w:t>Headings are provided herein for convenience only, and will not serve as a basis for interpretation of the Plan.</w:t>
      </w:r>
    </w:p>
    <w:p>
      <w:pPr>
        <w:pStyle w:val="TextBody"/>
        <w:spacing w:lineRule="auto" w:line="288" w:before="0" w:after="180"/>
        <w:ind w:left="0" w:right="0" w:firstLine="360"/>
        <w:rPr/>
      </w:pPr>
      <w:r>
        <w:rPr>
          <w:rFonts w:ascii="Times New Roman;sans-serif" w:hAnsi="Times New Roman;sans-serif"/>
          <w:b w:val="false"/>
          <w:color w:val="000000"/>
          <w:sz w:val="20"/>
        </w:rPr>
        <w:t>27</w:t>
      </w:r>
      <w:r>
        <w:rPr>
          <w:rFonts w:ascii="Times New Roman;sans-serif" w:hAnsi="Times New Roman;sans-serif"/>
          <w:b/>
          <w:color w:val="000000"/>
          <w:sz w:val="20"/>
        </w:rPr>
        <w:t xml:space="preserve">Compliance with Applicable Laws. </w:t>
      </w:r>
      <w:r>
        <w:rPr>
          <w:rFonts w:ascii="Times New Roman;sans-serif" w:hAnsi="Times New Roman;sans-serif"/>
          <w:b w:val="false"/>
          <w:color w:val="000000"/>
          <w:sz w:val="20"/>
        </w:rPr>
        <w:t>The terms of this Plan are intended to comply with all Applicable Laws and will be construed accordingly.</w:t>
      </w:r>
    </w:p>
    <w:p>
      <w:pPr>
        <w:pStyle w:val="TextBody"/>
        <w:spacing w:lineRule="auto" w:line="288" w:before="0" w:after="180"/>
        <w:ind w:left="0" w:right="0" w:firstLine="360"/>
        <w:rPr/>
      </w:pPr>
      <w:r>
        <w:rPr>
          <w:rFonts w:ascii="Times New Roman;sans-serif" w:hAnsi="Times New Roman;sans-serif"/>
          <w:b w:val="false"/>
          <w:color w:val="000000"/>
          <w:sz w:val="20"/>
        </w:rPr>
        <w:t>28</w:t>
      </w:r>
      <w:r>
        <w:rPr>
          <w:rFonts w:ascii="Times New Roman;sans-serif" w:hAnsi="Times New Roman;sans-serif"/>
          <w:b/>
          <w:color w:val="000000"/>
          <w:sz w:val="20"/>
        </w:rPr>
        <w:t>Automatic Transfer to Low Price Offering Period.</w:t>
      </w:r>
      <w:r>
        <w:rPr>
          <w:color w:val="000000"/>
        </w:rPr>
        <w:t xml:space="preserve"> </w:t>
      </w:r>
      <w:r>
        <w:rPr>
          <w:rFonts w:ascii="Times New Roman;sans-serif" w:hAnsi="Times New Roman;sans-serif"/>
          <w:b w:val="false"/>
          <w:color w:val="000000"/>
          <w:sz w:val="20"/>
        </w:rPr>
        <w:t>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noBreakHyphen/>
        <w:t xml:space="preserve">enrolled in the immediately following Offering Period as of the first day thereof.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146685"/>
                <wp:effectExtent l="0" t="0" r="0" b="0"/>
                <wp:wrapNone/>
                <wp:docPr id="662" name="Frame6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SUBSCRIPTION AGREEMENT</w:t>
      </w:r>
    </w:p>
    <w:tbl>
      <w:tblPr>
        <w:tblW w:w="4820" w:type="dxa"/>
        <w:jc w:val="left"/>
        <w:tblInd w:w="0" w:type="dxa"/>
        <w:tblCellMar>
          <w:top w:w="28" w:type="dxa"/>
          <w:left w:w="28" w:type="dxa"/>
          <w:bottom w:w="28" w:type="dxa"/>
          <w:right w:w="28" w:type="dxa"/>
        </w:tblCellMar>
      </w:tblPr>
      <w:tblGrid>
        <w:gridCol w:w="124"/>
        <w:gridCol w:w="109"/>
        <w:gridCol w:w="109"/>
        <w:gridCol w:w="824"/>
        <w:gridCol w:w="824"/>
        <w:gridCol w:w="827"/>
        <w:gridCol w:w="109"/>
        <w:gridCol w:w="109"/>
        <w:gridCol w:w="109"/>
        <w:gridCol w:w="434"/>
        <w:gridCol w:w="434"/>
        <w:gridCol w:w="43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Application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Offering Date: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929292"/>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Payroll Deduction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pPr>
      <w:r>
        <w:rPr>
          <w:rFonts w:ascii="Times New Roman;sans-serif" w:hAnsi="Times New Roman;sans-serif"/>
          <w:b w:val="false"/>
          <w:color w:val="000000"/>
          <w:sz w:val="20"/>
        </w:rPr>
        <w:t>1.</w:t>
      </w:r>
      <w:r>
        <w:rPr>
          <w:rFonts w:ascii="Times New Roman;sans-serif" w:hAnsi="Times New Roman;sans-serif"/>
          <w:b w:val="false"/>
          <w:color w:val="000000"/>
          <w:sz w:val="20"/>
        </w:rPr>
        <w:t>____________________ hereby elects to participate in the Nautilus Biotechnology, Inc. 2021 Employee Stock Purchase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pStyle w:val="TextBody"/>
        <w:spacing w:lineRule="auto" w:line="288" w:before="0" w:after="180"/>
        <w:ind w:left="0" w:right="0" w:firstLine="720"/>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 hereby authorize and consent to payroll deductions from each paycheck in the amount of </w:t>
      </w:r>
      <w:r>
        <w:rPr>
          <w:color w:val="000000"/>
          <w:u w:val="single"/>
        </w:rPr>
        <w:t>          </w:t>
      </w:r>
      <w:r>
        <w:rPr>
          <w:rFonts w:ascii="Times New Roman;sans-serif" w:hAnsi="Times New Roman;sans-serif"/>
          <w:b w:val="false"/>
          <w:color w:val="000000"/>
          <w:sz w:val="20"/>
        </w:rPr>
        <w:t>%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pStyle w:val="TextBody"/>
        <w:spacing w:lineRule="auto" w:line="288" w:before="0" w:after="180"/>
        <w:ind w:left="0" w:right="0" w:firstLine="720"/>
        <w:rPr/>
      </w:pPr>
      <w:r>
        <w:rPr>
          <w:rFonts w:ascii="Times New Roman;sans-serif" w:hAnsi="Times New Roman;sans-serif"/>
          <w:b w:val="false"/>
          <w:color w:val="000000"/>
          <w:sz w:val="20"/>
        </w:rPr>
        <w:t>3.</w:t>
      </w:r>
      <w:r>
        <w:rPr>
          <w:rFonts w:ascii="Times New Roman;sans-serif" w:hAnsi="Times New Roman;sans-serif"/>
          <w:b w:val="false"/>
          <w:color w:val="000000"/>
          <w:sz w:val="20"/>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pStyle w:val="TextBody"/>
        <w:spacing w:lineRule="auto" w:line="288" w:before="0" w:after="18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0"/>
        </w:rPr>
        <w:t>I have received a copy of the complete Plan and its accompanying prospectus. I understand that my participation in the Plan is in all respects subject to the terms of the Plan.</w:t>
      </w:r>
    </w:p>
    <w:p>
      <w:pPr>
        <w:pStyle w:val="TextBody"/>
        <w:spacing w:lineRule="auto" w:line="288" w:before="0" w:after="18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Shares of Common Stock purchased for me under the Plan should be issued in the name(s) of </w:t>
      </w:r>
      <w:r>
        <w:rPr>
          <w:color w:val="000000"/>
          <w:u w:val="single"/>
        </w:rPr>
        <w:t>                    </w:t>
      </w:r>
      <w:r>
        <w:rPr>
          <w:color w:val="000000"/>
        </w:rPr>
        <w:t xml:space="preserve"> </w:t>
      </w:r>
      <w:r>
        <w:rPr>
          <w:rFonts w:ascii="Times New Roman;sans-serif" w:hAnsi="Times New Roman;sans-serif"/>
          <w:b w:val="false"/>
          <w:color w:val="000000"/>
          <w:sz w:val="20"/>
        </w:rPr>
        <w:t>(Eligible Employee or Eligible Employee and spouse only).</w:t>
      </w:r>
    </w:p>
    <w:p>
      <w:pPr>
        <w:pStyle w:val="TextBody"/>
        <w:spacing w:lineRule="auto" w:line="288" w:before="0" w:after="180"/>
        <w:ind w:left="0" w:right="0" w:firstLine="720"/>
        <w:rPr/>
      </w:pPr>
      <w:r>
        <w:rPr>
          <w:rFonts w:ascii="Times New Roman;sans-serif" w:hAnsi="Times New Roman;sans-serif"/>
          <w:b w:val="false"/>
          <w:color w:val="000000"/>
          <w:sz w:val="20"/>
        </w:rPr>
        <w:t>6.</w:t>
      </w:r>
      <w:r>
        <w:rPr>
          <w:rFonts w:ascii="Times New Roman;sans-serif" w:hAnsi="Times New Roman;sans-serif"/>
          <w:b w:val="false"/>
          <w:color w:val="000000"/>
          <w:sz w:val="20"/>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sans-serif" w:hAnsi="Times New Roman;sans-serif"/>
          <w:b/>
          <w:color w:val="000000"/>
          <w:sz w:val="20"/>
        </w:rPr>
        <w:t xml:space="preserve">I hereby agree to notify the Company in writing within thirty (30) days after the date of any disposition of my shares and I will make adequate provision for federal, state or other tax withholding obligations, if any, which arise upon the disposition of the Common Stock. </w:t>
      </w:r>
      <w:r>
        <w:rPr>
          <w:rFonts w:ascii="Times New Roman;sans-serif" w:hAnsi="Times New Roman;sans-serif"/>
          <w:b w:val="false"/>
          <w:color w:val="000000"/>
          <w:sz w:val="20"/>
        </w:rPr>
        <w:t>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pStyle w:val="HorizontalLine"/>
        <w:rPr/>
      </w:pPr>
      <w:r>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146685"/>
                <wp:effectExtent l="0" t="0" r="0" b="0"/>
                <wp:wrapNone/>
                <wp:docPr id="663" name="Frame6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720"/>
        <w:rPr/>
      </w:pPr>
      <w:r>
        <w:rPr>
          <w:rFonts w:ascii="Times New Roman;sans-serif" w:hAnsi="Times New Roman;sans-serif"/>
          <w:b w:val="false"/>
          <w:color w:val="000000"/>
          <w:sz w:val="20"/>
        </w:rPr>
        <w:t>7.</w:t>
      </w:r>
      <w:r>
        <w:rPr>
          <w:rFonts w:ascii="Times New Roman;sans-serif" w:hAnsi="Times New Roman;sans-serif"/>
          <w:b w:val="false"/>
          <w:color w:val="000000"/>
          <w:sz w:val="20"/>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noBreakHyphen/>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sans-serif" w:hAnsi="Times New Roman;sans-serif"/>
          <w:b/>
          <w:color w:val="000000"/>
          <w:sz w:val="20"/>
        </w:rPr>
        <w:t>Tax</w:t>
        <w:noBreakHyphen/>
        <w:t>Related Items</w:t>
      </w:r>
      <w:r>
        <w:rPr>
          <w:color w:val="000000"/>
        </w:rPr>
        <w:t>”</w:t>
      </w:r>
      <w:r>
        <w:rPr>
          <w:rFonts w:ascii="Times New Roman;sans-serif" w:hAnsi="Times New Roman;sans-serif"/>
          <w:b w:val="false"/>
          <w:color w:val="000000"/>
          <w:sz w:val="20"/>
        </w:rPr>
        <w:t>), the ultimate liability for all Tax</w:t>
        <w:noBreakHyphen/>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noBreakHyphen/>
        <w:t>Related Items in connection with any aspect of the options under the Plan and (b) do not commit to and are under no obligation to structure the terms of the grant of options or any aspect of my participation in the Plan to reduce or eliminate my liability for Tax</w:t>
        <w:noBreakHyphen/>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noBreakHyphen/>
        <w:t>Related Items in more than one jurisdiction.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purchase of shares of Common Stock under the Plan or any other relevant taxable or tax withholding event, as applicable, I agree to make adequate arrangements satisfactory to the Company and/or the applicable Designated Company to satisfy all Tax</w:t>
        <w:noBreakHyphen/>
        <w:t>Related Items. In this regard, I authorize the Company and/or the applicable Designated Company, or their respective agents, at their discretion, to satisfy any applicable withholding obligations with regard to all Tax</w:t>
        <w:noBreakHyphen/>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noBreakHyphen/>
        <w:t>Related Items by considering applicable maximum withholding rates, in which case I will receive a refund of any over</w:t>
        <w:noBreakHyphen/>
        <w:t>withheld amount in cash and will have no entitlement to the Common Stock equivalent.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Finally, I agree to pay to the Company or the applicable Designated Company any amount of Tax</w:t>
        <w:noBreakHyphen/>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noBreakHyphen/>
        <w:t>Related Items.</w:t>
      </w:r>
    </w:p>
    <w:p>
      <w:pPr>
        <w:pStyle w:val="TextBody"/>
        <w:spacing w:lineRule="auto" w:line="288" w:before="0" w:after="180"/>
        <w:ind w:left="0" w:right="0" w:firstLine="720"/>
        <w:rPr/>
      </w:pPr>
      <w:r>
        <w:rPr>
          <w:rFonts w:ascii="Times New Roman;sans-serif" w:hAnsi="Times New Roman;sans-serif"/>
          <w:b w:val="false"/>
          <w:color w:val="000000"/>
          <w:sz w:val="20"/>
        </w:rPr>
        <w:t>8.</w:t>
      </w:r>
      <w:r>
        <w:rPr>
          <w:rFonts w:ascii="Times New Roman;sans-serif" w:hAnsi="Times New Roman;sans-serif"/>
          <w:b w:val="false"/>
          <w:color w:val="000000"/>
          <w:sz w:val="20"/>
        </w:rPr>
        <w:t>By electing to participate in the Plan, I acknowledge, understand and agree that:</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Plan is established voluntarily by the Company, it is discretionary in nature and it may be modified, amended, suspended or terminated by the Company at any time, to the extent provided for in the Plan;</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all decisions with respect to future grants under the Plan, if applicable, will be at the sole discretion of the Company;</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I am voluntarily participating in the Plan;</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the options granted under the Plan and the shares of Common Stock underlying such options, and the income and value of same, are not intended to replace any pension rights or compensation;</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options granted under the Plan and the shares of Common Stock underlying such options, and the income and value of same, are not part of my normal or expected compensation for any purpose, </w:t>
      </w:r>
    </w:p>
    <w:p>
      <w:pPr>
        <w:pStyle w:val="HorizontalLine"/>
        <w:rPr/>
      </w:pPr>
      <w:r>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146685"/>
                <wp:effectExtent l="0" t="0" r="0" b="0"/>
                <wp:wrapNone/>
                <wp:docPr id="664" name="Frame6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including, but not limited to, calculating any severance, resignation, termination, redundancy, dismissal, end</w:t>
        <w:noBreakHyphen/>
        <w:t>of</w:t>
        <w:noBreakHyphen/>
        <w:t>service payments, bonuses, long</w:t>
        <w:noBreakHyphen/>
        <w:t>service awards, pension or retirement benefits or similar payments;</w:t>
      </w:r>
    </w:p>
    <w:p>
      <w:pPr>
        <w:pStyle w:val="TextBody"/>
        <w:spacing w:lineRule="auto" w:line="288"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the future value of the shares of Common Stock offered under the Plan is unknown, indeterminable and cannot be predicted with certainty;</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the shares of Common Stock that I acquire under the Plan may increase or decrease in value, even below the Purchase Price;</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pStyle w:val="TextBody"/>
        <w:spacing w:lineRule="auto" w:line="288"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Times New Roman;sans-serif" w:hAnsi="Times New Roman;sans-serif"/>
          <w:b/>
          <w:color w:val="000000"/>
          <w:sz w:val="20"/>
        </w:rPr>
        <w:t>garden leave</w:t>
      </w:r>
      <w:r>
        <w:rPr>
          <w:color w:val="000000"/>
        </w:rPr>
        <w:t xml:space="preserve">” </w:t>
      </w:r>
      <w:r>
        <w:rPr>
          <w:rFonts w:ascii="Times New Roman;sans-serif" w:hAnsi="Times New Roman;sans-serif"/>
          <w:b w:val="false"/>
          <w:color w:val="000000"/>
          <w:sz w:val="20"/>
        </w:rPr>
        <w:t>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pStyle w:val="TextBody"/>
        <w:spacing w:lineRule="auto" w:line="288" w:before="0" w:after="180"/>
        <w:ind w:left="0" w:right="0" w:firstLine="720"/>
        <w:rPr/>
      </w:pPr>
      <w:r>
        <w:rPr>
          <w:rFonts w:ascii="Times New Roman;sans-serif" w:hAnsi="Times New Roman;sans-serif"/>
          <w:b w:val="false"/>
          <w:i/>
          <w:color w:val="000000"/>
          <w:sz w:val="20"/>
        </w:rPr>
        <w:t>9.</w:t>
      </w:r>
      <w:r>
        <w:rPr>
          <w:rFonts w:ascii="Times New Roman;sans-serif" w:hAnsi="Times New Roman;sans-serif"/>
          <w:b w:val="false"/>
          <w:i/>
          <w:color w:val="000000"/>
          <w:sz w:val="20"/>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sans-serif" w:hAnsi="Times New Roman;sans-serif"/>
          <w:b/>
          <w:i/>
          <w:color w:val="000000"/>
          <w:sz w:val="20"/>
        </w:rPr>
        <w:t>Data</w:t>
      </w:r>
      <w:r>
        <w:rPr>
          <w:color w:val="000000"/>
        </w:rPr>
        <w:t>”</w:t>
      </w:r>
      <w:r>
        <w:rPr>
          <w:rFonts w:ascii="Times New Roman;sans-serif" w:hAnsi="Times New Roman;sans-serif"/>
          <w:b w:val="false"/>
          <w:i/>
          <w:color w:val="000000"/>
          <w:sz w:val="20"/>
        </w:rPr>
        <w:t xml:space="preserve">),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w:t>
      </w:r>
    </w:p>
    <w:p>
      <w:pPr>
        <w:pStyle w:val="HorizontalLine"/>
        <w:rPr/>
      </w:pPr>
      <w:r>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146685"/>
                <wp:effectExtent l="0" t="0" r="0" b="0"/>
                <wp:wrapNone/>
                <wp:docPr id="665" name="Frame6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pStyle w:val="TextBody"/>
        <w:spacing w:lineRule="auto" w:line="288" w:before="0" w:after="180"/>
        <w:ind w:left="0" w:right="0" w:firstLine="720"/>
        <w:rPr/>
      </w:pPr>
      <w:r>
        <w:rPr>
          <w:rFonts w:ascii="Times New Roman;sans-serif" w:hAnsi="Times New Roman;sans-serif"/>
          <w:b w:val="false"/>
          <w:color w:val="000000"/>
          <w:sz w:val="20"/>
        </w:rPr>
        <w:t>10.</w:t>
      </w:r>
      <w:r>
        <w:rPr>
          <w:rFonts w:ascii="Times New Roman;sans-serif" w:hAnsi="Times New Roman;sans-serif"/>
          <w:b w:val="false"/>
          <w:color w:val="000000"/>
          <w:sz w:val="20"/>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pStyle w:val="TextBody"/>
        <w:spacing w:lineRule="auto" w:line="288" w:before="0" w:after="180"/>
        <w:ind w:left="0" w:right="0" w:firstLine="720"/>
        <w:rPr/>
      </w:pPr>
      <w:r>
        <w:rPr>
          <w:rFonts w:ascii="Times New Roman;sans-serif" w:hAnsi="Times New Roman;sans-serif"/>
          <w:b w:val="false"/>
          <w:color w:val="000000"/>
          <w:sz w:val="20"/>
        </w:rPr>
        <w:t>11.</w:t>
      </w:r>
      <w:r>
        <w:rPr>
          <w:rFonts w:ascii="Times New Roman;sans-serif" w:hAnsi="Times New Roman;sans-serif"/>
          <w:b w:val="false"/>
          <w:color w:val="000000"/>
          <w:sz w:val="20"/>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pStyle w:val="TextBody"/>
        <w:spacing w:lineRule="auto" w:line="288" w:before="0" w:after="180"/>
        <w:ind w:left="0" w:right="0" w:firstLine="720"/>
        <w:rPr/>
      </w:pPr>
      <w:r>
        <w:rPr>
          <w:rFonts w:ascii="Times New Roman;sans-serif" w:hAnsi="Times New Roman;sans-serif"/>
          <w:b w:val="false"/>
          <w:color w:val="000000"/>
          <w:sz w:val="20"/>
        </w:rPr>
        <w:t>12.</w:t>
      </w:r>
      <w:r>
        <w:rPr>
          <w:rFonts w:ascii="Times New Roman;sans-serif" w:hAnsi="Times New Roman;sans-serif"/>
          <w:b w:val="false"/>
          <w:color w:val="000000"/>
          <w:sz w:val="20"/>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pStyle w:val="TextBody"/>
        <w:spacing w:lineRule="auto" w:line="288" w:before="0" w:after="180"/>
        <w:ind w:left="0" w:right="0" w:firstLine="720"/>
        <w:rPr/>
      </w:pPr>
      <w:r>
        <w:rPr>
          <w:rFonts w:ascii="Times New Roman;sans-serif" w:hAnsi="Times New Roman;sans-serif"/>
          <w:b w:val="false"/>
          <w:color w:val="000000"/>
          <w:sz w:val="20"/>
        </w:rPr>
        <w:t>13.</w:t>
      </w:r>
      <w:r>
        <w:rPr>
          <w:rFonts w:ascii="Times New Roman;sans-serif" w:hAnsi="Times New Roman;sans-serif"/>
          <w:b w:val="false"/>
          <w:color w:val="000000"/>
          <w:sz w:val="20"/>
        </w:rPr>
        <w:t>I hereby agree to be bound by the terms of the Plan. The effectiveness of this Subscription Agreement is dependent upon my eligibility to participate in the Plan.</w:t>
      </w:r>
    </w:p>
    <w:tbl>
      <w:tblPr>
        <w:tblW w:w="2711" w:type="dxa"/>
        <w:jc w:val="left"/>
        <w:tblInd w:w="0" w:type="dxa"/>
        <w:tblCellMar>
          <w:top w:w="28" w:type="dxa"/>
          <w:left w:w="28" w:type="dxa"/>
          <w:bottom w:w="28" w:type="dxa"/>
          <w:right w:w="28" w:type="dxa"/>
        </w:tblCellMar>
      </w:tblPr>
      <w:tblGrid>
        <w:gridCol w:w="846"/>
        <w:gridCol w:w="744"/>
        <w:gridCol w:w="749"/>
        <w:gridCol w:w="109"/>
        <w:gridCol w:w="109"/>
        <w:gridCol w:w="154"/>
      </w:tblGrid>
      <w:tr>
        <w:trPr/>
        <w:tc>
          <w:tcPr>
            <w:tcW w:w="84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Social</w:t>
            </w:r>
          </w:p>
        </w:tc>
        <w:tc>
          <w:tcPr>
            <w:tcW w:w="372"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Number</w:t>
            </w:r>
          </w:p>
        </w:tc>
        <w:tc>
          <w:tcPr>
            <w:tcW w:w="3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U.S.</w:t>
              <w:noBreakHyphen/>
              <w:t>based employees):</w:t>
            </w:r>
          </w:p>
        </w:tc>
        <w:tc>
          <w:tcPr>
            <w:tcW w:w="3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Address: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 UNDERSTAND THAT THIS SUBSCRIPTION AGREEMENT WILL REMAIN IN EFFECT THROUGHOUT SUCCESSIVE OFFERING PERIODS UNLESS TERMINATED BY ME.</w:t>
      </w:r>
    </w:p>
    <w:tbl>
      <w:tblPr>
        <w:tblW w:w="3368" w:type="dxa"/>
        <w:jc w:val="left"/>
        <w:tblInd w:w="0" w:type="dxa"/>
        <w:tblCellMar>
          <w:top w:w="28" w:type="dxa"/>
          <w:left w:w="28" w:type="dxa"/>
          <w:bottom w:w="28" w:type="dxa"/>
          <w:right w:w="28" w:type="dxa"/>
        </w:tblCellMar>
      </w:tblPr>
      <w:tblGrid>
        <w:gridCol w:w="254"/>
        <w:gridCol w:w="224"/>
        <w:gridCol w:w="226"/>
        <w:gridCol w:w="109"/>
        <w:gridCol w:w="109"/>
        <w:gridCol w:w="109"/>
        <w:gridCol w:w="109"/>
        <w:gridCol w:w="109"/>
        <w:gridCol w:w="109"/>
        <w:gridCol w:w="587"/>
        <w:gridCol w:w="587"/>
        <w:gridCol w:w="836"/>
      </w:tblGrid>
      <w:tr>
        <w:trPr/>
        <w:tc>
          <w:tcPr>
            <w:tcW w:w="2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r>
    </w:tbl>
    <w:p>
      <w:pPr>
        <w:pStyle w:val="TextBody"/>
        <w:spacing w:before="0" w:after="180"/>
        <w:jc w:val="center"/>
        <w:rPr/>
      </w:pPr>
      <w:r>
        <w:rPr/>
      </w:r>
    </w:p>
    <w:p>
      <w:pPr>
        <w:pStyle w:val="HorizontalLine"/>
        <w:rPr/>
      </w:pPr>
      <w:r>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146685"/>
                <wp:effectExtent l="0" t="0" r="0" b="0"/>
                <wp:wrapNone/>
                <wp:docPr id="666" name="Frame6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80"/>
        <w:ind w:left="0" w:right="0" w:firstLine="360"/>
        <w:rPr/>
      </w:pPr>
      <w:r>
        <w:rPr/>
      </w: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B</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NOTICE OF WITHDRAWAL</w:t>
      </w:r>
    </w:p>
    <w:p>
      <w:pPr>
        <w:pStyle w:val="TextBody"/>
        <w:spacing w:lineRule="auto" w:line="288" w:before="0" w:after="180"/>
        <w:rPr/>
      </w:pPr>
      <w:r>
        <w:rPr>
          <w:rFonts w:ascii="Times New Roman;sans-serif" w:hAnsi="Times New Roman;sans-serif"/>
          <w:b w:val="false"/>
          <w:color w:val="000000"/>
          <w:sz w:val="20"/>
        </w:rPr>
        <w:t>The undersigned Participant in the Offering Period of the Nautilus Biotechnology, Inc. 2021 Employee Stock Purchase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that began on ____________, ______ (the “</w:t>
      </w:r>
      <w:r>
        <w:rPr>
          <w:rFonts w:ascii="Times New Roman;sans-serif" w:hAnsi="Times New Roman;sans-serif"/>
          <w:b/>
          <w:color w:val="000000"/>
          <w:sz w:val="20"/>
        </w:rPr>
        <w:t>Offering Date</w:t>
      </w:r>
      <w:r>
        <w:rPr>
          <w:color w:val="000000"/>
        </w:rPr>
        <w:t>”</w:t>
      </w:r>
      <w:r>
        <w:rPr>
          <w:rFonts w:ascii="Times New Roman;sans-serif" w:hAnsi="Times New Roman;sans-serif"/>
          <w:b w:val="false"/>
          <w:color w:val="000000"/>
          <w:sz w:val="20"/>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tbl>
      <w:tblPr>
        <w:tblW w:w="2804" w:type="dxa"/>
        <w:jc w:val="right"/>
        <w:tblInd w:w="0" w:type="dxa"/>
        <w:tblCellMar>
          <w:top w:w="28" w:type="dxa"/>
          <w:left w:w="28" w:type="dxa"/>
          <w:bottom w:w="28" w:type="dxa"/>
          <w:right w:w="28" w:type="dxa"/>
        </w:tblCellMar>
      </w:tblPr>
      <w:tblGrid>
        <w:gridCol w:w="485"/>
        <w:gridCol w:w="427"/>
        <w:gridCol w:w="427"/>
        <w:gridCol w:w="427"/>
        <w:gridCol w:w="427"/>
        <w:gridCol w:w="611"/>
      </w:tblGrid>
      <w:tr>
        <w:trPr/>
        <w:tc>
          <w:tcPr>
            <w:tcW w:w="48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80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Address of Participant</w:t>
            </w:r>
          </w:p>
        </w:tc>
      </w:tr>
      <w:tr>
        <w:trPr/>
        <w:tc>
          <w:tcPr>
            <w:tcW w:w="2804"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280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6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146685"/>
                <wp:effectExtent l="0" t="0" r="0" b="0"/>
                <wp:wrapNone/>
                <wp:docPr id="667" name="Frame6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Annex 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PRELIMINARY PROXY CARD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SUBJECT TO COMPLETION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 Extraordinary General Meeting</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Astor Place, 10th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New York, NY 10003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EXTRAORDINARY GENERAL MEETING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OF SHAREHOLDERS OF ARYA SCIENCES ACQUISITION CORP III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YOUR VOTE IS IMPORTANT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THIS PROXY IS SOLICITED BY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EXTRAORDINARY GENERAL MEETING OF SHAREHOLDERS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TO BE HELD ON , 2021.</w:t>
      </w:r>
    </w:p>
    <w:tbl>
      <w:tblPr>
        <w:tblW w:w="10205" w:type="dxa"/>
        <w:jc w:val="left"/>
        <w:tblInd w:w="0" w:type="dxa"/>
        <w:tblCellMar>
          <w:top w:w="28" w:type="dxa"/>
          <w:left w:w="28" w:type="dxa"/>
          <w:bottom w:w="28" w:type="dxa"/>
          <w:right w:w="28" w:type="dxa"/>
        </w:tblCellMar>
      </w:tblPr>
      <w:tblGrid>
        <w:gridCol w:w="124"/>
        <w:gridCol w:w="109"/>
        <w:gridCol w:w="109"/>
        <w:gridCol w:w="1441"/>
        <w:gridCol w:w="1441"/>
        <w:gridCol w:w="1441"/>
        <w:gridCol w:w="2028"/>
        <w:gridCol w:w="1441"/>
        <w:gridCol w:w="207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P</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R</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O</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X</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Y</w:t>
            </w:r>
          </w:p>
          <w:p>
            <w:pPr>
              <w:pStyle w:val="TableContents"/>
              <w:spacing w:lineRule="auto" w:line="240" w:before="0" w:after="0"/>
              <w:jc w:val="left"/>
              <w:rPr>
                <w:color w:val="000000"/>
              </w:rPr>
            </w:pPr>
            <w:r>
              <w:rPr>
                <w:color w:val="000000"/>
              </w:rPr>
              <w:t> </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C</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A</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R</w:t>
            </w:r>
          </w:p>
          <w:p>
            <w:pPr>
              <w:pStyle w:val="TableContents"/>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D</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revoking any previous proxies relating to these shares, hereby acknowledges receipt of the Notice and Proxy Statement, dated   , 2021, in connection with the extraordinary general meeting of Shareholders (the “extraordinary general meeting”) to be held at 9:00 a.m. Eastern Time on , 2021, at the offices of Kirkland &amp; Ellis LLP located at 601 Lexington Avenue, New York, New York 10022, and hereby appoints Adam Stone and Michael Altman, and each of them (with full power to act alone), the attorneys and proxies of the undersigned, with power of substitution to each, to vote all ordinary shares of ARYA Sciences Acquisition Corp III (“ARYA”) registered in the name provided, which the undersigned is entitled to vote at the extraordinary general meeting,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statement/prospectus.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THIS PROXY, WHEN EXECUTED, WILL BE VOTED IN THE MANNER DIRECTED HEREIN. IF NO DIRECTION IS MADE, THIS PROXY WILL BE VOTED “FOR” PROPOSALS 1 THROUGH 11.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(Continued and to be marked, dated and signed on reverse side)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Please</w:t>
              <w:br/>
              <w:t>mark vote as indicated in this example</w:t>
            </w:r>
          </w:p>
        </w:tc>
        <w:tc>
          <w:tcPr>
            <w:tcW w:w="5540" w:type="dxa"/>
            <w:gridSpan w:val="3"/>
            <w:tcBorders/>
            <w:shd w:fill="auto" w:val="clear"/>
            <w:tcMar>
              <w:top w:w="0" w:type="dxa"/>
              <w:left w:w="0" w:type="dxa"/>
              <w:bottom w:w="0" w:type="dxa"/>
              <w:right w:w="0" w:type="dxa"/>
            </w:tcMar>
            <w:vAlign w:val="center"/>
          </w:tcPr>
          <w:p>
            <w:pPr>
              <w:pStyle w:val="TableContents"/>
              <w:spacing w:lineRule="auto" w:line="288" w:before="0" w:after="240"/>
              <w:jc w:val="center"/>
              <w:rPr/>
            </w:pPr>
            <w:r>
              <w:rPr>
                <w:color w:val="000000"/>
              </w:rPr>
              <w:t xml:space="preserve">☒ </w:t>
            </w:r>
            <w:r>
              <w:rPr>
                <w:rFonts w:ascii="Times New Roman;sans-serif" w:hAnsi="Times New Roman;sans-serif"/>
                <w:b/>
                <w:color w:val="000000"/>
                <w:sz w:val="16"/>
              </w:rPr>
              <w:t>THE BOARD OF DIRECTORS RECOMMENDS A VOTE “FOR” PROPOSALS 1, 2, 3, 4, 5, 6, 7, 8, 9, 10 and 11.</w:t>
            </w:r>
          </w:p>
        </w:tc>
      </w:tr>
    </w:tbl>
    <w:p>
      <w:pPr>
        <w:pStyle w:val="HorizontalLine"/>
        <w:rPr/>
      </w:pPr>
      <w:r>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175260"/>
                <wp:effectExtent l="0" t="0" r="0" b="0"/>
                <wp:wrapNone/>
                <wp:docPr id="668" name="Frame6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2949"/>
        <w:gridCol w:w="2523"/>
        <w:gridCol w:w="2536"/>
        <w:gridCol w:w="155"/>
        <w:gridCol w:w="155"/>
        <w:gridCol w:w="156"/>
        <w:gridCol w:w="285"/>
        <w:gridCol w:w="285"/>
        <w:gridCol w:w="286"/>
        <w:gridCol w:w="255"/>
        <w:gridCol w:w="255"/>
        <w:gridCol w:w="365"/>
      </w:tblGrid>
      <w:tr>
        <w:trPr/>
        <w:tc>
          <w:tcPr>
            <w:tcW w:w="2949"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1—The Business Combination Proposal—RESOLVED</w:t>
            </w:r>
            <w:r>
              <w:rPr>
                <w:rFonts w:ascii="Times New Roman;sans-serif" w:hAnsi="Times New Roman;sans-serif"/>
                <w:b w:val="false"/>
                <w:color w:val="000000"/>
                <w:sz w:val="16"/>
              </w:rPr>
              <w:t>, as an ordinary resolution, that ARYA’s entry into the Business Combination Agreement, dated as of February 7, 2021 (as may be amended, supplemented or otherwise modified from time to time, the “Business Combination Agreement”), by and among ARYA, Mako Merger Sub, Inc., a Delaware corporation (“Merger Sub”), and Nautilus Biotechnology, Inc., a Delaware corporation (“Nautilus”),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“Merger”),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2— The Domestication Proposal—RESOLVED</w:t>
            </w:r>
            <w:r>
              <w:rPr>
                <w:rFonts w:ascii="Times New Roman;sans-serif" w:hAnsi="Times New Roman;sans-serif"/>
                <w:b w:val="false"/>
                <w:color w:val="000000"/>
                <w:sz w:val="16"/>
              </w:rPr>
              <w:t>, as a special resolution, that ARYA be transferred by way of continuation to 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3— The Charter Proposal—RESOLVED</w:t>
            </w:r>
            <w:r>
              <w:rPr>
                <w:rFonts w:ascii="Times New Roman;sans-serif" w:hAnsi="Times New Roman;sans-serif"/>
                <w:b w:val="false"/>
                <w:color w:val="000000"/>
                <w:sz w:val="16"/>
              </w:rPr>
              <w:t>, as a special resolution, that, upon the Domestication, the amended and restated memorandum and articles of association of ARYA (“Existing Governing Documents”) be amended and restated by the deletion in their entirety and the substitution in their place of the proposed new certificate of incorporation of “Nautilus Biotechnology, Inc.” upon the Domestication, a copy of which is attached to the proxy statement/prospectus as Annex C (the “Proposed Certificate of Incorporation”).</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Advisory Governing Documents Proposals</w:t>
            </w:r>
            <w:r>
              <w:rPr>
                <w:color w:val="000000"/>
              </w:rPr>
              <w:t>—</w:t>
            </w:r>
            <w:r>
              <w:rPr>
                <w:rFonts w:ascii="Times New Roman;sans-serif" w:hAnsi="Times New Roman;sans-serif"/>
                <w:b w:val="false"/>
                <w:color w:val="000000"/>
                <w:sz w:val="16"/>
              </w:rPr>
              <w:t>to consider and vote upon, on a non-binding advisory basis, the following governance proposals regarding the Proposed Certificate of Incorporation (such proposals, collectively, the “Advisory Governing Documents Proposals”) and the following material differences between the Existing Governing Documents and the Proposed Certificate of Incorporation:</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(A)</w:t>
            </w:r>
            <w:r>
              <w:rPr>
                <w:rFonts w:ascii="Times New Roman;sans-serif" w:hAnsi="Times New Roman;sans-serif"/>
                <w:b/>
                <w:color w:val="000000"/>
                <w:sz w:val="16"/>
              </w:rPr>
              <w:t>Proposal No. 4—Advisory Governing Documents Proposal A—RESOLVED</w:t>
            </w:r>
            <w:r>
              <w:rPr>
                <w:rFonts w:ascii="Times New Roman;sans-serif" w:hAnsi="Times New Roman;sans-serif"/>
                <w:b w:val="false"/>
                <w:color w:val="000000"/>
                <w:sz w:val="16"/>
              </w:rPr>
              <w:t>, that an amendment to change the authorized share capital of 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pStyle w:val="TableContents"/>
              <w:spacing w:before="0" w:after="0"/>
              <w:ind w:left="0" w:right="0" w:firstLine="36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(B)</w:t>
            </w:r>
            <w:r>
              <w:rPr>
                <w:rFonts w:ascii="Times New Roman;sans-serif" w:hAnsi="Times New Roman;sans-serif"/>
                <w:b/>
                <w:color w:val="000000"/>
                <w:sz w:val="16"/>
              </w:rPr>
              <w:t>Proposal No. 5—Advisory Governing Documents Proposal B—RESOLVED</w:t>
            </w:r>
            <w:r>
              <w:rPr>
                <w:rFonts w:ascii="Times New Roman;sans-serif" w:hAnsi="Times New Roman;sans-serif"/>
                <w:b w:val="false"/>
                <w:color w:val="000000"/>
                <w:sz w:val="16"/>
              </w:rPr>
              <w:t>, that an amendment to authorize the New Nautilus Board to 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pStyle w:val="TableContents"/>
              <w:spacing w:before="0" w:after="0"/>
              <w:ind w:left="0" w:right="0" w:firstLine="36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(C)</w:t>
            </w:r>
            <w:r>
              <w:rPr>
                <w:rFonts w:ascii="Times New Roman;sans-serif" w:hAnsi="Times New Roman;sans-serif"/>
                <w:b/>
                <w:color w:val="000000"/>
                <w:sz w:val="16"/>
              </w:rPr>
              <w:t>Proposal No. 6—Advisory Governing Documents Proposal C—RESOLVED</w:t>
            </w:r>
            <w:r>
              <w:rPr>
                <w:rFonts w:ascii="Times New Roman;sans-serif" w:hAnsi="Times New Roman;sans-serif"/>
                <w:b w:val="false"/>
                <w:color w:val="000000"/>
                <w:sz w:val="16"/>
              </w:rPr>
              <w:t>, that an amendment to remove the ability of New Nautilus stockholders to take action by written consent in lieu of a meeting be approved on a non-binding advisory basis.</w:t>
            </w:r>
          </w:p>
          <w:p>
            <w:pPr>
              <w:pStyle w:val="TableContents"/>
              <w:spacing w:before="0" w:after="0"/>
              <w:jc w:val="left"/>
              <w:rPr/>
            </w:pPr>
            <w:r>
              <w:rPr/>
            </w:r>
          </w:p>
          <w:p>
            <w:pPr>
              <w:pStyle w:val="TableContents"/>
              <w:spacing w:before="0" w:after="0"/>
              <w:jc w:val="left"/>
              <w:rPr/>
            </w:pPr>
            <w:r>
              <w:rPr/>
            </w:r>
          </w:p>
          <w:p>
            <w:pPr>
              <w:pStyle w:val="TableContents"/>
              <w:spacing w:before="0" w:after="0"/>
              <w:ind w:left="0" w:right="0" w:firstLine="36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(D)</w:t>
            </w:r>
            <w:r>
              <w:rPr>
                <w:rFonts w:ascii="Times New Roman;sans-serif" w:hAnsi="Times New Roman;sans-serif"/>
                <w:b/>
                <w:color w:val="000000"/>
                <w:sz w:val="16"/>
              </w:rPr>
              <w:t>Proposal No. 7—Advisory Governing Documents Proposal D—RESOLVED</w:t>
            </w:r>
            <w:r>
              <w:rPr>
                <w:rFonts w:ascii="Times New Roman;sans-serif" w:hAnsi="Times New Roman;sans-serif"/>
                <w:b w:val="false"/>
                <w:color w:val="000000"/>
                <w:sz w:val="16"/>
              </w:rPr>
              <w:t>, that certain other changes in connection with the 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pStyle w:val="TableContents"/>
              <w:spacing w:before="0" w:after="0"/>
              <w:ind w:left="0" w:right="0" w:firstLine="36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bl>
    <w:p>
      <w:pPr>
        <w:pStyle w:val="HorizontalLine"/>
        <w:rPr/>
      </w:pPr>
      <w:r>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146685"/>
                <wp:effectExtent l="0" t="0" r="0" b="0"/>
                <wp:wrapNone/>
                <wp:docPr id="669" name="Frame6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2970"/>
        <w:gridCol w:w="2511"/>
        <w:gridCol w:w="2526"/>
        <w:gridCol w:w="155"/>
        <w:gridCol w:w="155"/>
        <w:gridCol w:w="156"/>
        <w:gridCol w:w="286"/>
        <w:gridCol w:w="286"/>
        <w:gridCol w:w="287"/>
        <w:gridCol w:w="255"/>
        <w:gridCol w:w="255"/>
        <w:gridCol w:w="363"/>
      </w:tblGrid>
      <w:tr>
        <w:trPr/>
        <w:tc>
          <w:tcPr>
            <w:tcW w:w="2970"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25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80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8—The Nasdaq Proposal—RESOLVED</w:t>
            </w:r>
            <w:r>
              <w:rPr>
                <w:rFonts w:ascii="Times New Roman;sans-serif" w:hAnsi="Times New Roman;sans-serif"/>
                <w:b w:val="false"/>
                <w:color w:val="000000"/>
                <w:sz w:val="16"/>
              </w:rPr>
              <w:t>, as an ordinary resolution, that for the purposes of complying with the applicable provisions of Nasdaq Stock Exchange Listing Rule 5635, the issuance of shares of New Nautilus Common Stock be approved.</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9—The Incentive Award Plan Proposal—RESOLVED</w:t>
            </w:r>
            <w:r>
              <w:rPr>
                <w:rFonts w:ascii="Times New Roman;sans-serif" w:hAnsi="Times New Roman;sans-serif"/>
                <w:b w:val="false"/>
                <w:color w:val="000000"/>
                <w:sz w:val="16"/>
              </w:rPr>
              <w:t>, as an ordinary resolution, that the Nautilus Biotechnology, Inc. 2021 Equity Incentive Plan, a copy of which is attached to the proxy statement/prospectus as Annex I, be adopted and approved.</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10—The Employee Stock Purchase Plan Proposal—RESOLVED</w:t>
            </w:r>
            <w:r>
              <w:rPr>
                <w:rFonts w:ascii="Times New Roman;sans-serif" w:hAnsi="Times New Roman;sans-serif"/>
                <w:b w:val="false"/>
                <w:color w:val="000000"/>
                <w:sz w:val="16"/>
              </w:rPr>
              <w:t>, as an ordinary resolution, that the Nautilus Biotechnology, Inc. 2021 Employee Stock Purchase Plan, a copy of which is attached to the proxy statement/prospectus as Annex J, be adopted and approved.</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Proposal No. 11—The Adjournment Proposal—RESOLVED</w:t>
            </w:r>
            <w:r>
              <w:rPr>
                <w:rFonts w:ascii="Times New Roman;sans-serif" w:hAnsi="Times New Roman;sans-serif"/>
                <w:b w:val="false"/>
                <w:color w:val="000000"/>
                <w:sz w:val="16"/>
              </w:rPr>
              <w:t>, as an ordinary resolution, that the adjournment of the extraordinary general 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pStyle w:val="TableContents"/>
              <w:spacing w:before="0" w:after="0"/>
              <w:rPr/>
            </w:pPr>
            <w:r>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w:t>
            </w:r>
          </w:p>
          <w:p>
            <w:pPr>
              <w:pStyle w:val="TableContents"/>
              <w:spacing w:lineRule="auto" w:line="240" w:before="0" w:after="0"/>
              <w:jc w:val="center"/>
              <w:rPr>
                <w:color w:val="000000"/>
              </w:rPr>
            </w:pPr>
            <w:r>
              <w:rPr>
                <w:color w:val="000000"/>
              </w:rPr>
              <w:t>☐</w:t>
            </w:r>
          </w:p>
        </w:tc>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AGAINST`</w:t>
            </w:r>
          </w:p>
          <w:p>
            <w:pPr>
              <w:pStyle w:val="TableContents"/>
              <w:spacing w:lineRule="auto" w:line="240" w:before="0" w:after="0"/>
              <w:jc w:val="center"/>
              <w:rPr>
                <w:color w:val="000000"/>
              </w:rPr>
            </w:pPr>
            <w:r>
              <w:rPr>
                <w:color w:val="000000"/>
              </w:rPr>
              <w:t>☐</w:t>
            </w:r>
          </w:p>
        </w:tc>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ABSTAIN</w:t>
            </w:r>
          </w:p>
          <w:p>
            <w:pPr>
              <w:pStyle w:val="TableContents"/>
              <w:spacing w:lineRule="auto" w:line="240" w:before="0" w:after="0"/>
              <w:jc w:val="center"/>
              <w:rPr>
                <w:color w:val="000000"/>
              </w:rPr>
            </w:pPr>
            <w:r>
              <w:rPr>
                <w:color w:val="000000"/>
              </w:rPr>
              <w:t>☐</w:t>
            </w:r>
          </w:p>
        </w:tc>
      </w:tr>
      <w:tr>
        <w:trPr/>
        <w:tc>
          <w:tcPr>
            <w:tcW w:w="80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Shareholder</w:t>
            </w:r>
            <w:r>
              <w:rPr>
                <w:color w:val="000000"/>
              </w:rPr>
              <w:t xml:space="preserve"> </w:t>
            </w:r>
            <w:r>
              <w:rPr>
                <w:rFonts w:ascii="Times New Roman;sans-serif" w:hAnsi="Times New Roman;sans-serif"/>
                <w:b/>
                <w:color w:val="000000"/>
                <w:sz w:val="16"/>
              </w:rPr>
              <w:t>Certification</w:t>
            </w:r>
            <w:r>
              <w:rPr>
                <w:color w:val="000000"/>
              </w:rPr>
              <w:t xml:space="preserve"> </w:t>
            </w:r>
            <w:r>
              <w:rPr>
                <w:rFonts w:ascii="Times New Roman;sans-serif" w:hAnsi="Times New Roman;sans-serif"/>
                <w:b w:val="false"/>
                <w:color w:val="000000"/>
                <w:sz w:val="16"/>
              </w:rPr>
              <w:t>I hereby certify that I am not acting in concert or as a “group” as defined in Section 13(d)(3) of the Securities Exchange Act of 1934, as amended, with any other shareholder with respect to the Shares in connection with the proposed business combination.</w:t>
            </w:r>
          </w:p>
        </w:tc>
        <w:tc>
          <w:tcPr>
            <w:tcW w:w="219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SHAREHOLDER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CERTIFICATION</w:t>
            </w:r>
          </w:p>
          <w:p>
            <w:pPr>
              <w:pStyle w:val="TableContents"/>
              <w:spacing w:lineRule="auto" w:line="240" w:before="0" w:after="0"/>
              <w:jc w:val="center"/>
              <w:rPr>
                <w:color w:val="000000"/>
              </w:rPr>
            </w:pPr>
            <w:r>
              <w:rPr>
                <w:color w:val="000000"/>
              </w:rPr>
              <w:t>☐</w:t>
            </w:r>
          </w:p>
        </w:tc>
      </w:tr>
    </w:tbl>
    <w:tbl>
      <w:tblPr>
        <w:tblW w:w="2593" w:type="dxa"/>
        <w:jc w:val="left"/>
        <w:tblInd w:w="0" w:type="dxa"/>
        <w:tblCellMar>
          <w:top w:w="28" w:type="dxa"/>
          <w:left w:w="28" w:type="dxa"/>
          <w:bottom w:w="28" w:type="dxa"/>
          <w:right w:w="28" w:type="dxa"/>
        </w:tblCellMar>
      </w:tblPr>
      <w:tblGrid>
        <w:gridCol w:w="470"/>
        <w:gridCol w:w="415"/>
        <w:gridCol w:w="417"/>
        <w:gridCol w:w="230"/>
        <w:gridCol w:w="230"/>
        <w:gridCol w:w="230"/>
        <w:gridCol w:w="176"/>
        <w:gridCol w:w="176"/>
        <w:gridCol w:w="249"/>
      </w:tblGrid>
      <w:tr>
        <w:trPr/>
        <w:tc>
          <w:tcPr>
            <w:tcW w:w="47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13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Dated:</w:t>
            </w:r>
          </w:p>
        </w:tc>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2021</w:t>
            </w:r>
          </w:p>
        </w:tc>
      </w:tr>
      <w:tr>
        <w:trPr/>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(Signature)</w:t>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(Signature if held Jointly)</w:t>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Times New Roman;sans-serif" w:hAnsi="Times New Roman;sans-serif"/>
          <w:b/>
          <w:color w:val="000000"/>
          <w:sz w:val="16"/>
        </w:rPr>
      </w:pPr>
      <w:r>
        <w:rPr>
          <w:rFonts w:ascii="Times New Roman;sans-serif" w:hAnsi="Times New Roman;sans-serif"/>
          <w:b/>
          <w:color w:val="000000"/>
          <w:sz w:val="16"/>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pStyle w:val="TextBody"/>
        <w:spacing w:lineRule="auto" w:line="288" w:before="0" w:after="160"/>
        <w:rPr>
          <w:rFonts w:ascii="Times New Roman;sans-serif" w:hAnsi="Times New Roman;sans-serif"/>
          <w:b/>
          <w:color w:val="000000"/>
          <w:sz w:val="16"/>
        </w:rPr>
      </w:pPr>
      <w:r>
        <w:rPr>
          <w:rFonts w:ascii="Times New Roman;sans-serif" w:hAnsi="Times New Roman;sans-serif"/>
          <w:b/>
          <w:color w:val="000000"/>
          <w:sz w:val="16"/>
        </w:rPr>
        <w:t>PLEASE SIGN, DATE AND RETURN THE PROXY IN THE ENVELOPE ENCLOSED TO CONTINENTAL STOCK TRANSFER &amp; TRUST COMPANY. THIS PROXY WILL BE VOTED IN THE MANNER DIRECTED HEREIN BY THE UNDERSIGNED SHAREHOLDER IF NO DIRECTION IS MADE, THIS PROXY WILL BE VOTED “FOR” THE PROPOSAL SET FORTH IN PROPOSALS 1, 2, 3, 4, 5, 6, 7, 8, 9, 10 AND 11 AND WILL GRANT DISCRETIONARY AUTHORITY TO VOTE UPON SUCH OTHER MATTERS AS MAY PROPERLY COME BEFORE THE MEETING OR ANY ADJOURNMENTS THEREOF. THIS PROXY WILL REVOKE ALL PRIOR PROXIES SIGNED BY YOU.</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146685"/>
                <wp:effectExtent l="0" t="0" r="0" b="0"/>
                <wp:wrapNone/>
                <wp:docPr id="670" name="Frame6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20. Indemnification of directors and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Existing Organizational Documents provided for indemnification of our officers and directors to the maximum extent permitted by law, including for any liability incurred in their capacities as such, except through their own actual fraud, willful default or willful neglect.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our officers and directors to provide contractual indemnification in addition to the indemnification provided for in the Existing Organizational Documents.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21. Exhibits and Financial Statements Schedules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Exhibits.</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681"/>
        <w:gridCol w:w="2681"/>
        <w:gridCol w:w="3810"/>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if2baefd677284383b89cb6f605e45e0e_1373">
              <w:r>
                <w:rPr>
                  <w:rStyle w:val="InternetLink"/>
                  <w:rFonts w:ascii="Times New Roman;sans-serif" w:hAnsi="Times New Roman;sans-serif"/>
                  <w:b w:val="false"/>
                  <w:color w:val="0000FF"/>
                  <w:sz w:val="20"/>
                  <w:u w:val="single"/>
                </w:rPr>
                <w:t>Business Combination Agreement, dated as of February 7, 2021, by and among ARYA Sciences Acquisition Corp III, Mako Merger Sub, Inc., and Nautilus Biotechnology, Inc. (included as Annex A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604">
              <w:r>
                <w:rPr>
                  <w:rStyle w:val="InternetLink"/>
                  <w:rFonts w:ascii="Times New Roman;sans-serif" w:hAnsi="Times New Roman;sans-serif"/>
                  <w:b w:val="false"/>
                  <w:color w:val="0000FF"/>
                  <w:sz w:val="20"/>
                  <w:u w:val="single"/>
                </w:rPr>
                <w:t>Amended and Restated Memorandum and Articles of Association of ARYA (included as Annex B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1">
              <w:r>
                <w:rPr>
                  <w:rStyle w:val="InternetLink"/>
                  <w:rFonts w:ascii="Times New Roman;sans-serif" w:hAnsi="Times New Roman;sans-serif"/>
                  <w:b w:val="false"/>
                  <w:color w:val="0000FF"/>
                  <w:sz w:val="20"/>
                  <w:u w:val="single"/>
                </w:rPr>
                <w:t>Form of Certificate of Incorporation of New Nautilus, to become effective upon Domestication (included as Annex C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0">
              <w:r>
                <w:rPr>
                  <w:rStyle w:val="InternetLink"/>
                  <w:rFonts w:ascii="Times New Roman;sans-serif" w:hAnsi="Times New Roman;sans-serif"/>
                  <w:b w:val="false"/>
                  <w:color w:val="0000FF"/>
                  <w:sz w:val="20"/>
                  <w:u w:val="single"/>
                </w:rPr>
                <w:t>Form of Bylaws of New Nautilus, to become effective upon Domestication (included as Annex D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Specimen Ordinary Share Certificate (incorporated by reference to Exhibit 4.1 to the Registration Statement on Form S-1 filed by the Registrant on July 30, 2020).</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of Corporate Domestication of ARYA, to be filed with the Secretary of the State of Delaware.</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4.htm">
              <w:r>
                <w:rPr>
                  <w:rStyle w:val="InternetLink"/>
                  <w:rFonts w:ascii="Times New Roman;sans-serif" w:hAnsi="Times New Roman;sans-serif"/>
                  <w:b w:val="false"/>
                  <w:color w:val="0000FF"/>
                  <w:sz w:val="20"/>
                  <w:u w:val="single"/>
                </w:rPr>
                <w:t>Opinion of Kirkland &amp; Ellis LLP.</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opinion of Kirkland &amp; Ellis LLP.</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45">
              <w:r>
                <w:rPr>
                  <w:rStyle w:val="InternetLink"/>
                  <w:rFonts w:ascii="Times New Roman;sans-serif" w:hAnsi="Times New Roman;sans-serif"/>
                  <w:b w:val="false"/>
                  <w:color w:val="0000FF"/>
                  <w:sz w:val="20"/>
                  <w:u w:val="single"/>
                </w:rPr>
                <w:t>Sponsor Letter Agreement, dated as of February 7, 2021 by and among ARYA Sciences Holdings III, certain other holders set forth on Schedule I thereto, ARYA Sciences Acquisition Corp III and Nautilus Biotechnology, Inc. (included as Annex E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8">
              <w:r>
                <w:rPr>
                  <w:rStyle w:val="InternetLink"/>
                  <w:rFonts w:ascii="Times New Roman;sans-serif" w:hAnsi="Times New Roman;sans-serif"/>
                  <w:b w:val="false"/>
                  <w:color w:val="0000FF"/>
                  <w:sz w:val="20"/>
                  <w:u w:val="single"/>
                </w:rPr>
                <w:t>Form of Subscription Agreement (included as Annex F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7">
              <w:r>
                <w:rPr>
                  <w:rStyle w:val="InternetLink"/>
                  <w:rFonts w:ascii="Times New Roman;sans-serif" w:hAnsi="Times New Roman;sans-serif"/>
                  <w:b w:val="false"/>
                  <w:color w:val="0000FF"/>
                  <w:sz w:val="20"/>
                  <w:u w:val="single"/>
                </w:rPr>
                <w:t>Form of Amended and Restated Registration Rights and Lock-Up Agreement (included as Annex G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05">
              <w:r>
                <w:rPr>
                  <w:rStyle w:val="InternetLink"/>
                  <w:rFonts w:ascii="Times New Roman;sans-serif" w:hAnsi="Times New Roman;sans-serif"/>
                  <w:b w:val="false"/>
                  <w:color w:val="0000FF"/>
                  <w:sz w:val="20"/>
                  <w:u w:val="single"/>
                </w:rPr>
                <w:t>Form of Nautilus Shareholder Transaction Support Agreement (included as Annex H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2">
              <w:r>
                <w:rPr>
                  <w:rStyle w:val="InternetLink"/>
                  <w:rFonts w:ascii="Times New Roman;sans-serif" w:hAnsi="Times New Roman;sans-serif"/>
                  <w:b w:val="false"/>
                  <w:color w:val="0000FF"/>
                  <w:sz w:val="20"/>
                  <w:u w:val="single"/>
                </w:rPr>
                <w:t>Form of Nautilus Biotechnology, Inc. 2021 Equity Incentive Plan (included as Annex I to the proxy statement/prospectus).</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9">
              <w:r>
                <w:rPr>
                  <w:rStyle w:val="InternetLink"/>
                  <w:rFonts w:ascii="Times New Roman;sans-serif" w:hAnsi="Times New Roman;sans-serif"/>
                  <w:b w:val="false"/>
                  <w:color w:val="0000FF"/>
                  <w:sz w:val="20"/>
                  <w:u w:val="single"/>
                </w:rPr>
                <w:t>Form of Nautilus Biotechnology, Inc. 2021 Employee Stock Purchase Plan (included as Annex J to the proxy statement/prospectus).</w:t>
              </w:r>
            </w:hyperlink>
          </w:p>
        </w:tc>
      </w:tr>
    </w:tbl>
    <w:p>
      <w:pPr>
        <w:pStyle w:val="HorizontalLine"/>
        <w:rPr/>
      </w:pPr>
      <w:r>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146685"/>
                <wp:effectExtent l="0" t="0" r="0" b="0"/>
                <wp:wrapNone/>
                <wp:docPr id="671" name="Frame6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v:rect>
            </w:pict>
          </mc:Fallback>
        </mc:AlternateContent>
      </w:r>
    </w:p>
    <w:p>
      <w:pPr>
        <w:pStyle w:val="TextBody"/>
        <w:spacing w:before="0" w:after="180"/>
        <w:ind w:left="0" w:right="0" w:firstLine="360"/>
        <w:rPr/>
      </w:pPr>
      <w:r>
        <w:rPr/>
      </w:r>
    </w:p>
    <w:tbl>
      <w:tblPr>
        <w:tblW w:w="10205" w:type="dxa"/>
        <w:jc w:val="left"/>
        <w:tblInd w:w="0" w:type="dxa"/>
        <w:tblCellMar>
          <w:top w:w="28" w:type="dxa"/>
          <w:left w:w="28" w:type="dxa"/>
          <w:bottom w:w="28" w:type="dxa"/>
          <w:right w:w="28" w:type="dxa"/>
        </w:tblCellMar>
      </w:tblPr>
      <w:tblGrid>
        <w:gridCol w:w="300"/>
        <w:gridCol w:w="264"/>
        <w:gridCol w:w="265"/>
        <w:gridCol w:w="109"/>
        <w:gridCol w:w="109"/>
        <w:gridCol w:w="109"/>
        <w:gridCol w:w="2826"/>
        <w:gridCol w:w="2569"/>
        <w:gridCol w:w="3654"/>
      </w:tblGrid>
      <w:tr>
        <w:trPr/>
        <w:tc>
          <w:tcPr>
            <w:tcW w:w="30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3654" w:type="dxa"/>
            <w:tcBorders/>
            <w:shd w:fill="auto" w:val="clear"/>
            <w:vAlign w:val="center"/>
          </w:tcPr>
          <w:p>
            <w:pPr>
              <w:pStyle w:val="TableContents"/>
              <w:spacing w:before="0" w:after="283"/>
              <w:rPr>
                <w:sz w:val="4"/>
                <w:szCs w:val="4"/>
              </w:rPr>
            </w:pPr>
            <w:r>
              <w:rPr>
                <w:sz w:val="4"/>
                <w:szCs w:val="4"/>
              </w:rPr>
            </w:r>
          </w:p>
        </w:tc>
      </w:tr>
      <w:tr>
        <w:trPr/>
        <w:tc>
          <w:tcPr>
            <w:tcW w:w="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7-sx4.htm">
              <w:r>
                <w:rPr>
                  <w:rStyle w:val="InternetLink"/>
                  <w:rFonts w:ascii="Times New Roman;sans-serif" w:hAnsi="Times New Roman;sans-serif"/>
                  <w:b w:val="false"/>
                  <w:color w:val="0000FF"/>
                  <w:sz w:val="20"/>
                  <w:u w:val="single"/>
                </w:rPr>
                <w:t>Form of Stock Option Agreement under the Nautilus Biotechnology, Inc. 2021 Equity Incentive Plan.</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8-sx4.htm">
              <w:r>
                <w:rPr>
                  <w:rStyle w:val="InternetLink"/>
                  <w:rFonts w:ascii="Times New Roman;sans-serif" w:hAnsi="Times New Roman;sans-serif"/>
                  <w:b w:val="false"/>
                  <w:color w:val="0000FF"/>
                  <w:sz w:val="20"/>
                  <w:u w:val="single"/>
                </w:rPr>
                <w:t>Form of Restricted Stock Unit Agreement under the Nautilus Biotechnology, Inc. 2021 Equity Incentive Plan.</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9-sx4.htm">
              <w:r>
                <w:rPr>
                  <w:rStyle w:val="InternetLink"/>
                  <w:rFonts w:ascii="Times New Roman;sans-serif" w:hAnsi="Times New Roman;sans-serif"/>
                  <w:b w:val="false"/>
                  <w:color w:val="0000FF"/>
                  <w:sz w:val="20"/>
                  <w:u w:val="single"/>
                </w:rPr>
                <w:t xml:space="preserve">Form of Restricted Stock Award Agreement under the Nautilus Biotechnology, Inc. 2021 Equity Incentive Plan. </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Form of Indemnity Agreement (incorporated by reference to Exhibit 10.4 to the Registration Statement on Form S-1 filed by the Registrant on July 30, 2020).</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1-sx4.htm">
              <w:r>
                <w:rPr>
                  <w:rStyle w:val="InternetLink"/>
                  <w:rFonts w:ascii="Times New Roman;sans-serif" w:hAnsi="Times New Roman;sans-serif"/>
                  <w:b w:val="false"/>
                  <w:color w:val="0000FF"/>
                  <w:sz w:val="20"/>
                  <w:u w:val="single"/>
                </w:rPr>
                <w:t>Nautilus Biotechnology, Inc. 2017 Equity Incentive Plan and forms of agreements thereunder.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Confirmatory Employment Letter between Nautilus Biotechnology, Inc. and Sujal Patel.</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Confirmatory Employment Letter between Nautilus Biotechnology, Inc. and Anna Mowry.</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Confirmatory Employment Letter between Nautilus Biotechnology, Inc. and Nick Nelson.</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Confirmatory Employment Letter between Nautilus Biotechnology, Inc. and Subra Sankar.</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Confirmatory Employment Letter between Nautilus Biotechnology, Inc. and Parag Mallick.</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Severance Agreement between Nautilus Biotechnology, Inc. and Sujal Patel</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Severance Agreement between Nautilus Biotechnology, Inc. and Anna Mowry</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Severance Agreement between Nautilus Biotechnology, Inc. and Nick Nelson</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Severance Agreement between Nautilus Biotechnology, Inc. and Subra Sankar</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Severance Agreement between Nautilus Biotechnology, Inc. and Parag Mallick</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New Nautilus Indemnification Agreement.</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htm">
              <w:r>
                <w:rPr>
                  <w:rStyle w:val="InternetLink"/>
                  <w:rFonts w:ascii="Times New Roman;sans-serif" w:hAnsi="Times New Roman;sans-serif"/>
                  <w:b w:val="false"/>
                  <w:color w:val="0000FF"/>
                  <w:sz w:val="20"/>
                  <w:u w:val="single"/>
                </w:rPr>
                <w:t>List of subsidiaries of ARYA.</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sx4.htm">
              <w:r>
                <w:rPr>
                  <w:rStyle w:val="InternetLink"/>
                  <w:rFonts w:ascii="Times New Roman;sans-serif" w:hAnsi="Times New Roman;sans-serif"/>
                  <w:b w:val="false"/>
                  <w:color w:val="0000FF"/>
                  <w:sz w:val="20"/>
                  <w:u w:val="single"/>
                </w:rPr>
                <w:t>Consent of WithumSmith+Brown, PC, independent registered accounting firm for ARYA.</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2-sx4.htm">
              <w:r>
                <w:rPr>
                  <w:rStyle w:val="InternetLink"/>
                  <w:rFonts w:ascii="Times New Roman;sans-serif" w:hAnsi="Times New Roman;sans-serif"/>
                  <w:b w:val="false"/>
                  <w:color w:val="0000FF"/>
                  <w:sz w:val="20"/>
                  <w:u w:val="single"/>
                </w:rPr>
                <w:t>Consent of PricewaterhouseCoopers LLP, independent registered public accounting firm for Nautilus.</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51-sx4.htm">
              <w:r>
                <w:rPr>
                  <w:rStyle w:val="InternetLink"/>
                  <w:rFonts w:ascii="Times New Roman;sans-serif" w:hAnsi="Times New Roman;sans-serif"/>
                  <w:b w:val="false"/>
                  <w:color w:val="0000FF"/>
                  <w:sz w:val="20"/>
                  <w:u w:val="single"/>
                </w:rPr>
                <w:t>Consent of Kirkland &amp; Ellis LLP (included as part of Exhibit 5.1).</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Kirkland &amp; Ellis LLP (included as part of Exhibit 8.1).</w:t>
            </w:r>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082">
              <w:r>
                <w:rPr>
                  <w:rStyle w:val="InternetLink"/>
                  <w:rFonts w:ascii="Times New Roman;sans-serif" w:hAnsi="Times New Roman;sans-serif"/>
                  <w:b w:val="false"/>
                  <w:color w:val="0000FF"/>
                  <w:sz w:val="20"/>
                  <w:u w:val="single"/>
                </w:rPr>
                <w:t>Power of Attorney (included on signature page).</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drsxconsenttore.htm">
              <w:r>
                <w:rPr>
                  <w:rStyle w:val="InternetLink"/>
                  <w:rFonts w:ascii="Times New Roman;sans-serif" w:hAnsi="Times New Roman;sans-serif"/>
                  <w:b w:val="false"/>
                  <w:color w:val="0000FF"/>
                  <w:sz w:val="20"/>
                  <w:u w:val="single"/>
                </w:rPr>
                <w:t>Consent of Sujal Patel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2-drsxconsentofpa.htm">
              <w:r>
                <w:rPr>
                  <w:rStyle w:val="InternetLink"/>
                  <w:rFonts w:ascii="Times New Roman;sans-serif" w:hAnsi="Times New Roman;sans-serif"/>
                  <w:b w:val="false"/>
                  <w:color w:val="0000FF"/>
                  <w:sz w:val="20"/>
                  <w:u w:val="single"/>
                </w:rPr>
                <w:t>Consent of Parag Mallick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3-drsxregistratio.htm">
              <w:r>
                <w:rPr>
                  <w:rStyle w:val="InternetLink"/>
                  <w:rFonts w:ascii="Times New Roman;sans-serif" w:hAnsi="Times New Roman;sans-serif"/>
                  <w:b w:val="false"/>
                  <w:color w:val="0000FF"/>
                  <w:sz w:val="20"/>
                  <w:u w:val="single"/>
                </w:rPr>
                <w:t>Consent of Vijay Pande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4-drsxconsentoffa.htm">
              <w:r>
                <w:rPr>
                  <w:rStyle w:val="InternetLink"/>
                  <w:rFonts w:ascii="Times New Roman;sans-serif" w:hAnsi="Times New Roman;sans-serif"/>
                  <w:b w:val="false"/>
                  <w:color w:val="0000FF"/>
                  <w:sz w:val="20"/>
                  <w:u w:val="single"/>
                </w:rPr>
                <w:t>Consent of Farzad Nazem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5-drsxregistratio.htm">
              <w:r>
                <w:rPr>
                  <w:rStyle w:val="InternetLink"/>
                  <w:rFonts w:ascii="Times New Roman;sans-serif" w:hAnsi="Times New Roman;sans-serif"/>
                  <w:b w:val="false"/>
                  <w:color w:val="0000FF"/>
                  <w:sz w:val="20"/>
                  <w:u w:val="single"/>
                </w:rPr>
                <w:t>Consent of Melissa Epperly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6-drsxregistratio.htm">
              <w:r>
                <w:rPr>
                  <w:rStyle w:val="InternetLink"/>
                  <w:rFonts w:ascii="Times New Roman;sans-serif" w:hAnsi="Times New Roman;sans-serif"/>
                  <w:b w:val="false"/>
                  <w:color w:val="0000FF"/>
                  <w:sz w:val="20"/>
                  <w:u w:val="single"/>
                </w:rPr>
                <w:t>Consent of Matthew Posard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7-drsxconsentofma.htm">
              <w:r>
                <w:rPr>
                  <w:rStyle w:val="InternetLink"/>
                  <w:rFonts w:ascii="Times New Roman;sans-serif" w:hAnsi="Times New Roman;sans-serif"/>
                  <w:b w:val="false"/>
                  <w:color w:val="0000FF"/>
                  <w:sz w:val="20"/>
                  <w:u w:val="single"/>
                </w:rPr>
                <w:t>Consent of Matthew McIlwain to be named as a director.</w:t>
              </w:r>
            </w:hyperlink>
          </w:p>
        </w:tc>
      </w:tr>
      <w:tr>
        <w:trPr/>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039">
              <w:r>
                <w:rPr>
                  <w:rStyle w:val="InternetLink"/>
                </w:rPr>
                <w:t xml:space="preserve">Form of Proxy for </w:t>
              </w:r>
            </w:hyperlink>
            <w:hyperlink w:anchor="if2baefd677284383b89cb6f605e45e0e_2039">
              <w:r>
                <w:rPr>
                  <w:rStyle w:val="InternetLink"/>
                </w:rPr>
                <w:t xml:space="preserve">the </w:t>
              </w:r>
            </w:hyperlink>
            <w:hyperlink w:anchor="if2baefd677284383b89cb6f605e45e0e_2039">
              <w:r>
                <w:rPr>
                  <w:rStyle w:val="InternetLink"/>
                </w:rPr>
                <w:t xml:space="preserve">Extraordinary General </w:t>
              </w:r>
            </w:hyperlink>
            <w:hyperlink w:anchor="if2baefd677284383b89cb6f605e45e0e_2039">
              <w:r>
                <w:rPr>
                  <w:rStyle w:val="InternetLink"/>
                </w:rPr>
                <w:t>Meeting (included as Annex K to the proxy statement/prospectus).</w:t>
              </w:r>
            </w:hyperlink>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Previously filed.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To be filed by amendment.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16"/>
        </w:rPr>
        <w:t>Certain confidential portions (indicated by brackets and asterisks) have been omitted from this exhibit.</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16"/>
        </w:rPr>
        <w:t>Schedules and exhibits to this Exhibit omitted pursuant to Regulation S-K Item 601(b)(2). The Registrant agrees to furnish supplementally a copy of any omitted schedule of exhibit to the SEC upon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146685"/>
                <wp:effectExtent l="0" t="0" r="0" b="0"/>
                <wp:wrapNone/>
                <wp:docPr id="672" name="Frame6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22. Undertakings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11.The undersigned Registrant hereby undertakes: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(a)To file, during any period in which offers or sales are being made, a post-effective amendment to this Registration Statement: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this Registration Statement or any material change to such information in this Registration Statement.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(c)To remove from registration by means of a post-effective amendment any of the securities being registered which remain unsold at the termination of the offering.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p>
    <w:p>
      <w:pPr>
        <w:pStyle w:val="HorizontalLine"/>
        <w:rPr/>
      </w:pPr>
      <w:r>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146685"/>
                <wp:effectExtent l="0" t="0" r="0" b="0"/>
                <wp:wrapNone/>
                <wp:docPr id="673" name="Frame6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12.Insofar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13.The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14.The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15.The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16.The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146685"/>
                <wp:effectExtent l="0" t="0" r="0" b="0"/>
                <wp:wrapNone/>
                <wp:docPr id="674" name="Frame6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v:rect>
            </w:pict>
          </mc:Fallback>
        </mc:AlternateContent>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has duly caused this registration statement to be signed on its behalf by the undersigned, thereunto duly authorized, in the City of New York, State of New York on the 26th of March, 2021.</w:t>
      </w:r>
    </w:p>
    <w:tbl>
      <w:tblPr>
        <w:tblW w:w="4647" w:type="dxa"/>
        <w:jc w:val="right"/>
        <w:tblInd w:w="0" w:type="dxa"/>
        <w:tblCellMar>
          <w:top w:w="28" w:type="dxa"/>
          <w:left w:w="28" w:type="dxa"/>
          <w:bottom w:w="28" w:type="dxa"/>
          <w:right w:w="28" w:type="dxa"/>
        </w:tblCellMar>
      </w:tblPr>
      <w:tblGrid>
        <w:gridCol w:w="716"/>
        <w:gridCol w:w="629"/>
        <w:gridCol w:w="629"/>
        <w:gridCol w:w="837"/>
        <w:gridCol w:w="837"/>
        <w:gridCol w:w="845"/>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Stone</w:t>
            </w:r>
          </w:p>
        </w:tc>
        <w:tc>
          <w:tcPr>
            <w:tcW w:w="154" w:type="dxa"/>
            <w:tcBorders/>
            <w:shd w:fill="auto" w:val="clea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Stone</w:t>
            </w:r>
          </w:p>
        </w:tc>
        <w:tc>
          <w:tcPr>
            <w:tcW w:w="154" w:type="dxa"/>
            <w:tcBorders/>
            <w:shd w:fill="auto" w:val="clea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of the undersigned constitutes and appoints each of Joseph Edelman, Adam Stone and Michael Altman, each acting alone, his true and lawful attorneys-in-fact and agents, with full power of substitution and resubstitution, for such person and in his name, place and stead, in any and all capacities, to sign this Registration Statement on Form S-4 (including all pre-effective and post-effective amendments and registration statements filed pursuant to Rule 462 under the Securities Act of 1933, as amended), and to file the same, with all exhibits thereto, and other documents in connection therewith, with the U.S.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this Registration Statement has been signed below by the following persons in the capacities and on the dates indicated.</w:t>
      </w:r>
    </w:p>
    <w:tbl>
      <w:tblPr>
        <w:tblW w:w="7973" w:type="dxa"/>
        <w:jc w:val="left"/>
        <w:tblInd w:w="0" w:type="dxa"/>
        <w:tblCellMar>
          <w:top w:w="28" w:type="dxa"/>
          <w:left w:w="28" w:type="dxa"/>
          <w:bottom w:w="28" w:type="dxa"/>
          <w:right w:w="28" w:type="dxa"/>
        </w:tblCellMar>
      </w:tblPr>
      <w:tblGrid>
        <w:gridCol w:w="743"/>
        <w:gridCol w:w="652"/>
        <w:gridCol w:w="660"/>
        <w:gridCol w:w="109"/>
        <w:gridCol w:w="109"/>
        <w:gridCol w:w="109"/>
        <w:gridCol w:w="1274"/>
        <w:gridCol w:w="1274"/>
        <w:gridCol w:w="1277"/>
        <w:gridCol w:w="109"/>
        <w:gridCol w:w="109"/>
        <w:gridCol w:w="109"/>
        <w:gridCol w:w="419"/>
        <w:gridCol w:w="419"/>
        <w:gridCol w:w="601"/>
      </w:tblGrid>
      <w:tr>
        <w:trPr/>
        <w:tc>
          <w:tcPr>
            <w:tcW w:w="74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Edelman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Stone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Director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Todd Wider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Bradley L.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Saqib Islam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5.1</w:t>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146685"/>
                <wp:effectExtent l="0" t="0" r="0" b="0"/>
                <wp:wrapNone/>
                <wp:docPr id="675" name="Frame6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v:rect>
            </w:pict>
          </mc:Fallback>
        </mc:AlternateContent>
      </w:r>
    </w:p>
    <w:tbl>
      <w:tblPr>
        <w:tblW w:w="4913" w:type="dxa"/>
        <w:jc w:val="left"/>
        <w:tblInd w:w="0" w:type="dxa"/>
        <w:tblCellMar>
          <w:top w:w="28" w:type="dxa"/>
          <w:left w:w="28" w:type="dxa"/>
          <w:bottom w:w="28" w:type="dxa"/>
          <w:right w:w="28" w:type="dxa"/>
        </w:tblCellMar>
      </w:tblPr>
      <w:tblGrid>
        <w:gridCol w:w="553"/>
        <w:gridCol w:w="486"/>
        <w:gridCol w:w="486"/>
        <w:gridCol w:w="575"/>
        <w:gridCol w:w="575"/>
        <w:gridCol w:w="575"/>
        <w:gridCol w:w="486"/>
        <w:gridCol w:w="486"/>
        <w:gridCol w:w="691"/>
      </w:tblGrid>
      <w:tr>
        <w:trPr/>
        <w:tc>
          <w:tcPr>
            <w:tcW w:w="55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4913" w:type="dxa"/>
            <w:gridSpan w:val="9"/>
            <w:tcBorders/>
            <w:shd w:fill="auto" w:val="clear"/>
            <w:tcMar>
              <w:top w:w="0" w:type="dxa"/>
              <w:left w:w="0" w:type="dxa"/>
              <w:bottom w:w="0" w:type="dxa"/>
              <w:right w:w="0" w:type="dxa"/>
            </w:tcMar>
            <w:vAlign w:val="center"/>
          </w:tcPr>
          <w:p>
            <w:pPr>
              <w:pStyle w:val="TableContents"/>
              <w:spacing w:before="200" w:after="140"/>
              <w:jc w:val="center"/>
              <w:rPr/>
            </w:pPr>
            <w:r>
              <w:rPr/>
              <w:drawing>
                <wp:inline distT="0" distB="63500" distL="0" distR="0">
                  <wp:extent cx="2857500" cy="390525"/>
                  <wp:effectExtent l="0" t="0" r="0" b="0"/>
                  <wp:docPr id="67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21" descr=""/>
                          <pic:cNvPicPr>
                            <a:picLocks noChangeAspect="1" noChangeArrowheads="1"/>
                          </pic:cNvPicPr>
                        </pic:nvPicPr>
                        <pic:blipFill>
                          <a:blip r:embed="rId24"/>
                          <a:stretch>
                            <a:fillRect/>
                          </a:stretch>
                        </pic:blipFill>
                        <pic:spPr bwMode="auto">
                          <a:xfrm>
                            <a:off x="0" y="0"/>
                            <a:ext cx="2857500" cy="390525"/>
                          </a:xfrm>
                          <a:prstGeom prst="rect">
                            <a:avLst/>
                          </a:prstGeom>
                        </pic:spPr>
                      </pic:pic>
                    </a:graphicData>
                  </a:graphic>
                </wp:inline>
              </w:drawing>
            </w:r>
          </w:p>
        </w:tc>
      </w:tr>
      <w:tr>
        <w:trPr/>
        <w:tc>
          <w:tcPr>
            <w:tcW w:w="1525" w:type="dxa"/>
            <w:gridSpan w:val="3"/>
            <w:tcBorders/>
            <w:shd w:fill="auto" w:val="clear"/>
            <w:tcMar>
              <w:top w:w="0" w:type="dxa"/>
              <w:left w:w="0" w:type="dxa"/>
              <w:bottom w:w="0" w:type="dxa"/>
              <w:right w:w="0" w:type="dxa"/>
            </w:tcMar>
            <w:vAlign w:val="center"/>
          </w:tcPr>
          <w:p>
            <w:pPr>
              <w:pStyle w:val="TableContents"/>
              <w:spacing w:before="640" w:after="283"/>
              <w:jc w:val="center"/>
              <w:rPr/>
            </w:pPr>
            <w:r>
              <w:rPr/>
            </w:r>
          </w:p>
          <w:p>
            <w:pPr>
              <w:pStyle w:val="TableContents"/>
              <w:spacing w:before="0" w:after="200"/>
              <w:jc w:val="center"/>
              <w:rPr/>
            </w:pPr>
            <w:r>
              <w:rPr/>
            </w:r>
          </w:p>
        </w:tc>
        <w:tc>
          <w:tcPr>
            <w:tcW w:w="1725" w:type="dxa"/>
            <w:gridSpan w:val="3"/>
            <w:tcBorders/>
            <w:shd w:fill="auto" w:val="clear"/>
            <w:tcMar>
              <w:top w:w="0" w:type="dxa"/>
              <w:left w:w="0" w:type="dxa"/>
              <w:bottom w:w="0" w:type="dxa"/>
              <w:right w:w="0" w:type="dxa"/>
            </w:tcMar>
            <w:vAlign w:val="center"/>
          </w:tcPr>
          <w:p>
            <w:pPr>
              <w:pStyle w:val="TableContents"/>
              <w:spacing w:lineRule="auto" w:line="300" w:before="280" w:after="283"/>
              <w:jc w:val="center"/>
              <w:rPr>
                <w:rFonts w:ascii="Arial;sans-serif" w:hAnsi="Arial;sans-serif"/>
                <w:b w:val="false"/>
                <w:color w:val="000000"/>
                <w:sz w:val="16"/>
              </w:rPr>
            </w:pPr>
            <w:r>
              <w:rPr>
                <w:rFonts w:ascii="Arial;sans-serif" w:hAnsi="Arial;sans-serif"/>
                <w:b w:val="false"/>
                <w:color w:val="000000"/>
                <w:sz w:val="16"/>
              </w:rPr>
              <w:t>601 Lexington Avenue</w:t>
            </w:r>
          </w:p>
          <w:p>
            <w:pPr>
              <w:pStyle w:val="TableContents"/>
              <w:spacing w:lineRule="auto" w:line="300" w:before="0" w:after="0"/>
              <w:jc w:val="center"/>
              <w:rPr>
                <w:rFonts w:ascii="Arial;sans-serif" w:hAnsi="Arial;sans-serif"/>
                <w:b w:val="false"/>
                <w:color w:val="000000"/>
                <w:sz w:val="16"/>
              </w:rPr>
            </w:pPr>
            <w:r>
              <w:rPr>
                <w:rFonts w:ascii="Arial;sans-serif" w:hAnsi="Arial;sans-serif"/>
                <w:b w:val="false"/>
                <w:color w:val="000000"/>
                <w:sz w:val="16"/>
              </w:rPr>
              <w:t>New York, NY 10022</w:t>
            </w:r>
          </w:p>
          <w:p>
            <w:pPr>
              <w:pStyle w:val="TableContents"/>
              <w:spacing w:lineRule="auto" w:line="300" w:before="0" w:after="0"/>
              <w:jc w:val="center"/>
              <w:rPr>
                <w:rFonts w:ascii="Arial;sans-serif" w:hAnsi="Arial;sans-serif"/>
                <w:b w:val="false"/>
                <w:color w:val="000000"/>
                <w:sz w:val="16"/>
              </w:rPr>
            </w:pPr>
            <w:r>
              <w:rPr>
                <w:rFonts w:ascii="Arial;sans-serif" w:hAnsi="Arial;sans-serif"/>
                <w:b w:val="false"/>
                <w:color w:val="000000"/>
                <w:sz w:val="16"/>
              </w:rPr>
              <w:t>United States</w:t>
            </w:r>
          </w:p>
          <w:p>
            <w:pPr>
              <w:pStyle w:val="TableContents"/>
              <w:spacing w:lineRule="auto" w:line="300" w:before="160" w:after="283"/>
              <w:jc w:val="center"/>
              <w:rPr>
                <w:rFonts w:ascii="Arial;sans-serif" w:hAnsi="Arial;sans-serif"/>
                <w:b w:val="false"/>
                <w:color w:val="000000"/>
                <w:sz w:val="16"/>
              </w:rPr>
            </w:pPr>
            <w:r>
              <w:rPr>
                <w:rFonts w:ascii="Arial;sans-serif" w:hAnsi="Arial;sans-serif"/>
                <w:b w:val="false"/>
                <w:color w:val="000000"/>
                <w:sz w:val="16"/>
              </w:rPr>
              <w:t>+1 212 446 4800</w:t>
            </w:r>
          </w:p>
          <w:p>
            <w:pPr>
              <w:pStyle w:val="TableContents"/>
              <w:spacing w:lineRule="auto" w:line="300" w:before="200" w:after="200"/>
              <w:jc w:val="center"/>
              <w:rPr>
                <w:rFonts w:ascii="Arial;sans-serif" w:hAnsi="Arial;sans-serif"/>
                <w:b w:val="false"/>
                <w:color w:val="000000"/>
                <w:sz w:val="16"/>
              </w:rPr>
            </w:pPr>
            <w:r>
              <w:rPr>
                <w:rFonts w:ascii="Arial;sans-serif" w:hAnsi="Arial;sans-serif"/>
                <w:b w:val="false"/>
                <w:color w:val="000000"/>
                <w:sz w:val="16"/>
              </w:rPr>
              <w:t>www.kirkland.com</w:t>
            </w:r>
          </w:p>
        </w:tc>
        <w:tc>
          <w:tcPr>
            <w:tcW w:w="1663" w:type="dxa"/>
            <w:gridSpan w:val="3"/>
            <w:tcBorders/>
            <w:shd w:fill="auto" w:val="clear"/>
            <w:tcMar>
              <w:top w:w="0" w:type="dxa"/>
              <w:left w:w="0" w:type="dxa"/>
              <w:bottom w:w="0" w:type="dxa"/>
              <w:right w:w="0" w:type="dxa"/>
            </w:tcMar>
            <w:vAlign w:val="center"/>
          </w:tcPr>
          <w:p>
            <w:pPr>
              <w:pStyle w:val="TableContents"/>
              <w:spacing w:lineRule="auto" w:line="300" w:before="840" w:after="283"/>
              <w:jc w:val="center"/>
              <w:rPr>
                <w:rFonts w:ascii="Arial;sans-serif" w:hAnsi="Arial;sans-serif"/>
                <w:b w:val="false"/>
                <w:color w:val="000000"/>
                <w:sz w:val="16"/>
              </w:rPr>
            </w:pPr>
            <w:r>
              <w:rPr>
                <w:rFonts w:ascii="Arial;sans-serif" w:hAnsi="Arial;sans-serif"/>
                <w:b w:val="false"/>
                <w:color w:val="000000"/>
                <w:sz w:val="16"/>
              </w:rPr>
              <w:t>Facsimile:</w:t>
            </w:r>
          </w:p>
          <w:p>
            <w:pPr>
              <w:pStyle w:val="TableContents"/>
              <w:spacing w:lineRule="auto" w:line="300" w:before="8" w:after="283"/>
              <w:jc w:val="center"/>
              <w:rPr>
                <w:rFonts w:ascii="Arial;sans-serif" w:hAnsi="Arial;sans-serif"/>
                <w:b w:val="false"/>
                <w:color w:val="000000"/>
                <w:sz w:val="16"/>
              </w:rPr>
            </w:pPr>
            <w:r>
              <w:rPr>
                <w:rFonts w:ascii="Arial;sans-serif" w:hAnsi="Arial;sans-serif"/>
                <w:b w:val="false"/>
                <w:color w:val="000000"/>
                <w:sz w:val="16"/>
              </w:rPr>
              <w:t>+1 212 446 4900</w:t>
            </w:r>
          </w:p>
        </w:tc>
      </w:tr>
    </w:tbl>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March 26, 2021</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ARYA Sciences Acquisition Corp III</w:t>
      </w:r>
    </w:p>
    <w:p>
      <w:pPr>
        <w:pStyle w:val="TextBody"/>
        <w:spacing w:lineRule="auto" w:line="288" w:before="0" w:after="2"/>
        <w:rPr>
          <w:rFonts w:ascii="Times New Roman;sans-serif" w:hAnsi="Times New Roman;sans-serif"/>
          <w:b w:val="false"/>
          <w:color w:val="000000"/>
          <w:sz w:val="24"/>
        </w:rPr>
      </w:pPr>
      <w:r>
        <w:rPr>
          <w:rFonts w:ascii="Times New Roman;sans-serif" w:hAnsi="Times New Roman;sans-serif"/>
          <w:b w:val="false"/>
          <w:color w:val="000000"/>
          <w:sz w:val="24"/>
        </w:rPr>
        <w:t xml:space="preserve">51 Astor Place, 10th Floor </w:t>
      </w:r>
    </w:p>
    <w:p>
      <w:pPr>
        <w:pStyle w:val="TextBody"/>
        <w:spacing w:lineRule="auto" w:line="288" w:before="0" w:after="2"/>
        <w:rPr>
          <w:rFonts w:ascii="Times New Roman;sans-serif" w:hAnsi="Times New Roman;sans-serif"/>
          <w:b w:val="false"/>
          <w:color w:val="000000"/>
          <w:sz w:val="24"/>
        </w:rPr>
      </w:pPr>
      <w:r>
        <w:rPr>
          <w:rFonts w:ascii="Times New Roman;sans-serif" w:hAnsi="Times New Roman;sans-serif"/>
          <w:b w:val="false"/>
          <w:color w:val="000000"/>
          <w:sz w:val="24"/>
        </w:rPr>
        <w:t xml:space="preserve">New York, New York 10003 </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88" w:before="0" w:after="240"/>
        <w:ind w:left="0" w:right="0" w:firstLine="720"/>
        <w:rPr/>
      </w:pPr>
      <w:r>
        <w:rPr>
          <w:rFonts w:ascii="Times New Roman;sans-serif" w:hAnsi="Times New Roman;sans-serif"/>
          <w:b w:val="false"/>
          <w:color w:val="000000"/>
          <w:sz w:val="24"/>
        </w:rPr>
        <w:t>We have acted as special legal counsel to ARYA Sciences Acquisition Corp III, a Cayman Islands exempted company (“</w:t>
      </w:r>
      <w:r>
        <w:rPr>
          <w:rFonts w:ascii="Times New Roman;sans-serif" w:hAnsi="Times New Roman;sans-serif"/>
          <w:b w:val="false"/>
          <w:color w:val="000000"/>
          <w:sz w:val="24"/>
          <w:u w:val="single"/>
        </w:rPr>
        <w:t>ARYA</w:t>
      </w:r>
      <w:r>
        <w:rPr>
          <w:color w:val="000000"/>
        </w:rPr>
        <w:t>”</w:t>
      </w:r>
      <w:r>
        <w:rPr>
          <w:rFonts w:ascii="Times New Roman;sans-serif" w:hAnsi="Times New Roman;sans-serif"/>
          <w:b w:val="false"/>
          <w:color w:val="000000"/>
          <w:sz w:val="24"/>
        </w:rPr>
        <w:t>), in connection with the Registration Statement on Form S-4, initially filed with the U.S. Securities and Exchange Commission (the “</w:t>
      </w:r>
      <w:r>
        <w:rPr>
          <w:rFonts w:ascii="Times New Roman;sans-serif" w:hAnsi="Times New Roman;sans-serif"/>
          <w:b w:val="false"/>
          <w:color w:val="000000"/>
          <w:sz w:val="24"/>
          <w:u w:val="single"/>
        </w:rPr>
        <w:t>Commission</w:t>
      </w:r>
      <w:r>
        <w:rPr>
          <w:color w:val="000000"/>
        </w:rPr>
        <w:t>”</w:t>
      </w:r>
      <w:r>
        <w:rPr>
          <w:rFonts w:ascii="Times New Roman;sans-serif" w:hAnsi="Times New Roman;sans-serif"/>
          <w:b w:val="false"/>
          <w:color w:val="000000"/>
          <w:sz w:val="24"/>
        </w:rPr>
        <w:t>) on March 26, 2021 pursuant to the Securities Act of 1933, as amended (the “</w:t>
      </w:r>
      <w:r>
        <w:rPr>
          <w:rFonts w:ascii="Times New Roman;sans-serif" w:hAnsi="Times New Roman;sans-serif"/>
          <w:b w:val="false"/>
          <w:color w:val="000000"/>
          <w:sz w:val="24"/>
          <w:u w:val="single"/>
        </w:rPr>
        <w:t>Act</w:t>
      </w:r>
      <w:r>
        <w:rPr>
          <w:color w:val="000000"/>
        </w:rPr>
        <w:t>”</w:t>
      </w:r>
      <w:r>
        <w:rPr>
          <w:rFonts w:ascii="Times New Roman;sans-serif" w:hAnsi="Times New Roman;sans-serif"/>
          <w:b w:val="false"/>
          <w:color w:val="000000"/>
          <w:sz w:val="24"/>
        </w:rPr>
        <w:t>) (such Registration Statement, as the same may be amended or supplemented, is hereafter referred to as the “</w:t>
      </w:r>
      <w:r>
        <w:rPr>
          <w:rFonts w:ascii="Times New Roman;sans-serif" w:hAnsi="Times New Roman;sans-serif"/>
          <w:b w:val="false"/>
          <w:color w:val="000000"/>
          <w:sz w:val="24"/>
          <w:u w:val="single"/>
        </w:rPr>
        <w:t>Registration Statement</w:t>
      </w:r>
      <w:r>
        <w:rPr>
          <w:color w:val="000000"/>
        </w:rPr>
        <w:t>”</w:t>
      </w:r>
      <w:r>
        <w:rPr>
          <w:rFonts w:ascii="Times New Roman;sans-serif" w:hAnsi="Times New Roman;sans-serif"/>
          <w:b w:val="false"/>
          <w:color w:val="000000"/>
          <w:sz w:val="24"/>
        </w:rPr>
        <w:t>), relating to the Business Combination Agreement, dated February 7, 2021 (as may be amended, supplemented or otherwise modified from time to time, the “</w:t>
      </w:r>
      <w:r>
        <w:rPr>
          <w:rFonts w:ascii="Times New Roman;sans-serif" w:hAnsi="Times New Roman;sans-serif"/>
          <w:b w:val="false"/>
          <w:color w:val="000000"/>
          <w:sz w:val="24"/>
          <w:u w:val="single"/>
        </w:rPr>
        <w:t>Business Combination Agreement</w:t>
      </w:r>
      <w:r>
        <w:rPr>
          <w:color w:val="000000"/>
        </w:rPr>
        <w:t>”</w:t>
      </w:r>
      <w:r>
        <w:rPr>
          <w:rFonts w:ascii="Times New Roman;sans-serif" w:hAnsi="Times New Roman;sans-serif"/>
          <w:b w:val="false"/>
          <w:color w:val="000000"/>
          <w:sz w:val="24"/>
        </w:rPr>
        <w:t>), by and among ARYA, Mako Merger Sub, Inc., a Delaware corporation (“</w:t>
      </w:r>
      <w:r>
        <w:rPr>
          <w:rFonts w:ascii="Times New Roman;sans-serif" w:hAnsi="Times New Roman;sans-serif"/>
          <w:b w:val="false"/>
          <w:color w:val="000000"/>
          <w:sz w:val="24"/>
          <w:u w:val="single"/>
        </w:rPr>
        <w:t>Merger Sub</w:t>
      </w:r>
      <w:r>
        <w:rPr>
          <w:color w:val="000000"/>
        </w:rPr>
        <w:t>”</w:t>
      </w:r>
      <w:r>
        <w:rPr>
          <w:rFonts w:ascii="Times New Roman;sans-serif" w:hAnsi="Times New Roman;sans-serif"/>
          <w:b w:val="false"/>
          <w:color w:val="000000"/>
          <w:sz w:val="24"/>
        </w:rPr>
        <w:t>), and Nautilus Biotechnology, Inc., a Delaware corporation (“</w:t>
      </w:r>
      <w:r>
        <w:rPr>
          <w:rFonts w:ascii="Times New Roman;sans-serif" w:hAnsi="Times New Roman;sans-serif"/>
          <w:b w:val="false"/>
          <w:color w:val="000000"/>
          <w:sz w:val="24"/>
          <w:u w:val="single"/>
        </w:rPr>
        <w:t>Nautilus</w:t>
      </w:r>
      <w:r>
        <w:rPr>
          <w:color w:val="000000"/>
        </w:rPr>
        <w:t>”</w:t>
      </w:r>
      <w:r>
        <w:rPr>
          <w:rFonts w:ascii="Times New Roman;sans-serif" w:hAnsi="Times New Roman;sans-serif"/>
          <w:b w:val="false"/>
          <w:color w:val="000000"/>
          <w:sz w:val="24"/>
        </w:rPr>
        <w:t>). Pursuant to the Business Combination Agreement, ARYA will change its jurisdiction of incorporation through the transfer by way of continuation and deregistration of ARYA from the Cayman Islands and the continuation and domestication of ARYA as a corporation incorporated in the State of Delaware (the “</w:t>
      </w:r>
      <w:r>
        <w:rPr>
          <w:rFonts w:ascii="Times New Roman;sans-serif" w:hAnsi="Times New Roman;sans-serif"/>
          <w:b w:val="false"/>
          <w:color w:val="000000"/>
          <w:sz w:val="24"/>
          <w:u w:val="single"/>
        </w:rPr>
        <w:t>Domestication</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720"/>
        <w:rPr/>
      </w:pPr>
      <w:r>
        <w:rPr>
          <w:rFonts w:ascii="Times New Roman;sans-serif" w:hAnsi="Times New Roman;sans-serif"/>
          <w:b w:val="false"/>
          <w:color w:val="000000"/>
          <w:sz w:val="24"/>
        </w:rPr>
        <w:t>In connection with the Domestication, ARYA will change its jurisdiction of incorporation from the Cayman Islands to Delaware pursuant to Part XII of the Companies Law (Revised) of the Cayman Islands and domesticate as a Delaware corporation in accordance with Section 388 of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by filing a certificate of corporate domestication simultaneously with a certificate of incorporation, in each case in respect of ARYA with the Secretary of State of the State of Delaware (the “</w:t>
      </w:r>
      <w:r>
        <w:rPr>
          <w:rFonts w:ascii="Times New Roman;sans-serif" w:hAnsi="Times New Roman;sans-serif"/>
          <w:b w:val="false"/>
          <w:color w:val="000000"/>
          <w:sz w:val="24"/>
          <w:u w:val="single"/>
        </w:rPr>
        <w:t>Delaware Secretary of State</w:t>
      </w:r>
      <w:r>
        <w:rPr>
          <w:color w:val="000000"/>
        </w:rPr>
        <w:t>”</w:t>
      </w:r>
      <w:r>
        <w:rPr>
          <w:rFonts w:ascii="Times New Roman;sans-serif" w:hAnsi="Times New Roman;sans-serif"/>
          <w:b w:val="false"/>
          <w:color w:val="000000"/>
          <w:sz w:val="24"/>
        </w:rPr>
        <w:t>). The Domestication is subject to the approval of the shareholders of ARYA. We refer herein to ARYA following effectiveness of the Domestication as “</w:t>
      </w:r>
      <w:r>
        <w:rPr>
          <w:rFonts w:ascii="Times New Roman;sans-serif" w:hAnsi="Times New Roman;sans-serif"/>
          <w:b w:val="false"/>
          <w:color w:val="000000"/>
          <w:sz w:val="24"/>
          <w:u w:val="single"/>
        </w:rPr>
        <w:t>New Nautilus</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720"/>
        <w:rPr/>
      </w:pPr>
      <w:r>
        <w:rPr>
          <w:rFonts w:ascii="Times New Roman;sans-serif" w:hAnsi="Times New Roman;sans-serif"/>
          <w:b w:val="false"/>
          <w:color w:val="000000"/>
          <w:sz w:val="24"/>
        </w:rPr>
        <w:t>Promptly following the consummation of the Domestication, Merger Sub will merge with and into Nautilus (the “</w:t>
      </w:r>
      <w:r>
        <w:rPr>
          <w:rFonts w:ascii="Times New Roman;sans-serif" w:hAnsi="Times New Roman;sans-serif"/>
          <w:b w:val="false"/>
          <w:color w:val="000000"/>
          <w:sz w:val="24"/>
          <w:u w:val="single"/>
        </w:rPr>
        <w:t>Merger</w:t>
      </w:r>
      <w:r>
        <w:rPr>
          <w:color w:val="000000"/>
        </w:rPr>
        <w:t xml:space="preserve">” </w:t>
      </w:r>
      <w:r>
        <w:rPr>
          <w:rFonts w:ascii="Times New Roman;sans-serif" w:hAnsi="Times New Roman;sans-serif"/>
          <w:b w:val="false"/>
          <w:color w:val="000000"/>
          <w:sz w:val="24"/>
        </w:rPr>
        <w:t>and together with the Domestication and related transactions, the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with Nautilus as the surviving company in the Merger and, after giving effect to the Merger, Nautilus will be a wholly-owned subsidiary of ARYA (the time that the Merger becomes effective being referred to as the “</w:t>
      </w:r>
      <w:r>
        <w:rPr>
          <w:rFonts w:ascii="Times New Roman;sans-serif" w:hAnsi="Times New Roman;sans-serif"/>
          <w:b w:val="false"/>
          <w:color w:val="000000"/>
          <w:sz w:val="24"/>
          <w:u w:val="single"/>
        </w:rPr>
        <w:t>Effective Time</w:t>
      </w:r>
      <w:r>
        <w:rPr>
          <w:color w:val="000000"/>
        </w:rPr>
        <w:t>”</w:t>
      </w:r>
      <w:r>
        <w:rPr>
          <w:rFonts w:ascii="Times New Roman;sans-serif" w:hAnsi="Times New Roman;sans-serif"/>
          <w:b w:val="false"/>
          <w:color w:val="000000"/>
          <w:sz w:val="24"/>
        </w:rPr>
        <w:t>). In connection with the Domestication, on the date of closing prior to the Effective Time, each issued and outstanding Class A ordinary share, par value $0.0001 per share, of ARYA (the “</w:t>
      </w:r>
      <w:r>
        <w:rPr>
          <w:rFonts w:ascii="Times New Roman;sans-serif" w:hAnsi="Times New Roman;sans-serif"/>
          <w:b w:val="false"/>
          <w:color w:val="000000"/>
          <w:sz w:val="24"/>
          <w:u w:val="single"/>
        </w:rPr>
        <w:t>Class A Ordinary Shares</w:t>
      </w:r>
      <w:r>
        <w:rPr>
          <w:color w:val="000000"/>
        </w:rPr>
        <w:t>”</w:t>
      </w:r>
      <w:r>
        <w:rPr>
          <w:rFonts w:ascii="Times New Roman;sans-serif" w:hAnsi="Times New Roman;sans-serif"/>
          <w:b w:val="false"/>
          <w:color w:val="000000"/>
          <w:sz w:val="24"/>
        </w:rPr>
        <w:t>) and each issued and outstanding Class B ordinary share, par value $0.0001 per share, of ARYA (the “</w:t>
      </w:r>
      <w:r>
        <w:rPr>
          <w:rFonts w:ascii="Times New Roman;sans-serif" w:hAnsi="Times New Roman;sans-serif"/>
          <w:b w:val="false"/>
          <w:color w:val="000000"/>
          <w:sz w:val="24"/>
          <w:u w:val="single"/>
        </w:rPr>
        <w:t>Class B Ordinary Shares</w:t>
      </w:r>
      <w:r>
        <w:rPr>
          <w:color w:val="000000"/>
        </w:rPr>
        <w:t>”</w:t>
      </w:r>
      <w:r>
        <w:rPr>
          <w:rFonts w:ascii="Times New Roman;sans-serif" w:hAnsi="Times New Roman;sans-serif"/>
          <w:b w:val="false"/>
          <w:color w:val="000000"/>
          <w:sz w:val="24"/>
        </w:rPr>
        <w:t xml:space="preserve">) will convert automatically by operation of law, on a one-for-one </w:t>
      </w:r>
      <w:r>
        <w:br w:type="page"/>
      </w:r>
    </w:p>
    <w:p>
      <w:pPr>
        <w:pStyle w:val="TextBody"/>
        <w:spacing w:before="0" w:after="240"/>
        <w:jc w:val="center"/>
        <w:rPr/>
      </w:pPr>
      <w:r>
        <w:rPr/>
        <w:drawing>
          <wp:inline distT="0" distB="63500" distL="0" distR="0">
            <wp:extent cx="2381250" cy="238125"/>
            <wp:effectExtent l="0" t="0" r="0" b="0"/>
            <wp:docPr id="67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22" descr=""/>
                    <pic:cNvPicPr>
                      <a:picLocks noChangeAspect="1" noChangeArrowheads="1"/>
                    </pic:cNvPicPr>
                  </pic:nvPicPr>
                  <pic:blipFill>
                    <a:blip r:embed="rId25"/>
                    <a:stretch>
                      <a:fillRect/>
                    </a:stretch>
                  </pic:blipFill>
                  <pic:spPr bwMode="auto">
                    <a:xfrm>
                      <a:off x="0" y="0"/>
                      <a:ext cx="2381250" cy="238125"/>
                    </a:xfrm>
                    <a:prstGeom prst="rect">
                      <a:avLst/>
                    </a:prstGeom>
                  </pic:spPr>
                </pic:pic>
              </a:graphicData>
            </a:graphic>
          </wp:inline>
        </w:drawing>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102235"/>
                <wp:effectExtent l="0" t="0" r="0" b="0"/>
                <wp:wrapNone/>
                <wp:docPr id="678" name="Frame656"/>
                <a:graphic xmlns:a="http://schemas.openxmlformats.org/drawingml/2006/main">
                  <a:graphicData uri="http://schemas.microsoft.com/office/word/2010/wordprocessingShape">
                    <wps:wsp>
                      <wps:cNvSpPr txBox="1"/>
                      <wps:spPr>
                        <a:xfrm>
                          <a:off x="0" y="0"/>
                          <a:ext cx="6480175" cy="102235"/>
                        </a:xfrm>
                        <a:prstGeom prst="rect"/>
                      </wps:spPr>
                      <wps:txbx>
                        <w:txbxContent>
                          <w:p>
                            <w:pPr>
                              <w:pStyle w:val="TextBody"/>
                              <w:spacing w:lineRule="auto" w:line="288" w:before="0" w:after="0"/>
                              <w:jc w:val="center"/>
                              <w:rPr>
                                <w:rFonts w:ascii="Arial;sans-serif" w:hAnsi="Arial;sans-serif"/>
                                <w:b w:val="false"/>
                                <w:color w:val="000000"/>
                                <w:sz w:val="14"/>
                              </w:rPr>
                            </w:pPr>
                            <w:r>
                              <w:rPr>
                                <w:rFonts w:ascii="Arial;sans-serif" w:hAnsi="Arial;sans-serif"/>
                                <w:b w:val="false"/>
                                <w:color w:val="000000"/>
                                <w:sz w:val="14"/>
                              </w:rPr>
                              <w:t>Bay Area Beijing Boston Chicago Dallas Hong Kong Houston London Los Angeles Munich Paris Shanghai Washington, D.C.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33.1pt;mso-position-horizontal:left;mso-position-horizontal-relative:text">
                <v:textbox>
                  <w:txbxContent>
                    <w:p>
                      <w:pPr>
                        <w:pStyle w:val="TextBody"/>
                        <w:spacing w:lineRule="auto" w:line="288" w:before="0" w:after="0"/>
                        <w:jc w:val="center"/>
                        <w:rPr>
                          <w:rFonts w:ascii="Arial;sans-serif" w:hAnsi="Arial;sans-serif"/>
                          <w:b w:val="false"/>
                          <w:color w:val="000000"/>
                          <w:sz w:val="14"/>
                        </w:rPr>
                      </w:pPr>
                      <w:r>
                        <w:rPr>
                          <w:rFonts w:ascii="Arial;sans-serif" w:hAnsi="Arial;sans-serif"/>
                          <w:b w:val="false"/>
                          <w:color w:val="000000"/>
                          <w:sz w:val="14"/>
                        </w:rPr>
                        <w:t>Bay Area Beijing Boston Chicago Dallas Hong Kong Houston London Los Angeles Munich Paris Shanghai Washington, D.C.</w:t>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ARYA Sciences Acquisition Corp III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spacing w:lineRule="auto" w:line="288" w:before="0" w:after="240"/>
        <w:rPr/>
      </w:pPr>
      <w:r>
        <w:rPr>
          <w:rFonts w:ascii="Times New Roman;sans-serif" w:hAnsi="Times New Roman;sans-serif"/>
          <w:b w:val="false"/>
          <w:color w:val="000000"/>
          <w:sz w:val="24"/>
        </w:rPr>
        <w:t>basis, into shares of common stock, par value $0.0001 per share, of New Nautilus (the “</w:t>
      </w:r>
      <w:r>
        <w:rPr>
          <w:rFonts w:ascii="Times New Roman;sans-serif" w:hAnsi="Times New Roman;sans-serif"/>
          <w:b w:val="false"/>
          <w:color w:val="000000"/>
          <w:sz w:val="24"/>
          <w:u w:val="single"/>
        </w:rPr>
        <w:t>New Nautilus Common Stock</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720"/>
        <w:rPr/>
      </w:pPr>
      <w:r>
        <w:rPr>
          <w:rFonts w:ascii="Times New Roman;sans-serif" w:hAnsi="Times New Roman;sans-serif"/>
          <w:b w:val="false"/>
          <w:color w:val="000000"/>
          <w:sz w:val="24"/>
        </w:rPr>
        <w:t>This opinion is being rendered in connection with the registration under the above-referenced Registration Statement of 111,674,810 shares of New Nautilus Common Stock, representing (a) 15,449,000 shares to be issued to the holders of Class A Ordinary Shares, (b) 3,737,500 shares to be issued to the holders of Class B Ordinary Shares, (c) up to 85,295,562 shares to be issued to the equityholders of Nautilus in connection with the Business Combination and (d) up to 7,192,748 shares that may be issued to equityholders of Nautilus upon the exercise of outstanding options to purchase shares of Nautilus (the “</w:t>
      </w:r>
      <w:r>
        <w:rPr>
          <w:rFonts w:ascii="Times New Roman;sans-serif" w:hAnsi="Times New Roman;sans-serif"/>
          <w:b w:val="false"/>
          <w:color w:val="000000"/>
          <w:sz w:val="24"/>
          <w:u w:val="single"/>
        </w:rPr>
        <w:t>Consideration Shares</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connection with the preparation of this opinion, we have, among other things, read:</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(a)a copy of the Business Combination Agreement, filed as Exhibit 2.1 to the Registration Statement;</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(b)the Registration Statement;</w:t>
      </w:r>
    </w:p>
    <w:p>
      <w:pPr>
        <w:pStyle w:val="TextBody"/>
        <w:spacing w:lineRule="auto" w:line="288" w:before="0" w:after="240"/>
        <w:ind w:left="0" w:right="0" w:hanging="720"/>
        <w:rPr/>
      </w:pPr>
      <w:r>
        <w:rPr>
          <w:rFonts w:ascii="Times New Roman;sans-serif" w:hAnsi="Times New Roman;sans-serif"/>
          <w:b w:val="false"/>
          <w:color w:val="000000"/>
          <w:sz w:val="24"/>
        </w:rPr>
        <w:t>(c)the form of proposed certificate of incorporation of New Nautilus, to be filed with the Delaware Secretary of State (the “</w:t>
      </w:r>
      <w:r>
        <w:rPr>
          <w:rFonts w:ascii="Times New Roman;sans-serif" w:hAnsi="Times New Roman;sans-serif"/>
          <w:b w:val="false"/>
          <w:color w:val="000000"/>
          <w:sz w:val="24"/>
          <w:u w:val="single"/>
        </w:rPr>
        <w:t>Certificate of Incorporation</w:t>
      </w:r>
      <w:r>
        <w:rPr>
          <w:color w:val="000000"/>
        </w:rPr>
        <w:t>”</w:t>
      </w:r>
      <w:r>
        <w:rPr>
          <w:rFonts w:ascii="Times New Roman;sans-serif" w:hAnsi="Times New Roman;sans-serif"/>
          <w:b w:val="false"/>
          <w:color w:val="000000"/>
          <w:sz w:val="24"/>
        </w:rPr>
        <w:t>), in the form filed as Exhibit 3.2 to the Registration Statement;</w:t>
      </w:r>
    </w:p>
    <w:p>
      <w:pPr>
        <w:pStyle w:val="TextBody"/>
        <w:spacing w:lineRule="auto" w:line="288" w:before="0" w:after="240"/>
        <w:ind w:left="0" w:right="0" w:hanging="720"/>
        <w:rPr/>
      </w:pPr>
      <w:r>
        <w:rPr>
          <w:rFonts w:ascii="Times New Roman;sans-serif" w:hAnsi="Times New Roman;sans-serif"/>
          <w:b w:val="false"/>
          <w:color w:val="000000"/>
          <w:sz w:val="24"/>
        </w:rPr>
        <w:t>(d)the form of proposed Bylaws of New Nautilus, to be adopted by New Nautilus in connection with the Domestication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in the form filed as Exhibit 3.3 to the Registration Statement;</w:t>
      </w:r>
    </w:p>
    <w:p>
      <w:pPr>
        <w:pStyle w:val="TextBody"/>
        <w:spacing w:lineRule="auto" w:line="288" w:before="0" w:after="240"/>
        <w:ind w:left="0" w:right="0" w:hanging="720"/>
        <w:rPr/>
      </w:pPr>
      <w:r>
        <w:rPr>
          <w:rFonts w:ascii="Times New Roman;sans-serif" w:hAnsi="Times New Roman;sans-serif"/>
          <w:b w:val="false"/>
          <w:color w:val="000000"/>
          <w:sz w:val="24"/>
        </w:rPr>
        <w:t>(e)the form of proposed certificate of corporate domestication of ARYA, to be filed with the Secretary of State of the State of Delaware (the “</w:t>
      </w:r>
      <w:r>
        <w:rPr>
          <w:rFonts w:ascii="Times New Roman;sans-serif" w:hAnsi="Times New Roman;sans-serif"/>
          <w:b w:val="false"/>
          <w:color w:val="000000"/>
          <w:sz w:val="24"/>
          <w:u w:val="single"/>
        </w:rPr>
        <w:t>Certificate of Domestication</w:t>
      </w:r>
      <w:r>
        <w:rPr>
          <w:color w:val="000000"/>
        </w:rPr>
        <w:t>”</w:t>
      </w:r>
      <w:r>
        <w:rPr>
          <w:rFonts w:ascii="Times New Roman;sans-serif" w:hAnsi="Times New Roman;sans-serif"/>
          <w:b w:val="false"/>
          <w:color w:val="000000"/>
          <w:sz w:val="24"/>
        </w:rPr>
        <w:t>), in the form filed as Exhibit 4.2 to the Registration Statement; and</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(f)such other documents, records and other instruments as we have deemed necessary or appropriate in order to deliver the opinions set forth herein.</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We have not independently established or </w:t>
      </w:r>
      <w:r>
        <w:br w:type="page"/>
      </w:r>
    </w:p>
    <w:p>
      <w:pPr>
        <w:pStyle w:val="TextBody"/>
        <w:spacing w:before="0" w:after="240"/>
        <w:jc w:val="center"/>
        <w:rPr/>
      </w:pPr>
      <w:r>
        <w:rPr/>
        <w:drawing>
          <wp:inline distT="0" distB="63500" distL="0" distR="0">
            <wp:extent cx="2381250" cy="238125"/>
            <wp:effectExtent l="0" t="0" r="0" b="0"/>
            <wp:docPr id="67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23" descr=""/>
                    <pic:cNvPicPr>
                      <a:picLocks noChangeAspect="1" noChangeArrowheads="1"/>
                    </pic:cNvPicPr>
                  </pic:nvPicPr>
                  <pic:blipFill>
                    <a:blip r:embed="rId26"/>
                    <a:stretch>
                      <a:fillRect/>
                    </a:stretch>
                  </pic:blipFill>
                  <pic:spPr bwMode="auto">
                    <a:xfrm>
                      <a:off x="0" y="0"/>
                      <a:ext cx="2381250" cy="238125"/>
                    </a:xfrm>
                    <a:prstGeom prst="rect">
                      <a:avLst/>
                    </a:prstGeom>
                  </pic:spPr>
                </pic:pic>
              </a:graphicData>
            </a:graphic>
          </wp:inline>
        </w:drawing>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175260"/>
                <wp:effectExtent l="0" t="0" r="0" b="0"/>
                <wp:wrapNone/>
                <wp:docPr id="680" name="Frame6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ARYA Sciences Acquisition Corp III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verified any facts relevant to the opinion expressed herein, but have relied upon statements and representations of officers and other representatives of ARYA and others as to factual matters.</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Subject to the assumptions, qualifications, exclusions and other limitations which are identified in this opinion, we advise you that:</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1.Upon (i) the effectiveness of the Domestication and (ii) the filing of the Certificate of Incorporation with the Delaware Secretary of State, the issued and outstanding Class A Ordinary Shares and Class B Ordinary Shares will automatically convert by operation of law, on a one-for-one basis, into duly authorized, validly issued, fully paid and non-assessable shares of New Nautilus Common Stock.</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2.Upon (i) the effectiveness of the Domestication and (ii) the filing of the Certificate of Incorporation with the Delaware Secretary of State, the Consideration Shares will be duly authorized, validly issued, fully paid and non-assessable.</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addition, in rendering the foregoing opinions we have assumed that:</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a)ARYA (i) is duly incorporated and is validly existing and in good standing and (ii) has requisite legal status and legal capacity under the laws of the jurisdiction of its organization;</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b)Prior to effecting the Domestication and prior to the issuance of securities by New Nautilus: (i) the shareholders of ARYA will have approved, among other things, the Domestication; and (ii) all other necessary action will have been taken under the applicable laws of the Cayman Islands to authorize and permit the Domestication, and any and all consents, approvals and authorizations from applicable Cayman Islands governmental and regulatory authorities required to authorize and permit the Domestication will have been obtained; and</w:t>
      </w:r>
    </w:p>
    <w:p>
      <w:pPr>
        <w:pStyle w:val="TextBody"/>
        <w:spacing w:lineRule="auto" w:line="288"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c)The current draft of the Certificate of Incorporation, in the form thereof submitted for our review, without alteration or amendment (other than identifying the appropriate date), will be duly authorized and executed and thereafter be duly filed with the Delaware Secretary of State in accordance with Section 103 of the DGCL, that no other certificate or document, other than the Certificate of Domestication as required under Section 388 of the DGCL, has been, or prior to the filing of the Certificate of Incorporation will be, filed by or in respect of ARYA with the Delaware Secretary of State and that ARYA will pay all fees and </w:t>
      </w:r>
      <w:r>
        <w:br w:type="page"/>
      </w:r>
    </w:p>
    <w:p>
      <w:pPr>
        <w:pStyle w:val="TextBody"/>
        <w:spacing w:before="0" w:after="240"/>
        <w:jc w:val="center"/>
        <w:rPr/>
      </w:pPr>
      <w:r>
        <w:rPr/>
        <w:drawing>
          <wp:inline distT="0" distB="63500" distL="0" distR="0">
            <wp:extent cx="2381250" cy="238125"/>
            <wp:effectExtent l="0" t="0" r="0" b="0"/>
            <wp:docPr id="68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24" descr=""/>
                    <pic:cNvPicPr>
                      <a:picLocks noChangeAspect="1" noChangeArrowheads="1"/>
                    </pic:cNvPicPr>
                  </pic:nvPicPr>
                  <pic:blipFill>
                    <a:blip r:embed="rId27"/>
                    <a:stretch>
                      <a:fillRect/>
                    </a:stretch>
                  </pic:blipFill>
                  <pic:spPr bwMode="auto">
                    <a:xfrm>
                      <a:off x="0" y="0"/>
                      <a:ext cx="2381250" cy="238125"/>
                    </a:xfrm>
                    <a:prstGeom prst="rect">
                      <a:avLst/>
                    </a:prstGeom>
                  </pic:spPr>
                </pic:pic>
              </a:graphicData>
            </a:graphic>
          </wp:inline>
        </w:drawing>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260"/>
                <wp:effectExtent l="0" t="0" r="0" b="0"/>
                <wp:wrapNone/>
                <wp:docPr id="682" name="Frame6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ARYA Sciences Acquisition Corp III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other charges required to be paid in connection with the filing of the Certificate of Incorporation.</w:t>
      </w:r>
    </w:p>
    <w:p>
      <w:pPr>
        <w:pStyle w:val="TextBody"/>
        <w:spacing w:lineRule="auto" w:line="288" w:before="0" w:after="240"/>
        <w:ind w:left="0" w:right="0" w:firstLine="720"/>
        <w:rPr/>
      </w:pPr>
      <w:r>
        <w:rPr>
          <w:rFonts w:ascii="Times New Roman;sans-serif" w:hAnsi="Times New Roman;sans-serif"/>
          <w:b w:val="false"/>
          <w:color w:val="000000"/>
          <w:sz w:val="24"/>
        </w:rPr>
        <w:t>Our opinions expressed above are subject to the qualifications that we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an implied covenant of good faith and fair dealing, (iv) public policy considerations which may limit the rights of parties to obtain certain remedies, (v)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(vi) governmental authority to limit, delay or prohibit the making of payments outside of the United States or in a foreign currency or currency unit and (vii) any laws except the DGCL. We advise you that issues addressed by this letter may be governed in whole or in part by other laws, but we express no opinion as to whether any relevant difference exists between the laws upon which our opinions are based and any other laws which may actually govern. We do not find it necessary for the purposes of this opinion, and accordingly we do not purport to cover herein, the application of the securities or “</w:t>
      </w:r>
      <w:r>
        <w:rPr>
          <w:rFonts w:ascii="Times New Roman;sans-serif" w:hAnsi="Times New Roman;sans-serif"/>
          <w:b w:val="false"/>
          <w:color w:val="000000"/>
          <w:sz w:val="24"/>
          <w:u w:val="single"/>
        </w:rPr>
        <w:t>Blue Sky</w:t>
      </w:r>
      <w:r>
        <w:rPr>
          <w:color w:val="000000"/>
        </w:rPr>
        <w:t xml:space="preserve">” </w:t>
      </w:r>
      <w:r>
        <w:rPr>
          <w:rFonts w:ascii="Times New Roman;sans-serif" w:hAnsi="Times New Roman;sans-serif"/>
          <w:b w:val="false"/>
          <w:color w:val="000000"/>
          <w:sz w:val="24"/>
        </w:rPr>
        <w:t>laws of the various states to the issuance of the Securities.</w:t>
      </w:r>
    </w:p>
    <w:p>
      <w:pPr>
        <w:pStyle w:val="TextBody"/>
        <w:spacing w:lineRule="auto" w:line="288"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opinion is limited to the specific issues addressed herein, and no opinion may be inferred or implied beyond that expressly stated herein. We assume no obligation to revise or supplement this opinion should the DGCL be changed by legislative action, judicial decision or otherwise.</w:t>
      </w:r>
    </w:p>
    <w:p>
      <w:pPr>
        <w:pStyle w:val="TextBody"/>
        <w:spacing w:lineRule="auto" w:line="288" w:before="0" w:after="240"/>
        <w:ind w:left="0" w:right="0" w:firstLine="720"/>
        <w:rPr/>
      </w:pPr>
      <w:r>
        <w:rPr>
          <w:rFonts w:ascii="Times New Roman;sans-serif" w:hAnsi="Times New Roman;sans-serif"/>
          <w:b w:val="false"/>
          <w:color w:val="000000"/>
          <w:sz w:val="24"/>
        </w:rPr>
        <w:t>We hereby consent to the filing of this opinion with the Commission as Exhibit 5.1 to the Registration Statement. We also consent to the reference to our firm under the heading “</w:t>
      </w:r>
      <w:r>
        <w:rPr>
          <w:rFonts w:ascii="Times New Roman;sans-serif" w:hAnsi="Times New Roman;sans-serif"/>
          <w:b w:val="false"/>
          <w:color w:val="000000"/>
          <w:sz w:val="24"/>
          <w:u w:val="single"/>
        </w:rPr>
        <w:t>Legal Matters</w:t>
      </w:r>
      <w:r>
        <w:rPr>
          <w:color w:val="000000"/>
        </w:rPr>
        <w:t xml:space="preserve">” </w:t>
      </w:r>
      <w:r>
        <w:rPr>
          <w:rFonts w:ascii="Times New Roman;sans-serif" w:hAnsi="Times New Roman;sans-serif"/>
          <w:b w:val="false"/>
          <w:color w:val="000000"/>
          <w:sz w:val="24"/>
        </w:rPr>
        <w:t>in the Registration Statement. In giving this consent, we do not thereby admit that we are in the category of persons whose consent is required under Section 7 of the Act or the rules and regulations of the Commission.</w:t>
      </w:r>
    </w:p>
    <w:tbl>
      <w:tblPr>
        <w:tblW w:w="2970" w:type="dxa"/>
        <w:jc w:val="right"/>
        <w:tblInd w:w="0" w:type="dxa"/>
        <w:tblCellMar>
          <w:top w:w="28" w:type="dxa"/>
          <w:left w:w="28" w:type="dxa"/>
          <w:bottom w:w="28" w:type="dxa"/>
          <w:right w:w="28" w:type="dxa"/>
        </w:tblCellMar>
      </w:tblPr>
      <w:tblGrid>
        <w:gridCol w:w="950"/>
        <w:gridCol w:w="834"/>
        <w:gridCol w:w="1186"/>
      </w:tblGrid>
      <w:tr>
        <w:trPr/>
        <w:tc>
          <w:tcPr>
            <w:tcW w:w="95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KIRKLAND &amp; ELLIS LLP</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w:t>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480175" cy="175260"/>
                <wp:effectExtent l="0" t="0" r="0" b="0"/>
                <wp:wrapNone/>
                <wp:docPr id="683" name="Frame6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NOTICE OF STOCK OPTION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the terms defined in the Nautilus Biotechnology, Inc. 2021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shall have the same defined meanings in this Stock Option Agreement, which includes the Notice of Stock Option Grant (the “</w:t>
      </w:r>
      <w:r>
        <w:rPr>
          <w:rFonts w:ascii="Times New Roman;sans-serif" w:hAnsi="Times New Roman;sans-serif"/>
          <w:b/>
          <w:color w:val="000000"/>
          <w:sz w:val="24"/>
        </w:rPr>
        <w:t>Notice of Grant</w:t>
      </w:r>
      <w:r>
        <w:rPr>
          <w:color w:val="000000"/>
        </w:rPr>
        <w:t>”</w:t>
      </w:r>
      <w:r>
        <w:rPr>
          <w:rFonts w:ascii="Times New Roman;sans-serif" w:hAnsi="Times New Roman;sans-serif"/>
          <w:b w:val="false"/>
          <w:color w:val="000000"/>
          <w:sz w:val="24"/>
        </w:rPr>
        <w:t xml:space="preserve">), the Terms and Conditions of Stock Option Grant, attached hereto as </w:t>
      </w:r>
      <w:r>
        <w:rPr>
          <w:rFonts w:ascii="Times New Roman;sans-serif" w:hAnsi="Times New Roman;sans-serif"/>
          <w:b/>
          <w:color w:val="000000"/>
          <w:sz w:val="24"/>
        </w:rPr>
        <w:t>Exhibit A</w:t>
      </w:r>
      <w:r>
        <w:rPr>
          <w:rFonts w:ascii="Times New Roman;sans-serif" w:hAnsi="Times New Roman;sans-serif"/>
          <w:b w:val="false"/>
          <w:color w:val="000000"/>
          <w:sz w:val="24"/>
        </w:rPr>
        <w:t xml:space="preserve">, the Exercise Notice, attached hereto as </w:t>
      </w:r>
      <w:r>
        <w:rPr>
          <w:rFonts w:ascii="Times New Roman;sans-serif" w:hAnsi="Times New Roman;sans-serif"/>
          <w:b/>
          <w:color w:val="000000"/>
          <w:sz w:val="24"/>
        </w:rPr>
        <w:t>Exhibit B</w:t>
      </w:r>
      <w:r>
        <w:rPr>
          <w:rFonts w:ascii="Times New Roman;sans-serif" w:hAnsi="Times New Roman;sans-serif"/>
          <w:b w:val="false"/>
          <w:color w:val="000000"/>
          <w:sz w:val="24"/>
        </w:rPr>
        <w:t>, and all other exhibits, appendices, and addenda attached hereto (together, the “</w:t>
      </w:r>
      <w:r>
        <w:rPr>
          <w:rFonts w:ascii="Times New Roman;sans-serif" w:hAnsi="Times New Roman;sans-serif"/>
          <w:b/>
          <w:color w:val="000000"/>
          <w:sz w:val="24"/>
        </w:rPr>
        <w:t>Option Agreement</w:t>
      </w:r>
      <w:r>
        <w:rPr>
          <w:color w:val="000000"/>
        </w:rPr>
        <w:t>”</w:t>
      </w:r>
      <w:r>
        <w:rPr>
          <w:rFonts w:ascii="Times New Roman;sans-serif" w:hAnsi="Times New Roman;sans-serif"/>
          <w:b w:val="false"/>
          <w:color w:val="000000"/>
          <w:sz w:val="24"/>
        </w:rPr>
        <w:t>).</w:t>
      </w:r>
    </w:p>
    <w:p>
      <w:pPr>
        <w:pStyle w:val="TextBody"/>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Participant Name:</w:t>
      </w:r>
    </w:p>
    <w:p>
      <w:pPr>
        <w:pStyle w:val="TextBody"/>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Address: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Participant has been granted an Option to purchase Common Stock of the Company, subject to the terms and conditions of the Plan and this Option Agreement, as follows:</w:t>
      </w:r>
    </w:p>
    <w:tbl>
      <w:tblPr>
        <w:tblW w:w="6524" w:type="dxa"/>
        <w:jc w:val="left"/>
        <w:tblInd w:w="0" w:type="dxa"/>
        <w:tblCellMar>
          <w:top w:w="28" w:type="dxa"/>
          <w:left w:w="28" w:type="dxa"/>
          <w:bottom w:w="28" w:type="dxa"/>
          <w:right w:w="28" w:type="dxa"/>
        </w:tblCellMar>
      </w:tblPr>
      <w:tblGrid>
        <w:gridCol w:w="1187"/>
        <w:gridCol w:w="1045"/>
        <w:gridCol w:w="1053"/>
        <w:gridCol w:w="948"/>
        <w:gridCol w:w="948"/>
        <w:gridCol w:w="1343"/>
      </w:tblGrid>
      <w:tr>
        <w:trPr/>
        <w:tc>
          <w:tcPr>
            <w:tcW w:w="118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Number of Shares Granted:</w:t>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Exercise Price:</w:t>
            </w:r>
          </w:p>
        </w:tc>
        <w:tc>
          <w:tcPr>
            <w:tcW w:w="3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Option:</w:t>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 Incentive Stock Option</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 Nonstatutory Stock Option</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Term/Expiration Date:</w:t>
            </w:r>
          </w:p>
        </w:tc>
        <w:tc>
          <w:tcPr>
            <w:tcW w:w="32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acceleration provisions contained in the Plan, this Option Agreement or any other written agreement authorized by the Administrator between Participant and the Company (or any Parent or Subsidiary of the Company, as applicable) governing the terms of this Option, this Option shall vest and be exercisable, in whole or in part, according to the following vesting schedule:</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[Twenty-five percent (25%) of the Total Number of Shares Granted under the Option shall be scheduled to vest on the one (1) year anniversary of the Vesting Commencement Date, </w:t>
      </w:r>
      <w:r>
        <w:br w:type="page"/>
      </w:r>
    </w:p>
    <w:p>
      <w:pPr>
        <w:pStyle w:val="TextBody"/>
        <w:spacing w:before="0" w:after="0"/>
        <w:rPr/>
      </w:pPr>
      <w:r>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480175" cy="176530"/>
                <wp:effectExtent l="0" t="0" r="0" b="0"/>
                <wp:wrapNone/>
                <wp:docPr id="684" name="Frame660"/>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4"/>
        </w:rPr>
        <w:t>and one forty-eighth (1/48</w:t>
      </w:r>
      <w:r>
        <w:rPr>
          <w:rFonts w:ascii="Times New Roman;sans-serif" w:hAnsi="Times New Roman;sans-serif"/>
          <w:b w:val="false"/>
          <w:color w:val="000000"/>
          <w:sz w:val="16"/>
        </w:rPr>
        <w:t>th</w:t>
      </w:r>
      <w:r>
        <w:rPr>
          <w:rFonts w:ascii="Times New Roman;sans-serif" w:hAnsi="Times New Roman;sans-serif"/>
          <w:b w:val="false"/>
          <w:color w:val="000000"/>
          <w:sz w:val="24"/>
        </w:rPr>
        <w:t>) of the Total Number of Shares Granted under the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pStyle w:val="TextBody"/>
        <w:spacing w:lineRule="auto" w:line="288" w:before="240" w:after="283"/>
        <w:ind w:left="0" w:right="0" w:firstLine="720"/>
        <w:jc w:val="both"/>
        <w:rPr/>
      </w:pPr>
      <w:r>
        <w:rPr>
          <w:rFonts w:ascii="Times New Roman;sans-serif" w:hAnsi="Times New Roman;sans-serif"/>
          <w:b/>
          <w:color w:val="000000"/>
          <w:sz w:val="24"/>
        </w:rPr>
        <w:t>Termination Period</w:t>
      </w:r>
      <w:r>
        <w:rPr>
          <w:rFonts w:ascii="Times New Roman;sans-serif" w:hAnsi="Times New Roman;sans-serif"/>
          <w:b w:val="false"/>
          <w:color w:val="000000"/>
          <w:sz w:val="24"/>
        </w:rPr>
        <w:t>:</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shall be exercisable, to the extent vested, for [three (3) months] after Participant ceases to be a Service Provider, unless such cessation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pStyle w:val="TextBody"/>
        <w:spacing w:lineRule="auto" w:line="288" w:before="240" w:after="283"/>
        <w:ind w:left="0" w:right="0" w:firstLine="720"/>
        <w:jc w:val="both"/>
        <w:rPr/>
      </w:pPr>
      <w:r>
        <w:rPr>
          <w:rFonts w:ascii="Times New Roman;sans-serif" w:hAnsi="Times New Roman;sans-serif"/>
          <w:b w:val="false"/>
          <w:color w:val="000000"/>
          <w:sz w:val="24"/>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sans-serif" w:hAnsi="Times New Roman;sans-serif"/>
          <w:b/>
          <w:color w:val="000000"/>
          <w:sz w:val="24"/>
        </w:rPr>
        <w:t>Exhibit A</w:t>
      </w:r>
      <w:r>
        <w:rPr>
          <w:rFonts w:ascii="Times New Roman;sans-serif" w:hAnsi="Times New Roman;sans-serif"/>
          <w:b w:val="false"/>
          <w:color w:val="000000"/>
          <w:sz w:val="24"/>
        </w:rPr>
        <w:t xml:space="preserve">, the Exercise Notice, attached hereto as </w:t>
      </w:r>
      <w:r>
        <w:rPr>
          <w:rFonts w:ascii="Times New Roman;sans-serif" w:hAnsi="Times New Roman;sans-serif"/>
          <w:b/>
          <w:color w:val="000000"/>
          <w:sz w:val="24"/>
        </w:rPr>
        <w:t>Exhibit B</w:t>
      </w:r>
      <w:r>
        <w:rPr>
          <w:rFonts w:ascii="Times New Roman;sans-serif" w:hAnsi="Times New Roman;sans-serif"/>
          <w:b w:val="false"/>
          <w:color w:val="000000"/>
          <w:sz w:val="24"/>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480175" cy="175260"/>
                <wp:effectExtent l="0" t="0" r="0" b="0"/>
                <wp:wrapNone/>
                <wp:docPr id="685" name="Frame6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tbl>
      <w:tblPr>
        <w:tblW w:w="6475" w:type="dxa"/>
        <w:jc w:val="left"/>
        <w:tblInd w:w="0" w:type="dxa"/>
        <w:tblCellMar>
          <w:top w:w="28" w:type="dxa"/>
          <w:left w:w="28" w:type="dxa"/>
          <w:bottom w:w="28" w:type="dxa"/>
          <w:right w:w="28" w:type="dxa"/>
        </w:tblCellMar>
      </w:tblPr>
      <w:tblGrid>
        <w:gridCol w:w="723"/>
        <w:gridCol w:w="635"/>
        <w:gridCol w:w="636"/>
        <w:gridCol w:w="109"/>
        <w:gridCol w:w="109"/>
        <w:gridCol w:w="109"/>
        <w:gridCol w:w="1216"/>
        <w:gridCol w:w="1216"/>
        <w:gridCol w:w="1722"/>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Residence 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0175" cy="175260"/>
                <wp:effectExtent l="0" t="0" r="0" b="0"/>
                <wp:wrapNone/>
                <wp:docPr id="686" name="Frame6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240" w:after="283"/>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TERMS AND CONDITIONS OF STOCK OPTION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Grant of Option</w:t>
      </w:r>
      <w:r>
        <w:rPr>
          <w:rFonts w:ascii="Times New Roman;sans-serif" w:hAnsi="Times New Roman;sans-serif"/>
          <w:b w:val="false"/>
          <w:color w:val="000000"/>
          <w:sz w:val="24"/>
        </w:rPr>
        <w: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hereby grants to the individual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named in the Notice of Stock Option Grant of this Option Agreement (the “</w:t>
      </w:r>
      <w:r>
        <w:rPr>
          <w:rFonts w:ascii="Times New Roman;sans-serif" w:hAnsi="Times New Roman;sans-serif"/>
          <w:b/>
          <w:color w:val="000000"/>
          <w:sz w:val="24"/>
        </w:rPr>
        <w:t>Notice of Grant</w:t>
      </w:r>
      <w:r>
        <w:rPr>
          <w:color w:val="000000"/>
        </w:rPr>
        <w:t>”</w:t>
      </w:r>
      <w:r>
        <w:rPr>
          <w:rFonts w:ascii="Times New Roman;sans-serif" w:hAnsi="Times New Roman;sans-serif"/>
          <w:b w:val="false"/>
          <w:color w:val="000000"/>
          <w:sz w:val="24"/>
        </w:rPr>
        <w:t>), an option (the “</w:t>
      </w:r>
      <w:r>
        <w:rPr>
          <w:rFonts w:ascii="Times New Roman;sans-serif" w:hAnsi="Times New Roman;sans-serif"/>
          <w:b/>
          <w:color w:val="000000"/>
          <w:sz w:val="24"/>
        </w:rPr>
        <w:t>Option</w:t>
      </w:r>
      <w:r>
        <w:rPr>
          <w:color w:val="000000"/>
        </w:rPr>
        <w:t>”</w:t>
      </w:r>
      <w:r>
        <w:rPr>
          <w:rFonts w:ascii="Times New Roman;sans-serif" w:hAnsi="Times New Roman;sans-serif"/>
          <w:b w:val="false"/>
          <w:color w:val="000000"/>
          <w:sz w:val="24"/>
        </w:rPr>
        <w:t>) to purchase the number of Shares set forth in the Notice of Grant, at the exercise price per Share set forth in the Notice of Grant (the “</w:t>
      </w:r>
      <w:r>
        <w:rPr>
          <w:rFonts w:ascii="Times New Roman;sans-serif" w:hAnsi="Times New Roman;sans-serif"/>
          <w:b/>
          <w:color w:val="000000"/>
          <w:sz w:val="24"/>
        </w:rPr>
        <w:t>Exercise Price</w:t>
      </w:r>
      <w:r>
        <w:rPr>
          <w:color w:val="000000"/>
        </w:rPr>
        <w:t>”</w:t>
      </w:r>
      <w:r>
        <w:rPr>
          <w:rFonts w:ascii="Times New Roman;sans-serif" w:hAnsi="Times New Roman;sans-serif"/>
          <w:b w:val="false"/>
          <w:color w:val="000000"/>
          <w:sz w:val="24"/>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U.S. taxpayers, if designated in the Notice of Grant as an Incentive Stock Option (“</w:t>
      </w:r>
      <w:r>
        <w:rPr>
          <w:rFonts w:ascii="Times New Roman;sans-serif" w:hAnsi="Times New Roman;sans-serif"/>
          <w:b/>
          <w:color w:val="000000"/>
          <w:sz w:val="24"/>
        </w:rPr>
        <w:t>ISO</w:t>
      </w:r>
      <w:r>
        <w:rPr>
          <w:color w:val="000000"/>
        </w:rPr>
        <w:t>”</w:t>
      </w:r>
      <w:r>
        <w:rPr>
          <w:rFonts w:ascii="Times New Roman;sans-serif" w:hAnsi="Times New Roman;sans-serif"/>
          <w:b w:val="false"/>
          <w:color w:val="000000"/>
          <w:sz w:val="24"/>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sans-serif" w:hAnsi="Times New Roman;sans-serif"/>
          <w:b/>
          <w:color w:val="000000"/>
          <w:sz w:val="24"/>
        </w:rPr>
        <w:t>NSO</w:t>
      </w:r>
      <w:r>
        <w:rPr>
          <w:color w:val="000000"/>
        </w:rPr>
        <w:t>”</w:t>
      </w:r>
      <w:r>
        <w:rPr>
          <w:rFonts w:ascii="Times New Roman;sans-serif" w:hAnsi="Times New Roman;sans-serif"/>
          <w:b w:val="false"/>
          <w:color w:val="000000"/>
          <w:sz w:val="24"/>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pStyle w:val="TextBody"/>
        <w:spacing w:lineRule="auto" w:line="288" w:before="240" w:after="283"/>
        <w:ind w:left="0" w:right="0" w:firstLine="1440"/>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For non-U.S. taxpayers, the Option will be designated as an NSO. </w:t>
      </w:r>
    </w:p>
    <w:p>
      <w:pPr>
        <w:pStyle w:val="TextBody"/>
        <w:spacing w:lineRule="auto" w:line="288"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Vesting Schedule</w:t>
      </w:r>
      <w:r>
        <w:rPr>
          <w:rFonts w:ascii="Times New Roman;sans-serif" w:hAnsi="Times New Roman;sans-serif"/>
          <w:b w:val="false"/>
          <w:color w:val="000000"/>
          <w:sz w:val="24"/>
        </w:rPr>
        <w:t>. Except as provided in Section 3, the Option awarded by this Option Agreement will vest in 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pStyle w:val="TextBody"/>
        <w:spacing w:lineRule="auto" w:line="288"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Administrator Discretion</w:t>
      </w:r>
      <w:r>
        <w:rPr>
          <w:rFonts w:ascii="Times New Roman;sans-serif" w:hAnsi="Times New Roman;sans-serif"/>
          <w:b w:val="false"/>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r>
        <w:br w:type="page"/>
      </w:r>
    </w:p>
    <w:p>
      <w:pPr>
        <w:pStyle w:val="TextBody"/>
        <w:spacing w:before="0" w:after="0"/>
        <w:rPr/>
      </w:pPr>
      <w:r>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480175" cy="176530"/>
                <wp:effectExtent l="0" t="0" r="0" b="0"/>
                <wp:wrapNone/>
                <wp:docPr id="687" name="Frame663"/>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Exercise of Option</w:t>
      </w:r>
      <w:r>
        <w:rPr>
          <w:rFonts w:ascii="Times New Roman;sans-serif" w:hAnsi="Times New Roman;sans-serif"/>
          <w:b w:val="false"/>
          <w:color w:val="000000"/>
          <w:sz w:val="24"/>
        </w:rPr>
        <w: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Right to Exercise</w:t>
      </w:r>
      <w:r>
        <w:rPr>
          <w:rFonts w:ascii="Times New Roman;sans-serif" w:hAnsi="Times New Roman;sans-serif"/>
          <w:b w:val="false"/>
          <w:color w:val="000000"/>
          <w:sz w:val="24"/>
        </w:rPr>
        <w:t>. This Option shall be exercisable during its term in accordance with the Vesting Schedule set out in the Notice of Grant and with the applicable provisions of the Plan and this Option Agreement.</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Method of Exercise</w:t>
      </w:r>
      <w:r>
        <w:rPr>
          <w:rFonts w:ascii="Times New Roman;sans-serif" w:hAnsi="Times New Roman;sans-serif"/>
          <w:b w:val="false"/>
          <w:color w:val="000000"/>
          <w:sz w:val="24"/>
        </w:rPr>
        <w:t>. This Option shall be exercisable by delivery of an exercise notice (the “</w:t>
      </w:r>
      <w:r>
        <w:rPr>
          <w:rFonts w:ascii="Times New Roman;sans-serif" w:hAnsi="Times New Roman;sans-serif"/>
          <w:b/>
          <w:color w:val="000000"/>
          <w:sz w:val="24"/>
        </w:rPr>
        <w:t>Exercise Notice</w:t>
      </w:r>
      <w:r>
        <w:rPr>
          <w:color w:val="000000"/>
        </w:rPr>
        <w:t>”</w:t>
      </w:r>
      <w:r>
        <w:rPr>
          <w:rFonts w:ascii="Times New Roman;sans-serif" w:hAnsi="Times New Roman;sans-serif"/>
          <w:b w:val="false"/>
          <w:color w:val="000000"/>
          <w:sz w:val="24"/>
        </w:rPr>
        <w:t xml:space="preserve">) in the form attached as </w:t>
      </w:r>
      <w:r>
        <w:rPr>
          <w:rFonts w:ascii="Times New Roman;sans-serif" w:hAnsi="Times New Roman;sans-serif"/>
          <w:b/>
          <w:color w:val="000000"/>
          <w:sz w:val="24"/>
        </w:rPr>
        <w:t>Exhibit B</w:t>
      </w:r>
      <w:r>
        <w:rPr>
          <w:color w:val="000000"/>
        </w:rPr>
        <w:t xml:space="preserve"> </w:t>
      </w:r>
      <w:r>
        <w:rPr>
          <w:rFonts w:ascii="Times New Roman;sans-serif" w:hAnsi="Times New Roman;sans-serif"/>
          <w:b w:val="false"/>
          <w:color w:val="000000"/>
          <w:sz w:val="24"/>
        </w:rPr>
        <w:t>to the Notice of Grant or in a manner and pursuant to such procedures as the Administrator may determine, which shall state the election to exercise the Option, the number of Shares with respect to which the Option is being exercised (the “</w:t>
      </w:r>
      <w:r>
        <w:rPr>
          <w:rFonts w:ascii="Times New Roman;sans-serif" w:hAnsi="Times New Roman;sans-serif"/>
          <w:b/>
          <w:color w:val="000000"/>
          <w:sz w:val="24"/>
        </w:rPr>
        <w:t>Exercised Shares</w:t>
      </w:r>
      <w:r>
        <w:rPr>
          <w:color w:val="000000"/>
        </w:rPr>
        <w:t>”</w:t>
      </w:r>
      <w:r>
        <w:rPr>
          <w:rFonts w:ascii="Times New Roman;sans-serif" w:hAnsi="Times New Roman;sans-serif"/>
          <w:b w:val="false"/>
          <w:color w:val="000000"/>
          <w:sz w:val="24"/>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pStyle w:val="TextBody"/>
        <w:spacing w:lineRule="auto" w:line="288" w:before="24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spacing w:lineRule="auto" w:line="288"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Method of Payment</w:t>
      </w:r>
      <w:r>
        <w:rPr>
          <w:rFonts w:ascii="Times New Roman;sans-serif" w:hAnsi="Times New Roman;sans-serif"/>
          <w:b w:val="false"/>
          <w:color w:val="000000"/>
          <w:sz w:val="24"/>
        </w:rPr>
        <w:t>. Payment of the aggregate Exercise Price shall be by any of the following, or a combination thereof, at the election of Participant: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cash;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check;</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consideration received by the Company under a formal cashless exercise program adopted by the Company in connection with the Plan; or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non-U.S. resident’s methods of exercise may be restricted by the terms and conditions of any appendix to this Agreement for Participant’s country (including the Country Addendum, as defined below).</w:t>
      </w:r>
    </w:p>
    <w:p>
      <w:pPr>
        <w:pStyle w:val="TextBody"/>
        <w:spacing w:lineRule="auto" w:line="288"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Non-Transferability of Option</w:t>
      </w:r>
      <w:r>
        <w:rPr>
          <w:rFonts w:ascii="Times New Roman;sans-serif" w:hAnsi="Times New Roman;sans-serif"/>
          <w:b w:val="false"/>
          <w:color w:val="000000"/>
          <w:sz w:val="24"/>
        </w:rPr>
        <w:t>. This Option may not be transferred in any manner otherwise than by will or by the laws of descent or distribution and may be exercised during the lifetime of Participant only by Participant.</w:t>
      </w:r>
      <w:r>
        <w:br w:type="page"/>
      </w:r>
    </w:p>
    <w:p>
      <w:pPr>
        <w:pStyle w:val="TextBody"/>
        <w:spacing w:before="0" w:after="0"/>
        <w:rPr/>
      </w:pPr>
      <w:r>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480175" cy="175260"/>
                <wp:effectExtent l="0" t="0" r="0" b="0"/>
                <wp:wrapNone/>
                <wp:docPr id="688" name="Frame6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Term of Option</w:t>
      </w:r>
      <w:r>
        <w:rPr>
          <w:rFonts w:ascii="Times New Roman;sans-serif" w:hAnsi="Times New Roman;sans-serif"/>
          <w:b w:val="false"/>
          <w:color w:val="000000"/>
          <w:sz w:val="24"/>
        </w:rPr>
        <w:t>. This Option may be exercised only within the term set out in the Notice of Grant, and may be exercised during such term only in accordance with the Plan and the terms of this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Tax Obligations</w:t>
      </w:r>
      <w:r>
        <w:rPr>
          <w:rFonts w:ascii="Times New Roman;sans-serif" w:hAnsi="Times New Roman;sans-serif"/>
          <w:b w:val="false"/>
          <w:color w:val="000000"/>
          <w:sz w:val="24"/>
        </w:rPr>
        <w: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Responsibility for Taxes</w:t>
      </w:r>
      <w:r>
        <w:rPr>
          <w:rFonts w:ascii="Times New Roman;sans-serif" w:hAnsi="Times New Roman;sans-serif"/>
          <w:b w:val="false"/>
          <w:color w:val="000000"/>
          <w:sz w:val="24"/>
        </w:rPr>
        <w:t>. Participant acknowledges that, regardless of any action taken by the Company or, if different, Participant’s employer or any Parent or Subsidiary to which Participant is providing services (together, the “</w:t>
      </w:r>
      <w:r>
        <w:rPr>
          <w:rFonts w:ascii="Times New Roman;sans-serif" w:hAnsi="Times New Roman;sans-serif"/>
          <w:b/>
          <w:color w:val="000000"/>
          <w:sz w:val="24"/>
        </w:rPr>
        <w:t>Service Recipients</w:t>
      </w:r>
      <w:r>
        <w:rPr>
          <w:color w:val="000000"/>
        </w:rPr>
        <w:t>”</w:t>
      </w:r>
      <w:r>
        <w:rPr>
          <w:rFonts w:ascii="Times New Roman;sans-serif" w:hAnsi="Times New Roman;sans-serif"/>
          <w:b w:val="false"/>
          <w:color w:val="000000"/>
          <w:sz w:val="24"/>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sans-serif" w:hAnsi="Times New Roman;sans-serif"/>
          <w:b/>
          <w:color w:val="000000"/>
          <w:sz w:val="24"/>
        </w:rPr>
        <w:t>Tax Obligations</w:t>
      </w:r>
      <w:r>
        <w:rPr>
          <w:color w:val="000000"/>
        </w:rPr>
        <w:t>”</w:t>
      </w:r>
      <w:r>
        <w:rPr>
          <w:rFonts w:ascii="Times New Roman;sans-serif" w:hAnsi="Times New Roman;sans-serif"/>
          <w:b w:val="false"/>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Tax Withholding</w:t>
      </w:r>
      <w:r>
        <w:rPr>
          <w:rFonts w:ascii="Times New Roman;sans-serif" w:hAnsi="Times New Roman;sans-serif"/>
          <w:b w:val="false"/>
          <w:color w:val="000000"/>
          <w:sz w:val="24"/>
        </w:rPr>
        <w:t>. Pursuant to such procedures as the Administrator may specify from time to time, the applicable Service Recipient(s) will withhold the amount required to be withheld for the payment of Tax Obligations (the “</w:t>
      </w:r>
      <w:r>
        <w:rPr>
          <w:rFonts w:ascii="Times New Roman;sans-serif" w:hAnsi="Times New Roman;sans-serif"/>
          <w:b/>
          <w:color w:val="000000"/>
          <w:sz w:val="24"/>
        </w:rPr>
        <w:t>Withholding Obligations</w:t>
      </w:r>
      <w:r>
        <w:rPr>
          <w:color w:val="000000"/>
        </w:rPr>
        <w:t>”</w:t>
      </w:r>
      <w:r>
        <w:rPr>
          <w:rFonts w:ascii="Times New Roman;sans-serif" w:hAnsi="Times New Roman;sans-serif"/>
          <w:b w:val="false"/>
          <w:color w:val="000000"/>
          <w:sz w:val="24"/>
        </w:rPr>
        <w:t xml:space="preserve">). The Administrator, in its sole discretion and pursuant to such procedures as it may specify from time to time, may permit Participant to satisfy such Withholding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(iii) having </w:t>
      </w:r>
      <w:r>
        <w:br w:type="page"/>
      </w:r>
    </w:p>
    <w:p>
      <w:pPr>
        <w:pStyle w:val="TextBody"/>
        <w:spacing w:before="0" w:after="0"/>
        <w:rPr/>
      </w:pPr>
      <w:r>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480175" cy="175260"/>
                <wp:effectExtent l="0" t="0" r="0" b="0"/>
                <wp:wrapNone/>
                <wp:docPr id="689" name="Frame6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such Withholding Obligations withheld from Participant’s wages or other cash compensation paid to Participant by the applicable Service Recipient(s), (iv) delivering to the Company Shares that Participant owns and that have vested with a fair market value equal to such Withholding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Withholding Obligations by reducing the number of Shares otherwise deliverable to Participant.</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Notice of Disqualifying Disposition of ISO Shares</w:t>
      </w:r>
      <w:r>
        <w:rPr>
          <w:rFonts w:ascii="Times New Roman;sans-serif" w:hAnsi="Times New Roman;sans-serif"/>
          <w:b w:val="false"/>
          <w:color w:val="000000"/>
          <w:sz w:val="24"/>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sans-serif" w:hAnsi="Times New Roman;sans-serif"/>
          <w:b/>
          <w:color w:val="000000"/>
          <w:sz w:val="24"/>
        </w:rPr>
        <w:t>IRS</w:t>
      </w:r>
      <w:r>
        <w:rPr>
          <w:color w:val="000000"/>
        </w:rPr>
        <w:t>”</w:t>
      </w:r>
      <w:r>
        <w:rPr>
          <w:rFonts w:ascii="Times New Roman;sans-serif" w:hAnsi="Times New Roman;sans-serif"/>
          <w:b w:val="false"/>
          <w:color w:val="000000"/>
          <w:sz w:val="24"/>
        </w:rPr>
        <w:t>) to be less than the fair market value of an underlying share on the date of grant (a “</w:t>
      </w:r>
      <w:r>
        <w:rPr>
          <w:rFonts w:ascii="Times New Roman;sans-serif" w:hAnsi="Times New Roman;sans-serif"/>
          <w:b/>
          <w:color w:val="000000"/>
          <w:sz w:val="24"/>
        </w:rPr>
        <w:t>discount option</w:t>
      </w:r>
      <w:r>
        <w:rPr>
          <w:color w:val="000000"/>
        </w:rPr>
        <w:t>”</w:t>
      </w:r>
      <w:r>
        <w:rPr>
          <w:rFonts w:ascii="Times New Roman;sans-serif" w:hAnsi="Times New Roman;sans-serif"/>
          <w:b w:val="false"/>
          <w:color w:val="000000"/>
          <w:sz w:val="24"/>
        </w:rPr>
        <w:t xml:space="preserve">)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 </w:t>
      </w:r>
    </w:p>
    <w:p>
      <w:pPr>
        <w:pStyle w:val="TextBody"/>
        <w:spacing w:lineRule="auto" w:line="288"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Rights as Stockholder</w:t>
      </w:r>
      <w:r>
        <w:rPr>
          <w:rFonts w:ascii="Times New Roman;sans-serif" w:hAnsi="Times New Roman;sans-serif"/>
          <w:b w:val="false"/>
          <w:color w:val="000000"/>
          <w:sz w:val="24"/>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w:t>
      </w:r>
      <w:r>
        <w:br w:type="page"/>
      </w:r>
    </w:p>
    <w:p>
      <w:pPr>
        <w:pStyle w:val="TextBody"/>
        <w:spacing w:before="0" w:after="0"/>
        <w:rPr/>
      </w:pPr>
      <w:r>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480175" cy="175260"/>
                <wp:effectExtent l="0" t="0" r="0" b="0"/>
                <wp:wrapNone/>
                <wp:docPr id="690" name="Frame6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spacing w:lineRule="auto" w:line="288"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Entire Agreement; Governing Law</w:t>
      </w:r>
      <w:r>
        <w:rPr>
          <w:rFonts w:ascii="Times New Roman;sans-serif" w:hAnsi="Times New Roman;sans-serif"/>
          <w:b w:val="false"/>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pStyle w:val="TextBody"/>
        <w:spacing w:lineRule="auto" w:line="288"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No Guarantee of Continued Service</w:t>
      </w:r>
      <w:r>
        <w:rPr>
          <w:rFonts w:ascii="Times New Roman;sans-serif" w:hAnsi="Times New Roman;sans-serif"/>
          <w:b w:val="false"/>
          <w:color w:val="000000"/>
          <w:sz w:val="24"/>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pStyle w:val="TextBody"/>
        <w:spacing w:lineRule="auto" w:line="288"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Nature of Grant</w:t>
      </w:r>
      <w:r>
        <w:rPr>
          <w:rFonts w:ascii="Times New Roman;sans-serif" w:hAnsi="Times New Roman;sans-serif"/>
          <w:b w:val="false"/>
          <w:color w:val="000000"/>
          <w:sz w:val="24"/>
        </w:rPr>
        <w:t>. In accepting the Option, Participant acknowledges, understands and agrees that: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decisions with respect to future option or other grants, if any, will be at the sole discretion of the Administrator;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Participant is voluntarily participating in the Plan;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Option and any Shares acquired under the Plan are not intended to replace any pension rights or compensation;</w:t>
      </w:r>
      <w:r>
        <w:br w:type="page"/>
      </w:r>
    </w:p>
    <w:p>
      <w:pPr>
        <w:pStyle w:val="TextBody"/>
        <w:spacing w:before="0" w:after="0"/>
        <w:rPr/>
      </w:pPr>
      <w:r>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480175" cy="175260"/>
                <wp:effectExtent l="0" t="0" r="0" b="0"/>
                <wp:wrapNone/>
                <wp:docPr id="691" name="Frame6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spacing w:lineRule="auto" w:line="288"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future value of the Shares underlying the Option is unknown, indeterminable, and cannot be predicted with certainty; </w:t>
      </w:r>
    </w:p>
    <w:p>
      <w:pPr>
        <w:pStyle w:val="TextBody"/>
        <w:spacing w:lineRule="auto" w:line="288"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if the underlying Shares do not increase in value, the Option will have no value; </w:t>
      </w:r>
    </w:p>
    <w:p>
      <w:pPr>
        <w:pStyle w:val="TextBody"/>
        <w:spacing w:lineRule="auto" w:line="288" w:before="240" w:after="283"/>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if Participant exercises the Option and acquires Shares, the value of such Shares may increase or decrease in value, even below the Exercise Price;</w:t>
      </w:r>
    </w:p>
    <w:p>
      <w:pPr>
        <w:pStyle w:val="TextBody"/>
        <w:spacing w:lineRule="auto" w:line="288" w:before="240" w:after="283"/>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w:t>
      </w:r>
    </w:p>
    <w:p>
      <w:pPr>
        <w:pStyle w:val="TextBody"/>
        <w:spacing w:lineRule="auto" w:line="288" w:before="240" w:after="283"/>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pStyle w:val="TextBody"/>
        <w:spacing w:lineRule="auto" w:line="288" w:before="240" w:after="283"/>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the following provisions apply only if Participant is providing services outside the United States:</w:t>
      </w:r>
      <w:r>
        <w:br w:type="page"/>
      </w:r>
    </w:p>
    <w:p>
      <w:pPr>
        <w:pStyle w:val="TextBody"/>
        <w:spacing w:before="0" w:after="0"/>
        <w:rPr/>
      </w:pPr>
      <w:r>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480175" cy="175260"/>
                <wp:effectExtent l="0" t="0" r="0" b="0"/>
                <wp:wrapNone/>
                <wp:docPr id="692" name="Frame6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240" w:after="283"/>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Option and the Shares subject to the Option are not part of normal or expected compensation or salary for any purpose;</w:t>
      </w:r>
    </w:p>
    <w:p>
      <w:pPr>
        <w:pStyle w:val="TextBody"/>
        <w:spacing w:lineRule="auto" w:line="288" w:before="240" w:after="283"/>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spacing w:lineRule="auto" w:line="288" w:before="240" w:after="283"/>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spacing w:lineRule="auto" w:line="288"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pStyle w:val="TextBody"/>
        <w:spacing w:lineRule="auto" w:line="288" w:before="240" w:after="283"/>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rPr>
        <w:t>Data Privacy</w:t>
      </w:r>
      <w:r>
        <w:rPr>
          <w:rFonts w:ascii="Times New Roman;sans-serif" w:hAnsi="Times New Roman;sans-serif"/>
          <w:b w:val="false"/>
          <w:color w:val="000000"/>
          <w:sz w:val="24"/>
        </w:rPr>
        <w:t xml:space="preserve">. </w:t>
      </w:r>
      <w:r>
        <w:rPr>
          <w:rFonts w:ascii="Times New Roman;sans-serif" w:hAnsi="Times New Roman;sans-serif"/>
          <w:b/>
          <w:i/>
          <w:color w:val="000000"/>
          <w:sz w:val="24"/>
        </w:rPr>
        <w:t>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pStyle w:val="TextBody"/>
        <w:spacing w:lineRule="auto" w:line="288" w:before="240"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pStyle w:val="TextBody"/>
        <w:spacing w:lineRule="auto" w:line="288" w:before="240"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w:t>
      </w:r>
      <w:r>
        <w:br w:type="page"/>
      </w:r>
    </w:p>
    <w:p>
      <w:pPr>
        <w:pStyle w:val="TextBody"/>
        <w:spacing w:before="0" w:after="0"/>
        <w:rPr/>
      </w:pPr>
      <w:r>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480175" cy="175260"/>
                <wp:effectExtent l="0" t="0" r="0" b="0"/>
                <wp:wrapNone/>
                <wp:docPr id="693" name="Frame6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spacing w:lineRule="auto" w:line="288" w:before="240" w:after="283"/>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rPr>
        <w:t>Address for Notices</w:t>
      </w:r>
      <w:r>
        <w:rPr>
          <w:rFonts w:ascii="Times New Roman;sans-serif" w:hAnsi="Times New Roman;sans-serif"/>
          <w:b w:val="false"/>
          <w:color w:val="000000"/>
          <w:sz w:val="24"/>
        </w:rPr>
        <w:t xml:space="preserve">. Any notice to be given to the Company under the terms of this Option Agreement will be addressed to the Company at Nautilus Biotechnology, Inc., PO Box 22027, Seattle, WA 98102 or at such other address as the Company may hereafter designate in writing. </w:t>
      </w:r>
    </w:p>
    <w:p>
      <w:pPr>
        <w:pStyle w:val="TextBody"/>
        <w:spacing w:lineRule="auto" w:line="288" w:before="240" w:after="283"/>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rPr>
        <w:t>Successors and Assigns</w:t>
      </w:r>
      <w:r>
        <w:rPr>
          <w:rFonts w:ascii="Times New Roman;sans-serif" w:hAnsi="Times New Roman;sans-serif"/>
          <w:b w:val="false"/>
          <w:color w:val="000000"/>
          <w:sz w:val="24"/>
        </w:rPr>
        <w:t xml:space="preserve">.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 </w:t>
      </w:r>
    </w:p>
    <w:p>
      <w:pPr>
        <w:pStyle w:val="TextBody"/>
        <w:spacing w:lineRule="auto" w:line="288" w:before="240" w:after="283"/>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rPr>
        <w:t>Additional Conditions to Issuance of Stock</w:t>
      </w:r>
      <w:r>
        <w:rPr>
          <w:rFonts w:ascii="Times New Roman;sans-serif" w:hAnsi="Times New Roman;sans-serif"/>
          <w:b w:val="false"/>
          <w:color w:val="000000"/>
          <w:sz w:val="24"/>
        </w:rPr>
        <w:t xml:space="preserve">.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w:t>
      </w:r>
      <w:r>
        <w:br w:type="page"/>
      </w:r>
    </w:p>
    <w:p>
      <w:pPr>
        <w:pStyle w:val="TextBody"/>
        <w:spacing w:before="0" w:after="0"/>
        <w:rPr/>
      </w:pPr>
      <w:r>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480175" cy="175260"/>
                <wp:effectExtent l="0" t="0" r="0" b="0"/>
                <wp:wrapNone/>
                <wp:docPr id="694" name="Frame6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pStyle w:val="TextBody"/>
        <w:spacing w:lineRule="auto" w:line="288" w:before="240" w:after="283"/>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rPr>
        <w:t>Language</w:t>
      </w:r>
      <w:r>
        <w:rPr>
          <w:rFonts w:ascii="Times New Roman;sans-serif" w:hAnsi="Times New Roman;sans-serif"/>
          <w:b w:val="false"/>
          <w:color w:val="000000"/>
          <w:sz w:val="24"/>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pStyle w:val="TextBody"/>
        <w:spacing w:lineRule="auto" w:line="288" w:before="240" w:after="283"/>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rPr>
        <w:t>Interpretation</w:t>
      </w:r>
      <w:r>
        <w:rPr>
          <w:rFonts w:ascii="Times New Roman;sans-serif" w:hAnsi="Times New Roman;sans-serif"/>
          <w:b w:val="false"/>
          <w:color w:val="000000"/>
          <w:sz w:val="24"/>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20.</w:t>
      </w:r>
      <w:r>
        <w:rPr>
          <w:rFonts w:ascii="Times New Roman;sans-serif" w:hAnsi="Times New Roman;sans-serif"/>
          <w:b/>
          <w:color w:val="000000"/>
          <w:sz w:val="24"/>
        </w:rPr>
        <w:t>Electronic Delivery and Acceptance</w:t>
      </w:r>
      <w:r>
        <w:rPr>
          <w:rFonts w:ascii="Times New Roman;sans-serif" w:hAnsi="Times New Roman;sans-serif"/>
          <w:b w:val="false"/>
          <w:color w:val="000000"/>
          <w:sz w:val="24"/>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88" w:before="240"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rPr>
        <w:t>Captions</w:t>
      </w:r>
      <w:r>
        <w:rPr>
          <w:rFonts w:ascii="Times New Roman;sans-serif" w:hAnsi="Times New Roman;sans-serif"/>
          <w:b w:val="false"/>
          <w:color w:val="000000"/>
          <w:sz w:val="24"/>
        </w:rPr>
        <w:t>. Captions provided herein are for convenience only and are not to serve as a basis for interpretation or construction of this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rPr>
        <w:t>Option Agreement Severable</w:t>
      </w:r>
      <w:r>
        <w:rPr>
          <w:rFonts w:ascii="Times New Roman;sans-serif" w:hAnsi="Times New Roman;sans-serif"/>
          <w:b w:val="false"/>
          <w:color w:val="000000"/>
          <w:sz w:val="24"/>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rPr>
        <w:t>Amendment, Suspension or Termination of the Plan</w:t>
      </w:r>
      <w:r>
        <w:rPr>
          <w:rFonts w:ascii="Times New Roman;sans-serif" w:hAnsi="Times New Roman;sans-serif"/>
          <w:b w:val="false"/>
          <w:color w:val="000000"/>
          <w:sz w:val="24"/>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pStyle w:val="TextBody"/>
        <w:spacing w:lineRule="auto" w:line="288" w:before="240" w:after="283"/>
        <w:ind w:left="0" w:right="0" w:firstLine="720"/>
        <w:jc w:val="both"/>
        <w:rPr/>
      </w:pPr>
      <w:r>
        <w:rPr>
          <w:rFonts w:ascii="Times New Roman;sans-serif" w:hAnsi="Times New Roman;sans-serif"/>
          <w:b w:val="false"/>
          <w:color w:val="000000"/>
          <w:sz w:val="24"/>
        </w:rPr>
        <w:t>24.</w:t>
      </w:r>
      <w:r>
        <w:rPr>
          <w:rFonts w:ascii="Times New Roman;sans-serif" w:hAnsi="Times New Roman;sans-serif"/>
          <w:b/>
          <w:color w:val="000000"/>
          <w:sz w:val="24"/>
        </w:rPr>
        <w:t>Country Addendum</w:t>
      </w:r>
      <w:r>
        <w:rPr>
          <w:rFonts w:ascii="Times New Roman;sans-serif" w:hAnsi="Times New Roman;sans-serif"/>
          <w:b w:val="false"/>
          <w:color w:val="000000"/>
          <w:sz w:val="24"/>
        </w:rPr>
        <w:t xml:space="preserve">. Notwithstanding any provisions in this Option Agreement, this Option shall be subject to any special terms and conditions set forth in an appendix (if any) </w:t>
      </w:r>
      <w:r>
        <w:br w:type="page"/>
      </w:r>
    </w:p>
    <w:p>
      <w:pPr>
        <w:pStyle w:val="TextBody"/>
        <w:spacing w:before="0" w:after="0"/>
        <w:rPr/>
      </w:pPr>
      <w:r>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480175" cy="175260"/>
                <wp:effectExtent l="0" t="0" r="0" b="0"/>
                <wp:wrapNone/>
                <wp:docPr id="695" name="Frame6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4"/>
        </w:rPr>
        <w:t>to this Option Agreement for any country whose laws are applicable to Participant and this Option (as determined by the Administrator in its sole discretion) (the “</w:t>
      </w:r>
      <w:r>
        <w:rPr>
          <w:rFonts w:ascii="Times New Roman;sans-serif" w:hAnsi="Times New Roman;sans-serif"/>
          <w:b/>
          <w:color w:val="000000"/>
          <w:sz w:val="24"/>
        </w:rPr>
        <w:t>Country Addendum</w:t>
      </w:r>
      <w:r>
        <w:rPr>
          <w:color w:val="000000"/>
        </w:rPr>
        <w:t>”</w:t>
      </w:r>
      <w:r>
        <w:rPr>
          <w:rFonts w:ascii="Times New Roman;sans-serif" w:hAnsi="Times New Roman;sans-serif"/>
          <w:b w:val="false"/>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25.</w:t>
      </w:r>
      <w:r>
        <w:rPr>
          <w:rFonts w:ascii="Times New Roman;sans-serif" w:hAnsi="Times New Roman;sans-serif"/>
          <w:b/>
          <w:color w:val="000000"/>
          <w:sz w:val="24"/>
        </w:rPr>
        <w:t>Modifications to the Option Agreement</w:t>
      </w:r>
      <w:r>
        <w:rPr>
          <w:rFonts w:ascii="Times New Roman;sans-serif" w:hAnsi="Times New Roman;sans-serif"/>
          <w:b w:val="false"/>
          <w:color w:val="000000"/>
          <w:sz w:val="24"/>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pStyle w:val="TextBody"/>
        <w:spacing w:lineRule="auto" w:line="288" w:before="240" w:after="283"/>
        <w:ind w:left="0" w:right="0" w:firstLine="720"/>
        <w:jc w:val="both"/>
        <w:rPr/>
      </w:pPr>
      <w:r>
        <w:rPr>
          <w:rFonts w:ascii="Times New Roman;sans-serif" w:hAnsi="Times New Roman;sans-serif"/>
          <w:b w:val="false"/>
          <w:color w:val="000000"/>
          <w:sz w:val="24"/>
        </w:rPr>
        <w:t>26.</w:t>
      </w:r>
      <w:r>
        <w:rPr>
          <w:rFonts w:ascii="Times New Roman;sans-serif" w:hAnsi="Times New Roman;sans-serif"/>
          <w:b/>
          <w:color w:val="000000"/>
          <w:sz w:val="24"/>
        </w:rPr>
        <w:t>No Waiver</w:t>
      </w:r>
      <w:r>
        <w:rPr>
          <w:rFonts w:ascii="Times New Roman;sans-serif" w:hAnsi="Times New Roman;sans-serif"/>
          <w:b w:val="false"/>
          <w:color w:val="000000"/>
          <w:sz w:val="24"/>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pStyle w:val="TextBody"/>
        <w:spacing w:lineRule="auto" w:line="288" w:before="240" w:after="283"/>
        <w:ind w:left="0" w:right="0" w:firstLine="720"/>
        <w:jc w:val="both"/>
        <w:rPr/>
      </w:pPr>
      <w:r>
        <w:rPr>
          <w:rFonts w:ascii="Times New Roman;sans-serif" w:hAnsi="Times New Roman;sans-serif"/>
          <w:b w:val="false"/>
          <w:color w:val="000000"/>
          <w:sz w:val="24"/>
        </w:rPr>
        <w:t>27.</w:t>
      </w:r>
      <w:r>
        <w:rPr>
          <w:rFonts w:ascii="Times New Roman;sans-serif" w:hAnsi="Times New Roman;sans-serif"/>
          <w:b/>
          <w:color w:val="000000"/>
          <w:sz w:val="24"/>
        </w:rPr>
        <w:t>Tax Consequences</w:t>
      </w:r>
      <w:r>
        <w:rPr>
          <w:rFonts w:ascii="Times New Roman;sans-serif" w:hAnsi="Times New Roman;sans-serif"/>
          <w:b w:val="false"/>
          <w:color w:val="000000"/>
          <w:sz w:val="24"/>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480175" cy="175260"/>
                <wp:effectExtent l="0" t="0" r="0" b="0"/>
                <wp:wrapNone/>
                <wp:docPr id="696" name="Frame6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EXERCISE NOTICE</w:t>
      </w:r>
    </w:p>
    <w:p>
      <w:pPr>
        <w:pStyle w:val="TextBody"/>
        <w:spacing w:lineRule="auto" w:line="288" w:before="480" w:after="283"/>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p>
      <w:pPr>
        <w:pStyle w:val="TextBody"/>
        <w:spacing w:lineRule="auto" w:line="288" w:before="240" w:after="283"/>
        <w:rPr>
          <w:rFonts w:ascii="Times New Roman;sans-serif" w:hAnsi="Times New Roman;sans-serif"/>
          <w:b w:val="false"/>
          <w:color w:val="000000"/>
          <w:sz w:val="24"/>
        </w:rPr>
      </w:pPr>
      <w:r>
        <w:rPr>
          <w:rFonts w:ascii="Times New Roman;sans-serif" w:hAnsi="Times New Roman;sans-serif"/>
          <w:b w:val="false"/>
          <w:color w:val="000000"/>
          <w:sz w:val="24"/>
        </w:rPr>
        <w:t xml:space="preserve">Attention: </w:t>
      </w:r>
    </w:p>
    <w:p>
      <w:pPr>
        <w:pStyle w:val="TextBody"/>
        <w:spacing w:lineRule="auto" w:line="288"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Exercise of Option</w:t>
      </w:r>
      <w:r>
        <w:rPr>
          <w:rFonts w:ascii="Times New Roman;sans-serif" w:hAnsi="Times New Roman;sans-serif"/>
          <w:b w:val="false"/>
          <w:color w:val="000000"/>
          <w:sz w:val="24"/>
        </w:rPr>
        <w:t>. Effective as of today, ________________, ____, the undersigned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hereby elects to exercise Participant’s option (the “</w:t>
      </w:r>
      <w:r>
        <w:rPr>
          <w:rFonts w:ascii="Times New Roman;sans-serif" w:hAnsi="Times New Roman;sans-serif"/>
          <w:b/>
          <w:color w:val="000000"/>
          <w:sz w:val="24"/>
        </w:rPr>
        <w:t>Option</w:t>
      </w:r>
      <w:r>
        <w:rPr>
          <w:color w:val="000000"/>
        </w:rPr>
        <w:t>”</w:t>
      </w:r>
      <w:r>
        <w:rPr>
          <w:rFonts w:ascii="Times New Roman;sans-serif" w:hAnsi="Times New Roman;sans-serif"/>
          <w:b w:val="false"/>
          <w:color w:val="000000"/>
          <w:sz w:val="24"/>
        </w:rPr>
        <w:t>) to purchase ________________ shares of the Common Stock (the “Shares”) of Nautilus Biotechnology,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under and pursuant to the 2021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xml:space="preserve">) and the Stock Option Agreement dated ______________, _____, including the Notice of Stock Option Grant, and the Terms and Conditions of Stock Option Grant attached as </w:t>
      </w:r>
      <w:r>
        <w:rPr>
          <w:rFonts w:ascii="Times New Roman;sans-serif" w:hAnsi="Times New Roman;sans-serif"/>
          <w:b/>
          <w:color w:val="000000"/>
          <w:sz w:val="24"/>
        </w:rPr>
        <w:t>Exhibit A</w:t>
      </w:r>
      <w:r>
        <w:rPr>
          <w:color w:val="000000"/>
        </w:rPr>
        <w:t xml:space="preserve"> </w:t>
      </w:r>
      <w:r>
        <w:rPr>
          <w:rFonts w:ascii="Times New Roman;sans-serif" w:hAnsi="Times New Roman;sans-serif"/>
          <w:b w:val="false"/>
          <w:color w:val="000000"/>
          <w:sz w:val="24"/>
        </w:rPr>
        <w:t>thereto and other exhibits, appendices and addenda attached thereto (the “</w:t>
      </w:r>
      <w:r>
        <w:rPr>
          <w:rFonts w:ascii="Times New Roman;sans-serif" w:hAnsi="Times New Roman;sans-serif"/>
          <w:b/>
          <w:color w:val="000000"/>
          <w:sz w:val="24"/>
        </w:rPr>
        <w:t>Option Agreement</w:t>
      </w:r>
      <w:r>
        <w:rPr>
          <w:color w:val="000000"/>
        </w:rPr>
        <w:t>”</w:t>
      </w:r>
      <w:r>
        <w:rPr>
          <w:rFonts w:ascii="Times New Roman;sans-serif" w:hAnsi="Times New Roman;sans-serif"/>
          <w:b w:val="false"/>
          <w:color w:val="000000"/>
          <w:sz w:val="24"/>
        </w:rPr>
        <w:t xml:space="preserve">). Unless otherwise defined herein, capitalized terms used in this Exercise Notice will be ascribed the same defined meanings as set forth in the Option Agreement (or the Plan or other written agreement as specified in the Option Agreement). </w:t>
      </w:r>
    </w:p>
    <w:p>
      <w:pPr>
        <w:pStyle w:val="TextBody"/>
        <w:spacing w:lineRule="auto" w:line="288"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Delivery of Payment</w:t>
      </w:r>
      <w:r>
        <w:rPr>
          <w:rFonts w:ascii="Times New Roman;sans-serif" w:hAnsi="Times New Roman;sans-serif"/>
          <w:b w:val="false"/>
          <w:color w:val="000000"/>
          <w:sz w:val="24"/>
        </w:rPr>
        <w:t>. Participant herewith delivers to the Company the full purchase price of the Shares, as set forth in the Option Agreement, and any Withholding Obligations to be paid in connection with the exercise of the Option.</w:t>
      </w:r>
    </w:p>
    <w:p>
      <w:pPr>
        <w:pStyle w:val="TextBody"/>
        <w:spacing w:lineRule="auto" w:line="288"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Representations of Participant</w:t>
      </w:r>
      <w:r>
        <w:rPr>
          <w:rFonts w:ascii="Times New Roman;sans-serif" w:hAnsi="Times New Roman;sans-serif"/>
          <w:b w:val="false"/>
          <w:color w:val="000000"/>
          <w:sz w:val="24"/>
        </w:rPr>
        <w:t>. Participant acknowledges that Participant has received, read and understood the Plan and the Option Agreement and agrees to abide by and be bound by their terms and conditions.</w:t>
      </w:r>
    </w:p>
    <w:p>
      <w:pPr>
        <w:pStyle w:val="TextBody"/>
        <w:spacing w:lineRule="auto" w:line="288"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Rights as Stockholder</w:t>
      </w:r>
      <w:r>
        <w:rPr>
          <w:rFonts w:ascii="Times New Roman;sans-serif" w:hAnsi="Times New Roman;sans-serif"/>
          <w:b w:val="false"/>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pStyle w:val="TextBody"/>
        <w:spacing w:lineRule="auto" w:line="288"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Tax Consultation</w:t>
      </w:r>
      <w:r>
        <w:rPr>
          <w:rFonts w:ascii="Times New Roman;sans-serif" w:hAnsi="Times New Roman;sans-serif"/>
          <w:b w:val="false"/>
          <w:color w:val="000000"/>
          <w:sz w:val="24"/>
        </w:rPr>
        <w:t xml:space="preserve">. Participant understands that Participant may suffer adverse tax consequences as a result of Participant’s purchase or disposition of the Shares. Participant represents that Participant has consulted with any tax consultants Participant deems advisable in </w:t>
      </w:r>
      <w:r>
        <w:br w:type="page"/>
      </w:r>
    </w:p>
    <w:p>
      <w:pPr>
        <w:pStyle w:val="TextBody"/>
        <w:spacing w:before="0" w:after="0"/>
        <w:rPr/>
      </w:pPr>
      <w:r>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480175" cy="175260"/>
                <wp:effectExtent l="0" t="0" r="0" b="0"/>
                <wp:wrapNone/>
                <wp:docPr id="697" name="Frame6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the purchase or disposition of the Shares and that Participant is not relying on the Company for any tax advice.</w:t>
      </w:r>
    </w:p>
    <w:p>
      <w:pPr>
        <w:pStyle w:val="TextBody"/>
        <w:spacing w:lineRule="auto" w:line="288"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Interpretation</w:t>
      </w:r>
      <w:r>
        <w:rPr>
          <w:rFonts w:ascii="Times New Roman;sans-serif" w:hAnsi="Times New Roman;sans-serif"/>
          <w:b w:val="false"/>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pStyle w:val="TextBody"/>
        <w:spacing w:lineRule="auto" w:line="288"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Governing Law; Severability</w:t>
      </w:r>
      <w:r>
        <w:rPr>
          <w:rFonts w:ascii="Times New Roman;sans-serif" w:hAnsi="Times New Roman;sans-serif"/>
          <w:b w:val="false"/>
          <w:color w:val="000000"/>
          <w:sz w:val="24"/>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pStyle w:val="TextBody"/>
        <w:spacing w:lineRule="auto" w:line="288"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tbl>
      <w:tblPr>
        <w:tblW w:w="6193" w:type="dxa"/>
        <w:jc w:val="left"/>
        <w:tblInd w:w="0" w:type="dxa"/>
        <w:tblCellMar>
          <w:top w:w="28" w:type="dxa"/>
          <w:left w:w="28" w:type="dxa"/>
          <w:bottom w:w="28" w:type="dxa"/>
          <w:right w:w="28" w:type="dxa"/>
        </w:tblCellMar>
      </w:tblPr>
      <w:tblGrid>
        <w:gridCol w:w="618"/>
        <w:gridCol w:w="544"/>
        <w:gridCol w:w="549"/>
        <w:gridCol w:w="109"/>
        <w:gridCol w:w="109"/>
        <w:gridCol w:w="109"/>
        <w:gridCol w:w="1213"/>
        <w:gridCol w:w="1213"/>
        <w:gridCol w:w="1729"/>
      </w:tblGrid>
      <w:tr>
        <w:trPr/>
        <w:tc>
          <w:tcPr>
            <w:tcW w:w="6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Submitted 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by:</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Received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480175" cy="176530"/>
                <wp:effectExtent l="0" t="0" r="0" b="0"/>
                <wp:wrapNone/>
                <wp:docPr id="698" name="Frame674"/>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lineRule="auto" w:line="288" w:before="2"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APPENDIX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COUNTRY ADDENDUM TO STOCK OPTION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capitalized terms used in this Country Addendum to Stock Option Agreement (the “</w:t>
      </w:r>
      <w:r>
        <w:rPr>
          <w:rFonts w:ascii="Times New Roman;sans-serif" w:hAnsi="Times New Roman;sans-serif"/>
          <w:b/>
          <w:color w:val="000000"/>
          <w:sz w:val="24"/>
        </w:rPr>
        <w:t>Country Addendum</w:t>
      </w:r>
      <w:r>
        <w:rPr>
          <w:color w:val="000000"/>
        </w:rPr>
        <w:t>”</w:t>
      </w:r>
      <w:r>
        <w:rPr>
          <w:rFonts w:ascii="Times New Roman;sans-serif" w:hAnsi="Times New Roman;sans-serif"/>
          <w:b w:val="false"/>
          <w:color w:val="000000"/>
          <w:sz w:val="24"/>
        </w:rPr>
        <w:t>) will be ascribed the same defined meanings as set forth in the Option Agreement of which this Country Addendum forms a part (or the Plan or other written agreement as specified in the Option Agreement).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 .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 w:after="283"/>
        <w:ind w:left="0" w:right="0" w:firstLine="7"/>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10.8</w:t>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480175" cy="176530"/>
                <wp:effectExtent l="0" t="0" r="0" b="0"/>
                <wp:wrapNone/>
                <wp:docPr id="699" name="Frame675"/>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NOTICE OF RESTRICTED STOCK UNIT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the terms defined in the Nautilus Biotechnology, Inc. 2021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will have the same defined meanings in this Restricted Stock Unit Agreement which includes the Notice of Restricted Stock Unit Grant (the “</w:t>
      </w:r>
      <w:r>
        <w:rPr>
          <w:rFonts w:ascii="Times New Roman;sans-serif" w:hAnsi="Times New Roman;sans-serif"/>
          <w:b/>
          <w:color w:val="000000"/>
          <w:sz w:val="24"/>
        </w:rPr>
        <w:t>Notice of Grant</w:t>
      </w:r>
      <w:r>
        <w:rPr>
          <w:color w:val="000000"/>
        </w:rPr>
        <w:t>”</w:t>
      </w:r>
      <w:r>
        <w:rPr>
          <w:rFonts w:ascii="Times New Roman;sans-serif" w:hAnsi="Times New Roman;sans-serif"/>
          <w:b w:val="false"/>
          <w:color w:val="000000"/>
          <w:sz w:val="24"/>
        </w:rPr>
        <w:t xml:space="preserve">), the Terms and Conditions of Restricted Stock Unit Grant, attached hereto as </w:t>
      </w:r>
      <w:r>
        <w:rPr>
          <w:rFonts w:ascii="Times New Roman;sans-serif" w:hAnsi="Times New Roman;sans-serif"/>
          <w:b/>
          <w:color w:val="000000"/>
          <w:sz w:val="24"/>
        </w:rPr>
        <w:t>Exhibit A</w:t>
      </w:r>
      <w:r>
        <w:rPr>
          <w:rFonts w:ascii="Times New Roman;sans-serif" w:hAnsi="Times New Roman;sans-serif"/>
          <w:b w:val="false"/>
          <w:color w:val="000000"/>
          <w:sz w:val="24"/>
        </w:rPr>
        <w:t>, and all other exhibits, appendices, and addenda attached hereto (the “</w:t>
      </w:r>
      <w:r>
        <w:rPr>
          <w:rFonts w:ascii="Times New Roman;sans-serif" w:hAnsi="Times New Roman;sans-serif"/>
          <w:b/>
          <w:color w:val="000000"/>
          <w:sz w:val="24"/>
        </w:rPr>
        <w:t>Award Agreement</w:t>
      </w:r>
      <w:r>
        <w:rPr>
          <w:color w:val="000000"/>
        </w:rPr>
        <w:t>”</w:t>
      </w:r>
      <w:r>
        <w:rPr>
          <w:rFonts w:ascii="Times New Roman;sans-serif" w:hAnsi="Times New Roman;sans-serif"/>
          <w:b w:val="false"/>
          <w:color w:val="000000"/>
          <w:sz w:val="24"/>
        </w:rPr>
        <w:t xml:space="preserve">). </w:t>
      </w:r>
    </w:p>
    <w:p>
      <w:pPr>
        <w:pStyle w:val="TextBody"/>
        <w:spacing w:lineRule="auto" w:line="288" w:before="240" w:after="283"/>
        <w:ind w:left="0" w:right="0" w:hanging="3600"/>
        <w:jc w:val="both"/>
        <w:rPr>
          <w:rFonts w:ascii="Times New Roman;sans-serif" w:hAnsi="Times New Roman;sans-serif"/>
          <w:b/>
          <w:color w:val="000000"/>
          <w:sz w:val="24"/>
        </w:rPr>
      </w:pPr>
      <w:r>
        <w:rPr>
          <w:rFonts w:ascii="Times New Roman;sans-serif" w:hAnsi="Times New Roman;sans-serif"/>
          <w:b/>
          <w:color w:val="000000"/>
          <w:sz w:val="24"/>
        </w:rPr>
        <w:t>Participant Name:</w:t>
      </w:r>
    </w:p>
    <w:p>
      <w:pPr>
        <w:pStyle w:val="TextBody"/>
        <w:spacing w:lineRule="auto" w:line="288" w:before="240" w:after="283"/>
        <w:ind w:left="0" w:right="0" w:hanging="3600"/>
        <w:jc w:val="both"/>
        <w:rPr>
          <w:rFonts w:ascii="Times New Roman;sans-serif" w:hAnsi="Times New Roman;sans-serif"/>
          <w:b/>
          <w:color w:val="000000"/>
          <w:sz w:val="24"/>
        </w:rPr>
      </w:pPr>
      <w:r>
        <w:rPr>
          <w:rFonts w:ascii="Times New Roman;sans-serif" w:hAnsi="Times New Roman;sans-serif"/>
          <w:b/>
          <w:color w:val="000000"/>
          <w:sz w:val="24"/>
        </w:rPr>
        <w:t>Address: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Participant has been granted an Award of Restricted Stock Units, subject to the terms and conditions of the Plan and this Award Agreement, as follows:</w:t>
      </w:r>
    </w:p>
    <w:tbl>
      <w:tblPr>
        <w:tblW w:w="4317" w:type="dxa"/>
        <w:jc w:val="left"/>
        <w:tblInd w:w="0" w:type="dxa"/>
        <w:tblCellMar>
          <w:top w:w="28" w:type="dxa"/>
          <w:left w:w="28" w:type="dxa"/>
          <w:bottom w:w="28" w:type="dxa"/>
          <w:right w:w="28" w:type="dxa"/>
        </w:tblCellMar>
      </w:tblPr>
      <w:tblGrid>
        <w:gridCol w:w="1426"/>
        <w:gridCol w:w="1255"/>
        <w:gridCol w:w="1264"/>
        <w:gridCol w:w="109"/>
        <w:gridCol w:w="109"/>
        <w:gridCol w:w="154"/>
      </w:tblGrid>
      <w:tr>
        <w:trPr/>
        <w:tc>
          <w:tcPr>
            <w:tcW w:w="1426"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Number of Restricted Stock Units:</w:t>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w:t>
      </w:r>
    </w:p>
    <w:p>
      <w:pPr>
        <w:pStyle w:val="TextBody"/>
        <w:spacing w:lineRule="auto" w:line="288" w:before="120" w:after="283"/>
        <w:ind w:left="0" w:right="0" w:firstLine="720"/>
        <w:jc w:val="both"/>
        <w:rPr/>
      </w:pP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Quarterly Vesting Dates</w:t>
      </w:r>
      <w:r>
        <w:rPr>
          <w:color w:val="000000"/>
        </w:rPr>
        <w:t xml:space="preserve">” </w:t>
      </w:r>
      <w:r>
        <w:rPr>
          <w:rFonts w:ascii="Times New Roman;sans-serif" w:hAnsi="Times New Roman;sans-serif"/>
          <w:b w:val="false"/>
          <w:color w:val="000000"/>
          <w:sz w:val="24"/>
        </w:rPr>
        <w:t xml:space="preserve">with respect to any calendar year means [February 15], [May 15], [August 15], and [November 15]. </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pStyle w:val="TextBody"/>
        <w:spacing w:lineRule="auto" w:line="288" w:before="120" w:after="283"/>
        <w:ind w:left="0" w:right="0" w:firstLine="720"/>
        <w:jc w:val="both"/>
        <w:rPr/>
      </w:pPr>
      <w:r>
        <w:rPr>
          <w:rFonts w:ascii="Times New Roman;sans-serif" w:hAnsi="Times New Roman;sans-serif"/>
          <w:b w:val="false"/>
          <w:color w:val="000000"/>
          <w:sz w:val="24"/>
        </w:rPr>
        <w:t>[One-fourth (1/4</w:t>
      </w:r>
      <w:r>
        <w:rPr>
          <w:rFonts w:ascii="Times New Roman;sans-serif" w:hAnsi="Times New Roman;sans-serif"/>
          <w:b w:val="false"/>
          <w:color w:val="000000"/>
          <w:sz w:val="16"/>
        </w:rPr>
        <w:t>th</w:t>
      </w:r>
      <w:r>
        <w:rPr>
          <w:rFonts w:ascii="Times New Roman;sans-serif" w:hAnsi="Times New Roman;sans-serif"/>
          <w:b w:val="false"/>
          <w:color w:val="000000"/>
          <w:sz w:val="24"/>
        </w:rPr>
        <w:t>) of the Total Number of Restricted Stock Units (as set forth above) subject to this Award Agreement will be scheduled to vest on the first Quarterly Vesting Date on or immediately following the one (1) year anniversary of the Vesting Commencement Date (such first vesting date, the “</w:t>
      </w:r>
      <w:r>
        <w:rPr>
          <w:rFonts w:ascii="Times New Roman;sans-serif" w:hAnsi="Times New Roman;sans-serif"/>
          <w:b/>
          <w:color w:val="000000"/>
          <w:sz w:val="24"/>
        </w:rPr>
        <w:t>First Vesting Date</w:t>
      </w:r>
      <w:r>
        <w:rPr>
          <w:color w:val="000000"/>
        </w:rPr>
        <w:t>”</w:t>
      </w:r>
      <w:r>
        <w:rPr>
          <w:rFonts w:ascii="Times New Roman;sans-serif" w:hAnsi="Times New Roman;sans-serif"/>
          <w:b w:val="false"/>
          <w:color w:val="000000"/>
          <w:sz w:val="24"/>
        </w:rPr>
        <w:t>), and thereafter, one-sixteenth (1/16</w:t>
      </w:r>
      <w:r>
        <w:rPr>
          <w:rFonts w:ascii="Times New Roman;sans-serif" w:hAnsi="Times New Roman;sans-serif"/>
          <w:b w:val="false"/>
          <w:color w:val="000000"/>
          <w:sz w:val="16"/>
        </w:rPr>
        <w:t>th</w:t>
      </w:r>
      <w:r>
        <w:rPr>
          <w:rFonts w:ascii="Times New Roman;sans-serif" w:hAnsi="Times New Roman;sans-serif"/>
          <w:b w:val="false"/>
          <w:color w:val="000000"/>
          <w:sz w:val="24"/>
        </w:rPr>
        <w:t>) of the Total Number of Restricted Stock Units subject to this Award Agreement will be scheduled to vest on each of the twelve (12) Quarterly Vesting Dates that occur after the First Vesting Date, subject to Participant continuing to be a Service Provider through the applicable vesting date.]</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480175" cy="176530"/>
                <wp:effectExtent l="0" t="0" r="0" b="0"/>
                <wp:wrapNone/>
                <wp:docPr id="700" name="Frame676"/>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jc w:val="both"/>
                        <w:rPr/>
                      </w:pPr>
                      <w:r>
                        <w:rPr/>
                      </w:r>
                    </w:p>
                  </w:txbxContent>
                </v:textbox>
              </v:rect>
            </w:pict>
          </mc:Fallback>
        </mc:AlternateContent>
      </w:r>
    </w:p>
    <w:p>
      <w:pPr>
        <w:pStyle w:val="TextBody"/>
        <w:spacing w:lineRule="auto" w:line="288" w:before="120" w:after="283"/>
        <w:ind w:left="0" w:right="0" w:firstLine="720"/>
        <w:jc w:val="both"/>
        <w:rPr/>
      </w:pPr>
      <w:r>
        <w:rPr>
          <w:rFonts w:ascii="Times New Roman;sans-serif" w:hAnsi="Times New Roman;sans-serif"/>
          <w:b w:val="false"/>
          <w:color w:val="000000"/>
          <w:sz w:val="24"/>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sans-serif" w:hAnsi="Times New Roman;sans-serif"/>
          <w:b/>
          <w:color w:val="000000"/>
          <w:sz w:val="24"/>
        </w:rPr>
        <w:t>Exhibit A</w:t>
      </w:r>
      <w:r>
        <w:rPr>
          <w:rFonts w:ascii="Times New Roman;sans-serif" w:hAnsi="Times New Roman;sans-serif"/>
          <w:b w:val="false"/>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tbl>
      <w:tblPr>
        <w:tblW w:w="6475" w:type="dxa"/>
        <w:jc w:val="left"/>
        <w:tblInd w:w="0" w:type="dxa"/>
        <w:tblCellMar>
          <w:top w:w="28" w:type="dxa"/>
          <w:left w:w="28" w:type="dxa"/>
          <w:bottom w:w="28" w:type="dxa"/>
          <w:right w:w="28" w:type="dxa"/>
        </w:tblCellMar>
      </w:tblPr>
      <w:tblGrid>
        <w:gridCol w:w="723"/>
        <w:gridCol w:w="635"/>
        <w:gridCol w:w="636"/>
        <w:gridCol w:w="109"/>
        <w:gridCol w:w="109"/>
        <w:gridCol w:w="109"/>
        <w:gridCol w:w="1216"/>
        <w:gridCol w:w="1216"/>
        <w:gridCol w:w="1722"/>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Residence 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ind w:left="0" w:right="0" w:firstLine="720"/>
        <w:jc w:val="right"/>
        <w:rPr/>
      </w:pPr>
      <w:r>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480175" cy="869950"/>
                <wp:effectExtent l="0" t="0" r="0" b="0"/>
                <wp:wrapNone/>
                <wp:docPr id="701" name="Frame67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RESTRICTED STOCK UNIT AGREEMENT</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TERMS AND CONDITIONS OF RESTRICTED STOCK UNIT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Grant of Restricted Stock Units</w:t>
      </w:r>
      <w:r>
        <w:rPr>
          <w:rFonts w:ascii="Times New Roman;sans-serif" w:hAnsi="Times New Roman;sans-serif"/>
          <w:b w:val="false"/>
          <w:color w:val="000000"/>
          <w:sz w:val="24"/>
        </w:rPr>
        <w:t>. The Company hereby grants to the individual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named in the Notice of Restricted Stock Unit Grant of this Award Agreement (the “</w:t>
      </w:r>
      <w:r>
        <w:rPr>
          <w:rFonts w:ascii="Times New Roman;sans-serif" w:hAnsi="Times New Roman;sans-serif"/>
          <w:b/>
          <w:color w:val="000000"/>
          <w:sz w:val="24"/>
        </w:rPr>
        <w:t>Notice of Grant</w:t>
      </w:r>
      <w:r>
        <w:rPr>
          <w:color w:val="000000"/>
        </w:rPr>
        <w:t>”</w:t>
      </w:r>
      <w:r>
        <w:rPr>
          <w:rFonts w:ascii="Times New Roman;sans-serif" w:hAnsi="Times New Roman;sans-serif"/>
          <w:b w:val="false"/>
          <w:color w:val="000000"/>
          <w:sz w:val="24"/>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pStyle w:val="TextBody"/>
        <w:spacing w:lineRule="auto" w:line="288"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Company’s Obligation to Pay</w:t>
      </w:r>
      <w:r>
        <w:rPr>
          <w:rFonts w:ascii="Times New Roman;sans-serif" w:hAnsi="Times New Roman;sans-serif"/>
          <w:b w:val="false"/>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spacing w:lineRule="auto" w:line="288"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Vesting Schedule</w:t>
      </w:r>
      <w:r>
        <w:rPr>
          <w:rFonts w:ascii="Times New Roman;sans-serif" w:hAnsi="Times New Roman;sans-serif"/>
          <w:b w:val="false"/>
          <w:color w:val="000000"/>
          <w:sz w:val="24"/>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spacing w:lineRule="auto" w:line="288"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Payment after Vesting</w:t>
      </w:r>
      <w:r>
        <w:rPr>
          <w:rFonts w:ascii="Times New Roman;sans-serif" w:hAnsi="Times New Roman;sans-serif"/>
          <w:b w:val="false"/>
          <w:color w:val="000000"/>
          <w:sz w:val="24"/>
        </w:rPr>
        <w: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Rule</w:t>
      </w:r>
      <w:r>
        <w:rPr>
          <w:rFonts w:ascii="Times New Roman;sans-serif" w:hAnsi="Times New Roman;sans-serif"/>
          <w:b w:val="false"/>
          <w:color w:val="000000"/>
          <w:sz w:val="24"/>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0175" cy="327660"/>
                <wp:effectExtent l="0" t="0" r="0" b="0"/>
                <wp:wrapNone/>
                <wp:docPr id="702" name="Frame67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Discretionary Acceleration</w:t>
      </w:r>
      <w:r>
        <w:rPr>
          <w:rFonts w:ascii="Times New Roman;sans-serif" w:hAnsi="Times New Roman;sans-serif"/>
          <w:b w:val="false"/>
          <w:color w:val="000000"/>
          <w:sz w:val="24"/>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Section 409A</w:t>
      </w:r>
      <w:r>
        <w:rPr>
          <w:rFonts w:ascii="Times New Roman;sans-serif" w:hAnsi="Times New Roman;sans-serif"/>
          <w:b w:val="false"/>
          <w:color w:val="000000"/>
          <w:sz w:val="24"/>
        </w:rPr>
        <w:t xml:space="preserve">. </w:t>
      </w:r>
    </w:p>
    <w:p>
      <w:pPr>
        <w:pStyle w:val="TextBody"/>
        <w:spacing w:lineRule="auto" w:line="288" w:before="240" w:after="283"/>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spacing w:lineRule="auto" w:line="288" w:before="240" w:after="283"/>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 </w:t>
      </w:r>
    </w:p>
    <w:p>
      <w:pPr>
        <w:pStyle w:val="TextBody"/>
        <w:spacing w:lineRule="auto" w:line="288" w:before="240" w:after="283"/>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pStyle w:val="TextBody"/>
        <w:spacing w:lineRule="auto" w:line="288"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Forfeiture Upon Termination as a Service Provider</w:t>
      </w:r>
      <w:r>
        <w:rPr>
          <w:rFonts w:ascii="Times New Roman;sans-serif" w:hAnsi="Times New Roman;sans-serif"/>
          <w:b w:val="false"/>
          <w:color w:val="000000"/>
          <w:sz w:val="24"/>
        </w:rPr>
        <w:t xml:space="preserve">. Unless specifically provided otherwise in this Award Agreement or other written agreement authorized by the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480175" cy="386715"/>
                <wp:effectExtent l="0" t="0" r="0" b="0"/>
                <wp:wrapNone/>
                <wp:docPr id="703" name="Frame679"/>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spacing w:lineRule="auto" w:line="288"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Death of Participant</w:t>
      </w:r>
      <w:r>
        <w:rPr>
          <w:rFonts w:ascii="Times New Roman;sans-serif" w:hAnsi="Times New Roman;sans-serif"/>
          <w:b w:val="false"/>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spacing w:lineRule="auto" w:line="288"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Tax Obligations</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Responsibility for Taxes</w:t>
      </w:r>
      <w:r>
        <w:rPr>
          <w:rFonts w:ascii="Times New Roman;sans-serif" w:hAnsi="Times New Roman;sans-serif"/>
          <w:b w:val="false"/>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sans-serif" w:hAnsi="Times New Roman;sans-serif"/>
          <w:b/>
          <w:color w:val="000000"/>
          <w:sz w:val="24"/>
        </w:rPr>
        <w:t>Service Recipients</w:t>
      </w:r>
      <w:r>
        <w:rPr>
          <w:color w:val="000000"/>
        </w:rPr>
        <w:t>”</w:t>
      </w:r>
      <w:r>
        <w:rPr>
          <w:rFonts w:ascii="Times New Roman;sans-serif" w:hAnsi="Times New Roman;sans-serif"/>
          <w:b w:val="false"/>
          <w:color w:val="000000"/>
          <w:sz w:val="24"/>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sans-serif" w:hAnsi="Times New Roman;sans-serif"/>
          <w:b/>
          <w:color w:val="000000"/>
          <w:sz w:val="24"/>
        </w:rPr>
        <w:t>Tax Obligations</w:t>
      </w:r>
      <w:r>
        <w:rPr>
          <w:color w:val="000000"/>
        </w:rPr>
        <w:t>”</w:t>
      </w:r>
      <w:r>
        <w:rPr>
          <w:rFonts w:ascii="Times New Roman;sans-serif" w:hAnsi="Times New Roman;sans-serif"/>
          <w:b w:val="false"/>
          <w:color w:val="000000"/>
          <w:sz w:val="24"/>
        </w:rPr>
        <w:t xml:space="preserve">),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Tax Withholding</w:t>
      </w:r>
      <w:r>
        <w:rPr>
          <w:rFonts w:ascii="Times New Roman;sans-serif" w:hAnsi="Times New Roman;sans-serif"/>
          <w:b w:val="false"/>
          <w:color w:val="000000"/>
          <w:sz w:val="24"/>
        </w:rPr>
        <w:t>. Pursuant to such procedures as the Administrator may specify from time to time, the Service Recipient will withhold the amount required to be withheld for the payment of Tax Obligations (the “</w:t>
      </w:r>
      <w:r>
        <w:rPr>
          <w:rFonts w:ascii="Times New Roman;sans-serif" w:hAnsi="Times New Roman;sans-serif"/>
          <w:b/>
          <w:color w:val="000000"/>
          <w:sz w:val="24"/>
        </w:rPr>
        <w:t>Withholding Obligations</w:t>
      </w:r>
      <w:r>
        <w:rPr>
          <w:color w:val="000000"/>
        </w:rPr>
        <w:t>”</w:t>
      </w:r>
      <w:r>
        <w:rPr>
          <w:rFonts w:ascii="Times New Roman;sans-serif" w:hAnsi="Times New Roman;sans-serif"/>
          <w:b w:val="false"/>
          <w:color w:val="000000"/>
          <w:sz w:val="24"/>
        </w:rPr>
        <w:t xml:space="preserve">). The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480175" cy="386715"/>
                <wp:effectExtent l="0" t="0" r="0" b="0"/>
                <wp:wrapNone/>
                <wp:docPr id="704" name="Frame680"/>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4"/>
        </w:rPr>
        <w:t>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sans-serif" w:hAnsi="Times New Roman;sans-serif"/>
          <w:b/>
          <w:color w:val="000000"/>
          <w:sz w:val="24"/>
        </w:rPr>
        <w:t>Net Share Withholding</w:t>
      </w:r>
      <w:r>
        <w:rPr>
          <w:color w:val="000000"/>
        </w:rPr>
        <w:t>”</w:t>
      </w:r>
      <w:r>
        <w:rPr>
          <w:rFonts w:ascii="Times New Roman;sans-serif" w:hAnsi="Times New Roman;sans-serif"/>
          <w:b w:val="false"/>
          <w:color w:val="000000"/>
          <w:sz w:val="24"/>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sans-serif" w:hAnsi="Times New Roman;sans-serif"/>
          <w:b/>
          <w:color w:val="000000"/>
          <w:sz w:val="24"/>
        </w:rPr>
        <w:t>Sell to Cover</w:t>
      </w:r>
      <w:r>
        <w:rPr>
          <w:color w:val="000000"/>
        </w:rPr>
        <w:t>”</w:t>
      </w:r>
      <w:r>
        <w:rPr>
          <w:rFonts w:ascii="Times New Roman;sans-serif" w:hAnsi="Times New Roman;sans-serif"/>
          <w:b w:val="false"/>
          <w:color w:val="000000"/>
          <w:sz w:val="24"/>
        </w:rPr>
        <w:t xml:space="preserve">),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Company in its discretion, it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Tax Consequences</w:t>
      </w:r>
      <w:r>
        <w:rPr>
          <w:rFonts w:ascii="Times New Roman;sans-serif" w:hAnsi="Times New Roman;sans-serif"/>
          <w:b w:val="false"/>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Company’s Obligation to Deliver Shares</w:t>
      </w:r>
      <w:r>
        <w:rPr>
          <w:rFonts w:ascii="Times New Roman;sans-serif" w:hAnsi="Times New Roman;sans-serif"/>
          <w:b w:val="false"/>
          <w:color w:val="000000"/>
          <w:sz w:val="24"/>
        </w:rPr>
        <w:t xml:space="preserve">. For clarification purposes, in no event will the Company issue Participant any Shares unless and until arrangements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480175" cy="386715"/>
                <wp:effectExtent l="0" t="0" r="0" b="0"/>
                <wp:wrapNone/>
                <wp:docPr id="705" name="Frame681"/>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pStyle w:val="TextBody"/>
        <w:spacing w:lineRule="auto" w:line="288"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Rights as Stockholder</w:t>
      </w:r>
      <w:r>
        <w:rPr>
          <w:rFonts w:ascii="Times New Roman;sans-serif" w:hAnsi="Times New Roman;sans-serif"/>
          <w:b w:val="false"/>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spacing w:lineRule="auto" w:line="288"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No Guarantee of Continued Service</w:t>
      </w:r>
      <w:r>
        <w:rPr>
          <w:rFonts w:ascii="Times New Roman;sans-serif" w:hAnsi="Times New Roman;sans-serif"/>
          <w:b w:val="false"/>
          <w:color w:val="000000"/>
          <w:sz w:val="24"/>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spacing w:lineRule="auto" w:line="288"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Grant is Not Transferable</w:t>
      </w:r>
      <w:r>
        <w:rPr>
          <w:rFonts w:ascii="Times New Roman;sans-serif" w:hAnsi="Times New Roman;sans-serif"/>
          <w:b w:val="false"/>
          <w:color w:val="000000"/>
          <w:sz w:val="24"/>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480175" cy="386715"/>
                <wp:effectExtent l="0" t="0" r="0" b="0"/>
                <wp:wrapNone/>
                <wp:docPr id="706" name="Frame682"/>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Nature of Grant</w:t>
      </w:r>
      <w:r>
        <w:rPr>
          <w:rFonts w:ascii="Times New Roman;sans-serif" w:hAnsi="Times New Roman;sans-serif"/>
          <w:b w:val="false"/>
          <w:color w:val="000000"/>
          <w:sz w:val="24"/>
        </w:rPr>
        <w:t>. In accepting this Award of Restricted Stock Units, Participant acknowledges, understands and agrees that: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decisions with respect to future Restricted Stock Units or other grants, if any, will be at the sole discretion of the Administrator;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Participant is voluntarily participating in the Plan;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Restricted Stock Units and the Shares subject to the Restricted Stock Units are not intended to replace any pension rights or compensation;</w:t>
      </w:r>
    </w:p>
    <w:p>
      <w:pPr>
        <w:pStyle w:val="TextBody"/>
        <w:spacing w:lineRule="auto" w:line="288"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spacing w:lineRule="auto" w:line="288"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future value of the Shares underlying the Restricted Stock Units is unknown, indeterminable and cannot be predicted; </w:t>
      </w:r>
    </w:p>
    <w:p>
      <w:pPr>
        <w:pStyle w:val="TextBody"/>
        <w:spacing w:lineRule="auto" w:line="288"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w:t>
      </w:r>
    </w:p>
    <w:p>
      <w:pPr>
        <w:pStyle w:val="TextBody"/>
        <w:spacing w:lineRule="auto" w:line="288" w:before="240" w:after="283"/>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unless otherwise provided in the Plan or by the Administrator in its discretion, the Restricted Stock Units and the benefits evidenced by this Award Agreement do not create any entitlement to have the Restricted Stock Units or any such benefits transferred to,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480175" cy="386715"/>
                <wp:effectExtent l="0" t="0" r="0" b="0"/>
                <wp:wrapNone/>
                <wp:docPr id="707" name="Frame683"/>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assumed by, another company nor be exchanged, cashed out or substituted for, in connection with any corporate transaction affecting the Shares; and</w:t>
      </w:r>
    </w:p>
    <w:p>
      <w:pPr>
        <w:pStyle w:val="TextBody"/>
        <w:spacing w:lineRule="auto" w:line="288" w:before="240" w:after="283"/>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following provisions apply only if Participant is providing services outside the United States:</w:t>
      </w:r>
    </w:p>
    <w:p>
      <w:pPr>
        <w:pStyle w:val="TextBody"/>
        <w:spacing w:lineRule="auto" w:line="288" w:before="240" w:after="283"/>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Restricted Stock Units and the Shares subject to the Restricted Stock Units are not part of normal or expected compensation or salary for any purpose;</w:t>
      </w:r>
    </w:p>
    <w:p>
      <w:pPr>
        <w:pStyle w:val="TextBody"/>
        <w:spacing w:lineRule="auto" w:line="288" w:before="240" w:after="283"/>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spacing w:lineRule="auto" w:line="288" w:before="240" w:after="283"/>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spacing w:lineRule="auto" w:line="288" w:before="240"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pStyle w:val="TextBody"/>
        <w:spacing w:lineRule="auto" w:line="288"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i/>
          <w:color w:val="000000"/>
          <w:sz w:val="24"/>
        </w:rPr>
        <w:t>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pStyle w:val="TextBody"/>
        <w:spacing w:lineRule="auto" w:line="288" w:before="240"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480175" cy="386715"/>
                <wp:effectExtent l="0" t="0" r="0" b="0"/>
                <wp:wrapNone/>
                <wp:docPr id="708" name="Frame684"/>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 xml:space="preserve">canceled, exercised, vested, unvested or outstanding in Participant’s favor (“Data”), for the exclusive purpose of implementing, administering and managing the Plan. </w:t>
      </w:r>
    </w:p>
    <w:p>
      <w:pPr>
        <w:pStyle w:val="TextBody"/>
        <w:spacing w:lineRule="auto" w:line="288" w:before="240"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spacing w:lineRule="auto" w:line="288" w:before="240" w:after="283"/>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rPr>
        <w:t>Address for Notices</w:t>
      </w:r>
      <w:r>
        <w:rPr>
          <w:rFonts w:ascii="Times New Roman;sans-serif" w:hAnsi="Times New Roman;sans-serif"/>
          <w:b w:val="false"/>
          <w:color w:val="000000"/>
          <w:sz w:val="24"/>
        </w:rPr>
        <w:t>. Any notice to be given to the Company under the terms of this Award Agreement will be addressed to the Company at Nautilus Biotechnology, Inc., PO Box 22027, Seattle, WA 98102, or at such other address as the Company may hereafter designate in writing.</w:t>
      </w:r>
    </w:p>
    <w:p>
      <w:pPr>
        <w:pStyle w:val="TextBody"/>
        <w:spacing w:lineRule="auto" w:line="288" w:before="240" w:after="283"/>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480175" cy="386715"/>
                <wp:effectExtent l="0" t="0" r="0" b="0"/>
                <wp:wrapNone/>
                <wp:docPr id="709" name="Frame685"/>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rPr>
        <w:t>Additional Conditions to Issuance of Stock</w:t>
      </w:r>
      <w:r>
        <w:rPr>
          <w:rFonts w:ascii="Times New Roman;sans-serif" w:hAnsi="Times New Roman;sans-serif"/>
          <w:b w:val="false"/>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spacing w:lineRule="auto" w:line="288" w:before="240" w:after="283"/>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rPr>
        <w:t>Language</w:t>
      </w:r>
      <w:r>
        <w:rPr>
          <w:rFonts w:ascii="Times New Roman;sans-serif" w:hAnsi="Times New Roman;sans-serif"/>
          <w:b w:val="false"/>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spacing w:lineRule="auto" w:line="288" w:before="240" w:after="283"/>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rPr>
        <w:t>Interpretation</w:t>
      </w:r>
      <w:r>
        <w:rPr>
          <w:rFonts w:ascii="Times New Roman;sans-serif" w:hAnsi="Times New Roman;sans-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rPr>
        <w:t>Electronic Delivery and Acceptance</w:t>
      </w:r>
      <w:r>
        <w:rPr>
          <w:rFonts w:ascii="Times New Roman;sans-serif" w:hAnsi="Times New Roman;sans-serif"/>
          <w:b w:val="false"/>
          <w:color w:val="000000"/>
          <w:sz w:val="24"/>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88" w:before="240" w:after="283"/>
        <w:ind w:left="0" w:right="0" w:firstLine="720"/>
        <w:jc w:val="both"/>
        <w:rPr/>
      </w:pPr>
      <w:r>
        <w:rPr>
          <w:rFonts w:ascii="Times New Roman;sans-serif" w:hAnsi="Times New Roman;sans-serif"/>
          <w:b w:val="false"/>
          <w:color w:val="000000"/>
          <w:sz w:val="24"/>
        </w:rPr>
        <w:t>20.</w:t>
      </w:r>
      <w:r>
        <w:rPr>
          <w:rFonts w:ascii="Times New Roman;sans-serif" w:hAnsi="Times New Roman;sans-serif"/>
          <w:b/>
          <w:color w:val="000000"/>
          <w:sz w:val="24"/>
        </w:rPr>
        <w:t>Captions</w:t>
      </w:r>
      <w:r>
        <w:rPr>
          <w:rFonts w:ascii="Times New Roman;sans-serif" w:hAnsi="Times New Roman;sans-serif"/>
          <w:b w:val="false"/>
          <w:color w:val="000000"/>
          <w:sz w:val="24"/>
        </w:rPr>
        <w:t>. Captions provided herein are for convenience only and are not to serve as a basis for interpretation or construction of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rPr>
        <w:t>Amendment, Suspension or Termination of the Plan</w:t>
      </w:r>
      <w:r>
        <w:rPr>
          <w:rFonts w:ascii="Times New Roman;sans-serif" w:hAnsi="Times New Roman;sans-serif"/>
          <w:b w:val="false"/>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6480175" cy="386715"/>
                <wp:effectExtent l="0" t="0" r="0" b="0"/>
                <wp:wrapNone/>
                <wp:docPr id="710" name="Frame686"/>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rPr>
        <w:t>Country Addendum</w:t>
      </w:r>
      <w:r>
        <w:rPr>
          <w:rFonts w:ascii="Times New Roman;sans-serif" w:hAnsi="Times New Roman;sans-serif"/>
          <w:b w:val="false"/>
          <w:color w:val="000000"/>
          <w:sz w:val="24"/>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sans-serif" w:hAnsi="Times New Roman;sans-serif"/>
          <w:b/>
          <w:color w:val="000000"/>
          <w:sz w:val="24"/>
        </w:rPr>
        <w:t>Country Addendum</w:t>
      </w:r>
      <w:r>
        <w:rPr>
          <w:color w:val="000000"/>
        </w:rPr>
        <w:t>”</w:t>
      </w:r>
      <w:r>
        <w:rPr>
          <w:rFonts w:ascii="Times New Roman;sans-serif" w:hAnsi="Times New Roman;sans-serif"/>
          <w:b w:val="false"/>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rPr>
        <w:t>Modifications to the Award Agreement</w:t>
      </w:r>
      <w:r>
        <w:rPr>
          <w:rFonts w:ascii="Times New Roman;sans-serif" w:hAnsi="Times New Roman;sans-serif"/>
          <w:b w:val="false"/>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spacing w:lineRule="auto" w:line="288" w:before="240" w:after="283"/>
        <w:ind w:left="0" w:right="0" w:firstLine="720"/>
        <w:jc w:val="both"/>
        <w:rPr/>
      </w:pPr>
      <w:r>
        <w:rPr>
          <w:rFonts w:ascii="Times New Roman;sans-serif" w:hAnsi="Times New Roman;sans-serif"/>
          <w:b w:val="false"/>
          <w:color w:val="000000"/>
          <w:sz w:val="24"/>
        </w:rPr>
        <w:t>24.</w:t>
      </w:r>
      <w:r>
        <w:rPr>
          <w:rFonts w:ascii="Times New Roman;sans-serif" w:hAnsi="Times New Roman;sans-serif"/>
          <w:b/>
          <w:color w:val="000000"/>
          <w:sz w:val="24"/>
        </w:rPr>
        <w:t>No Waiver</w:t>
      </w:r>
      <w:r>
        <w:rPr>
          <w:rFonts w:ascii="Times New Roman;sans-serif" w:hAnsi="Times New Roman;sans-serif"/>
          <w:b w:val="false"/>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spacing w:lineRule="auto" w:line="288" w:before="240" w:after="283"/>
        <w:ind w:left="0" w:right="0" w:firstLine="720"/>
        <w:jc w:val="both"/>
        <w:rPr/>
      </w:pPr>
      <w:r>
        <w:rPr>
          <w:rFonts w:ascii="Times New Roman;sans-serif" w:hAnsi="Times New Roman;sans-serif"/>
          <w:b w:val="false"/>
          <w:color w:val="000000"/>
          <w:sz w:val="24"/>
        </w:rPr>
        <w:t>25.</w:t>
      </w:r>
      <w:r>
        <w:rPr>
          <w:rFonts w:ascii="Times New Roman;sans-serif" w:hAnsi="Times New Roman;sans-serif"/>
          <w:b/>
          <w:color w:val="000000"/>
          <w:sz w:val="24"/>
        </w:rPr>
        <w:t>Governing Law; Severability</w:t>
      </w:r>
      <w:r>
        <w:rPr>
          <w:rFonts w:ascii="Times New Roman;sans-serif" w:hAnsi="Times New Roman;sans-serif"/>
          <w:b w:val="false"/>
          <w:color w:val="000000"/>
          <w:sz w:val="24"/>
        </w:rPr>
        <w:t xml:space="preserve">.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TextBody"/>
        <w:spacing w:lineRule="auto" w:line="288" w:before="240" w:after="283"/>
        <w:ind w:left="0" w:right="0" w:firstLine="720"/>
        <w:jc w:val="both"/>
        <w:rPr/>
      </w:pPr>
      <w:r>
        <w:rPr>
          <w:rFonts w:ascii="Times New Roman;sans-serif" w:hAnsi="Times New Roman;sans-serif"/>
          <w:b w:val="false"/>
          <w:color w:val="000000"/>
          <w:sz w:val="24"/>
        </w:rPr>
        <w:t>26.</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480175" cy="386715"/>
                <wp:effectExtent l="0" t="0" r="0" b="0"/>
                <wp:wrapNone/>
                <wp:docPr id="711" name="Frame687"/>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 w:after="283"/>
                        <w:ind w:left="0" w:right="0" w:firstLine="7"/>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APPENDIX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COUNTRY ADDENDUM TO RESTRICTED STOCK UNIT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capitalized terms used in this Country Addendum to Restricted Stock Unit Agreement (the “</w:t>
      </w:r>
      <w:r>
        <w:rPr>
          <w:rFonts w:ascii="Times New Roman;sans-serif" w:hAnsi="Times New Roman;sans-serif"/>
          <w:b/>
          <w:color w:val="000000"/>
          <w:sz w:val="24"/>
        </w:rPr>
        <w:t>Country Addendum</w:t>
      </w:r>
      <w:r>
        <w:rPr>
          <w:color w:val="000000"/>
        </w:rPr>
        <w:t>”</w:t>
      </w:r>
      <w:r>
        <w:rPr>
          <w:rFonts w:ascii="Times New Roman;sans-serif" w:hAnsi="Times New Roman;sans-serif"/>
          <w:b w:val="false"/>
          <w:color w:val="000000"/>
          <w:sz w:val="24"/>
        </w:rPr>
        <w:t>) will be ascribed the same defined meanings as set forth in the Restricted Stock Unit Agreement of which this Country Addendum forms a part (or the Plan or other written agreement as specified in the Restricted Stock Unit Agreement).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lineRule="auto" w:line="288" w:before="240" w:after="283"/>
        <w:ind w:left="0" w:right="0" w:firstLine="720"/>
        <w:jc w:val="both"/>
        <w:rPr/>
      </w:pPr>
      <w:r>
        <w:rPr>
          <w:rFonts w:ascii="Times New Roman;sans-serif" w:hAnsi="Times New Roman;sans-serif"/>
          <w:b w:val="false"/>
          <w:color w:val="000000"/>
          <w:sz w:val="24"/>
        </w:rPr>
        <w:t>This Country Addendum includes additional terms and conditions that govern the Award of Restricted Stock Units granted pursuant to the terms and conditions of the Nautilus Biotechnology, Inc. 2021 Equity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and the Restricted Stock Unit Agreement to which this Country Addendum is attached (the “</w:t>
      </w:r>
      <w:r>
        <w:rPr>
          <w:rFonts w:ascii="Times New Roman;sans-serif" w:hAnsi="Times New Roman;sans-serif"/>
          <w:b/>
          <w:color w:val="000000"/>
          <w:sz w:val="24"/>
        </w:rPr>
        <w:t>Restricted Stock Unit Agreement</w:t>
      </w:r>
      <w:r>
        <w:rPr>
          <w:color w:val="000000"/>
        </w:rPr>
        <w:t>”</w:t>
      </w:r>
      <w:r>
        <w:rPr>
          <w:rFonts w:ascii="Times New Roman;sans-serif" w:hAnsi="Times New Roman;sans-serif"/>
          <w:b w:val="false"/>
          <w:color w:val="000000"/>
          <w:sz w:val="24"/>
        </w:rPr>
        <w:t>) to the extent the individual to whom the Restricted Stock Units were granted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 .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 </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 </w:t>
      </w:r>
      <w:r>
        <w:br w:type="page"/>
      </w: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480175" cy="176530"/>
                <wp:effectExtent l="0" t="0" r="0" b="0"/>
                <wp:wrapNone/>
                <wp:docPr id="712" name="Frame688"/>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jc w:val="both"/>
                        <w:rPr/>
                      </w:pPr>
                      <w:r>
                        <w:rPr/>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10.9</w:t>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480175" cy="386715"/>
                <wp:effectExtent l="0" t="0" r="0" b="0"/>
                <wp:wrapNone/>
                <wp:docPr id="713" name="Frame689"/>
                <a:graphic xmlns:a="http://schemas.openxmlformats.org/drawingml/2006/main">
                  <a:graphicData uri="http://schemas.microsoft.com/office/word/2010/wordprocessingShape">
                    <wps:wsp>
                      <wps:cNvSpPr txBox="1"/>
                      <wps:spPr>
                        <a:xfrm>
                          <a:off x="0" y="0"/>
                          <a:ext cx="6480175" cy="38671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 w:after="283"/>
                              <w:ind w:left="0" w:right="0" w:firstLine="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 w:after="283"/>
                        <w:ind w:left="0" w:right="0" w:firstLine="7"/>
                        <w:jc w:val="center"/>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NAUTILUS BIOTECHNOLOGY, INC. </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RESTRICTED STOCK AWARD AGREEMENT</w:t>
      </w:r>
    </w:p>
    <w:p>
      <w:pPr>
        <w:pStyle w:val="TextBody"/>
        <w:spacing w:lineRule="auto" w:line="288"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OF RESTRICTED STOCK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the terms defined in the Nautilus Biotechnology, Inc. 2021 Equity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will have the same defined meanings in this Restricted Stock Award Agreement which includes the Notice of Restricted Stock Grant (the “</w:t>
      </w:r>
      <w:r>
        <w:rPr>
          <w:rFonts w:ascii="Times New Roman;sans-serif" w:hAnsi="Times New Roman;sans-serif"/>
          <w:b w:val="false"/>
          <w:color w:val="000000"/>
          <w:sz w:val="24"/>
          <w:u w:val="single"/>
        </w:rPr>
        <w:t>Notice of Grant</w:t>
      </w:r>
      <w:r>
        <w:rPr>
          <w:color w:val="000000"/>
        </w:rPr>
        <w:t>”</w:t>
      </w:r>
      <w:r>
        <w:rPr>
          <w:rFonts w:ascii="Times New Roman;sans-serif" w:hAnsi="Times New Roman;sans-serif"/>
          <w:b w:val="false"/>
          <w:color w:val="000000"/>
          <w:sz w:val="24"/>
        </w:rPr>
        <w:t xml:space="preserve">), the Terms and Conditions of Restricted Stock Grant,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and all other exhibits, appendices, and addenda attached hereto (the “</w:t>
      </w:r>
      <w:r>
        <w:rPr>
          <w:rFonts w:ascii="Times New Roman;sans-serif" w:hAnsi="Times New Roman;sans-serif"/>
          <w:b w:val="false"/>
          <w:color w:val="000000"/>
          <w:sz w:val="24"/>
          <w:u w:val="single"/>
        </w:rPr>
        <w:t>Award Agreement</w:t>
      </w:r>
      <w:r>
        <w:rPr>
          <w:color w:val="000000"/>
        </w:rPr>
        <w:t>”</w:t>
      </w:r>
      <w:r>
        <w:rPr>
          <w:rFonts w:ascii="Times New Roman;sans-serif" w:hAnsi="Times New Roman;sans-serif"/>
          <w:b w:val="false"/>
          <w:color w:val="000000"/>
          <w:sz w:val="24"/>
        </w:rPr>
        <w:t>).</w:t>
      </w:r>
    </w:p>
    <w:p>
      <w:pPr>
        <w:pStyle w:val="TextBody"/>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Participant Name:</w:t>
      </w:r>
    </w:p>
    <w:p>
      <w:pPr>
        <w:pStyle w:val="TextBody"/>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Address: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Participant has been granted an Award of Shares of Restricted Stock, subject to the terms and conditions of the Plan and this Award Agreement, as follows:</w:t>
      </w:r>
    </w:p>
    <w:tbl>
      <w:tblPr>
        <w:tblW w:w="4751" w:type="dxa"/>
        <w:jc w:val="left"/>
        <w:tblInd w:w="0" w:type="dxa"/>
        <w:tblCellMar>
          <w:top w:w="28" w:type="dxa"/>
          <w:left w:w="28" w:type="dxa"/>
          <w:bottom w:w="28" w:type="dxa"/>
          <w:right w:w="28" w:type="dxa"/>
        </w:tblCellMar>
      </w:tblPr>
      <w:tblGrid>
        <w:gridCol w:w="1583"/>
        <w:gridCol w:w="1393"/>
        <w:gridCol w:w="1403"/>
        <w:gridCol w:w="109"/>
        <w:gridCol w:w="109"/>
        <w:gridCol w:w="154"/>
      </w:tblGrid>
      <w:tr>
        <w:trPr/>
        <w:tc>
          <w:tcPr>
            <w:tcW w:w="15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Total Number of Shares of Restricted Stock: </w:t>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pP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spacing w:lineRule="auto" w:line="288" w:before="240" w:after="283"/>
        <w:ind w:left="0" w:right="0" w:firstLine="720"/>
        <w:jc w:val="both"/>
        <w:rPr/>
      </w:pPr>
      <w:r>
        <w:rPr>
          <w:rFonts w:ascii="Times New Roman;sans-serif" w:hAnsi="Times New Roman;sans-serif"/>
          <w:b w:val="false"/>
          <w:color w:val="000000"/>
          <w:sz w:val="24"/>
        </w:rPr>
        <w:t>For purposes of this Agreement, “</w:t>
      </w:r>
      <w:r>
        <w:rPr>
          <w:rFonts w:ascii="Times New Roman;sans-serif" w:hAnsi="Times New Roman;sans-serif"/>
          <w:b w:val="false"/>
          <w:color w:val="000000"/>
          <w:sz w:val="24"/>
          <w:u w:val="single"/>
        </w:rPr>
        <w:t>Quarterly Vesting Dates</w:t>
      </w:r>
      <w:r>
        <w:rPr>
          <w:color w:val="000000"/>
        </w:rPr>
        <w:t xml:space="preserve">” </w:t>
      </w:r>
      <w:r>
        <w:rPr>
          <w:rFonts w:ascii="Times New Roman;sans-serif" w:hAnsi="Times New Roman;sans-serif"/>
          <w:b w:val="false"/>
          <w:color w:val="000000"/>
          <w:sz w:val="24"/>
        </w:rPr>
        <w:t xml:space="preserve">with respect to any calendar year means [February 15], [May 15], [August 15], and [November 15]. </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pStyle w:val="TextBody"/>
        <w:spacing w:lineRule="auto" w:line="288" w:before="240" w:after="283"/>
        <w:ind w:left="0" w:right="0" w:firstLine="720"/>
        <w:jc w:val="both"/>
        <w:rPr/>
      </w:pPr>
      <w:r>
        <w:rPr>
          <w:rFonts w:ascii="Times New Roman;sans-serif" w:hAnsi="Times New Roman;sans-serif"/>
          <w:b w:val="false"/>
          <w:color w:val="000000"/>
          <w:sz w:val="24"/>
        </w:rPr>
        <w:t>[One-fourth (1/4</w:t>
      </w:r>
      <w:r>
        <w:rPr>
          <w:rFonts w:ascii="Times New Roman;sans-serif" w:hAnsi="Times New Roman;sans-serif"/>
          <w:b w:val="false"/>
          <w:color w:val="000000"/>
          <w:sz w:val="16"/>
        </w:rPr>
        <w:t>th</w:t>
      </w:r>
      <w:r>
        <w:rPr>
          <w:rFonts w:ascii="Times New Roman;sans-serif" w:hAnsi="Times New Roman;sans-serif"/>
          <w:b w:val="false"/>
          <w:color w:val="000000"/>
          <w:sz w:val="24"/>
        </w:rPr>
        <w:t>) of the Total Number of Shares of Restricted Stock (as set forth above) subject to this Award Agreement will be scheduled to vest on the first Quarterly Vesting Date on or immediately following the one (1) year anniversary of the Vesting Commencement Date (such first vesting date, the “</w:t>
      </w:r>
      <w:r>
        <w:rPr>
          <w:rFonts w:ascii="Times New Roman;sans-serif" w:hAnsi="Times New Roman;sans-serif"/>
          <w:b w:val="false"/>
          <w:color w:val="000000"/>
          <w:sz w:val="24"/>
          <w:u w:val="single"/>
        </w:rPr>
        <w:t>First Vesting Date</w:t>
      </w:r>
      <w:r>
        <w:rPr>
          <w:color w:val="000000"/>
        </w:rPr>
        <w:t>”</w:t>
      </w:r>
      <w:r>
        <w:rPr>
          <w:rFonts w:ascii="Times New Roman;sans-serif" w:hAnsi="Times New Roman;sans-serif"/>
          <w:b w:val="false"/>
          <w:color w:val="000000"/>
          <w:sz w:val="24"/>
        </w:rPr>
        <w:t>), and thereafter, one-sixteenth (1/16</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of the Total Number of Shares of Restricted Stock subject to this Award Agreement will be scheduled to vest on each of the twelve (12) Quarterly Vesting Dates that occur after the First Vesting Date, subject to Participant continuing to be a Service Provider through the applicable vesting date.] </w:t>
      </w:r>
      <w:r>
        <w:br w:type="page"/>
      </w:r>
    </w:p>
    <w:p>
      <w:pPr>
        <w:pStyle w:val="TextBody"/>
        <w:spacing w:before="0" w:after="0"/>
        <w:rPr/>
      </w:pPr>
      <w:r>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480175" cy="176530"/>
                <wp:effectExtent l="0" t="0" r="0" b="0"/>
                <wp:wrapNone/>
                <wp:docPr id="714" name="Frame690"/>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tbl>
      <w:tblPr>
        <w:tblW w:w="6475" w:type="dxa"/>
        <w:jc w:val="left"/>
        <w:tblInd w:w="0" w:type="dxa"/>
        <w:tblCellMar>
          <w:top w:w="28" w:type="dxa"/>
          <w:left w:w="28" w:type="dxa"/>
          <w:bottom w:w="28" w:type="dxa"/>
          <w:right w:w="28" w:type="dxa"/>
        </w:tblCellMar>
      </w:tblPr>
      <w:tblGrid>
        <w:gridCol w:w="723"/>
        <w:gridCol w:w="635"/>
        <w:gridCol w:w="636"/>
        <w:gridCol w:w="109"/>
        <w:gridCol w:w="109"/>
        <w:gridCol w:w="109"/>
        <w:gridCol w:w="1216"/>
        <w:gridCol w:w="1216"/>
        <w:gridCol w:w="1722"/>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Residence 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480175" cy="175260"/>
                <wp:effectExtent l="0" t="0" r="0" b="0"/>
                <wp:wrapNone/>
                <wp:docPr id="715" name="Frame6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RESTRICTED STOCK AWARD AGREEMENT</w:t>
      </w:r>
    </w:p>
    <w:p>
      <w:pPr>
        <w:pStyle w:val="TextBody"/>
        <w:spacing w:lineRule="auto" w:line="288"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TERMS AND CONDITIONS OF RESTRICTED STOCK GRANT</w:t>
      </w:r>
    </w:p>
    <w:p>
      <w:pPr>
        <w:pStyle w:val="TextBody"/>
        <w:spacing w:lineRule="auto" w:line="288"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Shares of Restricted Stock</w:t>
      </w:r>
      <w:r>
        <w:rPr>
          <w:rFonts w:ascii="Times New Roman;sans-serif" w:hAnsi="Times New Roman;sans-serif"/>
          <w:b w:val="false"/>
          <w:color w:val="000000"/>
          <w:sz w:val="24"/>
        </w:rPr>
        <w:t>. The Company hereby grants to the individual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named in the Notice of Restricted Stock Grant of this Award Agreement (the “</w:t>
      </w:r>
      <w:r>
        <w:rPr>
          <w:rFonts w:ascii="Times New Roman;sans-serif" w:hAnsi="Times New Roman;sans-serif"/>
          <w:b w:val="false"/>
          <w:color w:val="000000"/>
          <w:sz w:val="24"/>
          <w:u w:val="single"/>
        </w:rPr>
        <w:t>Notice of Grant</w:t>
      </w:r>
      <w:r>
        <w:rPr>
          <w:color w:val="000000"/>
        </w:rPr>
        <w:t>”</w:t>
      </w:r>
      <w:r>
        <w:rPr>
          <w:rFonts w:ascii="Times New Roman;sans-serif" w:hAnsi="Times New Roman;sans-serif"/>
          <w:b w:val="false"/>
          <w:color w:val="000000"/>
          <w:sz w:val="24"/>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pStyle w:val="TextBody"/>
        <w:spacing w:lineRule="auto" w:line="288"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spacing w:lineRule="auto" w:line="288"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Administrator Discretion</w:t>
      </w:r>
      <w:r>
        <w:rPr>
          <w:rFonts w:ascii="Times New Roman;sans-serif" w:hAnsi="Times New Roman;sans-serif"/>
          <w:b w:val="false"/>
          <w:color w:val="000000"/>
          <w:sz w:val="24"/>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pStyle w:val="TextBody"/>
        <w:spacing w:lineRule="auto" w:line="288"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Forfeiture Upon Termination as a Service Provider</w:t>
      </w:r>
      <w:r>
        <w:rPr>
          <w:rFonts w:ascii="Times New Roman;sans-serif" w:hAnsi="Times New Roman;sans-serif"/>
          <w:b w:val="false"/>
          <w:color w:val="000000"/>
          <w:sz w:val="24"/>
        </w:rPr>
        <w:t xml:space="preserve">. Unless specifically provided otherwise in this Award Agreement or other written agreement authorized by the Administrator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w:t>
      </w:r>
      <w:r>
        <w:br w:type="page"/>
      </w:r>
    </w:p>
    <w:p>
      <w:pPr>
        <w:pStyle w:val="TextBody"/>
        <w:spacing w:before="0" w:after="0"/>
        <w:rPr/>
      </w:pPr>
      <w:r>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6480175" cy="327660"/>
                <wp:effectExtent l="0" t="0" r="0" b="0"/>
                <wp:wrapNone/>
                <wp:docPr id="716" name="Frame69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rPr>
                          <w:color w:val="000000"/>
                        </w:rPr>
                      </w:pPr>
                      <w:r>
                        <w:rPr>
                          <w:color w:val="000000"/>
                        </w:rPr>
                        <w:t>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limitation, stock powers which may be necessary to transfer the certificate or certificates evidencing such unvested Shares to the Company upon such termination of service.</w:t>
      </w:r>
    </w:p>
    <w:p>
      <w:pPr>
        <w:pStyle w:val="TextBody"/>
        <w:spacing w:lineRule="auto" w:line="288"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Death of Participant</w:t>
      </w:r>
      <w:r>
        <w:rPr>
          <w:rFonts w:ascii="Times New Roman;sans-serif" w:hAnsi="Times New Roman;sans-serif"/>
          <w:b w:val="false"/>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spacing w:lineRule="auto" w:line="288"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 Obligations</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sans-serif" w:hAnsi="Times New Roman;sans-serif"/>
          <w:b w:val="false"/>
          <w:color w:val="000000"/>
          <w:sz w:val="24"/>
          <w:u w:val="single"/>
        </w:rPr>
        <w:t>Service Recipients</w:t>
      </w:r>
      <w:r>
        <w:rPr>
          <w:color w:val="000000"/>
        </w:rPr>
        <w:t>”</w:t>
      </w:r>
      <w:r>
        <w:rPr>
          <w:rFonts w:ascii="Times New Roman;sans-serif" w:hAnsi="Times New Roman;sans-serif"/>
          <w:b w:val="false"/>
          <w:color w:val="000000"/>
          <w:sz w:val="24"/>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sans-serif" w:hAnsi="Times New Roman;sans-serif"/>
          <w:b w:val="false"/>
          <w:color w:val="000000"/>
          <w:sz w:val="24"/>
          <w:u w:val="single"/>
        </w:rPr>
        <w:t>Tax Obligations</w:t>
      </w:r>
      <w:r>
        <w:rPr>
          <w:color w:val="000000"/>
        </w:rPr>
        <w:t>”</w:t>
      </w:r>
      <w:r>
        <w:rPr>
          <w:rFonts w:ascii="Times New Roman;sans-serif" w:hAnsi="Times New Roman;sans-serif"/>
          <w:b w:val="false"/>
          <w:color w:val="000000"/>
          <w:sz w:val="24"/>
        </w:rPr>
        <w:t xml:space="preserve">),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w:t>
      </w:r>
      <w:r>
        <w:br w:type="page"/>
      </w:r>
    </w:p>
    <w:p>
      <w:pPr>
        <w:pStyle w:val="TextBody"/>
        <w:spacing w:before="0" w:after="0"/>
        <w:rPr/>
      </w:pPr>
      <w:r>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480175" cy="175260"/>
                <wp:effectExtent l="0" t="0" r="0" b="0"/>
                <wp:wrapNone/>
                <wp:docPr id="717" name="Frame6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4"/>
        </w:rPr>
        <w:t>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Times New Roman;sans-serif" w:hAnsi="Times New Roman;sans-serif"/>
          <w:b w:val="false"/>
          <w:color w:val="000000"/>
          <w:sz w:val="24"/>
          <w:u w:val="single"/>
        </w:rPr>
        <w:t>83(b) Election</w:t>
      </w:r>
      <w:r>
        <w:rPr>
          <w:color w:val="000000"/>
        </w:rPr>
        <w:t>”</w:t>
      </w:r>
      <w:r>
        <w:rPr>
          <w:rFonts w:ascii="Times New Roman;sans-serif" w:hAnsi="Times New Roman;sans-serif"/>
          <w:b w:val="false"/>
          <w:color w:val="000000"/>
          <w:sz w:val="24"/>
        </w:rPr>
        <w:t xml:space="preserve">) with the IRS within thirty (30) days from the date of grant of the Restricted Stock Award.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Notwithstanding any contrary provision of this Award Agreement, no certificate representing the Shares of Restricted Stock may be released from the escrow established pursuant to Section 13, unless and until satisfactory arrangements (as determined by the Administrator) will have been made by Participant with respect to the payment of all Tax Obligations required to be withheld (the “</w:t>
      </w:r>
      <w:r>
        <w:rPr>
          <w:rFonts w:ascii="Times New Roman;sans-serif" w:hAnsi="Times New Roman;sans-serif"/>
          <w:b w:val="false"/>
          <w:color w:val="000000"/>
          <w:sz w:val="24"/>
          <w:u w:val="single"/>
        </w:rPr>
        <w:t>Withholding Obligations</w:t>
      </w:r>
      <w:r>
        <w:rPr>
          <w:color w:val="000000"/>
        </w:rPr>
        <w:t>”</w:t>
      </w:r>
      <w:r>
        <w:rPr>
          <w:rFonts w:ascii="Times New Roman;sans-serif" w:hAnsi="Times New Roman;sans-serif"/>
          <w:b w:val="false"/>
          <w:color w:val="000000"/>
          <w:sz w:val="24"/>
        </w:rPr>
        <w:t>).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Withholding Obligations which the Company determines must be withheld with respect to this Award. The Administrator, in its sole discretion and pursuant to such procedures as it may specify from time to time, may permit or require Participant to satisfy Participant’s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sans-serif" w:hAnsi="Times New Roman;sans-serif"/>
          <w:b w:val="false"/>
          <w:color w:val="000000"/>
          <w:sz w:val="24"/>
          <w:u w:val="single"/>
        </w:rPr>
        <w:t>Net Share Withholding</w:t>
      </w:r>
      <w:r>
        <w:rPr>
          <w:color w:val="000000"/>
        </w:rPr>
        <w:t>”</w:t>
      </w:r>
      <w:r>
        <w:rPr>
          <w:rFonts w:ascii="Times New Roman;sans-serif" w:hAnsi="Times New Roman;sans-serif"/>
          <w:b w:val="false"/>
          <w:color w:val="000000"/>
          <w:sz w:val="24"/>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sans-serif" w:hAnsi="Times New Roman;sans-serif"/>
          <w:b w:val="false"/>
          <w:color w:val="000000"/>
          <w:sz w:val="24"/>
          <w:u w:val="single"/>
        </w:rPr>
        <w:t>Sell to Cover</w:t>
      </w:r>
      <w:r>
        <w:rPr>
          <w:color w:val="000000"/>
        </w:rPr>
        <w:t>”</w:t>
      </w:r>
      <w:r>
        <w:rPr>
          <w:rFonts w:ascii="Times New Roman;sans-serif" w:hAnsi="Times New Roman;sans-serif"/>
          <w:b w:val="false"/>
          <w:color w:val="000000"/>
          <w:sz w:val="24"/>
        </w:rPr>
        <w:t xml:space="preserve">), or (vi) such other means as the Administrator deems appropriate. If the Withholding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Withholding Obligations. To the extent determined appropriate by the Company in its discretion, it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w:t>
      </w:r>
      <w:r>
        <w:br w:type="page"/>
      </w:r>
    </w:p>
    <w:p>
      <w:pPr>
        <w:pStyle w:val="TextBody"/>
        <w:spacing w:before="0" w:after="0"/>
        <w:rPr/>
      </w:pPr>
      <w:r>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480175" cy="175260"/>
                <wp:effectExtent l="0" t="0" r="0" b="0"/>
                <wp:wrapNone/>
                <wp:docPr id="718" name="Frame6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Tax Consequences</w:t>
      </w:r>
      <w:r>
        <w:rPr>
          <w:rFonts w:ascii="Times New Roman;sans-serif" w:hAnsi="Times New Roman;sans-serif"/>
          <w:b w:val="false"/>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Company’s Obligation to Release Shares</w:t>
      </w:r>
      <w:r>
        <w:rPr>
          <w:rFonts w:ascii="Times New Roman;sans-serif" w:hAnsi="Times New Roman;sans-serif"/>
          <w:b w:val="false"/>
          <w:color w:val="000000"/>
          <w:sz w:val="24"/>
        </w:rPr>
        <w:t>. For clarification purposes, in no event will the Company release Shares from the escrow established pursuant to Section 13 unless and until arrangements satisfactory to the Administrator have been made for the payment of Participant’s Withholding Obligations. If Participant fails to make satisfactory arrangements for the payment of such Withholding Obligations hereunder at the time any applicable Shares of Restricted Stock otherwise are scheduled to vest pursuant to Sections 2 or 3, at the time Participant files a timely 83(b) Election with the IRS, or Participant’s Withholding Obligations otherwise become due, Participant permanently will forfeit such Shares of Restricted Stock to which Participant’s Withholding Obligation relates and any right to receive Shares thereunder and such Shares of Restricted Stock will be returned to the Company at no cost to the Company. Participant acknowledges and agrees that the Company may refuse to issue or deliver the Shares if such Withholding Obligations are not delivered at the time they are due.</w:t>
      </w:r>
    </w:p>
    <w:p>
      <w:pPr>
        <w:pStyle w:val="TextBody"/>
        <w:spacing w:lineRule="auto" w:line="288"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pStyle w:val="TextBody"/>
        <w:spacing w:lineRule="auto" w:line="288"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Guarantee of Continued Service</w:t>
      </w:r>
      <w:r>
        <w:rPr>
          <w:rFonts w:ascii="Times New Roman;sans-serif" w:hAnsi="Times New Roman;sans-serif"/>
          <w:b w:val="false"/>
          <w:color w:val="000000"/>
          <w:sz w:val="24"/>
        </w:rPr>
        <w:t xml:space="preserve">.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w:t>
      </w:r>
      <w:r>
        <w:br w:type="page"/>
      </w:r>
    </w:p>
    <w:p>
      <w:pPr>
        <w:pStyle w:val="TextBody"/>
        <w:spacing w:before="0" w:after="0"/>
        <w:rPr/>
      </w:pPr>
      <w:r>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480175" cy="175260"/>
                <wp:effectExtent l="0" t="0" r="0" b="0"/>
                <wp:wrapNone/>
                <wp:docPr id="719" name="Frame6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spacing w:lineRule="auto" w:line="288"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Grant is Not Transferable</w:t>
      </w:r>
      <w:r>
        <w:rPr>
          <w:rFonts w:ascii="Times New Roman;sans-serif" w:hAnsi="Times New Roman;sans-serif"/>
          <w:b w:val="false"/>
          <w:color w:val="000000"/>
          <w:sz w:val="24"/>
        </w:rPr>
        <w:t>.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pStyle w:val="TextBody"/>
        <w:spacing w:lineRule="auto" w:line="288"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In accepting this Award of Restricted Stock, Participant acknowledges, understands and agrees that: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 </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decisions with respect to future grants of Restricted Stock or other grants, if any, will be at the sole discretion of the Administrator; </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Participant is voluntarily participating in the Plan;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Shares of Restricted Stock are not intended to replace any pension rights or compensation;</w:t>
      </w:r>
    </w:p>
    <w:p>
      <w:pPr>
        <w:pStyle w:val="TextBody"/>
        <w:spacing w:lineRule="auto" w:line="288"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r>
        <w:br w:type="page"/>
      </w:r>
    </w:p>
    <w:p>
      <w:pPr>
        <w:pStyle w:val="TextBody"/>
        <w:spacing w:before="0" w:after="0"/>
        <w:rPr/>
      </w:pPr>
      <w:r>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480175" cy="175260"/>
                <wp:effectExtent l="0" t="0" r="0" b="0"/>
                <wp:wrapNone/>
                <wp:docPr id="720" name="Frame6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future value of the underlying Shares is unknown, indeterminable and cannot be predicted; </w:t>
      </w:r>
    </w:p>
    <w:p>
      <w:pPr>
        <w:pStyle w:val="TextBody"/>
        <w:spacing w:lineRule="auto" w:line="288"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 </w:t>
      </w:r>
    </w:p>
    <w:p>
      <w:pPr>
        <w:pStyle w:val="TextBody"/>
        <w:spacing w:lineRule="auto" w:line="288" w:before="240" w:after="283"/>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pStyle w:val="TextBody"/>
        <w:spacing w:lineRule="auto" w:line="288" w:before="240" w:after="283"/>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following provisions apply only if Participant is providing services outside the United States:</w:t>
      </w:r>
    </w:p>
    <w:p>
      <w:pPr>
        <w:pStyle w:val="TextBody"/>
        <w:spacing w:lineRule="auto" w:line="288" w:before="240" w:after="283"/>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Shares of Restricted Stock are not part of normal or expected compensation or salary for any purpose;</w:t>
      </w:r>
    </w:p>
    <w:p>
      <w:pPr>
        <w:pStyle w:val="TextBody"/>
        <w:spacing w:lineRule="auto" w:line="288" w:before="240" w:after="283"/>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pStyle w:val="TextBody"/>
        <w:spacing w:lineRule="auto" w:line="288" w:before="240" w:after="283"/>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w:t>
      </w:r>
      <w:r>
        <w:br w:type="page"/>
      </w:r>
    </w:p>
    <w:p>
      <w:pPr>
        <w:pStyle w:val="TextBody"/>
        <w:spacing w:before="0" w:after="0"/>
        <w:rPr/>
      </w:pPr>
      <w:r>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480175" cy="175260"/>
                <wp:effectExtent l="0" t="0" r="0" b="0"/>
                <wp:wrapNone/>
                <wp:docPr id="721" name="Frame6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then, by participating in the Plan, Participant shall be deemed irrevocably to have agreed not to pursue such claim and agrees to execute any and all documents necessary to request dismissal or withdrawal of such claim.</w:t>
      </w:r>
    </w:p>
    <w:p>
      <w:pPr>
        <w:pStyle w:val="TextBody"/>
        <w:spacing w:lineRule="auto" w:line="288" w:before="240" w:after="283"/>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pStyle w:val="TextBody"/>
        <w:spacing w:lineRule="auto" w:line="288" w:before="240" w:after="283"/>
        <w:ind w:left="0" w:right="0" w:firstLine="720"/>
        <w:jc w:val="both"/>
        <w:rPr/>
      </w:pPr>
      <w:r>
        <w:rPr>
          <w:rFonts w:ascii="Times New Roman;sans-serif" w:hAnsi="Times New Roman;sans-serif"/>
          <w:b/>
          <w:i/>
          <w:color w:val="000000"/>
          <w:sz w:val="24"/>
        </w:rPr>
        <w:t>12.</w:t>
      </w:r>
      <w:r>
        <w:rPr>
          <w:rFonts w:ascii="Times New Roman;sans-serif" w:hAnsi="Times New Roman;sans-serif"/>
          <w:b/>
          <w:i/>
          <w:color w:val="000000"/>
          <w:sz w:val="24"/>
          <w:u w:val="single"/>
        </w:rPr>
        <w:t>Data Privacy</w:t>
      </w:r>
      <w:r>
        <w:rPr>
          <w:rFonts w:ascii="Times New Roman;sans-serif" w:hAnsi="Times New Roman;sans-serif"/>
          <w:b/>
          <w:i/>
          <w:color w:val="000000"/>
          <w:sz w:val="24"/>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pStyle w:val="TextBody"/>
        <w:spacing w:lineRule="auto" w:line="288" w:before="240" w:after="283"/>
        <w:ind w:left="0" w:right="0" w:firstLine="720"/>
        <w:jc w:val="both"/>
        <w:rPr/>
      </w:pPr>
      <w:r>
        <w:rPr>
          <w:rFonts w:ascii="Times New Roman;sans-serif" w:hAnsi="Times New Roman;sans-serif"/>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w:t>
      </w:r>
      <w:r>
        <w:rPr>
          <w:rFonts w:ascii="Times New Roman;sans-serif" w:hAnsi="Times New Roman;sans-serif"/>
          <w:b/>
          <w:i/>
          <w:color w:val="000000"/>
          <w:sz w:val="24"/>
          <w:u w:val="single"/>
        </w:rPr>
        <w:t>Data</w:t>
      </w:r>
      <w:r>
        <w:rPr>
          <w:color w:val="000000"/>
        </w:rPr>
        <w:t>”</w:t>
      </w:r>
      <w:r>
        <w:rPr>
          <w:rFonts w:ascii="Times New Roman;sans-serif" w:hAnsi="Times New Roman;sans-serif"/>
          <w:b/>
          <w:i/>
          <w:color w:val="000000"/>
          <w:sz w:val="24"/>
        </w:rPr>
        <w:t xml:space="preserve">), for the exclusive purpose of implementing, administering and managing the Plan. </w:t>
      </w:r>
    </w:p>
    <w:p>
      <w:pPr>
        <w:pStyle w:val="TextBody"/>
        <w:spacing w:lineRule="auto" w:line="288" w:before="240" w:after="283"/>
        <w:ind w:left="0" w:right="0" w:firstLine="720"/>
        <w:jc w:val="both"/>
        <w:rPr>
          <w:rFonts w:ascii="Times New Roman;sans-serif" w:hAnsi="Times New Roman;sans-serif"/>
          <w:b/>
          <w:i/>
          <w:color w:val="000000"/>
          <w:sz w:val="24"/>
        </w:rPr>
      </w:pPr>
      <w:r>
        <w:rPr>
          <w:rFonts w:ascii="Times New Roman;sans-serif" w:hAnsi="Times New Roman;sans-serif"/>
          <w:b/>
          <w:i/>
          <w:color w:val="000000"/>
          <w:sz w:val="24"/>
        </w:rPr>
        <w:t xml:space="preserve">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w:t>
      </w:r>
      <w:r>
        <w:br w:type="page"/>
      </w:r>
    </w:p>
    <w:p>
      <w:pPr>
        <w:pStyle w:val="TextBody"/>
        <w:spacing w:before="0" w:after="0"/>
        <w:rPr/>
      </w:pPr>
      <w:r>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6480175" cy="175260"/>
                <wp:effectExtent l="0" t="0" r="0" b="0"/>
                <wp:wrapNone/>
                <wp:docPr id="722" name="Frame6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spacing w:lineRule="auto" w:line="288" w:before="240" w:after="283"/>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Escrow of Shares</w:t>
      </w:r>
      <w:r>
        <w:rPr>
          <w:rFonts w:ascii="Times New Roman;sans-serif" w:hAnsi="Times New Roman;sans-serif"/>
          <w:b w:val="false"/>
          <w:color w:val="000000"/>
          <w:sz w:val="24"/>
        </w:rPr>
        <w:t>.</w:t>
      </w:r>
    </w:p>
    <w:p>
      <w:pPr>
        <w:pStyle w:val="TextBody"/>
        <w:spacing w:lineRule="auto" w:line="288"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All Shares of Restricted Stock will, upon execution of this Award Agreement, be delivered and deposited with an escrow holder designated by the Company (the “</w:t>
      </w:r>
      <w:r>
        <w:rPr>
          <w:rFonts w:ascii="Times New Roman;sans-serif" w:hAnsi="Times New Roman;sans-serif"/>
          <w:b w:val="false"/>
          <w:color w:val="000000"/>
          <w:sz w:val="24"/>
          <w:u w:val="single"/>
        </w:rPr>
        <w:t>Escrow Holder</w:t>
      </w:r>
      <w:r>
        <w:rPr>
          <w:color w:val="000000"/>
        </w:rPr>
        <w:t>”</w:t>
      </w:r>
      <w:r>
        <w:rPr>
          <w:rFonts w:ascii="Times New Roman;sans-serif" w:hAnsi="Times New Roman;sans-serif"/>
          <w:b w:val="false"/>
          <w:color w:val="000000"/>
          <w:sz w:val="24"/>
        </w:rPr>
        <w:t>). The Shares of Restricted Stock will be held by the Escrow Holder until such time as the Shares of Restricted Stock vest or the date Participant ceases to be a Service Provider.</w:t>
      </w:r>
    </w:p>
    <w:p>
      <w:pPr>
        <w:pStyle w:val="TextBody"/>
        <w:spacing w:lineRule="auto" w:line="288"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Escrow Holder will not be liable for any act it may do or omit to do with respect to holding the Shares of Restricted Stock in escrow and while acting in good faith and in the exercise of its judgment.</w:t>
      </w:r>
    </w:p>
    <w:p>
      <w:pPr>
        <w:pStyle w:val="TextBody"/>
        <w:spacing w:lineRule="auto" w:line="288" w:before="240" w:after="283"/>
        <w:ind w:left="0" w:right="0" w:firstLine="144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 xml:space="preserve">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 </w:t>
      </w:r>
    </w:p>
    <w:p>
      <w:pPr>
        <w:pStyle w:val="TextBody"/>
        <w:spacing w:lineRule="auto" w:line="288"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Escrow Holder will take all steps necessary to accomplish the transfer of Shares of Restricted Stock to Participant after they vest following Participant’s request that the Escrow Holder do so.</w:t>
      </w:r>
    </w:p>
    <w:p>
      <w:pPr>
        <w:pStyle w:val="TextBody"/>
        <w:spacing w:lineRule="auto" w:line="288"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Subject to the terms hereof, Participant shall have all the rights of a stockholder with respect to such Shares while they are held in escrow, including without limitation, the right to vote the Shares and receive any cash dividends declared thereon. </w:t>
      </w:r>
    </w:p>
    <w:p>
      <w:pPr>
        <w:pStyle w:val="TextBody"/>
        <w:spacing w:lineRule="auto" w:line="288"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w:t>
      </w:r>
      <w:r>
        <w:br w:type="page"/>
      </w:r>
    </w:p>
    <w:p>
      <w:pPr>
        <w:pStyle w:val="TextBody"/>
        <w:spacing w:before="0" w:after="0"/>
        <w:rPr/>
      </w:pPr>
      <w:r>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480175" cy="175260"/>
                <wp:effectExtent l="0" t="0" r="0" b="0"/>
                <wp:wrapNone/>
                <wp:docPr id="723" name="Frame6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pStyle w:val="TextBody"/>
        <w:spacing w:lineRule="auto" w:line="288"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Company may instruct the transfer agent for its Common Stock to place a legend on the certificates representing the Restricted Stock or otherwise note its records as to the restrictions on transfer set forth in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Address for Notices</w:t>
      </w:r>
      <w:r>
        <w:rPr>
          <w:rFonts w:ascii="Times New Roman;sans-serif" w:hAnsi="Times New Roman;sans-serif"/>
          <w:b w:val="false"/>
          <w:color w:val="000000"/>
          <w:sz w:val="24"/>
        </w:rPr>
        <w:t>. Any notice to be given to the Company under the terms of this Award Agreement will be addressed to the Company at Nautilus Biotechnology, Inc., PO Box 22027, Seattle, WA 98102, or at such other address as the Company may hereafter designate in writing.</w:t>
      </w:r>
    </w:p>
    <w:p>
      <w:pPr>
        <w:pStyle w:val="TextBody"/>
        <w:spacing w:lineRule="auto" w:line="288" w:before="240" w:after="283"/>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spacing w:lineRule="auto" w:line="288" w:before="240" w:after="283"/>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Additional Conditions to Issuance of Stock</w:t>
      </w:r>
      <w:r>
        <w:rPr>
          <w:rFonts w:ascii="Times New Roman;sans-serif" w:hAnsi="Times New Roman;sans-serif"/>
          <w:b w:val="false"/>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r>
        <w:br w:type="page"/>
      </w:r>
    </w:p>
    <w:p>
      <w:pPr>
        <w:pStyle w:val="TextBody"/>
        <w:spacing w:before="0" w:after="0"/>
        <w:rPr/>
      </w:pPr>
      <w:r>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6480175" cy="175260"/>
                <wp:effectExtent l="0" t="0" r="0" b="0"/>
                <wp:wrapNone/>
                <wp:docPr id="724" name="Frame7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spacing w:lineRule="auto" w:line="288" w:before="240" w:after="283"/>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spacing w:lineRule="auto" w:line="288" w:before="240" w:after="283"/>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Captions provided herein are for convenience only and are not to serve as a basis for interpretation or construction of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Amendment, Suspension or Termination of the Plan</w:t>
      </w:r>
      <w:r>
        <w:rPr>
          <w:rFonts w:ascii="Times New Roman;sans-serif" w:hAnsi="Times New Roman;sans-serif"/>
          <w:b w:val="false"/>
          <w:color w:val="000000"/>
          <w:sz w:val="24"/>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pStyle w:val="TextBody"/>
        <w:spacing w:lineRule="auto" w:line="288" w:before="240" w:after="283"/>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Country Addendum</w:t>
      </w:r>
      <w:r>
        <w:rPr>
          <w:rFonts w:ascii="Times New Roman;sans-serif" w:hAnsi="Times New Roman;sans-serif"/>
          <w:b w:val="false"/>
          <w:color w:val="000000"/>
          <w:sz w:val="24"/>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sans-serif" w:hAnsi="Times New Roman;sans-serif"/>
          <w:b w:val="false"/>
          <w:color w:val="000000"/>
          <w:sz w:val="24"/>
          <w:u w:val="single"/>
        </w:rPr>
        <w:t>Country Addendum</w:t>
      </w:r>
      <w:r>
        <w:rPr>
          <w:color w:val="000000"/>
        </w:rPr>
        <w:t>”</w:t>
      </w:r>
      <w:r>
        <w:rPr>
          <w:rFonts w:ascii="Times New Roman;sans-serif" w:hAnsi="Times New Roman;sans-serif"/>
          <w:b w:val="false"/>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Modifications to the Award Agreement</w:t>
      </w:r>
      <w:r>
        <w:rPr>
          <w:rFonts w:ascii="Times New Roman;sans-serif" w:hAnsi="Times New Roman;sans-serif"/>
          <w:b w:val="false"/>
          <w:color w:val="000000"/>
          <w:sz w:val="24"/>
        </w:rPr>
        <w:t xml:space="preserve">.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w:t>
      </w:r>
      <w:r>
        <w:br w:type="page"/>
      </w:r>
    </w:p>
    <w:p>
      <w:pPr>
        <w:pStyle w:val="TextBody"/>
        <w:spacing w:before="0" w:after="0"/>
        <w:rPr/>
      </w:pPr>
      <w:r>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6480175" cy="175260"/>
                <wp:effectExtent l="0" t="0" r="0" b="0"/>
                <wp:wrapNone/>
                <wp:docPr id="725" name="Frame7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pStyle w:val="TextBody"/>
        <w:spacing w:lineRule="auto" w:line="288" w:before="240" w:after="283"/>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spacing w:lineRule="auto" w:line="288" w:before="240" w:after="283"/>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Governing Law; Severability</w:t>
      </w:r>
      <w:r>
        <w:rPr>
          <w:rFonts w:ascii="Times New Roman;sans-serif" w:hAnsi="Times New Roman;sans-serif"/>
          <w:b w:val="false"/>
          <w:color w:val="000000"/>
          <w:sz w:val="24"/>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pStyle w:val="TextBody"/>
        <w:spacing w:lineRule="auto" w:line="288" w:before="240" w:after="283"/>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6480175" cy="175260"/>
                <wp:effectExtent l="0" t="0" r="0" b="0"/>
                <wp:wrapNone/>
                <wp:docPr id="726" name="Frame7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NAUTILUS BIOTECHNOLOGY, INC.</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2021 EQUITY INCENTIVE PLAN</w:t>
      </w:r>
    </w:p>
    <w:p>
      <w:pPr>
        <w:pStyle w:val="TextBody"/>
        <w:spacing w:lineRule="auto" w:line="288" w:before="24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COUNTRY ADDENDUM TO RESTRICTED STOCK AWARD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Unless otherwise defined herein, capitalized terms used in this Country Addendum to Restricted Stock Award Agreement (the “</w:t>
      </w:r>
      <w:r>
        <w:rPr>
          <w:rFonts w:ascii="Times New Roman;sans-serif" w:hAnsi="Times New Roman;sans-serif"/>
          <w:b w:val="false"/>
          <w:color w:val="000000"/>
          <w:sz w:val="24"/>
          <w:u w:val="single"/>
        </w:rPr>
        <w:t>Country Addendum</w:t>
      </w:r>
      <w:r>
        <w:rPr>
          <w:color w:val="000000"/>
        </w:rPr>
        <w:t>”</w:t>
      </w:r>
      <w:r>
        <w:rPr>
          <w:rFonts w:ascii="Times New Roman;sans-serif" w:hAnsi="Times New Roman;sans-serif"/>
          <w:b w:val="false"/>
          <w:color w:val="000000"/>
          <w:sz w:val="24"/>
        </w:rPr>
        <w:t>) will be ascribed the same defined meanings as set forth in the Restricted Stock Award Agreement of which this Country Addendum forms a part (or the Plan or other written agreement as specified in the Restricted Stock Award Agreement).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Terms and Conditions</w:t>
      </w:r>
    </w:p>
    <w:p>
      <w:pPr>
        <w:pStyle w:val="TextBody"/>
        <w:spacing w:lineRule="auto" w:line="288" w:before="240" w:after="283"/>
        <w:ind w:left="0" w:right="0" w:firstLine="720"/>
        <w:jc w:val="both"/>
        <w:rPr/>
      </w:pPr>
      <w:r>
        <w:rPr>
          <w:rFonts w:ascii="Times New Roman;sans-serif" w:hAnsi="Times New Roman;sans-serif"/>
          <w:b w:val="false"/>
          <w:color w:val="000000"/>
          <w:sz w:val="24"/>
        </w:rPr>
        <w:t>This Country Addendum includes additional terms and conditions that govern the Award of Restricted Stock granted pursuant to the terms and conditions of the Nautilus Biotechnology, Inc. 2021 Equity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and the Restricted Stock Award Agreement to which this Country Addendum is attached (the “</w:t>
      </w:r>
      <w:r>
        <w:rPr>
          <w:rFonts w:ascii="Times New Roman;sans-serif" w:hAnsi="Times New Roman;sans-serif"/>
          <w:b w:val="false"/>
          <w:color w:val="000000"/>
          <w:sz w:val="24"/>
          <w:u w:val="single"/>
        </w:rPr>
        <w:t>Restricted Stock Award Agreement</w:t>
      </w:r>
      <w:r>
        <w:rPr>
          <w:color w:val="000000"/>
        </w:rPr>
        <w:t>”</w:t>
      </w:r>
      <w:r>
        <w:rPr>
          <w:rFonts w:ascii="Times New Roman;sans-serif" w:hAnsi="Times New Roman;sans-serif"/>
          <w:b w:val="false"/>
          <w:color w:val="000000"/>
          <w:sz w:val="24"/>
        </w:rPr>
        <w:t>) to the extent the individual to whom the Shares of Restricted Stock were granted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pStyle w:val="TextBody"/>
        <w:spacing w:lineRule="auto" w:line="288" w:before="240" w:after="283"/>
        <w:jc w:val="both"/>
        <w:rPr>
          <w:rFonts w:ascii="Times New Roman;sans-serif" w:hAnsi="Times New Roman;sans-serif"/>
          <w:b/>
          <w:i/>
          <w:color w:val="000000"/>
          <w:sz w:val="24"/>
        </w:rPr>
      </w:pPr>
      <w:r>
        <w:rPr>
          <w:rFonts w:ascii="Times New Roman;sans-serif" w:hAnsi="Times New Roman;sans-serif"/>
          <w:b/>
          <w:i/>
          <w:color w:val="000000"/>
          <w:sz w:val="24"/>
        </w:rPr>
        <w:t>Notifications</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 .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 </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 </w:t>
      </w:r>
    </w:p>
    <w:p>
      <w:pPr>
        <w:pStyle w:val="TextBody"/>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Finally, if Participant is a citizen or resident of a country other than the one in which Participant currently is residing and/or working, transfers residence and/or employment to </w:t>
      </w:r>
      <w:r>
        <w:br w:type="page"/>
      </w:r>
    </w:p>
    <w:p>
      <w:pPr>
        <w:pStyle w:val="TextBody"/>
        <w:spacing w:before="0" w:after="0"/>
        <w:rPr/>
      </w:pPr>
      <w:r>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480175" cy="176530"/>
                <wp:effectExtent l="0" t="0" r="0" b="0"/>
                <wp:wrapNone/>
                <wp:docPr id="727" name="Frame703"/>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another country after the grant of the Shares of Restricted Stock, or is considered a resident of another country for local law purposes, the information in this Country Addendum may not apply to Participant in the same manner.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10.11</w:t>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6480175" cy="175260"/>
                <wp:effectExtent l="0" t="0" r="0" b="0"/>
                <wp:wrapNone/>
                <wp:docPr id="728" name="Frame7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 xml:space="preserve">NAUTILUS BIOTECHNOLOGY, INC. </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2017 EQUITY INCENTIVE PLAN</w:t>
      </w:r>
    </w:p>
    <w:p>
      <w:pPr>
        <w:pStyle w:val="TextBody"/>
        <w:spacing w:lineRule="auto" w:line="288" w:before="0" w:after="18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Purposes of the Plan</w:t>
      </w:r>
      <w:r>
        <w:rPr>
          <w:rFonts w:ascii="Times New Roman;sans-serif" w:hAnsi="Times New Roman;sans-serif"/>
          <w:b w:val="false"/>
          <w:color w:val="000000"/>
          <w:sz w:val="24"/>
        </w:rPr>
        <w:t>. The purposes of this Plan are:</w:t>
      </w:r>
    </w:p>
    <w:p>
      <w:pPr>
        <w:pStyle w:val="TextBody"/>
        <w:spacing w:lineRule="auto" w:line="288" w:before="0" w:after="180"/>
        <w:ind w:left="0" w:right="0" w:hanging="720"/>
        <w:jc w:val="both"/>
        <w:rPr/>
      </w:pPr>
      <w:r>
        <w:rPr>
          <w:color w:val="000000"/>
        </w:rPr>
        <w:t>•</w:t>
      </w:r>
      <w:r>
        <w:rPr>
          <w:rFonts w:ascii="Times New Roman;sans-serif" w:hAnsi="Times New Roman;sans-serif"/>
          <w:b w:val="false"/>
          <w:color w:val="000000"/>
          <w:sz w:val="24"/>
        </w:rPr>
        <w:t>to attract and retain the best available personnel for positions of substantial responsibility,</w:t>
      </w:r>
    </w:p>
    <w:p>
      <w:pPr>
        <w:pStyle w:val="TextBody"/>
        <w:spacing w:lineRule="auto" w:line="288" w:before="0" w:after="180"/>
        <w:ind w:left="0" w:right="0" w:hanging="720"/>
        <w:jc w:val="both"/>
        <w:rPr/>
      </w:pPr>
      <w:r>
        <w:rPr>
          <w:color w:val="000000"/>
        </w:rPr>
        <w:t>•</w:t>
      </w:r>
      <w:r>
        <w:rPr>
          <w:rFonts w:ascii="Times New Roman;sans-serif" w:hAnsi="Times New Roman;sans-serif"/>
          <w:b w:val="false"/>
          <w:color w:val="000000"/>
          <w:sz w:val="24"/>
        </w:rPr>
        <w:t>to provide additional incentive to Employees, Directors and Consultants, and</w:t>
      </w:r>
    </w:p>
    <w:p>
      <w:pPr>
        <w:pStyle w:val="TextBody"/>
        <w:spacing w:lineRule="auto" w:line="288" w:before="0" w:after="180"/>
        <w:ind w:left="0" w:right="0" w:hanging="720"/>
        <w:jc w:val="both"/>
        <w:rPr/>
      </w:pPr>
      <w:r>
        <w:rPr>
          <w:color w:val="000000"/>
        </w:rPr>
        <w:t>•</w:t>
      </w:r>
      <w:r>
        <w:rPr>
          <w:rFonts w:ascii="Times New Roman;sans-serif" w:hAnsi="Times New Roman;sans-serif"/>
          <w:b w:val="false"/>
          <w:color w:val="000000"/>
          <w:sz w:val="24"/>
        </w:rPr>
        <w:t>to promote the success of the Company’s business.</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Plan permits the grant of Incentive Stock Options, Nonstatutory Stock Options, Stock Appreciation Rights, Restricted Stock and Restricted Stock Units.</w:t>
      </w:r>
    </w:p>
    <w:p>
      <w:pPr>
        <w:pStyle w:val="TextBody"/>
        <w:spacing w:lineRule="auto" w:line="288" w:before="0" w:after="18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used herein, the following definitions will apply:</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means the Board or any of its Committees as will be administering the Plan, in accordance with Section 4 of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Applicable Laws</w:t>
      </w:r>
      <w:r>
        <w:rPr>
          <w:color w:val="000000"/>
        </w:rPr>
        <w:t xml:space="preserve">” </w:t>
      </w:r>
      <w:r>
        <w:rPr>
          <w:rFonts w:ascii="Times New Roman;sans-serif" w:hAnsi="Times New Roman;sans-serif"/>
          <w:b w:val="false"/>
          <w:color w:val="000000"/>
          <w:sz w:val="24"/>
        </w:rPr>
        <w:t>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means, individually or collectively, a grant under the Plan of Options, Stock Appreciation Rights, Restricted Stock, or Restricted Stock Units.</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Award Agreement</w:t>
      </w:r>
      <w:r>
        <w:rPr>
          <w:color w:val="000000"/>
        </w:rPr>
        <w:t xml:space="preserve">” </w:t>
      </w:r>
      <w:r>
        <w:rPr>
          <w:rFonts w:ascii="Times New Roman;sans-serif" w:hAnsi="Times New Roman;sans-serif"/>
          <w:b w:val="false"/>
          <w:color w:val="000000"/>
          <w:sz w:val="24"/>
        </w:rPr>
        <w:t>means the written or electronic agreement setting forth the terms and provisions applicable to each Award granted under the Plan. The Award Agreement is subject to the terms and conditions of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spacing w:lineRule="auto" w:line="288" w:before="0" w:after="180"/>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occurrence of any of the following events:</w:t>
      </w:r>
    </w:p>
    <w:p>
      <w:pPr>
        <w:pStyle w:val="TextBody"/>
        <w:spacing w:lineRule="auto" w:line="288" w:before="0" w:after="18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Change in Ownership of the Company</w:t>
      </w:r>
      <w:r>
        <w:rPr>
          <w:rFonts w:ascii="Times New Roman;sans-serif" w:hAnsi="Times New Roman;sans-serif"/>
          <w:b w:val="false"/>
          <w:color w:val="000000"/>
          <w:sz w:val="24"/>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pStyle w:val="TextBody"/>
        <w:spacing w:lineRule="auto" w:line="288" w:before="0" w:after="18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Change in Effective Control of the Company</w:t>
      </w:r>
      <w:r>
        <w:rPr>
          <w:rFonts w:ascii="Times New Roman;sans-serif" w:hAnsi="Times New Roman;sans-serif"/>
          <w:b w:val="false"/>
          <w:color w:val="000000"/>
          <w:sz w:val="24"/>
        </w:rPr>
        <w:t xml:space="preserve">. If the Company has a class of securities registered pursuant to Section 12 of the Exchange Act, a change in the effective control of the Company which occurs on the date that a majority of members of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480175" cy="175260"/>
                <wp:effectExtent l="0" t="0" r="0" b="0"/>
                <wp:wrapNone/>
                <wp:docPr id="729" name="Frame7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spacing w:lineRule="auto" w:line="288" w:before="0" w:after="18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Change in Ownership of a Substantial Portion of the Company’s Assets</w:t>
      </w:r>
      <w:r>
        <w:rPr>
          <w:rFonts w:ascii="Times New Roman;sans-serif" w:hAnsi="Times New Roman;sans-serif"/>
          <w:b w:val="false"/>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2(f), persons will be considered to be acting as a group if they are owners of a corporation that enters into a merger, consolidation, purchase or acquisition of stock, or similar business transaction with the Company.</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spacing w:lineRule="auto" w:line="288" w:before="0" w:after="18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Any reference to a section of the Code herein will be a reference to any successor or amended section of the Code.</w:t>
      </w:r>
    </w:p>
    <w:p>
      <w:pPr>
        <w:pStyle w:val="TextBody"/>
        <w:spacing w:lineRule="auto" w:line="288" w:before="0" w:after="18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a committee of Directors or of other individuals satisfying Applicable Laws appointed by the Board, or by the compensation committee of the Board, in accordance with Section 4 hereof.</w:t>
      </w:r>
    </w:p>
    <w:p>
      <w:pPr>
        <w:pStyle w:val="TextBody"/>
        <w:spacing w:lineRule="auto" w:line="288" w:before="0" w:after="1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Common Stock</w:t>
      </w:r>
      <w:r>
        <w:rPr>
          <w:color w:val="000000"/>
        </w:rPr>
        <w:t xml:space="preserve">” </w:t>
      </w:r>
      <w:r>
        <w:rPr>
          <w:rFonts w:ascii="Times New Roman;sans-serif" w:hAnsi="Times New Roman;sans-serif"/>
          <w:b w:val="false"/>
          <w:color w:val="000000"/>
          <w:sz w:val="24"/>
        </w:rPr>
        <w:t>means the common stock of the Company.</w:t>
      </w:r>
    </w:p>
    <w:p>
      <w:pPr>
        <w:pStyle w:val="TextBody"/>
        <w:spacing w:lineRule="auto" w:line="288" w:before="0" w:after="18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Nautilus Biotechnology, Inc., a Delaware corporation, or any successor thereto.</w:t>
      </w:r>
    </w:p>
    <w:p>
      <w:pPr>
        <w:pStyle w:val="TextBody"/>
        <w:spacing w:lineRule="auto" w:line="288" w:before="0" w:after="18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Consultant</w:t>
      </w:r>
      <w:r>
        <w:rPr>
          <w:color w:val="000000"/>
        </w:rPr>
        <w:t xml:space="preserve">” </w:t>
      </w:r>
      <w:r>
        <w:rPr>
          <w:rFonts w:ascii="Times New Roman;sans-serif" w:hAnsi="Times New Roman;sans-serif"/>
          <w:b w:val="false"/>
          <w:color w:val="000000"/>
          <w:sz w:val="24"/>
        </w:rPr>
        <w:t xml:space="preserve">means any natural person, including an advisor, engaged by the Company or a Parent or Subsidiary to render bona fide services to such entity, provided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480175" cy="175260"/>
                <wp:effectExtent l="0" t="0" r="0" b="0"/>
                <wp:wrapNone/>
                <wp:docPr id="730" name="Frame7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services (i) are not in connection with the offer or sale of securities in a capital-raising transaction, and (ii) do not directly promote or maintain a market for the Company’s securities.</w:t>
      </w:r>
    </w:p>
    <w:p>
      <w:pPr>
        <w:pStyle w:val="TextBody"/>
        <w:spacing w:lineRule="auto" w:line="288" w:before="0" w:after="18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Director</w:t>
      </w:r>
      <w:r>
        <w:rPr>
          <w:color w:val="000000"/>
        </w:rPr>
        <w:t xml:space="preserve">” </w:t>
      </w:r>
      <w:r>
        <w:rPr>
          <w:rFonts w:ascii="Times New Roman;sans-serif" w:hAnsi="Times New Roman;sans-serif"/>
          <w:b w:val="false"/>
          <w:color w:val="000000"/>
          <w:sz w:val="24"/>
        </w:rPr>
        <w:t>means a member of the Board.</w:t>
      </w:r>
    </w:p>
    <w:p>
      <w:pPr>
        <w:pStyle w:val="TextBody"/>
        <w:spacing w:lineRule="auto" w:line="288" w:before="0" w:after="18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spacing w:lineRule="auto" w:line="288" w:before="0" w:after="18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spacing w:lineRule="auto" w:line="288" w:before="0" w:after="180"/>
        <w:ind w:left="0" w:right="0" w:firstLine="144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spacing w:lineRule="auto" w:line="288" w:before="0" w:after="180"/>
        <w:ind w:left="0" w:right="0" w:firstLine="1440"/>
        <w:jc w:val="both"/>
        <w:rPr/>
      </w:pPr>
      <w:r>
        <w:rPr>
          <w:rFonts w:ascii="Times New Roman;sans-serif" w:hAnsi="Times New Roman;sans-serif"/>
          <w:b w:val="false"/>
          <w:color w:val="000000"/>
          <w:sz w:val="24"/>
        </w:rPr>
        <w:t>(p)    “</w:t>
      </w:r>
      <w:r>
        <w:rPr>
          <w:rFonts w:ascii="Times New Roman;sans-serif" w:hAnsi="Times New Roman;sans-serif"/>
          <w:b w:val="false"/>
          <w:color w:val="000000"/>
          <w:sz w:val="24"/>
          <w:u w:val="single"/>
        </w:rPr>
        <w:t>Exchange Program</w:t>
      </w:r>
      <w:r>
        <w:rPr>
          <w:color w:val="000000"/>
        </w:rPr>
        <w:t xml:space="preserve">” </w:t>
      </w:r>
      <w:r>
        <w:rPr>
          <w:rFonts w:ascii="Times New Roman;sans-serif" w:hAnsi="Times New Roman;sans-serif"/>
          <w:b w:val="false"/>
          <w:color w:val="000000"/>
          <w:sz w:val="24"/>
        </w:rPr>
        <w:t>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pStyle w:val="TextBody"/>
        <w:spacing w:lineRule="auto" w:line="288" w:before="0" w:after="180"/>
        <w:ind w:left="0" w:right="0" w:firstLine="144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means, as of any date, the value of Common Stock determined as follows:</w:t>
      </w:r>
    </w:p>
    <w:p>
      <w:pPr>
        <w:pStyle w:val="TextBody"/>
        <w:spacing w:lineRule="auto" w:line="288" w:before="0" w:after="180"/>
        <w:ind w:left="0" w:right="0" w:firstLine="2304"/>
        <w:jc w:val="both"/>
        <w:rPr>
          <w:rFonts w:ascii="Times New Roman;sans-serif" w:hAnsi="Times New Roman;sans-serif"/>
          <w:b w:val="false"/>
          <w:color w:val="000000"/>
          <w:sz w:val="24"/>
        </w:rPr>
      </w:pPr>
      <w:r>
        <w:rPr>
          <w:rFonts w:ascii="Times New Roman;sans-serif" w:hAnsi="Times New Roman;sans-serif"/>
          <w:b w:val="false"/>
          <w:color w:val="000000"/>
          <w:sz w:val="24"/>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w:t>
      </w:r>
    </w:p>
    <w:p>
      <w:pPr>
        <w:pStyle w:val="TextBody"/>
        <w:spacing w:lineRule="auto" w:line="288" w:before="0" w:after="180"/>
        <w:jc w:val="both"/>
        <w:rPr/>
      </w:pPr>
      <w:r>
        <w:rPr>
          <w:rFonts w:ascii="Times New Roman;sans-serif" w:hAnsi="Times New Roman;sans-serif"/>
          <w:b w:val="false"/>
          <w:color w:val="000000"/>
          <w:sz w:val="24"/>
        </w:rPr>
        <w:t xml:space="preserve">on such exchange or system on the day of determination, as reported in </w:t>
      </w:r>
      <w:r>
        <w:rPr>
          <w:rFonts w:ascii="Times New Roman;sans-serif" w:hAnsi="Times New Roman;sans-serif"/>
          <w:b w:val="false"/>
          <w:i/>
          <w:color w:val="000000"/>
          <w:sz w:val="24"/>
        </w:rPr>
        <w:t xml:space="preserve">The Wall Street Journal </w:t>
      </w:r>
      <w:r>
        <w:rPr>
          <w:rFonts w:ascii="Times New Roman;sans-serif" w:hAnsi="Times New Roman;sans-serif"/>
          <w:b w:val="false"/>
          <w:color w:val="000000"/>
          <w:sz w:val="24"/>
        </w:rPr>
        <w:t>or such other source as the Administrator deems reliable;</w:t>
      </w:r>
    </w:p>
    <w:p>
      <w:pPr>
        <w:pStyle w:val="TextBody"/>
        <w:spacing w:lineRule="auto" w:line="288" w:before="0" w:after="180"/>
        <w:ind w:left="0" w:right="0" w:firstLine="2160"/>
        <w:jc w:val="both"/>
        <w:rPr/>
      </w:pPr>
      <w:r>
        <w:rPr>
          <w:rFonts w:ascii="Times New Roman;sans-serif" w:hAnsi="Times New Roman;sans-serif"/>
          <w:b w:val="false"/>
          <w:color w:val="000000"/>
          <w:sz w:val="24"/>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sans-serif" w:hAnsi="Times New Roman;sans-serif"/>
          <w:b w:val="false"/>
          <w:i/>
          <w:color w:val="000000"/>
          <w:sz w:val="24"/>
        </w:rPr>
        <w:t xml:space="preserve">The Wall Street Journal </w:t>
      </w:r>
      <w:r>
        <w:rPr>
          <w:rFonts w:ascii="Times New Roman;sans-serif" w:hAnsi="Times New Roman;sans-serif"/>
          <w:b w:val="false"/>
          <w:color w:val="000000"/>
          <w:sz w:val="24"/>
        </w:rPr>
        <w:t>or such other source as the Administrator deems reliable; or</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    In the absence of an established market for the Common Stock, the Fair Market Value will be determined in good faith by the Administrator.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480175" cy="175260"/>
                <wp:effectExtent l="0" t="0" r="0" b="0"/>
                <wp:wrapNone/>
                <wp:docPr id="731" name="Frame7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4"/>
        </w:rPr>
        <w:t>(r)    “</w:t>
      </w:r>
      <w:r>
        <w:rPr>
          <w:rFonts w:ascii="Times New Roman;sans-serif" w:hAnsi="Times New Roman;sans-serif"/>
          <w:b w:val="false"/>
          <w:color w:val="000000"/>
          <w:sz w:val="24"/>
          <w:u w:val="single"/>
        </w:rPr>
        <w:t>Incentive Stock Option</w:t>
      </w:r>
      <w:r>
        <w:rPr>
          <w:color w:val="000000"/>
        </w:rPr>
        <w:t xml:space="preserve">” </w:t>
      </w:r>
      <w:r>
        <w:rPr>
          <w:rFonts w:ascii="Times New Roman;sans-serif" w:hAnsi="Times New Roman;sans-serif"/>
          <w:b w:val="false"/>
          <w:color w:val="000000"/>
          <w:sz w:val="24"/>
        </w:rPr>
        <w:t>means an Option that by its terms qualifies and is otherwise intended to qualify as an incentive stock option within the meaning of Code Section 422 and the regulations promulgated thereunder.</w:t>
      </w:r>
    </w:p>
    <w:p>
      <w:pPr>
        <w:pStyle w:val="TextBody"/>
        <w:spacing w:lineRule="auto" w:line="288" w:before="0" w:after="180"/>
        <w:ind w:left="0" w:right="0" w:firstLine="1440"/>
        <w:jc w:val="both"/>
        <w:rPr/>
      </w:pPr>
      <w:r>
        <w:rPr>
          <w:rFonts w:ascii="Times New Roman;sans-serif" w:hAnsi="Times New Roman;sans-serif"/>
          <w:b w:val="false"/>
          <w:color w:val="000000"/>
          <w:sz w:val="24"/>
        </w:rPr>
        <w:t>(s)    “</w:t>
      </w:r>
      <w:r>
        <w:rPr>
          <w:rFonts w:ascii="Times New Roman;sans-serif" w:hAnsi="Times New Roman;sans-serif"/>
          <w:b w:val="false"/>
          <w:color w:val="000000"/>
          <w:sz w:val="24"/>
          <w:u w:val="single"/>
        </w:rPr>
        <w:t>Nonstatutory Stock Option</w:t>
      </w:r>
      <w:r>
        <w:rPr>
          <w:color w:val="000000"/>
        </w:rPr>
        <w:t xml:space="preserve">” </w:t>
      </w:r>
      <w:r>
        <w:rPr>
          <w:rFonts w:ascii="Times New Roman;sans-serif" w:hAnsi="Times New Roman;sans-serif"/>
          <w:b w:val="false"/>
          <w:color w:val="000000"/>
          <w:sz w:val="24"/>
        </w:rPr>
        <w:t>means an Option that by its terms does not qualify or is not intended to qualify as an Incentive Stock Option.</w:t>
      </w:r>
    </w:p>
    <w:p>
      <w:pPr>
        <w:pStyle w:val="TextBody"/>
        <w:spacing w:lineRule="auto" w:line="288" w:before="0" w:after="180"/>
        <w:ind w:left="0" w:right="0" w:firstLine="1440"/>
        <w:jc w:val="both"/>
        <w:rPr/>
      </w:pPr>
      <w:r>
        <w:rPr>
          <w:rFonts w:ascii="Times New Roman;sans-serif" w:hAnsi="Times New Roman;sans-serif"/>
          <w:b w:val="false"/>
          <w:color w:val="000000"/>
          <w:sz w:val="24"/>
        </w:rPr>
        <w:t>(t)    “</w:t>
      </w:r>
      <w:r>
        <w:rPr>
          <w:rFonts w:ascii="Times New Roman;sans-serif" w:hAnsi="Times New Roman;sans-serif"/>
          <w:b w:val="false"/>
          <w:color w:val="000000"/>
          <w:sz w:val="24"/>
          <w:u w:val="single"/>
        </w:rPr>
        <w:t>Option</w:t>
      </w:r>
      <w:r>
        <w:rPr>
          <w:color w:val="000000"/>
        </w:rPr>
        <w:t xml:space="preserve">” </w:t>
      </w:r>
      <w:r>
        <w:rPr>
          <w:rFonts w:ascii="Times New Roman;sans-serif" w:hAnsi="Times New Roman;sans-serif"/>
          <w:b w:val="false"/>
          <w:color w:val="000000"/>
          <w:sz w:val="24"/>
        </w:rPr>
        <w:t>means a stock option granted pursuant to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(u)    “</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means a “parent corporation,” whether now or hereafter existing, as defined in Code Section 424(e).</w:t>
      </w:r>
    </w:p>
    <w:p>
      <w:pPr>
        <w:pStyle w:val="TextBody"/>
        <w:spacing w:lineRule="auto" w:line="288" w:before="0" w:after="18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means the holder of an outstanding Award.</w:t>
      </w:r>
    </w:p>
    <w:p>
      <w:pPr>
        <w:pStyle w:val="TextBody"/>
        <w:spacing w:lineRule="auto" w:line="288" w:before="0" w:after="180"/>
        <w:ind w:left="0" w:right="0" w:firstLine="1440"/>
        <w:jc w:val="both"/>
        <w:rPr/>
      </w:pPr>
      <w:r>
        <w:rPr>
          <w:rFonts w:ascii="Times New Roman;sans-serif" w:hAnsi="Times New Roman;sans-serif"/>
          <w:b w:val="false"/>
          <w:color w:val="000000"/>
          <w:sz w:val="24"/>
        </w:rPr>
        <w:t>(w)    “</w:t>
      </w:r>
      <w:r>
        <w:rPr>
          <w:rFonts w:ascii="Times New Roman;sans-serif" w:hAnsi="Times New Roman;sans-serif"/>
          <w:b w:val="false"/>
          <w:color w:val="000000"/>
          <w:sz w:val="24"/>
          <w:u w:val="single"/>
        </w:rPr>
        <w:t>Period of Restriction</w:t>
      </w:r>
      <w:r>
        <w:rPr>
          <w:color w:val="000000"/>
        </w:rPr>
        <w:t xml:space="preserve">” </w:t>
      </w:r>
      <w:r>
        <w:rPr>
          <w:rFonts w:ascii="Times New Roman;sans-serif" w:hAnsi="Times New Roman;sans-serif"/>
          <w:b w:val="false"/>
          <w:color w:val="000000"/>
          <w:sz w:val="24"/>
        </w:rPr>
        <w:t>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spacing w:lineRule="auto" w:line="288" w:before="0" w:after="180"/>
        <w:ind w:left="0" w:right="0" w:firstLine="1440"/>
        <w:jc w:val="both"/>
        <w:rPr/>
      </w:pPr>
      <w:r>
        <w:rPr>
          <w:rFonts w:ascii="Times New Roman;sans-serif" w:hAnsi="Times New Roman;sans-serif"/>
          <w:b w:val="false"/>
          <w:color w:val="000000"/>
          <w:sz w:val="24"/>
        </w:rPr>
        <w:t>(x)    “</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this 2017 Equity Incentive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(y)    “</w:t>
      </w:r>
      <w:r>
        <w:rPr>
          <w:rFonts w:ascii="Times New Roman;sans-serif" w:hAnsi="Times New Roman;sans-serif"/>
          <w:b w:val="false"/>
          <w:color w:val="000000"/>
          <w:sz w:val="24"/>
          <w:u w:val="single"/>
        </w:rPr>
        <w:t>Restricted Stock</w:t>
      </w:r>
      <w:r>
        <w:rPr>
          <w:color w:val="000000"/>
        </w:rPr>
        <w:t xml:space="preserve">” </w:t>
      </w:r>
      <w:r>
        <w:rPr>
          <w:rFonts w:ascii="Times New Roman;sans-serif" w:hAnsi="Times New Roman;sans-serif"/>
          <w:b w:val="false"/>
          <w:color w:val="000000"/>
          <w:sz w:val="24"/>
        </w:rPr>
        <w:t>means Shares issued pursuant to an Award of Restricted Stock under Section 8 of the Plan, or issued pursuant to the early exercise of an Option.</w:t>
      </w:r>
    </w:p>
    <w:p>
      <w:pPr>
        <w:pStyle w:val="TextBody"/>
        <w:spacing w:lineRule="auto" w:line="288" w:before="0" w:after="180"/>
        <w:ind w:left="0" w:right="0" w:firstLine="1440"/>
        <w:jc w:val="both"/>
        <w:rPr/>
      </w:pPr>
      <w:r>
        <w:rPr>
          <w:rFonts w:ascii="Times New Roman;sans-serif" w:hAnsi="Times New Roman;sans-serif"/>
          <w:b w:val="false"/>
          <w:color w:val="000000"/>
          <w:sz w:val="24"/>
        </w:rPr>
        <w:t>(z)    “</w:t>
      </w:r>
      <w:r>
        <w:rPr>
          <w:rFonts w:ascii="Times New Roman;sans-serif" w:hAnsi="Times New Roman;sans-serif"/>
          <w:b w:val="false"/>
          <w:color w:val="000000"/>
          <w:sz w:val="24"/>
          <w:u w:val="single"/>
        </w:rPr>
        <w:t>Restricted Stock Unit</w:t>
      </w:r>
      <w:r>
        <w:rPr>
          <w:color w:val="000000"/>
        </w:rPr>
        <w:t xml:space="preserve">” </w:t>
      </w:r>
      <w:r>
        <w:rPr>
          <w:rFonts w:ascii="Times New Roman;sans-serif" w:hAnsi="Times New Roman;sans-serif"/>
          <w:b w:val="false"/>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spacing w:lineRule="auto" w:line="288" w:before="0" w:after="180"/>
        <w:jc w:val="center"/>
        <w:rPr/>
      </w:pPr>
      <w:r>
        <w:rPr>
          <w:rFonts w:ascii="Times New Roman;sans-serif" w:hAnsi="Times New Roman;sans-serif"/>
          <w:b w:val="false"/>
          <w:color w:val="000000"/>
          <w:sz w:val="24"/>
        </w:rPr>
        <w:t>(aa) “</w:t>
      </w:r>
      <w:r>
        <w:rPr>
          <w:rFonts w:ascii="Times New Roman;sans-serif" w:hAnsi="Times New Roman;sans-serif"/>
          <w:b w:val="false"/>
          <w:color w:val="000000"/>
          <w:sz w:val="24"/>
          <w:u w:val="single"/>
        </w:rPr>
        <w:t>Service Provider</w:t>
      </w:r>
      <w:r>
        <w:rPr>
          <w:color w:val="000000"/>
        </w:rPr>
        <w:t xml:space="preserve">” </w:t>
      </w:r>
      <w:r>
        <w:rPr>
          <w:rFonts w:ascii="Times New Roman;sans-serif" w:hAnsi="Times New Roman;sans-serif"/>
          <w:b w:val="false"/>
          <w:color w:val="000000"/>
          <w:sz w:val="24"/>
        </w:rPr>
        <w:t>means an Employee, Director or Consultant.</w:t>
      </w:r>
    </w:p>
    <w:p>
      <w:pPr>
        <w:pStyle w:val="TextBody"/>
        <w:spacing w:lineRule="auto" w:line="288" w:before="0" w:after="180"/>
        <w:ind w:left="0" w:right="0" w:firstLine="1440"/>
        <w:jc w:val="both"/>
        <w:rPr/>
      </w:pPr>
      <w:r>
        <w:rPr>
          <w:rFonts w:ascii="Times New Roman;sans-serif" w:hAnsi="Times New Roman;sans-serif"/>
          <w:b w:val="false"/>
          <w:color w:val="000000"/>
          <w:sz w:val="24"/>
        </w:rPr>
        <w:t>(bb) “</w:t>
      </w:r>
      <w:r>
        <w:rPr>
          <w:rFonts w:ascii="Times New Roman;sans-serif" w:hAnsi="Times New Roman;sans-serif"/>
          <w:b w:val="false"/>
          <w:color w:val="000000"/>
          <w:sz w:val="24"/>
          <w:u w:val="single"/>
        </w:rPr>
        <w:t>Share</w:t>
      </w:r>
      <w:r>
        <w:rPr>
          <w:color w:val="000000"/>
        </w:rPr>
        <w:t xml:space="preserve">” </w:t>
      </w:r>
      <w:r>
        <w:rPr>
          <w:rFonts w:ascii="Times New Roman;sans-serif" w:hAnsi="Times New Roman;sans-serif"/>
          <w:b w:val="false"/>
          <w:color w:val="000000"/>
          <w:sz w:val="24"/>
        </w:rPr>
        <w:t>means a share of the Common Stock, as adjusted in accordance with Section 13 of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(cc) “</w:t>
      </w:r>
      <w:r>
        <w:rPr>
          <w:rFonts w:ascii="Times New Roman;sans-serif" w:hAnsi="Times New Roman;sans-serif"/>
          <w:b w:val="false"/>
          <w:color w:val="000000"/>
          <w:sz w:val="24"/>
          <w:u w:val="single"/>
        </w:rPr>
        <w:t>Stock Appreciation Right</w:t>
      </w:r>
      <w:r>
        <w:rPr>
          <w:color w:val="000000"/>
        </w:rPr>
        <w:t xml:space="preserve">” </w:t>
      </w:r>
      <w:r>
        <w:rPr>
          <w:rFonts w:ascii="Times New Roman;sans-serif" w:hAnsi="Times New Roman;sans-serif"/>
          <w:b w:val="false"/>
          <w:color w:val="000000"/>
          <w:sz w:val="24"/>
        </w:rPr>
        <w:t>means an Award, granted alone or in connection with an Option, that pursuant to Section 7 is designated as a Stock Appreciation Right.</w:t>
      </w:r>
    </w:p>
    <w:p>
      <w:pPr>
        <w:pStyle w:val="TextBody"/>
        <w:spacing w:lineRule="auto" w:line="288" w:before="0" w:after="180"/>
        <w:ind w:left="0" w:right="0" w:firstLine="1440"/>
        <w:jc w:val="both"/>
        <w:rPr/>
      </w:pPr>
      <w:r>
        <w:rPr>
          <w:rFonts w:ascii="Times New Roman;sans-serif" w:hAnsi="Times New Roman;sans-serif"/>
          <w:b w:val="false"/>
          <w:color w:val="000000"/>
          <w:sz w:val="24"/>
        </w:rPr>
        <w:t>(dd) “</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 “subsidiary corporation,” whether now or hereafter existing, as defined in Code Section 424(f).</w:t>
      </w:r>
    </w:p>
    <w:p>
      <w:pPr>
        <w:pStyle w:val="TextBody"/>
        <w:spacing w:lineRule="auto" w:line="288" w:before="0" w:after="18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Stock Subject to the Plan</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Stock Subject to the Plan</w:t>
      </w:r>
      <w:r>
        <w:rPr>
          <w:rFonts w:ascii="Times New Roman;sans-serif" w:hAnsi="Times New Roman;sans-serif"/>
          <w:b w:val="false"/>
          <w:color w:val="000000"/>
          <w:sz w:val="24"/>
        </w:rPr>
        <w:t>. Subject to the provisions of Section 13 of the Plan, the maximum aggregate number of Shares that may be subject to Awards and sold under the Plan is 2,180,808 Shares. The Shares may be authorized but unissued, or reacquired Common Stock.</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Lapsed Awards</w:t>
      </w:r>
      <w:r>
        <w:rPr>
          <w:rFonts w:ascii="Times New Roman;sans-serif" w:hAnsi="Times New Roman;sans-serif"/>
          <w:b w:val="false"/>
          <w:color w:val="000000"/>
          <w:sz w:val="24"/>
        </w:rPr>
        <w:t xml:space="preserve">. If an Award expires or becomes unexercisable without having been exercised in full, is surrendered pursuant to an Exchange Program, or, with respect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480175" cy="175260"/>
                <wp:effectExtent l="0" t="0" r="0" b="0"/>
                <wp:wrapNone/>
                <wp:docPr id="732" name="Frame7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Share Reserve</w:t>
      </w:r>
      <w:r>
        <w:rPr>
          <w:rFonts w:ascii="Times New Roman;sans-serif" w:hAnsi="Times New Roman;sans-serif"/>
          <w:b w:val="false"/>
          <w:color w:val="000000"/>
          <w:sz w:val="24"/>
        </w:rPr>
        <w:t>. The Company, during the term of this Plan, will at all times reserve and keep available such number of Shares as will be sufficient to satisfy the requirements of the Plan.</w:t>
      </w:r>
    </w:p>
    <w:p>
      <w:pPr>
        <w:pStyle w:val="TextBody"/>
        <w:spacing w:lineRule="auto" w:line="288" w:before="0" w:after="180"/>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Administration of the Plan</w:t>
      </w:r>
      <w:r>
        <w:rPr>
          <w:rFonts w:ascii="Times New Roman;sans-serif" w:hAnsi="Times New Roman;sans-serif"/>
          <w:b w:val="false"/>
          <w:color w:val="000000"/>
          <w:sz w:val="24"/>
        </w:rPr>
        <w:t>.</w:t>
      </w:r>
      <w:r>
        <w:rPr>
          <w:color w:val="000000"/>
          <w:u w:val="single"/>
        </w:rPr>
        <w:t xml:space="preserve"> </w:t>
      </w:r>
    </w:p>
    <w:p>
      <w:pPr>
        <w:pStyle w:val="TextBody"/>
        <w:spacing w:lineRule="auto" w:line="288" w:before="0" w:after="18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Procedure</w:t>
      </w:r>
      <w:r>
        <w:rPr>
          <w:rFonts w:ascii="Times New Roman;sans-serif" w:hAnsi="Times New Roman;sans-serif"/>
          <w:b w:val="false"/>
          <w:color w:val="000000"/>
          <w:sz w:val="24"/>
        </w:rPr>
        <w:t>.</w:t>
      </w:r>
    </w:p>
    <w:p>
      <w:pPr>
        <w:pStyle w:val="TextBody"/>
        <w:spacing w:lineRule="auto" w:line="288" w:before="0" w:after="18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Multiple Administrative Bodies</w:t>
      </w:r>
      <w:r>
        <w:rPr>
          <w:rFonts w:ascii="Times New Roman;sans-serif" w:hAnsi="Times New Roman;sans-serif"/>
          <w:b w:val="false"/>
          <w:color w:val="000000"/>
          <w:sz w:val="24"/>
        </w:rPr>
        <w:t>. Different Committees with respect to different groups of Service Providers may administer the Plan.</w:t>
      </w:r>
    </w:p>
    <w:p>
      <w:pPr>
        <w:pStyle w:val="TextBody"/>
        <w:spacing w:lineRule="auto" w:line="288" w:before="0" w:after="18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Other Administration</w:t>
      </w:r>
      <w:r>
        <w:rPr>
          <w:rFonts w:ascii="Times New Roman;sans-serif" w:hAnsi="Times New Roman;sans-serif"/>
          <w:b w:val="false"/>
          <w:color w:val="000000"/>
          <w:sz w:val="24"/>
        </w:rPr>
        <w:t>. Other than as provided above, the Plan will be administered by (A) the Board or (B) a Committee, which Committee will be constituted to satisfy Applicable Laws.</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Powers of the Administrator</w:t>
      </w:r>
      <w:r>
        <w:rPr>
          <w:rFonts w:ascii="Times New Roman;sans-serif" w:hAnsi="Times New Roman;sans-serif"/>
          <w:b w:val="false"/>
          <w:color w:val="000000"/>
          <w:sz w:val="24"/>
        </w:rPr>
        <w:t>. Subject to the provisions of the Plan, and in the case of a Committee, subject to the specific duties delegated by the Board to such Committee, the Administrator will have the authority, in its discretion:</w:t>
      </w:r>
    </w:p>
    <w:p>
      <w:pPr>
        <w:pStyle w:val="TextBody"/>
        <w:spacing w:lineRule="auto" w:line="288" w:before="0" w:after="180"/>
        <w:ind w:left="0" w:right="0" w:firstLine="2232"/>
        <w:rPr>
          <w:rFonts w:ascii="Times New Roman;sans-serif" w:hAnsi="Times New Roman;sans-serif"/>
          <w:b w:val="false"/>
          <w:color w:val="000000"/>
          <w:sz w:val="24"/>
        </w:rPr>
      </w:pPr>
      <w:r>
        <w:rPr>
          <w:rFonts w:ascii="Times New Roman;sans-serif" w:hAnsi="Times New Roman;sans-serif"/>
          <w:b w:val="false"/>
          <w:color w:val="000000"/>
          <w:sz w:val="24"/>
        </w:rPr>
        <w:t>(i)    to determine the Fair Market Value;</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(ii)    to select the Service Providers to whom Awards may be granted hereunder;</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(iii)    to determine the number of Shares to be covered by each Award granted hereunder;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6480175" cy="175260"/>
                <wp:effectExtent l="0" t="0" r="0" b="0"/>
                <wp:wrapNone/>
                <wp:docPr id="733" name="Frame7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(iv)    to approve forms of Award Agreements for use under the Plan;</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(vi)    to institute and determine the terms and conditions of an Exchange Program including, subject to Section 18(c), to unilaterally implement an Exchange Program without the consent of the applicable Award holder;</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(vii)    to construe and interpret the terms of the Plan and Awards granted pursuant to the Plan;</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(viii)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(ix)    to modify or amend each Award (subject to Section 18(c) of the Plan), including but not limited to the discretionary authority to extend the post-termination exercisability period of Awards and to extend the maximum term of an Option (subject to Section 6(d));</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(x)    to allow Participants to satisfy withholding tax obligations in a manner prescribed in Section 14;</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(xi)    to authorize any person to execute on behalf of the Company any instrument required to effect the grant of an Award previously granted by the Administrator;</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(xii)    to allow a Participant to defer the receipt of the payment of cash or the delivery of Shares that otherwise would be due to such Participant under an Award; and</w:t>
      </w:r>
    </w:p>
    <w:p>
      <w:pPr>
        <w:pStyle w:val="TextBody"/>
        <w:spacing w:lineRule="auto" w:line="288" w:before="0" w:after="180"/>
        <w:ind w:left="0" w:right="0" w:firstLine="2232"/>
        <w:jc w:val="both"/>
        <w:rPr>
          <w:rFonts w:ascii="Times New Roman;sans-serif" w:hAnsi="Times New Roman;sans-serif"/>
          <w:b w:val="false"/>
          <w:color w:val="000000"/>
          <w:sz w:val="24"/>
        </w:rPr>
      </w:pPr>
      <w:r>
        <w:rPr>
          <w:rFonts w:ascii="Times New Roman;sans-serif" w:hAnsi="Times New Roman;sans-serif"/>
          <w:b w:val="false"/>
          <w:color w:val="000000"/>
          <w:sz w:val="24"/>
        </w:rPr>
        <w:t>(xiii)    to make all other determinations deemed necessary or advisable for administering the Plan.</w:t>
      </w:r>
    </w:p>
    <w:p>
      <w:pPr>
        <w:pStyle w:val="TextBody"/>
        <w:spacing w:lineRule="auto" w:line="288" w:before="0" w:after="18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Effect of Administrator’s Decision</w:t>
      </w:r>
      <w:r>
        <w:rPr>
          <w:rFonts w:ascii="Times New Roman;sans-serif" w:hAnsi="Times New Roman;sans-serif"/>
          <w:b w:val="false"/>
          <w:color w:val="000000"/>
          <w:sz w:val="24"/>
        </w:rPr>
        <w:t>.    The Administrator’s decisions,</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determinations and interpretations will be final and binding on all Participants and any other holders of Awards.</w:t>
      </w:r>
    </w:p>
    <w:p>
      <w:pPr>
        <w:pStyle w:val="TextBody"/>
        <w:spacing w:lineRule="auto" w:line="288" w:before="0" w:after="18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Nonstatutory Stock Options, Stock Appreciation Rights, Restricted Stock, and Restricted Stock Units may be granted to Service Providers. Incentive Stock Options may be granted only to Employees.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6480175" cy="175260"/>
                <wp:effectExtent l="0" t="0" r="0" b="0"/>
                <wp:wrapNone/>
                <wp:docPr id="734" name="Frame7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Stock Options</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Grant of Options</w:t>
      </w:r>
      <w:r>
        <w:rPr>
          <w:rFonts w:ascii="Times New Roman;sans-serif" w:hAnsi="Times New Roman;sans-serif"/>
          <w:b w:val="false"/>
          <w:color w:val="000000"/>
          <w:sz w:val="24"/>
        </w:rPr>
        <w:t>. Subject to the terms and provisions of the Plan, the Administrator, at any time and from time to time, may grant Options in such amounts as the Administrator, in its sole discretion,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Option Agreement</w:t>
      </w:r>
      <w:r>
        <w:rPr>
          <w:rFonts w:ascii="Times New Roman;sans-serif" w:hAnsi="Times New Roman;sans-serif"/>
          <w:b w:val="false"/>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Limitations</w:t>
      </w:r>
      <w:r>
        <w:rPr>
          <w:rFonts w:ascii="Times New Roman;sans-serif" w:hAnsi="Times New Roman;sans-serif"/>
          <w:b w:val="false"/>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Term of Option</w:t>
      </w:r>
      <w:r>
        <w:rPr>
          <w:rFonts w:ascii="Times New Roman;sans-serif" w:hAnsi="Times New Roman;sans-serif"/>
          <w:b w:val="false"/>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Option Exercise Price and Consideration</w:t>
      </w:r>
      <w:r>
        <w:rPr>
          <w:rFonts w:ascii="Times New Roman;sans-serif" w:hAnsi="Times New Roman;sans-serif"/>
          <w:b w:val="false"/>
          <w:color w:val="000000"/>
          <w:sz w:val="24"/>
        </w:rPr>
        <w:t>.</w:t>
      </w:r>
    </w:p>
    <w:p>
      <w:pPr>
        <w:pStyle w:val="TextBody"/>
        <w:spacing w:lineRule="auto" w:line="288" w:before="0" w:after="180"/>
        <w:ind w:left="0" w:right="0" w:firstLine="2232"/>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pStyle w:val="TextBody"/>
        <w:spacing w:lineRule="auto" w:line="288" w:before="0" w:after="180"/>
        <w:ind w:left="0" w:right="0" w:firstLine="2232"/>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Waiting Period and Exercise Dates</w:t>
      </w:r>
      <w:r>
        <w:rPr>
          <w:rFonts w:ascii="Times New Roman;sans-serif" w:hAnsi="Times New Roman;sans-serif"/>
          <w:b w:val="false"/>
          <w:color w:val="000000"/>
          <w:sz w:val="24"/>
        </w:rPr>
        <w:t>. At the time an Option is granted, the Administrator will fix the period within which the Option may be exercised and will determine any conditions that must be satisfied before the Option may be exercised.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6480175" cy="175260"/>
                <wp:effectExtent l="0" t="0" r="0" b="0"/>
                <wp:wrapNone/>
                <wp:docPr id="735" name="Frame7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180"/>
        <w:ind w:left="0" w:right="0" w:firstLine="2232"/>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Form of Consideration</w:t>
      </w:r>
      <w:r>
        <w:rPr>
          <w:rFonts w:ascii="Times New Roman;sans-serif" w:hAnsi="Times New Roman;sans-serif"/>
          <w:b w:val="false"/>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pStyle w:val="TextBody"/>
        <w:spacing w:lineRule="auto" w:line="288" w:before="0" w:after="180"/>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w:t>
      </w:r>
    </w:p>
    <w:p>
      <w:pPr>
        <w:pStyle w:val="TextBody"/>
        <w:spacing w:lineRule="auto" w:line="288" w:before="0" w:after="180"/>
        <w:ind w:left="0" w:right="0" w:firstLine="2232"/>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Procedure for Exercise; Rights as a Stockholder</w:t>
      </w:r>
      <w:r>
        <w:rPr>
          <w:rFonts w:ascii="Times New Roman;sans-serif" w:hAnsi="Times New Roman;sans-serif"/>
          <w:b w:val="false"/>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spacing w:lineRule="auto" w:line="288" w:before="0" w:after="18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pStyle w:val="TextBody"/>
        <w:spacing w:lineRule="auto" w:line="288" w:before="0" w:after="18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spacing w:lineRule="auto" w:line="288" w:before="0" w:after="18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Termination of Relationship as a Service Provider</w:t>
      </w:r>
      <w:r>
        <w:rPr>
          <w:rFonts w:ascii="Times New Roman;sans-serif" w:hAnsi="Times New Roman;sans-serif"/>
          <w:b w:val="false"/>
          <w:color w:val="000000"/>
          <w:sz w:val="24"/>
        </w:rPr>
        <w:t xml:space="preserve">.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6480175" cy="175260"/>
                <wp:effectExtent l="0" t="0" r="0" b="0"/>
                <wp:wrapNone/>
                <wp:docPr id="736" name="Frame7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spacing w:lineRule="auto" w:line="288" w:before="0" w:after="18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Disability of Participant</w:t>
      </w:r>
      <w:r>
        <w:rPr>
          <w:rFonts w:ascii="Times New Roman;sans-serif" w:hAnsi="Times New Roman;sans-serif"/>
          <w:b w:val="false"/>
          <w:color w:val="000000"/>
          <w:sz w:val="24"/>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spacing w:lineRule="auto" w:line="288" w:before="0" w:after="180"/>
        <w:ind w:left="0" w:right="0" w:firstLine="216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Death of Participant</w:t>
      </w:r>
      <w:r>
        <w:rPr>
          <w:rFonts w:ascii="Times New Roman;sans-serif" w:hAnsi="Times New Roman;sans-serif"/>
          <w:b w:val="false"/>
          <w:color w:val="000000"/>
          <w:sz w:val="24"/>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pStyle w:val="TextBody"/>
        <w:spacing w:lineRule="auto" w:line="288" w:before="0" w:after="180"/>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Stock Appreciation Rights</w:t>
      </w:r>
      <w:r>
        <w:rPr>
          <w:rFonts w:ascii="Times New Roman;sans-serif" w:hAnsi="Times New Roman;sans-serif"/>
          <w:b w:val="false"/>
          <w:color w:val="000000"/>
          <w:sz w:val="24"/>
        </w:rPr>
        <w:t>.</w:t>
      </w:r>
      <w:r>
        <w:rPr>
          <w:color w:val="000000"/>
          <w:u w:val="single"/>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Grant of Stock Appreciation Rights</w:t>
      </w:r>
      <w:r>
        <w:rPr>
          <w:rFonts w:ascii="Times New Roman;sans-serif" w:hAnsi="Times New Roman;sans-serif"/>
          <w:b w:val="false"/>
          <w:color w:val="000000"/>
          <w:sz w:val="24"/>
        </w:rPr>
        <w:t>. Subject to the terms and conditions of the Plan, a Stock Appreciation Right may be granted to Service Providers at any time and from time to time as will be determined by the Administrator, in its sole discretion.</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Number of Shares</w:t>
      </w:r>
      <w:r>
        <w:rPr>
          <w:rFonts w:ascii="Times New Roman;sans-serif" w:hAnsi="Times New Roman;sans-serif"/>
          <w:b w:val="false"/>
          <w:color w:val="000000"/>
          <w:sz w:val="24"/>
        </w:rPr>
        <w:t>. The Administrator will have complete discretion to determine the number of Shares subject to any Award of Stock Appreciation Rights.</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Exercise Price and Other Terms</w:t>
      </w:r>
      <w:r>
        <w:rPr>
          <w:rFonts w:ascii="Times New Roman;sans-serif" w:hAnsi="Times New Roman;sans-serif"/>
          <w:b w:val="false"/>
          <w:color w:val="000000"/>
          <w:sz w:val="24"/>
        </w:rPr>
        <w:t xml:space="preserve">.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6480175" cy="175260"/>
                <wp:effectExtent l="0" t="0" r="0" b="0"/>
                <wp:wrapNone/>
                <wp:docPr id="737" name="Frame7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discretion to determine the terms and conditions of Stock Appreciation Rights granted under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Stock Appreciation Right Agreement</w:t>
      </w:r>
      <w:r>
        <w:rPr>
          <w:rFonts w:ascii="Times New Roman;sans-serif" w:hAnsi="Times New Roman;sans-serif"/>
          <w:b w:val="false"/>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Expiration of Stock Appreciation Rights</w:t>
      </w:r>
      <w:r>
        <w:rPr>
          <w:rFonts w:ascii="Times New Roman;sans-serif" w:hAnsi="Times New Roman;sans-serif"/>
          <w:b w:val="false"/>
          <w:color w:val="000000"/>
          <w:sz w:val="24"/>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pStyle w:val="TextBody"/>
        <w:spacing w:lineRule="auto" w:line="288" w:before="0" w:after="18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Payment of Stock Appreciation Right Amount</w:t>
      </w:r>
      <w:r>
        <w:rPr>
          <w:rFonts w:ascii="Times New Roman;sans-serif" w:hAnsi="Times New Roman;sans-serif"/>
          <w:b w:val="false"/>
          <w:color w:val="000000"/>
          <w:sz w:val="24"/>
        </w:rPr>
        <w:t>. Upon exercise of a Stock Appreciation Right, a Participant will be entitled to receive payment from the Company in an amount determined by multiplying:</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the difference between the Fair Market Value of a Share on the date of exercise over the exercise price; times</w:t>
      </w:r>
    </w:p>
    <w:p>
      <w:pPr>
        <w:pStyle w:val="TextBody"/>
        <w:spacing w:lineRule="auto" w:line="288" w:before="0" w:after="18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the number of Shares with respect to which the Stock Appreciation Right is exercised.</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the discretion of the Administrator, the payment upon Stock Appreciation Right exercise may be in cash, in Shares of equivalent value, or in some combination thereof.</w:t>
      </w:r>
    </w:p>
    <w:p>
      <w:pPr>
        <w:pStyle w:val="TextBody"/>
        <w:spacing w:lineRule="auto" w:line="288" w:before="0" w:after="180"/>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Restricted Stock</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Grant of Restricted Stock</w:t>
      </w:r>
      <w:r>
        <w:rPr>
          <w:rFonts w:ascii="Times New Roman;sans-serif" w:hAnsi="Times New Roman;sans-serif"/>
          <w:b w:val="false"/>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Restricted Stock Agreement</w:t>
      </w:r>
      <w:r>
        <w:rPr>
          <w:rFonts w:ascii="Times New Roman;sans-serif" w:hAnsi="Times New Roman;sans-serif"/>
          <w:b w:val="false"/>
          <w:color w:val="000000"/>
          <w:sz w:val="24"/>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Other Restrictions</w:t>
      </w:r>
      <w:r>
        <w:rPr>
          <w:rFonts w:ascii="Times New Roman;sans-serif" w:hAnsi="Times New Roman;sans-serif"/>
          <w:b w:val="false"/>
          <w:color w:val="000000"/>
          <w:sz w:val="24"/>
        </w:rPr>
        <w:t>. The Administrator, in its sole discretion, may impose such other restrictions on Shares of Restricted Stock as it may deem advisable or appropriate.</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Removal of Restrictions</w:t>
      </w:r>
      <w:r>
        <w:rPr>
          <w:rFonts w:ascii="Times New Roman;sans-serif" w:hAnsi="Times New Roman;sans-serif"/>
          <w:b w:val="false"/>
          <w:color w:val="000000"/>
          <w:sz w:val="24"/>
        </w:rPr>
        <w:t xml:space="preserve">. Except as otherwise provided in this Section 8, Shares of Restricted Stock covered by each Restricted Stock grant made under the Plan will be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480175" cy="175260"/>
                <wp:effectExtent l="0" t="0" r="0" b="0"/>
                <wp:wrapNone/>
                <wp:docPr id="738" name="Frame7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spacing w:lineRule="auto" w:line="288" w:before="0" w:after="18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Voting Rights</w:t>
      </w:r>
      <w:r>
        <w:rPr>
          <w:rFonts w:ascii="Times New Roman;sans-serif" w:hAnsi="Times New Roman;sans-serif"/>
          <w:b w:val="false"/>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spacing w:lineRule="auto" w:line="288" w:before="0" w:after="18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Dividends and Other Distributions</w:t>
      </w:r>
      <w:r>
        <w:rPr>
          <w:rFonts w:ascii="Times New Roman;sans-serif" w:hAnsi="Times New Roman;sans-serif"/>
          <w:b w:val="false"/>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spacing w:lineRule="auto" w:line="288" w:before="0" w:after="18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Return of Restricted Stock to Company</w:t>
      </w:r>
      <w:r>
        <w:rPr>
          <w:rFonts w:ascii="Times New Roman;sans-serif" w:hAnsi="Times New Roman;sans-serif"/>
          <w:b w:val="false"/>
          <w:color w:val="000000"/>
          <w:sz w:val="24"/>
        </w:rPr>
        <w:t>. On the date set forth in the Award Agreement, the Restricted Stock for which restrictions have not lapsed will revert to the Company and again will become available for grant under the Plan.</w:t>
      </w:r>
    </w:p>
    <w:p>
      <w:pPr>
        <w:pStyle w:val="TextBody"/>
        <w:spacing w:lineRule="auto" w:line="288" w:before="0" w:after="180"/>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Restricted Stock Units</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Vesting Criteria and Other Terms</w:t>
      </w:r>
      <w:r>
        <w:rPr>
          <w:rFonts w:ascii="Times New Roman;sans-serif" w:hAnsi="Times New Roman;sans-serif"/>
          <w:b w:val="false"/>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 Restricted Stock Units</w:t>
      </w:r>
      <w:r>
        <w:rPr>
          <w:rFonts w:ascii="Times New Roman;sans-serif" w:hAnsi="Times New Roman;sans-serif"/>
          <w:b w:val="false"/>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Form and Timing of Payment</w:t>
      </w:r>
      <w:r>
        <w:rPr>
          <w:rFonts w:ascii="Times New Roman;sans-serif" w:hAnsi="Times New Roman;sans-serif"/>
          <w:b w:val="false"/>
          <w:color w:val="000000"/>
          <w:sz w:val="24"/>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Cancellation</w:t>
      </w:r>
      <w:r>
        <w:rPr>
          <w:rFonts w:ascii="Times New Roman;sans-serif" w:hAnsi="Times New Roman;sans-serif"/>
          <w:b w:val="false"/>
          <w:color w:val="000000"/>
          <w:sz w:val="24"/>
        </w:rPr>
        <w:t>. On the date set forth in the Award Agreement, all unearned Restricted Stock Units will be forfeited to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480175" cy="175260"/>
                <wp:effectExtent l="0" t="0" r="0" b="0"/>
                <wp:wrapNone/>
                <wp:docPr id="739" name="Frame7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Compliance With Code Section 409A</w:t>
      </w:r>
      <w:r>
        <w:rPr>
          <w:rFonts w:ascii="Times New Roman;sans-serif" w:hAnsi="Times New Roman;sans-serif"/>
          <w:b w:val="false"/>
          <w:color w:val="000000"/>
          <w:sz w:val="24"/>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pStyle w:val="TextBody"/>
        <w:spacing w:lineRule="auto" w:line="288" w:before="0" w:after="18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Leaves of Absence/Transfer Between Locations</w:t>
      </w:r>
      <w:r>
        <w:rPr>
          <w:rFonts w:ascii="Times New Roman;sans-serif" w:hAnsi="Times New Roman;sans-serif"/>
          <w:b w:val="false"/>
          <w:color w:val="000000"/>
          <w:sz w:val="24"/>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sans-serif" w:hAnsi="Times New Roman;sans-serif"/>
          <w:b w:val="false"/>
          <w:color w:val="000000"/>
          <w:sz w:val="16"/>
        </w:rPr>
        <w:t>st</w:t>
      </w:r>
      <w:r>
        <w:rPr>
          <w:rFonts w:ascii="Times New Roman;sans-serif" w:hAnsi="Times New Roman;sans-serif"/>
          <w:b w:val="false"/>
          <w:color w:val="000000"/>
          <w:sz w:val="24"/>
        </w:rPr>
        <w:t>) day of such leave, any Incentive Stock Option held by the Participant will cease to be treated as an Incentive Stock Option and will be treated for tax purposes as a Nonstatutory Stock Option.</w:t>
      </w:r>
    </w:p>
    <w:p>
      <w:pPr>
        <w:pStyle w:val="TextBody"/>
        <w:spacing w:lineRule="auto" w:line="288" w:before="0" w:after="18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Limited Transferability of Awards</w:t>
      </w:r>
      <w:r>
        <w:rPr>
          <w:rFonts w:ascii="Times New Roman;sans-serif" w:hAnsi="Times New Roman;sans-serif"/>
          <w:b w:val="false"/>
          <w:color w:val="000000"/>
          <w:sz w:val="24"/>
        </w:rPr>
        <w:t>.</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6480175" cy="175260"/>
                <wp:effectExtent l="0" t="0" r="0" b="0"/>
                <wp:wrapNone/>
                <wp:docPr id="740" name="Frame7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Adjustments; Dissolution or Liquidation; Merger or Change in Control</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or any equivalent provision in the relevant jurisdiction, to the extent the Company is relying upon the exemption afforded thereby with respect to the Award.</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Dissolution or Liquidation</w:t>
      </w:r>
      <w:r>
        <w:rPr>
          <w:rFonts w:ascii="Times New Roman;sans-serif" w:hAnsi="Times New Roman;sans-serif"/>
          <w:b w:val="false"/>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Merger or Change in Control</w:t>
      </w:r>
      <w:r>
        <w:rPr>
          <w:rFonts w:ascii="Times New Roman;sans-serif" w:hAnsi="Times New Roman;sans-serif"/>
          <w:b w:val="false"/>
          <w:color w:val="000000"/>
          <w:sz w:val="24"/>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successor corporation does not assume or substitute for the Award (or portion thereof), the Participant will fully vest in and have the right to exercise all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6480175" cy="175260"/>
                <wp:effectExtent l="0" t="0" r="0" b="0"/>
                <wp:wrapNone/>
                <wp:docPr id="741" name="Frame7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pStyle w:val="TextBody"/>
        <w:spacing w:lineRule="auto" w:line="288" w:before="0" w:after="180"/>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Withholding Requirements</w:t>
      </w:r>
      <w:r>
        <w:rPr>
          <w:rFonts w:ascii="Times New Roman;sans-serif" w:hAnsi="Times New Roman;sans-serif"/>
          <w:b w:val="false"/>
          <w:color w:val="000000"/>
          <w:sz w:val="24"/>
        </w:rPr>
        <w:t xml:space="preserve">. Prior to the delivery of any Shares or cash pursuant to an Award (or exercise thereof), the Company will have the power and the right to deduct or withhold, or require a Participant to remit to the Company, an amount sufficient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480175" cy="175260"/>
                <wp:effectExtent l="0" t="0" r="0" b="0"/>
                <wp:wrapNone/>
                <wp:docPr id="742" name="Frame7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satisfy federal, state, local, foreign or other taxes (including the Participant’s FICA obligation) required to be withheld with respect to such Award (or exercise thereof).</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Withholding Arrangements</w:t>
      </w:r>
      <w:r>
        <w:rPr>
          <w:rFonts w:ascii="Times New Roman;sans-serif" w:hAnsi="Times New Roman;sans-serif"/>
          <w:b w:val="false"/>
          <w:color w:val="000000"/>
          <w:sz w:val="24"/>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(v) such other consideration and method of payment for the meeting of tax liabilities or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spacing w:lineRule="auto" w:line="288" w:before="0" w:after="18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 Effect on Employment or Service</w:t>
      </w:r>
      <w:r>
        <w:rPr>
          <w:rFonts w:ascii="Times New Roman;sans-serif" w:hAnsi="Times New Roman;sans-serif"/>
          <w:b w:val="false"/>
          <w:color w:val="000000"/>
          <w:sz w:val="24"/>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spacing w:lineRule="auto" w:line="288" w:before="0" w:after="18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Date of Grant</w:t>
      </w:r>
      <w:r>
        <w:rPr>
          <w:rFonts w:ascii="Times New Roman;sans-serif" w:hAnsi="Times New Roman;sans-serif"/>
          <w:b w:val="false"/>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spacing w:lineRule="auto" w:line="288" w:before="0" w:after="180"/>
        <w:ind w:left="0" w:right="0" w:firstLine="72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Term of Plan</w:t>
      </w:r>
      <w:r>
        <w:rPr>
          <w:rFonts w:ascii="Times New Roman;sans-serif" w:hAnsi="Times New Roman;sans-serif"/>
          <w:b w:val="false"/>
          <w:color w:val="000000"/>
          <w:sz w:val="24"/>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6480175" cy="175260"/>
                <wp:effectExtent l="0" t="0" r="0" b="0"/>
                <wp:wrapNone/>
                <wp:docPr id="743" name="Frame7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Amendment and Termination of the Plan</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The Board may at any time amend, alter, suspend or terminate the Plan.</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Stockholder Approval</w:t>
      </w:r>
      <w:r>
        <w:rPr>
          <w:rFonts w:ascii="Times New Roman;sans-serif" w:hAnsi="Times New Roman;sans-serif"/>
          <w:b w:val="false"/>
          <w:color w:val="000000"/>
          <w:sz w:val="24"/>
        </w:rPr>
        <w:t>. The Company will obtain stockholder approval of any Plan amendment to the extent necessary and desirable to comply with Applicable Laws.</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Effect of Amendment or Termination</w:t>
      </w:r>
      <w:r>
        <w:rPr>
          <w:rFonts w:ascii="Times New Roman;sans-serif" w:hAnsi="Times New Roman;sans-serif"/>
          <w:b w:val="false"/>
          <w:color w:val="000000"/>
          <w:sz w:val="24"/>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spacing w:lineRule="auto" w:line="288" w:before="0" w:after="180"/>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Conditions Upon Issuance of Shares</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Legal Compliance</w:t>
      </w:r>
      <w:r>
        <w:rPr>
          <w:rFonts w:ascii="Times New Roman;sans-serif" w:hAnsi="Times New Roman;sans-serif"/>
          <w:b w:val="false"/>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Investment Representations</w:t>
      </w:r>
      <w:r>
        <w:rPr>
          <w:rFonts w:ascii="Times New Roman;sans-serif" w:hAnsi="Times New Roman;sans-serif"/>
          <w:b w:val="false"/>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spacing w:lineRule="auto" w:line="288" w:before="0" w:after="180"/>
        <w:ind w:left="0" w:right="0" w:firstLine="72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Inability to Obtain Authority</w:t>
      </w:r>
      <w:r>
        <w:rPr>
          <w:rFonts w:ascii="Times New Roman;sans-serif" w:hAnsi="Times New Roman;sans-serif"/>
          <w:b w:val="false"/>
          <w:color w:val="000000"/>
          <w:sz w:val="24"/>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spacing w:lineRule="auto" w:line="288" w:before="0" w:after="180"/>
        <w:ind w:left="0" w:right="0" w:firstLine="72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Stockholder Approval</w:t>
      </w:r>
      <w:r>
        <w:rPr>
          <w:rFonts w:ascii="Times New Roman;sans-serif" w:hAnsi="Times New Roman;sans-serif"/>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spacing w:lineRule="auto" w:line="288" w:before="0" w:after="180"/>
        <w:ind w:left="0" w:right="0" w:firstLine="720"/>
        <w:jc w:val="both"/>
        <w:rPr/>
      </w:pPr>
      <w:r>
        <w:rPr>
          <w:rFonts w:ascii="Times New Roman;sans-serif" w:hAnsi="Times New Roman;sans-serif"/>
          <w:b w:val="false"/>
          <w:color w:val="000000"/>
          <w:sz w:val="24"/>
        </w:rPr>
        <w:t>22.    </w:t>
      </w:r>
      <w:r>
        <w:rPr>
          <w:rFonts w:ascii="Times New Roman;sans-serif" w:hAnsi="Times New Roman;sans-serif"/>
          <w:b w:val="false"/>
          <w:color w:val="000000"/>
          <w:sz w:val="24"/>
          <w:u w:val="single"/>
        </w:rPr>
        <w:t>Information to Participants</w:t>
      </w:r>
      <w:r>
        <w:rPr>
          <w:rFonts w:ascii="Times New Roman;sans-serif" w:hAnsi="Times New Roman;sans-serif"/>
          <w:b w:val="false"/>
          <w:color w:val="000000"/>
          <w:sz w:val="24"/>
        </w:rPr>
        <w:t xml:space="preserve">. Beginning on the earlier of (i) the date that the aggregate number of Participants under this Plan is five hundred (500) 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480175" cy="175260"/>
                <wp:effectExtent l="0" t="0" r="0" b="0"/>
                <wp:wrapNone/>
                <wp:docPr id="744" name="Frame7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480175" cy="175260"/>
                <wp:effectExtent l="0" t="0" r="0" b="0"/>
                <wp:wrapNone/>
                <wp:docPr id="745" name="Frame7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 xml:space="preserve">NAUTILUS BIOTECHNOLOGY, INC. </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 xml:space="preserve">2017 EQUITY INCENTIVE PLAN </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defined herein, the terms defined in the 2017 Equity Incentive Plan (the “Plan”) shall have the same defined meanings in this Stock Option Agreement (the “Option Agreement”).</w:t>
      </w:r>
    </w:p>
    <w:tbl>
      <w:tblPr>
        <w:tblW w:w="5019" w:type="dxa"/>
        <w:jc w:val="left"/>
        <w:tblInd w:w="0" w:type="dxa"/>
        <w:tblCellMar>
          <w:top w:w="28" w:type="dxa"/>
          <w:left w:w="28" w:type="dxa"/>
          <w:bottom w:w="28" w:type="dxa"/>
          <w:right w:w="28" w:type="dxa"/>
        </w:tblCellMar>
      </w:tblPr>
      <w:tblGrid>
        <w:gridCol w:w="124"/>
        <w:gridCol w:w="109"/>
        <w:gridCol w:w="109"/>
        <w:gridCol w:w="109"/>
        <w:gridCol w:w="109"/>
        <w:gridCol w:w="109"/>
        <w:gridCol w:w="462"/>
        <w:gridCol w:w="462"/>
        <w:gridCol w:w="462"/>
        <w:gridCol w:w="462"/>
        <w:gridCol w:w="462"/>
        <w:gridCol w:w="462"/>
        <w:gridCol w:w="462"/>
        <w:gridCol w:w="462"/>
        <w:gridCol w:w="6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NOTICE OF STOCK OPTION GRANT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Address:</w:t>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Participant has been granted an Option to purchase Common Stock of the Company, subject to the terms and conditions of the Plan and this Option Agreement, as follows:</w:t>
      </w:r>
    </w:p>
    <w:tbl>
      <w:tblPr>
        <w:tblW w:w="6851" w:type="dxa"/>
        <w:jc w:val="left"/>
        <w:tblInd w:w="0" w:type="dxa"/>
        <w:tblCellMar>
          <w:top w:w="28" w:type="dxa"/>
          <w:left w:w="28" w:type="dxa"/>
          <w:bottom w:w="28" w:type="dxa"/>
          <w:right w:w="28" w:type="dxa"/>
        </w:tblCellMar>
      </w:tblPr>
      <w:tblGrid>
        <w:gridCol w:w="1187"/>
        <w:gridCol w:w="1043"/>
        <w:gridCol w:w="1055"/>
        <w:gridCol w:w="109"/>
        <w:gridCol w:w="109"/>
        <w:gridCol w:w="109"/>
        <w:gridCol w:w="947"/>
        <w:gridCol w:w="947"/>
        <w:gridCol w:w="1345"/>
      </w:tblGrid>
      <w:tr>
        <w:trPr/>
        <w:tc>
          <w:tcPr>
            <w:tcW w:w="118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Number of Shares 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 </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2"/>
              </w:rPr>
              <w:t>Incentive Stock Option</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4"/>
              </w:rPr>
              <w:t>Nonstatutory Stock Option</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pPr>
      <w:r>
        <w:rPr>
          <w:rFonts w:ascii="Times New Roman;sans-serif" w:hAnsi="Times New Roman;sans-serif"/>
          <w:b w:val="false"/>
          <w:color w:val="000000"/>
          <w:sz w:val="24"/>
          <w:u w:val="single"/>
        </w:rPr>
        <w:t>Vesting Schedule</w:t>
      </w:r>
      <w:r>
        <w:rPr>
          <w:rFonts w:ascii="Times New Roman;sans-serif" w:hAnsi="Times New Roman;sans-serif"/>
          <w:b w:val="false"/>
          <w:color w:val="000000"/>
          <w:sz w:val="24"/>
        </w:rPr>
        <w: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shall be exercisable, in whole or in part, according to the following vesting schedule:</w:t>
      </w:r>
    </w:p>
    <w:p>
      <w:pPr>
        <w:pStyle w:val="TextBody"/>
        <w:spacing w:lineRule="auto" w:line="288" w:before="0" w:after="180"/>
        <w:ind w:left="0" w:right="0" w:firstLine="720"/>
        <w:jc w:val="both"/>
        <w:rPr/>
      </w:pPr>
      <w:r>
        <w:rPr>
          <w:rFonts w:ascii="Times New Roman;sans-serif" w:hAnsi="Times New Roman;sans-serif"/>
          <w:b w:val="false"/>
          <w:color w:val="000000"/>
          <w:sz w:val="24"/>
        </w:rPr>
        <w:t>[Twenty-five percent (25%) of the Shares subject to the Option shall vest on the one (1) year anniversary of the Vesting Commencement Date, and one forty-eighth (1/48</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of the Shares subject to the Option shall vest each month thereafter on the same day of the month as the Vesting Commencement Date (and if there is no corresponding day, on the last day of the month), subject to Participant continuing to be a Service Provider through each such date.] [Notwithstanding the foregoing, in the event of a Change in Control (as defined in the Plan) that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6480175" cy="175260"/>
                <wp:effectExtent l="0" t="0" r="0" b="0"/>
                <wp:wrapNone/>
                <wp:docPr id="746" name="Frame7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occurs while Participant is a Service Provider, 100% of the total number of shares subject to the Option that have not yet vested shall immediately vest and be fully exercisable, effective as of immediately prior to the Change in Control (as defined in the Plan).]</w:t>
      </w:r>
    </w:p>
    <w:p>
      <w:pPr>
        <w:pStyle w:val="TextBody"/>
        <w:spacing w:lineRule="auto" w:line="288" w:before="0" w:after="180"/>
        <w:rPr/>
      </w:pPr>
      <w:r>
        <w:rPr>
          <w:rFonts w:ascii="Times New Roman;sans-serif" w:hAnsi="Times New Roman;sans-serif"/>
          <w:b w:val="false"/>
          <w:color w:val="000000"/>
          <w:sz w:val="24"/>
          <w:u w:val="single"/>
        </w:rPr>
        <w:t>Termination Period</w:t>
      </w:r>
      <w:r>
        <w:rPr>
          <w:rFonts w:ascii="Times New Roman;sans-serif" w:hAnsi="Times New Roman;sans-serif"/>
          <w:b w:val="false"/>
          <w:color w:val="000000"/>
          <w:sz w:val="24"/>
        </w:rPr>
        <w: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pStyle w:val="TextBody"/>
        <w:spacing w:lineRule="auto" w:line="288" w:before="0" w:after="180"/>
        <w:rPr/>
      </w:pPr>
      <w:r>
        <w:rPr>
          <w:rFonts w:ascii="Times New Roman;sans-serif" w:hAnsi="Times New Roman;sans-serif"/>
          <w:b/>
          <w:color w:val="000000"/>
          <w:sz w:val="24"/>
        </w:rPr>
        <w:t xml:space="preserve">II. </w:t>
      </w:r>
      <w:r>
        <w:rPr>
          <w:rFonts w:ascii="Times New Roman;sans-serif" w:hAnsi="Times New Roman;sans-serif"/>
          <w:b/>
          <w:color w:val="000000"/>
          <w:sz w:val="24"/>
          <w:u w:val="single"/>
        </w:rPr>
        <w:t>AGREEMENT</w:t>
      </w:r>
    </w:p>
    <w:p>
      <w:pPr>
        <w:pStyle w:val="TextBody"/>
        <w:spacing w:lineRule="auto" w:line="288" w:before="0" w:after="18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 The Administrator of the Company hereby grants to the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pStyle w:val="TextBody"/>
        <w:spacing w:lineRule="auto" w:line="288" w:before="0" w:after="180"/>
        <w:ind w:left="0" w:right="0" w:firstLine="72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Right to Exercise</w:t>
      </w:r>
      <w:r>
        <w:rPr>
          <w:rFonts w:ascii="Times New Roman;sans-serif" w:hAnsi="Times New Roman;sans-serif"/>
          <w:b w:val="false"/>
          <w:color w:val="000000"/>
          <w:sz w:val="24"/>
        </w:rPr>
        <w:t>. This Option shall be exercisable during its term in accordance with the Vesting Schedule set out in the Notice of Stock Option Grant and with the applicable provisions of the Plan and this Option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xml:space="preserve">. This Option shall be exercisable by delivery of an exercise notice in the form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480175" cy="175260"/>
                <wp:effectExtent l="0" t="0" r="0" b="0"/>
                <wp:wrapNone/>
                <wp:docPr id="747" name="Frame7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be deemed to be exercised upon receipt by the Company of such fully executed Exercise Notice accompanied by the aggregate Exercise Price, together with any applicable tax withholding.</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spacing w:lineRule="auto" w:line="288" w:before="0" w:after="18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Participant’s Representations</w:t>
      </w:r>
      <w:r>
        <w:rPr>
          <w:rFonts w:ascii="Times New Roman;sans-serif" w:hAnsi="Times New Roman;sans-serif"/>
          <w:b w:val="false"/>
          <w:color w:val="000000"/>
          <w:sz w:val="24"/>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r>
        <w:rPr>
          <w:color w:val="000000"/>
          <w:u w:val="single"/>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Lock-Up Period</w:t>
      </w:r>
      <w:r>
        <w:rPr>
          <w:rFonts w:ascii="Times New Roman;sans-serif" w:hAnsi="Times New Roman;sans-serif"/>
          <w:b w:val="false"/>
          <w:color w:val="000000"/>
          <w:sz w:val="24"/>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NYSE Rule 472(f)(4), or any successor provisions or amendments thereto).</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6480175" cy="175260"/>
                <wp:effectExtent l="0" t="0" r="0" b="0"/>
                <wp:wrapNone/>
                <wp:docPr id="748" name="Frame7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Payment of the aggregate Exercise Price shall be by any of the following, or a combination thereof, at the election of the Participant:</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(a)    cash;</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(b)    check;</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consideration received by the Company under a formal cashless exercise program adopted by the Company in connection with the Plan; or</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pStyle w:val="TextBody"/>
        <w:spacing w:lineRule="auto" w:line="288" w:before="0" w:after="180"/>
        <w:ind w:left="0" w:right="0" w:firstLine="720"/>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Restrictions on Exercise</w:t>
      </w:r>
      <w:r>
        <w:rPr>
          <w:rFonts w:ascii="Times New Roman;sans-serif" w:hAnsi="Times New Roman;sans-serif"/>
          <w:b w:val="false"/>
          <w:color w:val="000000"/>
          <w:sz w:val="24"/>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pStyle w:val="TextBody"/>
        <w:spacing w:lineRule="auto" w:line="288" w:before="0" w:after="180"/>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Non-Transferability of Option</w:t>
      </w:r>
      <w:r>
        <w:rPr>
          <w:rFonts w:ascii="Times New Roman;sans-serif" w:hAnsi="Times New Roman;sans-serif"/>
          <w:b w:val="false"/>
          <w:color w:val="000000"/>
          <w:sz w:val="24"/>
        </w:rPr>
        <w:t>.</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pStyle w:val="TextBody"/>
        <w:spacing w:lineRule="auto" w:line="288" w:before="0" w:after="180"/>
        <w:ind w:left="0" w:right="0" w:firstLine="720"/>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Term of Option</w:t>
      </w:r>
      <w:r>
        <w:rPr>
          <w:rFonts w:ascii="Times New Roman;sans-serif" w:hAnsi="Times New Roman;sans-serif"/>
          <w:b w:val="false"/>
          <w:color w:val="000000"/>
          <w:sz w:val="24"/>
        </w:rPr>
        <w:t>. This Option may be exercised only within the term set out in the Notice of Stock Option Grant, and may be exercised during such term only in accordance with the Plan and the terms of this Option Agreement.</w:t>
      </w:r>
    </w:p>
    <w:p>
      <w:pPr>
        <w:pStyle w:val="TextBody"/>
        <w:spacing w:lineRule="auto" w:line="288" w:before="0" w:after="180"/>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Tax Obligations</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xml:space="preserve">. Participant agrees to make appropriate arrangements with the Company (or the Parent or Subsidiary employing or retaining Participant) for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480175" cy="175260"/>
                <wp:effectExtent l="0" t="0" r="0" b="0"/>
                <wp:wrapNone/>
                <wp:docPr id="749" name="Frame7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Notice of Disqualifying Disposition of ISO Shares</w:t>
      </w:r>
      <w:r>
        <w:rPr>
          <w:rFonts w:ascii="Times New Roman;sans-serif" w:hAnsi="Times New Roman;sans-serif"/>
          <w:b w:val="false"/>
          <w:color w:val="000000"/>
          <w:sz w:val="24"/>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Code Section 409A.</w:t>
      </w:r>
      <w:r>
        <w:rPr>
          <w:color w:val="000000"/>
        </w:rPr>
        <w:t xml:space="preserve"> </w:t>
      </w:r>
      <w:r>
        <w:rPr>
          <w:rFonts w:ascii="Times New Roman;sans-serif" w:hAnsi="Times New Roman;sans-serif"/>
          <w:b w:val="false"/>
          <w:color w:val="000000"/>
          <w:sz w:val="24"/>
        </w:rPr>
        <w:t>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pStyle w:val="TextBody"/>
        <w:spacing w:lineRule="auto" w:line="288" w:before="0" w:after="18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Entire Agreement; Governing Law</w:t>
      </w:r>
      <w:r>
        <w:rPr>
          <w:rFonts w:ascii="Times New Roman;sans-serif" w:hAnsi="Times New Roman;sans-serif"/>
          <w:b w:val="false"/>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pStyle w:val="TextBody"/>
        <w:spacing w:lineRule="auto" w:line="288" w:before="0" w:after="18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No Guarantee of Continued Service</w:t>
      </w:r>
      <w:r>
        <w:rPr>
          <w:rFonts w:ascii="Times New Roman;sans-serif" w:hAnsi="Times New Roman;sans-serif"/>
          <w:b w:val="false"/>
          <w:color w:val="000000"/>
          <w:sz w:val="24"/>
        </w:rPr>
        <w:t xml:space="preserve">.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480175" cy="175260"/>
                <wp:effectExtent l="0" t="0" r="0" b="0"/>
                <wp:wrapNone/>
                <wp:docPr id="750" name="Frame7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RIGHT OR THE RIGHT OF THE COMPANY (OR THE PARENT OR SUBSIDIARY EMPLOYING OR RETAINING PARTICIPANT) TO TERMINATE PARTICIPANT’S RELATIONSHIP AS A SERVICE PROVIDER AT ANY TIME, WITH OR WITHOUT CAUSE.</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tbl>
      <w:tblPr>
        <w:tblW w:w="6516" w:type="dxa"/>
        <w:jc w:val="left"/>
        <w:tblInd w:w="0" w:type="dxa"/>
        <w:tblCellMar>
          <w:top w:w="28" w:type="dxa"/>
          <w:left w:w="28" w:type="dxa"/>
          <w:bottom w:w="28" w:type="dxa"/>
          <w:right w:w="28" w:type="dxa"/>
        </w:tblCellMar>
      </w:tblPr>
      <w:tblGrid>
        <w:gridCol w:w="317"/>
        <w:gridCol w:w="278"/>
        <w:gridCol w:w="278"/>
        <w:gridCol w:w="278"/>
        <w:gridCol w:w="278"/>
        <w:gridCol w:w="282"/>
        <w:gridCol w:w="109"/>
        <w:gridCol w:w="109"/>
        <w:gridCol w:w="109"/>
        <w:gridCol w:w="109"/>
        <w:gridCol w:w="109"/>
        <w:gridCol w:w="109"/>
        <w:gridCol w:w="646"/>
        <w:gridCol w:w="646"/>
        <w:gridCol w:w="646"/>
        <w:gridCol w:w="646"/>
        <w:gridCol w:w="646"/>
        <w:gridCol w:w="921"/>
      </w:tblGrid>
      <w:tr>
        <w:trPr/>
        <w:tc>
          <w:tcPr>
            <w:tcW w:w="31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171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22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Residence Address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2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6480175" cy="175260"/>
                <wp:effectExtent l="0" t="0" r="0" b="0"/>
                <wp:wrapNone/>
                <wp:docPr id="751" name="Frame7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2017 EQUITY INCENTIVE PLAN</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EXERCISE NOTICE</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Nautilus Biotechnology, Inc.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201 Industrial Rd., Ste 310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San Carlos, CA 94070</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Attention: Chief Executive Officer and President</w:t>
      </w:r>
    </w:p>
    <w:p>
      <w:pPr>
        <w:pStyle w:val="TextBody"/>
        <w:spacing w:lineRule="auto" w:line="288" w:before="0" w:after="180"/>
        <w:ind w:left="0" w:right="0" w:firstLine="792"/>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Exercise of Option</w:t>
      </w:r>
      <w:r>
        <w:rPr>
          <w:rFonts w:ascii="Times New Roman;sans-serif" w:hAnsi="Times New Roman;sans-serif"/>
          <w:b w:val="false"/>
          <w:color w:val="000000"/>
          <w:sz w:val="24"/>
        </w:rPr>
        <w:t>. Effective as of today, _______________ , ____, the undersigned (“Participant”) hereby elects to exercise Participant’s option (the “Option”) to purchase _______________ shares of the Common Stock (the “Shares”) of Nautilus Biotechnology, Inc. (the “Company”) under and pursuant to the 2017 Equity Incentive Plan (the “Plan”) and the Stock Option Agreement dated _______________ , _____ (the “Option Agreement”).</w:t>
      </w:r>
    </w:p>
    <w:p>
      <w:pPr>
        <w:pStyle w:val="TextBody"/>
        <w:spacing w:lineRule="auto" w:line="288" w:before="0" w:after="180"/>
        <w:ind w:left="0" w:right="0" w:firstLine="792"/>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Delivery of Payment</w:t>
      </w:r>
      <w:r>
        <w:rPr>
          <w:rFonts w:ascii="Times New Roman;sans-serif" w:hAnsi="Times New Roman;sans-serif"/>
          <w:b w:val="false"/>
          <w:color w:val="000000"/>
          <w:sz w:val="24"/>
        </w:rPr>
        <w:t>. Participant herewith delivers to the Company the full purchase price of the Shares, as set forth in the Option Agreement, and any and all withholding taxes due in connection with the exercise of the Option.</w:t>
      </w:r>
    </w:p>
    <w:p>
      <w:pPr>
        <w:pStyle w:val="TextBody"/>
        <w:spacing w:lineRule="auto" w:line="288" w:before="0" w:after="180"/>
        <w:ind w:left="0" w:right="0" w:firstLine="792"/>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Representations of Participant</w:t>
      </w:r>
      <w:r>
        <w:rPr>
          <w:rFonts w:ascii="Times New Roman;sans-serif" w:hAnsi="Times New Roman;sans-serif"/>
          <w:b w:val="false"/>
          <w:color w:val="000000"/>
          <w:sz w:val="24"/>
        </w:rPr>
        <w:t>. Participant acknowledges that Participant has received, read and understood the Plan and the Option Agreement and agrees to abide by and be bound by their terms and conditions.</w:t>
      </w:r>
    </w:p>
    <w:p>
      <w:pPr>
        <w:pStyle w:val="TextBody"/>
        <w:spacing w:lineRule="auto" w:line="288" w:before="0" w:after="180"/>
        <w:ind w:left="0" w:right="0" w:firstLine="792"/>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pStyle w:val="TextBody"/>
        <w:spacing w:lineRule="auto" w:line="288" w:before="0" w:after="180"/>
        <w:ind w:left="0" w:right="0" w:firstLine="792"/>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Company’s Right of First Refusal</w:t>
      </w:r>
      <w:r>
        <w:rPr>
          <w:rFonts w:ascii="Times New Roman;sans-serif" w:hAnsi="Times New Roman;sans-serif"/>
          <w:b w:val="false"/>
          <w:color w:val="000000"/>
          <w:sz w:val="24"/>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Notice of Proposed Transfer</w:t>
      </w:r>
      <w:r>
        <w:rPr>
          <w:rFonts w:ascii="Times New Roman;sans-serif" w:hAnsi="Times New Roman;sans-serif"/>
          <w:b w:val="false"/>
          <w:color w:val="000000"/>
          <w:sz w:val="24"/>
        </w:rPr>
        <w:t xml:space="preserve">.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6480175" cy="160655"/>
                <wp:effectExtent l="0" t="0" r="0" b="0"/>
                <wp:wrapNone/>
                <wp:docPr id="752" name="Frame7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proposes to transfer the Shares (the “Offered Price”), and the Holder shall offer the Shares at the Offered Price to the Company or its assignee(s).</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Exercise of Right of First Refusal</w:t>
      </w:r>
      <w:r>
        <w:rPr>
          <w:rFonts w:ascii="Times New Roman;sans-serif" w:hAnsi="Times New Roman;sans-serif"/>
          <w:b w:val="false"/>
          <w:color w:val="000000"/>
          <w:sz w:val="24"/>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pStyle w:val="TextBody"/>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pStyle w:val="TextBody"/>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Holder’s Right to Transfer</w:t>
      </w:r>
      <w:r>
        <w:rPr>
          <w:rFonts w:ascii="Times New Roman;sans-serif" w:hAnsi="Times New Roman;sans-serif"/>
          <w:b w:val="false"/>
          <w:color w:val="000000"/>
          <w:sz w:val="24"/>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sale or other transfer is consummated within one hundred and twenty (120) 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pStyle w:val="TextBody"/>
        <w:spacing w:lineRule="auto" w:line="288" w:before="0" w:after="18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Exception for Certain Family Transfers</w:t>
      </w:r>
      <w:r>
        <w:rPr>
          <w:rFonts w:ascii="Times New Roman;sans-serif" w:hAnsi="Times New Roman;sans-serif"/>
          <w:b w:val="false"/>
          <w:color w:val="000000"/>
          <w:sz w:val="24"/>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pStyle w:val="TextBody"/>
        <w:spacing w:lineRule="auto" w:line="288" w:before="0" w:after="18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Termination of Right of First Refusal</w:t>
      </w:r>
      <w:r>
        <w:rPr>
          <w:rFonts w:ascii="Times New Roman;sans-serif" w:hAnsi="Times New Roman;sans-serif"/>
          <w:b w:val="false"/>
          <w:color w:val="000000"/>
          <w:sz w:val="24"/>
        </w:rPr>
        <w:t>. The Right of First Refusal shall terminate as to any Shares upon the earlier of (i) the first sale of Common Stock of the Company to the general public, or (ii) a Change in Control in which the successor corporation has equity securities that are publicly traded.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6480175" cy="160655"/>
                <wp:effectExtent l="0" t="0" r="0" b="0"/>
                <wp:wrapNone/>
                <wp:docPr id="753" name="Frame7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Tax Consultation</w:t>
      </w:r>
      <w:r>
        <w:rPr>
          <w:rFonts w:ascii="Times New Roman;sans-serif" w:hAnsi="Times New Roman;sans-serif"/>
          <w:b w:val="false"/>
          <w:color w:val="000000"/>
          <w:sz w:val="24"/>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pStyle w:val="TextBody"/>
        <w:spacing w:lineRule="auto" w:line="288" w:before="0" w:after="18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Restrictive Legends and Stop-Transfer Orders</w:t>
      </w:r>
      <w:r>
        <w:rPr>
          <w:rFonts w:ascii="Times New Roman;sans-serif" w:hAnsi="Times New Roman;sans-serif"/>
          <w:b w:val="false"/>
          <w:color w:val="000000"/>
          <w:sz w:val="24"/>
        </w:rPr>
        <w:t>.</w:t>
      </w:r>
    </w:p>
    <w:p>
      <w:pPr>
        <w:pStyle w:val="TextBody"/>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Legends</w:t>
      </w:r>
      <w:r>
        <w:rPr>
          <w:rFonts w:ascii="Times New Roman;sans-serif" w:hAnsi="Times New Roman;sans-serif"/>
          <w:b w:val="false"/>
          <w:color w:val="000000"/>
          <w:sz w:val="24"/>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pStyle w:val="TextBody"/>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Stop-Transfer Notices</w:t>
      </w:r>
      <w:r>
        <w:rPr>
          <w:rFonts w:ascii="Times New Roman;sans-serif" w:hAnsi="Times New Roman;sans-serif"/>
          <w:b w:val="false"/>
          <w:color w:val="000000"/>
          <w:sz w:val="24"/>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480175" cy="160655"/>
                <wp:effectExtent l="0" t="0" r="0" b="0"/>
                <wp:wrapNone/>
                <wp:docPr id="754" name="Frame7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Refusal to Transfer</w:t>
      </w:r>
      <w:r>
        <w:rPr>
          <w:rFonts w:ascii="Times New Roman;sans-serif" w:hAnsi="Times New Roman;sans-serif"/>
          <w:b w:val="false"/>
          <w:color w:val="000000"/>
          <w:sz w:val="24"/>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pStyle w:val="TextBody"/>
        <w:spacing w:lineRule="auto" w:line="288" w:before="0" w:after="18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pStyle w:val="TextBody"/>
        <w:spacing w:lineRule="auto" w:line="288" w:before="0" w:after="18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pStyle w:val="TextBody"/>
        <w:spacing w:lineRule="auto" w:line="288" w:before="0" w:after="18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Governing Law; Severability</w:t>
      </w:r>
      <w:r>
        <w:rPr>
          <w:rFonts w:ascii="Times New Roman;sans-serif" w:hAnsi="Times New Roman;sans-serif"/>
          <w:b w:val="false"/>
          <w:color w:val="000000"/>
          <w:sz w:val="24"/>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pStyle w:val="TextBody"/>
        <w:spacing w:lineRule="auto" w:line="288" w:before="0" w:after="18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6480175" cy="160655"/>
                <wp:effectExtent l="0" t="0" r="0" b="0"/>
                <wp:wrapNone/>
                <wp:docPr id="755" name="Frame7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tbl>
      <w:tblPr>
        <w:tblW w:w="6517" w:type="dxa"/>
        <w:jc w:val="left"/>
        <w:tblInd w:w="0" w:type="dxa"/>
        <w:tblCellMar>
          <w:top w:w="28" w:type="dxa"/>
          <w:left w:w="28" w:type="dxa"/>
          <w:bottom w:w="28" w:type="dxa"/>
          <w:right w:w="28" w:type="dxa"/>
        </w:tblCellMar>
      </w:tblPr>
      <w:tblGrid>
        <w:gridCol w:w="618"/>
        <w:gridCol w:w="544"/>
        <w:gridCol w:w="549"/>
        <w:gridCol w:w="109"/>
        <w:gridCol w:w="109"/>
        <w:gridCol w:w="109"/>
        <w:gridCol w:w="109"/>
        <w:gridCol w:w="109"/>
        <w:gridCol w:w="109"/>
        <w:gridCol w:w="1009"/>
        <w:gridCol w:w="1009"/>
        <w:gridCol w:w="1013"/>
        <w:gridCol w:w="326"/>
        <w:gridCol w:w="326"/>
        <w:gridCol w:w="469"/>
      </w:tblGrid>
      <w:tr>
        <w:trPr/>
        <w:tc>
          <w:tcPr>
            <w:tcW w:w="6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Submitted by: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by:</w:t>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11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Address: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201 Industrial Rd., Ste 310</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San Carlos, CA 94070</w:t>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Received</w:t>
            </w:r>
          </w:p>
        </w:tc>
        <w:tc>
          <w:tcPr>
            <w:tcW w:w="11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6480175" cy="160655"/>
                <wp:effectExtent l="0" t="0" r="0" b="0"/>
                <wp:wrapNone/>
                <wp:docPr id="756" name="Frame7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INVESTMENT REPRESENTATION STATEMENT</w:t>
      </w:r>
    </w:p>
    <w:tbl>
      <w:tblPr>
        <w:tblW w:w="6251" w:type="dxa"/>
        <w:jc w:val="left"/>
        <w:tblInd w:w="0" w:type="dxa"/>
        <w:tblCellMar>
          <w:top w:w="28" w:type="dxa"/>
          <w:left w:w="28" w:type="dxa"/>
          <w:bottom w:w="28" w:type="dxa"/>
          <w:right w:w="28" w:type="dxa"/>
        </w:tblCellMar>
      </w:tblPr>
      <w:tblGrid>
        <w:gridCol w:w="641"/>
        <w:gridCol w:w="564"/>
        <w:gridCol w:w="565"/>
        <w:gridCol w:w="109"/>
        <w:gridCol w:w="109"/>
        <w:gridCol w:w="109"/>
        <w:gridCol w:w="1216"/>
        <w:gridCol w:w="1216"/>
        <w:gridCol w:w="1722"/>
      </w:tblGrid>
      <w:tr>
        <w:trPr/>
        <w:tc>
          <w:tcPr>
            <w:tcW w:w="641"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154"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15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NAUTILUS BIOTECHNOLOGY, INC.</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SECURITY</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15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COMMON STOCK</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AMOUNT</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154"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purchase of the above-listed Securities, the undersigned Participant represents to the Company the following:</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480175" cy="175260"/>
                <wp:effectExtent l="0" t="0" r="0" b="0"/>
                <wp:wrapNone/>
                <wp:docPr id="757" name="Frame7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pStyle w:val="TextBody"/>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pStyle w:val="TextBody"/>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tbl>
      <w:tblPr>
        <w:tblW w:w="1936" w:type="dxa"/>
        <w:jc w:val="right"/>
        <w:tblInd w:w="0" w:type="dxa"/>
        <w:tblCellMar>
          <w:top w:w="28" w:type="dxa"/>
          <w:left w:w="28" w:type="dxa"/>
          <w:bottom w:w="28" w:type="dxa"/>
          <w:right w:w="28" w:type="dxa"/>
        </w:tblCellMar>
      </w:tblPr>
      <w:tblGrid>
        <w:gridCol w:w="369"/>
        <w:gridCol w:w="325"/>
        <w:gridCol w:w="326"/>
        <w:gridCol w:w="268"/>
        <w:gridCol w:w="268"/>
        <w:gridCol w:w="380"/>
      </w:tblGrid>
      <w:tr>
        <w:trPr/>
        <w:tc>
          <w:tcPr>
            <w:tcW w:w="36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93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21.1</w:t>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6480175" cy="175260"/>
                <wp:effectExtent l="0" t="0" r="0" b="0"/>
                <wp:wrapNone/>
                <wp:docPr id="758" name="Frame7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 of</w:t>
      </w:r>
    </w:p>
    <w:p>
      <w:pPr>
        <w:pStyle w:val="TextBody"/>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jc w:val="center"/>
        <w:rPr/>
      </w:pPr>
      <w:r>
        <w:rPr>
          <w:rFonts w:ascii="Times New Roman;sans-serif" w:hAnsi="Times New Roman;sans-serif"/>
          <w:b w:val="false"/>
          <w:color w:val="000000"/>
          <w:sz w:val="20"/>
        </w:rPr>
        <w:t>None</w:t>
      </w:r>
      <w:r>
        <w:rPr>
          <w:rFonts w:ascii="Times New Roman;sans-serif" w:hAnsi="Times New Roman;sans-serif"/>
          <w:b w:val="false"/>
          <w:color w:val="000000"/>
          <w:sz w:val="24"/>
        </w:rPr>
        <w: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480175" cy="175260"/>
                <wp:effectExtent l="0" t="0" r="0" b="0"/>
                <wp:wrapNone/>
                <wp:docPr id="759" name="Frame7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hereby consent to the use in the Proxy Statement constituting a part of this Registration Statement on Form S-4 of our report dated March 26, 2021, relating to the financial statements of ARYA Sciences Acquisition Corp III, which is contained in that Proxy Statement. We also consent to the reference to us under the caption “Experts” in the Proxy Statement. </w:t>
      </w:r>
    </w:p>
    <w:tbl>
      <w:tblPr>
        <w:tblW w:w="2969" w:type="dxa"/>
        <w:jc w:val="left"/>
        <w:tblInd w:w="0" w:type="dxa"/>
        <w:tblCellMar>
          <w:top w:w="28" w:type="dxa"/>
          <w:left w:w="28" w:type="dxa"/>
          <w:bottom w:w="28" w:type="dxa"/>
          <w:right w:w="28" w:type="dxa"/>
        </w:tblCellMar>
      </w:tblPr>
      <w:tblGrid>
        <w:gridCol w:w="948"/>
        <w:gridCol w:w="834"/>
        <w:gridCol w:w="1187"/>
      </w:tblGrid>
      <w:tr>
        <w:trPr/>
        <w:tc>
          <w:tcPr>
            <w:tcW w:w="94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WithumSmith+Brown, PC</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w:t>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March 26, 2021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23.2</w:t>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6480175" cy="175260"/>
                <wp:effectExtent l="0" t="0" r="0" b="0"/>
                <wp:wrapNone/>
                <wp:docPr id="760" name="Frame7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spacing w:lineRule="auto" w:line="288" w:before="0" w:after="0"/>
        <w:rPr>
          <w:rFonts w:ascii="Georgia;serif" w:hAnsi="Georgia;serif"/>
          <w:b w:val="false"/>
          <w:color w:val="000000"/>
          <w:sz w:val="20"/>
        </w:rPr>
      </w:pPr>
      <w:r>
        <w:rPr>
          <w:rFonts w:ascii="Georgia;serif" w:hAnsi="Georgia;serif"/>
          <w:b w:val="false"/>
          <w:color w:val="000000"/>
          <w:sz w:val="20"/>
        </w:rPr>
        <w:t>We hereby consent to the use in this Registration Statement on Form S-4 of Arya Sciences Acquisition Corp III of our report dated March 26, 2021 relating to the financial statements of Nautilus Biotechnology, Inc. which appears in this Registration Statement. We also consent to the reference to us under the heading “Experts” in such Registration Statement.</w:t>
      </w:r>
    </w:p>
    <w:p>
      <w:pPr>
        <w:pStyle w:val="TextBody"/>
        <w:spacing w:before="0" w:after="0"/>
        <w:rPr/>
      </w:pPr>
      <w:r>
        <w:rPr/>
      </w:r>
    </w:p>
    <w:p>
      <w:pPr>
        <w:pStyle w:val="TextBody"/>
        <w:spacing w:lineRule="auto" w:line="288" w:before="0" w:after="0"/>
        <w:rPr>
          <w:rFonts w:ascii="Georgia;serif" w:hAnsi="Georgia;serif"/>
          <w:b w:val="false"/>
          <w:color w:val="000000"/>
          <w:sz w:val="20"/>
        </w:rPr>
      </w:pPr>
      <w:r>
        <w:rPr>
          <w:rFonts w:ascii="Georgia;serif" w:hAnsi="Georgia;serif"/>
          <w:b w:val="false"/>
          <w:color w:val="000000"/>
          <w:sz w:val="20"/>
        </w:rPr>
        <w:t>/s/ PricewaterhouseCoopers LLP</w:t>
      </w:r>
    </w:p>
    <w:p>
      <w:pPr>
        <w:pStyle w:val="TextBody"/>
        <w:spacing w:lineRule="auto" w:line="288" w:before="0" w:after="0"/>
        <w:rPr>
          <w:rFonts w:ascii="Georgia;serif" w:hAnsi="Georgia;serif"/>
          <w:b w:val="false"/>
          <w:color w:val="000000"/>
          <w:sz w:val="20"/>
        </w:rPr>
      </w:pPr>
      <w:r>
        <w:rPr>
          <w:rFonts w:ascii="Georgia;serif" w:hAnsi="Georgia;serif"/>
          <w:b w:val="false"/>
          <w:color w:val="000000"/>
          <w:sz w:val="20"/>
        </w:rPr>
        <w:t>Seattle, Washington</w:t>
      </w:r>
    </w:p>
    <w:p>
      <w:pPr>
        <w:pStyle w:val="TextBody"/>
        <w:spacing w:lineRule="auto" w:line="288"/>
        <w:rPr>
          <w:rFonts w:ascii="Georgia;serif" w:hAnsi="Georgia;serif"/>
          <w:b w:val="false"/>
          <w:color w:val="000000"/>
          <w:sz w:val="20"/>
        </w:rPr>
      </w:pPr>
      <w:r>
        <w:rPr>
          <w:rFonts w:ascii="Georgia;serif" w:hAnsi="Georgia;serif"/>
          <w:b w:val="false"/>
          <w:color w:val="000000"/>
          <w:sz w:val="20"/>
        </w:rPr>
        <w:t>March 26,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99.1</w:t>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6480175" cy="175260"/>
                <wp:effectExtent l="0" t="0" r="0" b="0"/>
                <wp:wrapNone/>
                <wp:docPr id="761" name="Frame7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274" w:type="dxa"/>
        <w:jc w:val="left"/>
        <w:tblInd w:w="0" w:type="dxa"/>
        <w:tblCellMar>
          <w:top w:w="28" w:type="dxa"/>
          <w:left w:w="28" w:type="dxa"/>
          <w:bottom w:w="28" w:type="dxa"/>
          <w:right w:w="28" w:type="dxa"/>
        </w:tblCellMar>
      </w:tblPr>
      <w:tblGrid>
        <w:gridCol w:w="408"/>
        <w:gridCol w:w="358"/>
        <w:gridCol w:w="508"/>
      </w:tblGrid>
      <w:tr>
        <w:trPr/>
        <w:tc>
          <w:tcPr>
            <w:tcW w:w="40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99.2</w:t>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6480175" cy="175260"/>
                <wp:effectExtent l="0" t="0" r="0" b="0"/>
                <wp:wrapNone/>
                <wp:docPr id="762" name="Frame7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p>
      <w:pPr>
        <w:pStyle w:val="TextBody"/>
        <w:spacing w:lineRule="auto" w:line="288" w:before="300" w:after="300"/>
        <w:rPr>
          <w:rFonts w:ascii="Times New Roman;sans-serif" w:hAnsi="Times New Roman;sans-serif"/>
          <w:b w:val="false"/>
          <w:color w:val="000000"/>
          <w:sz w:val="20"/>
        </w:rPr>
      </w:pPr>
      <w:r>
        <w:rPr>
          <w:rFonts w:ascii="Times New Roman;sans-serif" w:hAnsi="Times New Roman;sans-serif"/>
          <w:b w:val="false"/>
          <w:color w:val="000000"/>
          <w:sz w:val="20"/>
        </w:rPr>
        <w:t>Sincerely,</w:t>
      </w:r>
    </w:p>
    <w:tbl>
      <w:tblPr>
        <w:tblW w:w="1544" w:type="dxa"/>
        <w:jc w:val="left"/>
        <w:tblInd w:w="0" w:type="dxa"/>
        <w:tblCellMar>
          <w:top w:w="28" w:type="dxa"/>
          <w:left w:w="28" w:type="dxa"/>
          <w:bottom w:w="28" w:type="dxa"/>
          <w:right w:w="28" w:type="dxa"/>
        </w:tblCellMar>
      </w:tblPr>
      <w:tblGrid>
        <w:gridCol w:w="493"/>
        <w:gridCol w:w="434"/>
        <w:gridCol w:w="617"/>
      </w:tblGrid>
      <w:tr>
        <w:trPr/>
        <w:tc>
          <w:tcPr>
            <w:tcW w:w="49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r>
      <w:tr>
        <w:trPr/>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99.3</w:t>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6480175" cy="175260"/>
                <wp:effectExtent l="0" t="0" r="0" b="0"/>
                <wp:wrapNone/>
                <wp:docPr id="763" name="Frame7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395" w:type="dxa"/>
        <w:jc w:val="left"/>
        <w:tblInd w:w="0" w:type="dxa"/>
        <w:tblCellMar>
          <w:top w:w="28" w:type="dxa"/>
          <w:left w:w="28" w:type="dxa"/>
          <w:bottom w:w="28" w:type="dxa"/>
          <w:right w:w="28" w:type="dxa"/>
        </w:tblCellMar>
      </w:tblPr>
      <w:tblGrid>
        <w:gridCol w:w="447"/>
        <w:gridCol w:w="392"/>
        <w:gridCol w:w="556"/>
      </w:tblGrid>
      <w:tr>
        <w:trPr/>
        <w:tc>
          <w:tcPr>
            <w:tcW w:w="44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r>
      <w:tr>
        <w:trPr/>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99.4</w:t>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480175" cy="175260"/>
                <wp:effectExtent l="0" t="0" r="0" b="0"/>
                <wp:wrapNone/>
                <wp:docPr id="764" name="Frame7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p>
      <w:pPr>
        <w:pStyle w:val="TextBody"/>
        <w:spacing w:lineRule="auto" w:line="288" w:before="300" w:after="300"/>
        <w:rPr>
          <w:rFonts w:ascii="Times New Roman;sans-serif" w:hAnsi="Times New Roman;sans-serif"/>
          <w:b w:val="false"/>
          <w:color w:val="000000"/>
          <w:sz w:val="20"/>
        </w:rPr>
      </w:pPr>
      <w:r>
        <w:rPr>
          <w:rFonts w:ascii="Times New Roman;sans-serif" w:hAnsi="Times New Roman;sans-serif"/>
          <w:b w:val="false"/>
          <w:color w:val="000000"/>
          <w:sz w:val="20"/>
        </w:rPr>
        <w:t>Sincerely,</w:t>
      </w:r>
    </w:p>
    <w:tbl>
      <w:tblPr>
        <w:tblW w:w="1545" w:type="dxa"/>
        <w:jc w:val="left"/>
        <w:tblInd w:w="0" w:type="dxa"/>
        <w:tblCellMar>
          <w:top w:w="28" w:type="dxa"/>
          <w:left w:w="28" w:type="dxa"/>
          <w:bottom w:w="28" w:type="dxa"/>
          <w:right w:w="28" w:type="dxa"/>
        </w:tblCellMar>
      </w:tblPr>
      <w:tblGrid>
        <w:gridCol w:w="495"/>
        <w:gridCol w:w="435"/>
        <w:gridCol w:w="615"/>
      </w:tblGrid>
      <w:tr>
        <w:trPr/>
        <w:tc>
          <w:tcPr>
            <w:tcW w:w="49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Farzad Nazem</w:t>
            </w:r>
          </w:p>
        </w:tc>
      </w:tr>
      <w:tr>
        <w:trPr/>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99.5</w:t>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480175" cy="175260"/>
                <wp:effectExtent l="0" t="0" r="0" b="0"/>
                <wp:wrapNone/>
                <wp:docPr id="765" name="Frame7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724" w:type="dxa"/>
        <w:jc w:val="left"/>
        <w:tblInd w:w="0" w:type="dxa"/>
        <w:tblCellMar>
          <w:top w:w="28" w:type="dxa"/>
          <w:left w:w="28" w:type="dxa"/>
          <w:bottom w:w="28" w:type="dxa"/>
          <w:right w:w="28" w:type="dxa"/>
        </w:tblCellMar>
      </w:tblPr>
      <w:tblGrid>
        <w:gridCol w:w="552"/>
        <w:gridCol w:w="485"/>
        <w:gridCol w:w="687"/>
      </w:tblGrid>
      <w:tr>
        <w:trPr/>
        <w:tc>
          <w:tcPr>
            <w:tcW w:w="55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Epperly</w:t>
            </w:r>
          </w:p>
        </w:tc>
      </w:tr>
      <w:tr>
        <w:trPr/>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99.6</w:t>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6480175" cy="175260"/>
                <wp:effectExtent l="0" t="0" r="0" b="0"/>
                <wp:wrapNone/>
                <wp:docPr id="766" name="Frame7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710" w:type="dxa"/>
        <w:jc w:val="left"/>
        <w:tblInd w:w="0" w:type="dxa"/>
        <w:tblCellMar>
          <w:top w:w="28" w:type="dxa"/>
          <w:left w:w="28" w:type="dxa"/>
          <w:bottom w:w="28" w:type="dxa"/>
          <w:right w:w="28" w:type="dxa"/>
        </w:tblCellMar>
      </w:tblPr>
      <w:tblGrid>
        <w:gridCol w:w="548"/>
        <w:gridCol w:w="481"/>
        <w:gridCol w:w="681"/>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Posard</w:t>
            </w:r>
          </w:p>
        </w:tc>
      </w:tr>
      <w:tr>
        <w:trPr/>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99.7</w:t>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6480175" cy="175260"/>
                <wp:effectExtent l="0" t="0" r="0" b="0"/>
                <wp:wrapNone/>
                <wp:docPr id="767" name="Frame7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949" w:type="dxa"/>
        <w:jc w:val="left"/>
        <w:tblInd w:w="0" w:type="dxa"/>
        <w:tblCellMar>
          <w:top w:w="28" w:type="dxa"/>
          <w:left w:w="28" w:type="dxa"/>
          <w:bottom w:w="28" w:type="dxa"/>
          <w:right w:w="28" w:type="dxa"/>
        </w:tblCellMar>
      </w:tblPr>
      <w:tblGrid>
        <w:gridCol w:w="624"/>
        <w:gridCol w:w="548"/>
        <w:gridCol w:w="777"/>
      </w:tblGrid>
      <w:tr>
        <w:trPr/>
        <w:tc>
          <w:tcPr>
            <w:tcW w:w="62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McIlwain</w:t>
            </w:r>
          </w:p>
        </w:tc>
      </w:tr>
      <w:tr>
        <w:trPr/>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6480175" cy="175260"/>
                <wp:effectExtent l="0" t="0" r="0" b="0"/>
                <wp:wrapNone/>
                <wp:docPr id="768" name="Frame7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 w:name="Georgia">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s://www.sec.gov/Archives/edgar/data/1808805/000114036120016987/nt10013610x3_ex4-1.htm" TargetMode="External"/><Relationship Id="rId23" Type="http://schemas.openxmlformats.org/officeDocument/2006/relationships/hyperlink" Target="https://www.sec.gov/Archives/edgar/data/1808805/000114036120016987/nt10013610x3_ex10-4.htm" TargetMode="External"/><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120</Pages>
  <Words>414296</Words>
  <CharactersWithSpaces>2649578</CharactersWithSpaces>
  <Paragraphs>12635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