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125080.xml.htm"/>
      <w:bookmarkStart w:id="1" w:name="kswkform4_17411250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Sankar Subramanian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Product Development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Option shall vest and become exercisable on the first anniversary of the Vesting Commencement Date, as defined below, and the balance of the shares subject to the Option shall vest and become exercisable on a ratable, monthly basis over the 36 months succeeding such first anniversary so long as the Reporting Person remains a Service Provider as provided in the Issuer's 2021 Equity Incentive Plan. Vesting Commencement Date shall mean January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Mathew B.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autilusbiotechnology-fo.htm"/>
      <w:bookmarkStart w:id="3" w:name="ksnautilusbiotechnologyf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Sujal Patel, Matt Murphy, Anna Mowry, Priscilla Chen, Nick Brazell, Zachary Myers and Ben Capps,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 1. Prepare, execute and submit to the Securities and Exchange Commission (“SEC”), Nautilus Biotechnology,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Attorney-in-Fact. This Power of Attorney revokes all previous powers of attorney with respect to the subject matter of this Power of Attorney. IN WITNESS WHEREOF, the undersigned has caused this Power of Attorney to be executed on February 21, 2025. Signature: /s/ Subra Sankar Print Name: Subra Sankar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744"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1283</Words>
  <Characters>6902</Characters>
  <CharactersWithSpaces>8125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nautilusbiotechnology-fo</dc:title>
</cp:coreProperties>
</file>