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(Amendment No. 1 )*</w:t>
      </w:r>
    </w:p>
    <w:p>
      <w:pPr>
        <w:spacing w:after="0" w:line="226" w:lineRule="exact"/>
        <w:rPr>
          <w:sz w:val="24"/>
          <w:szCs w:val="24"/>
          <w:color w:val="auto"/>
        </w:rPr>
      </w:pPr>
    </w:p>
    <w:p>
      <w:pPr>
        <w:jc w:val="center"/>
        <w:ind w:right="-759"/>
        <w:spacing w:after="0"/>
        <w:rPr>
          <w:sz w:val="20"/>
          <w:szCs w:val="20"/>
          <w:color w:val="auto"/>
        </w:rPr>
      </w:pPr>
      <w:r>
        <w:rPr>
          <w:rFonts w:ascii="Arial" w:cs="Arial" w:eastAsia="Arial" w:hAnsi="Arial"/>
          <w:sz w:val="25"/>
          <w:szCs w:val="25"/>
          <w:u w:val="single" w:color="auto"/>
          <w:color w:val="auto"/>
        </w:rPr>
        <w:t>Nautilus Biotechnology, Inc. (f/k/a ARYA Sciences Acquisition Corp III)</w:t>
      </w:r>
    </w:p>
    <w:p>
      <w:pPr>
        <w:spacing w:after="0" w:line="28"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Common Stock, par value $0.0001 per share</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63909J108</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December 31, 2021</w:t>
      </w:r>
      <w:r>
        <w:rPr>
          <w:rFonts w:ascii="Arial" w:cs="Arial" w:eastAsia="Arial" w:hAnsi="Arial"/>
          <w:sz w:val="18"/>
          <w:szCs w:val="18"/>
          <w:color w:val="auto"/>
        </w:rPr>
        <w:t>__________</w:t>
      </w:r>
    </w:p>
    <w:p>
      <w:pPr>
        <w:spacing w:after="0" w:line="23"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7980" w:firstLine="4"/>
        <w:spacing w:after="0" w:line="227" w:lineRule="exact"/>
        <w:tabs>
          <w:tab w:leader="none" w:pos="15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right="660"/>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320" w:top="756" w:right="10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63909J108</w:t>
      </w:r>
    </w:p>
    <w:p>
      <w:pPr>
        <w:spacing w:after="0" w:line="239" w:lineRule="exact"/>
        <w:rPr>
          <w:sz w:val="20"/>
          <w:szCs w:val="20"/>
          <w:color w:val="auto"/>
        </w:rPr>
      </w:pPr>
    </w:p>
    <w:p>
      <w:pPr>
        <w:ind w:left="680" w:hanging="427"/>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right="496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642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ind w:left="680" w:hanging="427"/>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500" w:hanging="513"/>
        <w:spacing w:after="0" w:line="207" w:lineRule="exact"/>
        <w:tabs>
          <w:tab w:leader="none" w:pos="75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7520" w:hanging="533"/>
        <w:spacing w:after="0" w:line="207" w:lineRule="exact"/>
        <w:tabs>
          <w:tab w:leader="none" w:pos="75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1" w:lineRule="exact"/>
        <w:rPr>
          <w:sz w:val="20"/>
          <w:szCs w:val="20"/>
          <w:color w:val="auto"/>
        </w:rPr>
      </w:pPr>
    </w:p>
    <w:p>
      <w:pPr>
        <w:ind w:left="680" w:hanging="42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80" w:right="6880" w:hanging="427"/>
        <w:spacing w:after="0" w:line="506"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500" w:type="dxa"/>
            <w:vAlign w:val="bottom"/>
          </w:tcPr>
          <w:p>
            <w:pPr>
              <w:spacing w:after="0"/>
              <w:rPr>
                <w:sz w:val="20"/>
                <w:szCs w:val="20"/>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50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ind w:right="9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2,436,430</w:t>
            </w:r>
          </w:p>
        </w:tc>
        <w:tc>
          <w:tcPr>
            <w:tcW w:w="0" w:type="dxa"/>
            <w:vAlign w:val="bottom"/>
          </w:tcPr>
          <w:p>
            <w:pPr>
              <w:spacing w:after="0"/>
              <w:rPr>
                <w:sz w:val="1"/>
                <w:szCs w:val="1"/>
                <w:color w:val="auto"/>
              </w:rPr>
            </w:pPr>
          </w:p>
        </w:tc>
      </w:tr>
      <w:tr>
        <w:trPr>
          <w:trHeight w:val="216"/>
        </w:trPr>
        <w:tc>
          <w:tcPr>
            <w:tcW w:w="1500" w:type="dxa"/>
            <w:vAlign w:val="bottom"/>
          </w:tcPr>
          <w:p>
            <w:pPr>
              <w:jc w:val="center"/>
              <w:ind w:right="90"/>
              <w:spacing w:after="0"/>
              <w:rPr>
                <w:sz w:val="20"/>
                <w:szCs w:val="20"/>
                <w:color w:val="auto"/>
              </w:rPr>
            </w:pPr>
            <w:r>
              <w:rPr>
                <w:rFonts w:ascii="Arial" w:cs="Arial" w:eastAsia="Arial" w:hAnsi="Arial"/>
                <w:sz w:val="18"/>
                <w:szCs w:val="18"/>
                <w:color w:val="auto"/>
                <w:w w:val="95"/>
              </w:rPr>
              <w:t>EACH</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REPORTING</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50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500" w:type="dxa"/>
            <w:vAlign w:val="bottom"/>
          </w:tcPr>
          <w:p>
            <w:pPr>
              <w:jc w:val="center"/>
              <w:ind w:right="9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2"/>
                <w:szCs w:val="22"/>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2,436,430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80" w:right="4000" w:hanging="427"/>
        <w:spacing w:after="0" w:line="489"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2,436,430</w:t>
      </w:r>
    </w:p>
    <w:p>
      <w:pPr>
        <w:spacing w:after="0" w:line="1" w:lineRule="exact"/>
        <w:rPr>
          <w:sz w:val="20"/>
          <w:szCs w:val="20"/>
          <w:color w:val="auto"/>
        </w:rPr>
      </w:pPr>
    </w:p>
    <w:p>
      <w:pPr>
        <w:ind w:left="680" w:hanging="423"/>
        <w:spacing w:after="0" w:line="207" w:lineRule="exact"/>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b w:val="1"/>
          <w:bCs w:val="1"/>
          <w:color w:val="auto"/>
        </w:rPr>
      </w:pPr>
    </w:p>
    <w:p>
      <w:pPr>
        <w:ind w:left="680" w:right="5620" w:hanging="418"/>
        <w:spacing w:after="0" w:line="506"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2.0%</w:t>
      </w:r>
    </w:p>
    <w:p>
      <w:pPr>
        <w:spacing w:after="0" w:line="4" w:lineRule="exact"/>
        <w:rPr>
          <w:rFonts w:ascii="Arial" w:cs="Arial" w:eastAsia="Arial" w:hAnsi="Arial"/>
          <w:sz w:val="18"/>
          <w:szCs w:val="18"/>
          <w:b w:val="1"/>
          <w:bCs w:val="1"/>
          <w:color w:val="auto"/>
        </w:rPr>
      </w:pPr>
    </w:p>
    <w:p>
      <w:pPr>
        <w:ind w:left="680" w:right="6220" w:hanging="423"/>
        <w:spacing w:after="0" w:line="527"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63909J108</w:t>
      </w:r>
    </w:p>
    <w:p>
      <w:pPr>
        <w:spacing w:after="0" w:line="239" w:lineRule="exact"/>
        <w:rPr>
          <w:sz w:val="20"/>
          <w:szCs w:val="20"/>
          <w:color w:val="auto"/>
        </w:rPr>
      </w:pPr>
    </w:p>
    <w:p>
      <w:pPr>
        <w:ind w:left="680" w:hanging="427"/>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right="496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642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ind w:left="680" w:hanging="42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500" w:hanging="513"/>
        <w:spacing w:after="0" w:line="207" w:lineRule="exact"/>
        <w:tabs>
          <w:tab w:leader="none" w:pos="75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7520" w:hanging="533"/>
        <w:spacing w:after="0" w:line="207" w:lineRule="exact"/>
        <w:tabs>
          <w:tab w:leader="none" w:pos="752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1" w:lineRule="exact"/>
        <w:rPr>
          <w:sz w:val="20"/>
          <w:szCs w:val="20"/>
          <w:color w:val="auto"/>
        </w:rPr>
      </w:pPr>
    </w:p>
    <w:p>
      <w:pPr>
        <w:ind w:left="680" w:hanging="427"/>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80" w:right="6880" w:hanging="427"/>
        <w:spacing w:after="0" w:line="506"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6"/>
              </w:rPr>
              <w:t>NUMBER OF</w:t>
            </w:r>
          </w:p>
        </w:tc>
        <w:tc>
          <w:tcPr>
            <w:tcW w:w="500" w:type="dxa"/>
            <w:vAlign w:val="bottom"/>
          </w:tcPr>
          <w:p>
            <w:pPr>
              <w:spacing w:after="0"/>
              <w:rPr>
                <w:sz w:val="20"/>
                <w:szCs w:val="20"/>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50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2,436,430</w:t>
            </w:r>
          </w:p>
        </w:tc>
        <w:tc>
          <w:tcPr>
            <w:tcW w:w="0" w:type="dxa"/>
            <w:vAlign w:val="bottom"/>
          </w:tcPr>
          <w:p>
            <w:pPr>
              <w:spacing w:after="0"/>
              <w:rPr>
                <w:sz w:val="1"/>
                <w:szCs w:val="1"/>
                <w:color w:val="auto"/>
              </w:rPr>
            </w:pPr>
          </w:p>
        </w:tc>
      </w:tr>
      <w:tr>
        <w:trPr>
          <w:trHeight w:val="21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5"/>
              </w:rPr>
              <w:t>EACH</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3"/>
              </w:rPr>
              <w:t>REPORTING</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50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500" w:type="dxa"/>
            <w:vAlign w:val="bottom"/>
          </w:tcPr>
          <w:p>
            <w:pPr>
              <w:jc w:val="center"/>
              <w:ind w:right="9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2"/>
                <w:szCs w:val="22"/>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2,436,430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80" w:right="4000" w:hanging="427"/>
        <w:spacing w:after="0" w:line="489"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2,436,430</w:t>
      </w:r>
    </w:p>
    <w:p>
      <w:pPr>
        <w:spacing w:after="0" w:line="1" w:lineRule="exact"/>
        <w:rPr>
          <w:sz w:val="20"/>
          <w:szCs w:val="20"/>
          <w:color w:val="auto"/>
        </w:rPr>
      </w:pPr>
    </w:p>
    <w:p>
      <w:pPr>
        <w:ind w:left="680" w:hanging="423"/>
        <w:spacing w:after="0" w:line="207" w:lineRule="exact"/>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b w:val="1"/>
          <w:bCs w:val="1"/>
          <w:color w:val="auto"/>
        </w:rPr>
      </w:pPr>
    </w:p>
    <w:p>
      <w:pPr>
        <w:ind w:left="680" w:right="5620" w:hanging="418"/>
        <w:spacing w:after="0" w:line="506"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2.0%</w:t>
      </w:r>
    </w:p>
    <w:p>
      <w:pPr>
        <w:spacing w:after="0" w:line="4" w:lineRule="exact"/>
        <w:rPr>
          <w:rFonts w:ascii="Arial" w:cs="Arial" w:eastAsia="Arial" w:hAnsi="Arial"/>
          <w:sz w:val="18"/>
          <w:szCs w:val="18"/>
          <w:b w:val="1"/>
          <w:bCs w:val="1"/>
          <w:color w:val="auto"/>
        </w:rPr>
      </w:pPr>
    </w:p>
    <w:p>
      <w:pPr>
        <w:ind w:left="680" w:right="6220" w:hanging="423"/>
        <w:spacing w:after="0" w:line="52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63909J108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1</w:t>
            </w:r>
          </w:p>
        </w:tc>
        <w:tc>
          <w:tcPr>
            <w:tcW w:w="690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37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vMerge w:val="continue"/>
          </w:tcPr>
          <w:p>
            <w:pPr>
              <w:spacing w:after="0"/>
              <w:rPr>
                <w:sz w:val="20"/>
                <w:szCs w:val="20"/>
                <w:color w:val="auto"/>
              </w:rPr>
            </w:pPr>
          </w:p>
        </w:tc>
        <w:tc>
          <w:tcPr>
            <w:tcW w:w="6900" w:type="dxa"/>
            <w:vAlign w:val="bottom"/>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Rajeev Shah</w:t>
            </w:r>
          </w:p>
        </w:tc>
        <w:tc>
          <w:tcPr>
            <w:tcW w:w="3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jc w:val="right"/>
              <w:ind w:right="170"/>
              <w:spacing w:after="0" w:line="195" w:lineRule="exact"/>
              <w:rPr>
                <w:sz w:val="20"/>
                <w:szCs w:val="20"/>
                <w:color w:val="auto"/>
              </w:rPr>
            </w:pPr>
            <w:r>
              <w:rPr>
                <w:rFonts w:ascii="Arial" w:cs="Arial" w:eastAsia="Arial" w:hAnsi="Arial"/>
                <w:sz w:val="18"/>
                <w:szCs w:val="18"/>
                <w:b w:val="1"/>
                <w:bCs w:val="1"/>
                <w:color w:val="auto"/>
              </w:rPr>
              <w:t>2</w:t>
            </w:r>
          </w:p>
        </w:tc>
        <w:tc>
          <w:tcPr>
            <w:tcW w:w="6900" w:type="dxa"/>
            <w:vAlign w:val="bottom"/>
            <w:gridSpan w:val="4"/>
          </w:tcPr>
          <w:p>
            <w:pPr>
              <w:ind w:left="80"/>
              <w:spacing w:after="0" w:line="195" w:lineRule="exact"/>
              <w:rPr>
                <w:sz w:val="20"/>
                <w:szCs w:val="20"/>
                <w:color w:val="auto"/>
              </w:rPr>
            </w:pPr>
            <w:r>
              <w:rPr>
                <w:rFonts w:ascii="Arial" w:cs="Arial" w:eastAsia="Arial" w:hAnsi="Arial"/>
                <w:sz w:val="18"/>
                <w:szCs w:val="18"/>
                <w:color w:val="auto"/>
                <w:w w:val="95"/>
              </w:rPr>
              <w:t>CHECK THE APPROPRIATE BOX IF A MEMBER OF A GROUP (SEE INSTRUCTIONS)</w:t>
            </w:r>
          </w:p>
        </w:tc>
        <w:tc>
          <w:tcPr>
            <w:tcW w:w="3740" w:type="dxa"/>
            <w:vAlign w:val="bottom"/>
            <w:tcBorders>
              <w:right w:val="single" w:sz="8" w:color="auto"/>
            </w:tcBorders>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20" w:type="dxa"/>
            <w:vAlign w:val="bottom"/>
          </w:tcPr>
          <w:p>
            <w:pPr>
              <w:ind w:left="4700"/>
              <w:spacing w:after="0"/>
              <w:rPr>
                <w:sz w:val="20"/>
                <w:szCs w:val="20"/>
                <w:color w:val="auto"/>
              </w:rPr>
            </w:pPr>
            <w:r>
              <w:rPr>
                <w:rFonts w:ascii="Arial" w:cs="Arial" w:eastAsia="Arial" w:hAnsi="Arial"/>
                <w:sz w:val="18"/>
                <w:szCs w:val="18"/>
                <w:color w:val="auto"/>
              </w:rPr>
              <w:t>(a)</w:t>
            </w:r>
          </w:p>
        </w:tc>
        <w:tc>
          <w:tcPr>
            <w:tcW w:w="37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20" w:type="dxa"/>
            <w:vAlign w:val="bottom"/>
          </w:tcPr>
          <w:p>
            <w:pPr>
              <w:ind w:left="4700"/>
              <w:spacing w:after="0"/>
              <w:rPr>
                <w:sz w:val="20"/>
                <w:szCs w:val="20"/>
                <w:color w:val="auto"/>
              </w:rPr>
            </w:pPr>
            <w:r>
              <w:rPr>
                <w:rFonts w:ascii="Arial" w:cs="Arial" w:eastAsia="Arial" w:hAnsi="Arial"/>
                <w:sz w:val="18"/>
                <w:szCs w:val="18"/>
                <w:color w:val="auto"/>
              </w:rPr>
              <w:t>(b)</w:t>
            </w:r>
          </w:p>
        </w:tc>
        <w:tc>
          <w:tcPr>
            <w:tcW w:w="374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w:t>
            </w:r>
          </w:p>
        </w:tc>
        <w:tc>
          <w:tcPr>
            <w:tcW w:w="134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w w:val="93"/>
              </w:rPr>
              <w:t>SEC USE ONLY</w:t>
            </w:r>
          </w:p>
        </w:tc>
        <w:tc>
          <w:tcPr>
            <w:tcW w:w="340" w:type="dxa"/>
            <w:vAlign w:val="bottom"/>
            <w:tcBorders>
              <w:right w:val="single" w:sz="8" w:color="F2F2F2"/>
            </w:tcBorders>
            <w:shd w:val="clear" w:color="auto" w:fill="F2F2F2"/>
          </w:tcPr>
          <w:p>
            <w:pPr>
              <w:spacing w:after="0"/>
              <w:rPr>
                <w:sz w:val="19"/>
                <w:szCs w:val="19"/>
                <w:color w:val="auto"/>
              </w:rPr>
            </w:pPr>
          </w:p>
        </w:tc>
        <w:tc>
          <w:tcPr>
            <w:tcW w:w="5220" w:type="dxa"/>
            <w:vAlign w:val="bottom"/>
            <w:shd w:val="clear" w:color="auto" w:fill="F2F2F2"/>
          </w:tcPr>
          <w:p>
            <w:pPr>
              <w:spacing w:after="0"/>
              <w:rPr>
                <w:sz w:val="19"/>
                <w:szCs w:val="19"/>
                <w:color w:val="auto"/>
              </w:rPr>
            </w:pPr>
          </w:p>
        </w:tc>
        <w:tc>
          <w:tcPr>
            <w:tcW w:w="3740" w:type="dxa"/>
            <w:vAlign w:val="bottom"/>
            <w:tcBorders>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F2F2F2"/>
            </w:tcBorders>
            <w:shd w:val="clear" w:color="auto" w:fill="F2F2F2"/>
          </w:tcPr>
          <w:p>
            <w:pPr>
              <w:spacing w:after="0"/>
              <w:rPr>
                <w:sz w:val="17"/>
                <w:szCs w:val="17"/>
                <w:color w:val="auto"/>
              </w:rPr>
            </w:pPr>
          </w:p>
        </w:tc>
        <w:tc>
          <w:tcPr>
            <w:tcW w:w="560" w:type="dxa"/>
            <w:vAlign w:val="bottom"/>
            <w:tcBorders>
              <w:bottom w:val="single" w:sz="8" w:color="auto"/>
              <w:right w:val="single" w:sz="8" w:color="F2F2F2"/>
            </w:tcBorders>
            <w:gridSpan w:val="2"/>
            <w:shd w:val="clear" w:color="auto" w:fill="F2F2F2"/>
          </w:tcPr>
          <w:p>
            <w:pPr>
              <w:spacing w:after="0"/>
              <w:rPr>
                <w:sz w:val="17"/>
                <w:szCs w:val="17"/>
                <w:color w:val="auto"/>
              </w:rPr>
            </w:pPr>
          </w:p>
        </w:tc>
        <w:tc>
          <w:tcPr>
            <w:tcW w:w="5220" w:type="dxa"/>
            <w:vAlign w:val="bottom"/>
            <w:tcBorders>
              <w:bottom w:val="single" w:sz="8" w:color="auto"/>
            </w:tcBorders>
            <w:shd w:val="clear" w:color="auto" w:fill="F2F2F2"/>
          </w:tcPr>
          <w:p>
            <w:pPr>
              <w:spacing w:after="0"/>
              <w:rPr>
                <w:sz w:val="17"/>
                <w:szCs w:val="17"/>
                <w:color w:val="auto"/>
              </w:rPr>
            </w:pPr>
          </w:p>
        </w:tc>
        <w:tc>
          <w:tcPr>
            <w:tcW w:w="3740" w:type="dxa"/>
            <w:vAlign w:val="bottom"/>
            <w:tcBorders>
              <w:bottom w:val="single" w:sz="8" w:color="auto"/>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w:t>
            </w:r>
          </w:p>
        </w:tc>
        <w:tc>
          <w:tcPr>
            <w:tcW w:w="69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6900" w:type="dxa"/>
            <w:vAlign w:val="bottom"/>
            <w:gridSpan w:val="4"/>
          </w:tcPr>
          <w:p>
            <w:pPr>
              <w:ind w:left="80"/>
              <w:spacing w:after="0"/>
              <w:rPr>
                <w:sz w:val="20"/>
                <w:szCs w:val="20"/>
                <w:color w:val="auto"/>
              </w:rPr>
            </w:pPr>
            <w:r>
              <w:rPr>
                <w:rFonts w:ascii="Arial" w:cs="Arial" w:eastAsia="Arial" w:hAnsi="Arial"/>
                <w:sz w:val="18"/>
                <w:szCs w:val="18"/>
                <w:color w:val="auto"/>
              </w:rPr>
              <w:t>United States of America</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5</w:t>
            </w:r>
          </w:p>
        </w:tc>
        <w:tc>
          <w:tcPr>
            <w:tcW w:w="52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00" w:type="dxa"/>
            <w:vAlign w:val="bottom"/>
            <w:tcBorders>
              <w:lef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spacing w:after="0"/>
              <w:rPr>
                <w:sz w:val="19"/>
                <w:szCs w:val="19"/>
                <w:color w:val="auto"/>
              </w:rPr>
            </w:pPr>
          </w:p>
        </w:tc>
        <w:tc>
          <w:tcPr>
            <w:tcW w:w="3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6</w:t>
            </w:r>
          </w:p>
        </w:tc>
        <w:tc>
          <w:tcPr>
            <w:tcW w:w="52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52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2,436,430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15"/>
                <w:szCs w:val="15"/>
                <w:color w:val="auto"/>
              </w:rPr>
            </w:pPr>
          </w:p>
        </w:tc>
        <w:tc>
          <w:tcPr>
            <w:tcW w:w="340" w:type="dxa"/>
            <w:vAlign w:val="bottom"/>
            <w:tcBorders>
              <w:right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w w:val="79"/>
              </w:rPr>
              <w:t>7</w:t>
            </w:r>
          </w:p>
        </w:tc>
        <w:tc>
          <w:tcPr>
            <w:tcW w:w="522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11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tcBorders>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8</w:t>
            </w:r>
          </w:p>
        </w:tc>
        <w:tc>
          <w:tcPr>
            <w:tcW w:w="5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2,436,430</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680" w:right="4000" w:hanging="427"/>
        <w:spacing w:after="0" w:line="489"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2,436,430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1954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ind w:left="680" w:hanging="423"/>
        <w:spacing w:after="0" w:line="207" w:lineRule="exact"/>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b w:val="1"/>
          <w:bCs w:val="1"/>
          <w:color w:val="auto"/>
        </w:rPr>
      </w:pPr>
    </w:p>
    <w:p>
      <w:pPr>
        <w:ind w:left="680" w:right="5620" w:hanging="418"/>
        <w:spacing w:after="0" w:line="506"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2.0%</w:t>
      </w:r>
    </w:p>
    <w:p>
      <w:pPr>
        <w:spacing w:after="0" w:line="4" w:lineRule="exact"/>
        <w:rPr>
          <w:rFonts w:ascii="Arial" w:cs="Arial" w:eastAsia="Arial" w:hAnsi="Arial"/>
          <w:sz w:val="18"/>
          <w:szCs w:val="18"/>
          <w:b w:val="1"/>
          <w:bCs w:val="1"/>
          <w:color w:val="auto"/>
        </w:rPr>
      </w:pPr>
    </w:p>
    <w:p>
      <w:pPr>
        <w:ind w:left="680" w:right="6220" w:hanging="423"/>
        <w:spacing w:after="0" w:line="527"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63909J108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1</w:t>
            </w:r>
          </w:p>
        </w:tc>
        <w:tc>
          <w:tcPr>
            <w:tcW w:w="690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37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vMerge w:val="continue"/>
          </w:tcPr>
          <w:p>
            <w:pPr>
              <w:spacing w:after="0"/>
              <w:rPr>
                <w:sz w:val="20"/>
                <w:szCs w:val="20"/>
                <w:color w:val="auto"/>
              </w:rPr>
            </w:pPr>
          </w:p>
        </w:tc>
        <w:tc>
          <w:tcPr>
            <w:tcW w:w="6900" w:type="dxa"/>
            <w:vAlign w:val="bottom"/>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900" w:type="dxa"/>
            <w:vAlign w:val="bottom"/>
            <w:gridSpan w:val="4"/>
          </w:tcPr>
          <w:p>
            <w:pPr>
              <w:ind w:left="80"/>
              <w:spacing w:after="0"/>
              <w:rPr>
                <w:sz w:val="20"/>
                <w:szCs w:val="20"/>
                <w:color w:val="auto"/>
              </w:rPr>
            </w:pPr>
            <w:r>
              <w:rPr>
                <w:rFonts w:ascii="Arial" w:cs="Arial" w:eastAsia="Arial" w:hAnsi="Arial"/>
                <w:sz w:val="18"/>
                <w:szCs w:val="18"/>
                <w:color w:val="auto"/>
              </w:rPr>
              <w:t>RA Capital Healthcare Fund, L.P.</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jc w:val="right"/>
              <w:ind w:right="170"/>
              <w:spacing w:after="0" w:line="195" w:lineRule="exact"/>
              <w:rPr>
                <w:sz w:val="20"/>
                <w:szCs w:val="20"/>
                <w:color w:val="auto"/>
              </w:rPr>
            </w:pPr>
            <w:r>
              <w:rPr>
                <w:rFonts w:ascii="Arial" w:cs="Arial" w:eastAsia="Arial" w:hAnsi="Arial"/>
                <w:sz w:val="18"/>
                <w:szCs w:val="18"/>
                <w:b w:val="1"/>
                <w:bCs w:val="1"/>
                <w:color w:val="auto"/>
              </w:rPr>
              <w:t>2</w:t>
            </w:r>
          </w:p>
        </w:tc>
        <w:tc>
          <w:tcPr>
            <w:tcW w:w="6900" w:type="dxa"/>
            <w:vAlign w:val="bottom"/>
            <w:gridSpan w:val="4"/>
          </w:tcPr>
          <w:p>
            <w:pPr>
              <w:ind w:left="80"/>
              <w:spacing w:after="0" w:line="195" w:lineRule="exact"/>
              <w:rPr>
                <w:sz w:val="20"/>
                <w:szCs w:val="20"/>
                <w:color w:val="auto"/>
              </w:rPr>
            </w:pPr>
            <w:r>
              <w:rPr>
                <w:rFonts w:ascii="Arial" w:cs="Arial" w:eastAsia="Arial" w:hAnsi="Arial"/>
                <w:sz w:val="18"/>
                <w:szCs w:val="18"/>
                <w:color w:val="auto"/>
                <w:w w:val="95"/>
              </w:rPr>
              <w:t>CHECK THE APPROPRIATE BOX IF A MEMBER OF A GROUP (SEE INSTRUCTIONS)</w:t>
            </w:r>
          </w:p>
        </w:tc>
        <w:tc>
          <w:tcPr>
            <w:tcW w:w="3740" w:type="dxa"/>
            <w:vAlign w:val="bottom"/>
            <w:tcBorders>
              <w:right w:val="single" w:sz="8" w:color="auto"/>
            </w:tcBorders>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20" w:type="dxa"/>
            <w:vAlign w:val="bottom"/>
          </w:tcPr>
          <w:p>
            <w:pPr>
              <w:ind w:left="4700"/>
              <w:spacing w:after="0"/>
              <w:rPr>
                <w:sz w:val="20"/>
                <w:szCs w:val="20"/>
                <w:color w:val="auto"/>
              </w:rPr>
            </w:pPr>
            <w:r>
              <w:rPr>
                <w:rFonts w:ascii="Arial" w:cs="Arial" w:eastAsia="Arial" w:hAnsi="Arial"/>
                <w:sz w:val="18"/>
                <w:szCs w:val="18"/>
                <w:color w:val="auto"/>
              </w:rPr>
              <w:t>(a)</w:t>
            </w:r>
          </w:p>
        </w:tc>
        <w:tc>
          <w:tcPr>
            <w:tcW w:w="37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20" w:type="dxa"/>
            <w:vAlign w:val="bottom"/>
          </w:tcPr>
          <w:p>
            <w:pPr>
              <w:ind w:left="4700"/>
              <w:spacing w:after="0"/>
              <w:rPr>
                <w:sz w:val="20"/>
                <w:szCs w:val="20"/>
                <w:color w:val="auto"/>
              </w:rPr>
            </w:pPr>
            <w:r>
              <w:rPr>
                <w:rFonts w:ascii="Arial" w:cs="Arial" w:eastAsia="Arial" w:hAnsi="Arial"/>
                <w:sz w:val="18"/>
                <w:szCs w:val="18"/>
                <w:color w:val="auto"/>
              </w:rPr>
              <w:t>(b)</w:t>
            </w:r>
          </w:p>
        </w:tc>
        <w:tc>
          <w:tcPr>
            <w:tcW w:w="374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w:t>
            </w:r>
          </w:p>
        </w:tc>
        <w:tc>
          <w:tcPr>
            <w:tcW w:w="134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w w:val="93"/>
              </w:rPr>
              <w:t>SEC USE ONLY</w:t>
            </w:r>
          </w:p>
        </w:tc>
        <w:tc>
          <w:tcPr>
            <w:tcW w:w="340" w:type="dxa"/>
            <w:vAlign w:val="bottom"/>
            <w:tcBorders>
              <w:right w:val="single" w:sz="8" w:color="F2F2F2"/>
            </w:tcBorders>
            <w:shd w:val="clear" w:color="auto" w:fill="F2F2F2"/>
          </w:tcPr>
          <w:p>
            <w:pPr>
              <w:spacing w:after="0"/>
              <w:rPr>
                <w:sz w:val="19"/>
                <w:szCs w:val="19"/>
                <w:color w:val="auto"/>
              </w:rPr>
            </w:pPr>
          </w:p>
        </w:tc>
        <w:tc>
          <w:tcPr>
            <w:tcW w:w="5220" w:type="dxa"/>
            <w:vAlign w:val="bottom"/>
            <w:shd w:val="clear" w:color="auto" w:fill="F2F2F2"/>
          </w:tcPr>
          <w:p>
            <w:pPr>
              <w:spacing w:after="0"/>
              <w:rPr>
                <w:sz w:val="19"/>
                <w:szCs w:val="19"/>
                <w:color w:val="auto"/>
              </w:rPr>
            </w:pPr>
          </w:p>
        </w:tc>
        <w:tc>
          <w:tcPr>
            <w:tcW w:w="3740" w:type="dxa"/>
            <w:vAlign w:val="bottom"/>
            <w:tcBorders>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F2F2F2"/>
            </w:tcBorders>
            <w:shd w:val="clear" w:color="auto" w:fill="F2F2F2"/>
          </w:tcPr>
          <w:p>
            <w:pPr>
              <w:spacing w:after="0"/>
              <w:rPr>
                <w:sz w:val="17"/>
                <w:szCs w:val="17"/>
                <w:color w:val="auto"/>
              </w:rPr>
            </w:pPr>
          </w:p>
        </w:tc>
        <w:tc>
          <w:tcPr>
            <w:tcW w:w="560" w:type="dxa"/>
            <w:vAlign w:val="bottom"/>
            <w:tcBorders>
              <w:bottom w:val="single" w:sz="8" w:color="auto"/>
              <w:right w:val="single" w:sz="8" w:color="F2F2F2"/>
            </w:tcBorders>
            <w:gridSpan w:val="2"/>
            <w:shd w:val="clear" w:color="auto" w:fill="F2F2F2"/>
          </w:tcPr>
          <w:p>
            <w:pPr>
              <w:spacing w:after="0"/>
              <w:rPr>
                <w:sz w:val="17"/>
                <w:szCs w:val="17"/>
                <w:color w:val="auto"/>
              </w:rPr>
            </w:pPr>
          </w:p>
        </w:tc>
        <w:tc>
          <w:tcPr>
            <w:tcW w:w="5220" w:type="dxa"/>
            <w:vAlign w:val="bottom"/>
            <w:tcBorders>
              <w:bottom w:val="single" w:sz="8" w:color="auto"/>
            </w:tcBorders>
            <w:shd w:val="clear" w:color="auto" w:fill="F2F2F2"/>
          </w:tcPr>
          <w:p>
            <w:pPr>
              <w:spacing w:after="0"/>
              <w:rPr>
                <w:sz w:val="17"/>
                <w:szCs w:val="17"/>
                <w:color w:val="auto"/>
              </w:rPr>
            </w:pPr>
          </w:p>
        </w:tc>
        <w:tc>
          <w:tcPr>
            <w:tcW w:w="3740" w:type="dxa"/>
            <w:vAlign w:val="bottom"/>
            <w:tcBorders>
              <w:bottom w:val="single" w:sz="8" w:color="auto"/>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w:t>
            </w:r>
          </w:p>
        </w:tc>
        <w:tc>
          <w:tcPr>
            <w:tcW w:w="69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right w:val="single" w:sz="8" w:color="auto"/>
            </w:tcBorders>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5</w:t>
            </w:r>
          </w:p>
        </w:tc>
        <w:tc>
          <w:tcPr>
            <w:tcW w:w="52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2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5"/>
                <w:szCs w:val="15"/>
                <w:color w:val="auto"/>
              </w:rPr>
            </w:pPr>
          </w:p>
        </w:tc>
        <w:tc>
          <w:tcPr>
            <w:tcW w:w="340" w:type="dxa"/>
            <w:vAlign w:val="bottom"/>
            <w:tcBorders>
              <w:right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w w:val="79"/>
              </w:rPr>
              <w:t>6</w:t>
            </w:r>
          </w:p>
        </w:tc>
        <w:tc>
          <w:tcPr>
            <w:tcW w:w="522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2,436,430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1120" w:type="dxa"/>
            <w:vAlign w:val="bottom"/>
            <w:tcBorders>
              <w:right w:val="single" w:sz="8" w:color="auto"/>
            </w:tcBorders>
            <w:vMerge w:val="restart"/>
          </w:tcPr>
          <w:p>
            <w:pPr>
              <w:jc w:val="center"/>
              <w:ind w:right="550"/>
              <w:spacing w:after="0"/>
              <w:rPr>
                <w:sz w:val="20"/>
                <w:szCs w:val="20"/>
                <w:color w:val="auto"/>
              </w:rPr>
            </w:pPr>
            <w:r>
              <w:rPr>
                <w:rFonts w:ascii="Arial" w:cs="Arial" w:eastAsia="Arial" w:hAnsi="Arial"/>
                <w:sz w:val="18"/>
                <w:szCs w:val="18"/>
                <w:color w:val="auto"/>
                <w:w w:val="95"/>
              </w:rPr>
              <w:t>EACH</w:t>
            </w: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right w:val="single" w:sz="8" w:color="auto"/>
            </w:tcBorders>
          </w:tcPr>
          <w:p>
            <w:pPr>
              <w:jc w:val="right"/>
              <w:ind w:right="150"/>
              <w:spacing w:after="0" w:line="168" w:lineRule="exact"/>
              <w:rPr>
                <w:sz w:val="20"/>
                <w:szCs w:val="20"/>
                <w:color w:val="auto"/>
              </w:rPr>
            </w:pPr>
            <w:r>
              <w:rPr>
                <w:rFonts w:ascii="Arial" w:cs="Arial" w:eastAsia="Arial" w:hAnsi="Arial"/>
                <w:sz w:val="18"/>
                <w:szCs w:val="18"/>
                <w:b w:val="1"/>
                <w:bCs w:val="1"/>
                <w:color w:val="auto"/>
                <w:w w:val="79"/>
              </w:rPr>
              <w:t>7</w:t>
            </w:r>
          </w:p>
        </w:tc>
        <w:tc>
          <w:tcPr>
            <w:tcW w:w="5220" w:type="dxa"/>
            <w:vAlign w:val="bottom"/>
          </w:tcPr>
          <w:p>
            <w:pPr>
              <w:ind w:left="100"/>
              <w:spacing w:after="0" w:line="168" w:lineRule="exact"/>
              <w:rPr>
                <w:sz w:val="20"/>
                <w:szCs w:val="20"/>
                <w:color w:val="auto"/>
              </w:rPr>
            </w:pPr>
            <w:r>
              <w:rPr>
                <w:rFonts w:ascii="Arial" w:cs="Arial" w:eastAsia="Arial" w:hAnsi="Arial"/>
                <w:sz w:val="18"/>
                <w:szCs w:val="18"/>
                <w:color w:val="auto"/>
              </w:rPr>
              <w:t>SOLE DISPOSITIVE POWER</w:t>
            </w: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8</w:t>
            </w:r>
          </w:p>
        </w:tc>
        <w:tc>
          <w:tcPr>
            <w:tcW w:w="5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2,436,430</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680" w:hanging="42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1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2,436,430</w:t>
      </w:r>
    </w:p>
    <w:p>
      <w:pPr>
        <w:spacing w:after="0" w:line="23" w:lineRule="exact"/>
        <w:rPr>
          <w:sz w:val="20"/>
          <w:szCs w:val="20"/>
          <w:color w:val="auto"/>
        </w:rPr>
      </w:pPr>
    </w:p>
    <w:p>
      <w:pPr>
        <w:ind w:left="680" w:hanging="423"/>
        <w:spacing w:after="0" w:line="207" w:lineRule="exact"/>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b w:val="1"/>
          <w:bCs w:val="1"/>
          <w:color w:val="auto"/>
        </w:rPr>
      </w:pPr>
    </w:p>
    <w:p>
      <w:pPr>
        <w:ind w:left="680" w:right="5620" w:hanging="418"/>
        <w:spacing w:after="0" w:line="506" w:lineRule="auto"/>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2.0%</w:t>
      </w:r>
    </w:p>
    <w:p>
      <w:pPr>
        <w:spacing w:after="0" w:line="4" w:lineRule="exact"/>
        <w:rPr>
          <w:rFonts w:ascii="Arial" w:cs="Arial" w:eastAsia="Arial" w:hAnsi="Arial"/>
          <w:sz w:val="18"/>
          <w:szCs w:val="18"/>
          <w:b w:val="1"/>
          <w:bCs w:val="1"/>
          <w:color w:val="auto"/>
        </w:rPr>
      </w:pPr>
    </w:p>
    <w:p>
      <w:pPr>
        <w:ind w:left="680" w:right="6220" w:hanging="423"/>
        <w:spacing w:after="0" w:line="527" w:lineRule="auto"/>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 xml:space="preserve">1(a). </w:t>
      </w:r>
      <w:r>
        <w:rPr>
          <w:rFonts w:ascii="Arial" w:cs="Arial" w:eastAsia="Arial" w:hAnsi="Arial"/>
          <w:sz w:val="18"/>
          <w:szCs w:val="18"/>
          <w:b w:val="1"/>
          <w:bCs w:val="1"/>
          <w:u w:val="single" w:color="auto"/>
          <w:color w:val="auto"/>
        </w:rPr>
        <w:t>Name of Issuer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Nautilus Biotechnology, Inc. (the “Issuer”) (f/k/a ARYA Sciences Acquisition Corp III)</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425 Pontius Avenue North, Suite 202, Seattle, Washington 98109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63909J108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pages to this Schedule 13G. The ownership percentages reported are based on 124,166,776 outstanding Common Stock, as reported in the Issuer’s 10-Q filed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ind w:left="980"/>
        <w:spacing w:after="0"/>
        <w:rPr>
          <w:sz w:val="20"/>
          <w:szCs w:val="20"/>
          <w:color w:val="auto"/>
        </w:rPr>
      </w:pPr>
      <w:r>
        <w:rPr>
          <w:rFonts w:ascii="Arial" w:cs="Arial" w:eastAsia="Arial" w:hAnsi="Arial"/>
          <w:sz w:val="18"/>
          <w:szCs w:val="18"/>
          <w:color w:val="auto"/>
        </w:rPr>
        <w:t>The Fund directly holds 2,436,430 shares of Common Stock.</w:t>
      </w:r>
    </w:p>
    <w:p>
      <w:pPr>
        <w:spacing w:after="0" w:line="225" w:lineRule="exact"/>
        <w:rPr>
          <w:sz w:val="20"/>
          <w:szCs w:val="20"/>
          <w:color w:val="auto"/>
        </w:rPr>
      </w:pPr>
    </w:p>
    <w:p>
      <w:pPr>
        <w:ind w:left="980" w:right="100"/>
        <w:spacing w:after="0" w:line="287"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jc w:val="center"/>
        <w:ind w:right="-69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8" w:right="10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14, 2022,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Common Stock, par value $0.0001 per share of Nautilus Biotechnology, Inc.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9"/>
      <w:numFmt w:val="bullet"/>
      <w:start w:val="1"/>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2"/>
      <w:numFmt w:val="bullet"/>
      <w:start w:val="1"/>
    </w:lvl>
    <w:lvl w:ilvl="1">
      <w:lvlJc w:val="left"/>
      <w:lvlText w:val="(%2)"/>
      <w:numFmt w:val="lowerLetter"/>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4"/>
      <w:numFmt w:val="bullet"/>
      <w:start w:val="1"/>
    </w:lvl>
  </w:abstractNum>
  <w:abstractNum w:abstractNumId="11">
    <w:nsid w:val="41A7C4C9"/>
    <w:multiLevelType w:val="hybridMultilevel"/>
    <w:lvl w:ilvl="0">
      <w:lvlJc w:val="left"/>
      <w:lvlText w:val="9"/>
      <w:numFmt w:val="bullet"/>
      <w:start w:val="1"/>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9"/>
      <w:numFmt w:val="bullet"/>
      <w:start w:val="1"/>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9"/>
      <w:numFmt w:val="bullet"/>
      <w:start w:val="1"/>
    </w:lvl>
  </w:abstractNum>
  <w:abstractNum w:abstractNumId="16">
    <w:nsid w:val="431BD7B7"/>
    <w:multiLevelType w:val="hybridMultilevel"/>
    <w:lvl w:ilvl="0">
      <w:lvlJc w:val="left"/>
      <w:lvlText w:val="%1"/>
      <w:numFmt w:val="decimal"/>
      <w:start w:val="10"/>
    </w:lvl>
  </w:abstractNum>
  <w:abstractNum w:abstractNumId="17">
    <w:nsid w:val="3F2DBA31"/>
    <w:multiLevelType w:val="hybridMultilevel"/>
    <w:lvl w:ilvl="0">
      <w:lvlJc w:val="left"/>
      <w:lvlText w:val="(%1)"/>
      <w:numFmt w:val="lowerLetter"/>
      <w:start w:val="5"/>
    </w:lvl>
  </w:abstractNum>
  <w:abstractNum w:abstractNumId="18">
    <w:nsid w:val="7C83E45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2022-02-14T15:26:34Z</dcterms:created>
  <dcterms:modified xsi:type="dcterms:W3CDTF">2022-02-14T15:26:34Z</dcterms:modified>
</cp:coreProperties>
</file>