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3298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298825"/>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gridSpan w:val="2"/>
            <w:vMerge w:val="restart"/>
          </w:tcPr>
          <w:p>
            <w:pPr>
              <w:spacing w:after="0" w:line="181" w:lineRule="exact"/>
              <w:rPr>
                <w:rFonts w:ascii="Arial" w:cs="Arial" w:eastAsia="Arial" w:hAnsi="Arial"/>
                <w:sz w:val="16"/>
                <w:szCs w:val="16"/>
                <w:color w:val="0000EE"/>
                <w:w w:val="94"/>
              </w:rPr>
            </w:pPr>
            <w:hyperlink r:id="rId11">
              <w:r>
                <w:rPr>
                  <w:rFonts w:ascii="Arial" w:cs="Arial" w:eastAsia="Arial" w:hAnsi="Arial"/>
                  <w:sz w:val="16"/>
                  <w:szCs w:val="16"/>
                  <w:color w:val="0000EE"/>
                  <w:w w:val="94"/>
                </w:rPr>
                <w:t>McIlwain Matthew S</w:t>
              </w:r>
            </w:hyperlink>
          </w:p>
        </w:tc>
        <w:tc>
          <w:tcPr>
            <w:tcW w:w="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Borders>
              <w:bottom w:val="single" w:sz="8" w:color="0000EE"/>
            </w:tcBorders>
            <w:gridSpan w:val="2"/>
            <w:vMerge w:val="continue"/>
          </w:tcPr>
          <w:p>
            <w:pPr>
              <w:spacing w:after="0"/>
              <w:rPr>
                <w:sz w:val="9"/>
                <w:szCs w:val="9"/>
                <w:color w:val="auto"/>
              </w:rPr>
            </w:pPr>
          </w:p>
        </w:tc>
        <w:tc>
          <w:tcPr>
            <w:tcW w:w="64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06/09/2021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64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0"/>
                <w:szCs w:val="10"/>
                <w:color w:val="auto"/>
              </w:rPr>
              <w:t>(Last)</w:t>
            </w:r>
          </w:p>
        </w:tc>
        <w:tc>
          <w:tcPr>
            <w:tcW w:w="1200" w:type="dxa"/>
            <w:vAlign w:val="bottom"/>
            <w:gridSpan w:val="2"/>
          </w:tcPr>
          <w:p>
            <w:pPr>
              <w:ind w:left="24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5"/>
          </w:tcPr>
          <w:p>
            <w:pPr>
              <w:spacing w:after="0"/>
              <w:rPr>
                <w:sz w:val="20"/>
                <w:szCs w:val="20"/>
                <w:color w:val="auto"/>
              </w:rPr>
            </w:pPr>
            <w:r>
              <w:rPr>
                <w:rFonts w:ascii="Arial" w:cs="Arial" w:eastAsia="Arial" w:hAnsi="Arial"/>
                <w:sz w:val="13"/>
                <w:szCs w:val="13"/>
                <w:color w:val="0000FF"/>
              </w:rPr>
              <w:t>C/O NAUTILUS BIOTECHNOLOGY, INC.</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gridSpan w:val="3"/>
          </w:tcPr>
          <w:p>
            <w:pPr>
              <w:spacing w:after="0"/>
              <w:rPr>
                <w:sz w:val="20"/>
                <w:szCs w:val="20"/>
                <w:color w:val="auto"/>
              </w:rPr>
            </w:pPr>
            <w:r>
              <w:rPr>
                <w:rFonts w:ascii="Arial" w:cs="Arial" w:eastAsia="Arial" w:hAnsi="Arial"/>
                <w:sz w:val="13"/>
                <w:szCs w:val="13"/>
                <w:color w:val="0000FF"/>
              </w:rPr>
              <w:t>425 PONTIUS AVE N, STE 202</w:t>
            </w: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840" w:type="dxa"/>
            <w:vAlign w:val="bottom"/>
            <w:gridSpan w:val="3"/>
          </w:tcPr>
          <w:p>
            <w:pPr>
              <w:spacing w:after="0"/>
              <w:rPr>
                <w:sz w:val="20"/>
                <w:szCs w:val="20"/>
                <w:color w:val="auto"/>
              </w:rPr>
            </w:pPr>
            <w:r>
              <w:rPr>
                <w:rFonts w:ascii="Arial" w:cs="Arial" w:eastAsia="Arial" w:hAnsi="Arial"/>
                <w:sz w:val="10"/>
                <w:szCs w:val="10"/>
                <w:color w:val="auto"/>
              </w:rPr>
              <w:t>(Street)</w:t>
            </w: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20"/>
                <w:szCs w:val="20"/>
                <w:color w:val="auto"/>
              </w:rPr>
            </w:pPr>
            <w:r>
              <w:rPr>
                <w:rFonts w:ascii="Arial" w:cs="Arial" w:eastAsia="Arial" w:hAnsi="Arial"/>
                <w:sz w:val="13"/>
                <w:szCs w:val="13"/>
                <w:color w:val="0000FF"/>
              </w:rPr>
              <w:t>SEATTLE</w:t>
            </w:r>
          </w:p>
        </w:tc>
        <w:tc>
          <w:tcPr>
            <w:tcW w:w="1200" w:type="dxa"/>
            <w:vAlign w:val="bottom"/>
            <w:gridSpan w:val="2"/>
          </w:tcPr>
          <w:p>
            <w:pPr>
              <w:ind w:left="240"/>
              <w:spacing w:after="0"/>
              <w:rPr>
                <w:sz w:val="20"/>
                <w:szCs w:val="20"/>
                <w:color w:val="auto"/>
              </w:rPr>
            </w:pPr>
            <w:r>
              <w:rPr>
                <w:rFonts w:ascii="Arial" w:cs="Arial" w:eastAsia="Arial" w:hAnsi="Arial"/>
                <w:sz w:val="13"/>
                <w:szCs w:val="13"/>
                <w:color w:val="0000FF"/>
              </w:rPr>
              <w:t>WA</w:t>
            </w:r>
          </w:p>
        </w:tc>
        <w:tc>
          <w:tcPr>
            <w:tcW w:w="1140" w:type="dxa"/>
            <w:vAlign w:val="bottom"/>
          </w:tcPr>
          <w:p>
            <w:pPr>
              <w:ind w:left="100"/>
              <w:spacing w:after="0"/>
              <w:rPr>
                <w:sz w:val="20"/>
                <w:szCs w:val="20"/>
                <w:color w:val="auto"/>
              </w:rPr>
            </w:pPr>
            <w:r>
              <w:rPr>
                <w:rFonts w:ascii="Arial" w:cs="Arial" w:eastAsia="Arial" w:hAnsi="Arial"/>
                <w:sz w:val="13"/>
                <w:szCs w:val="13"/>
                <w:color w:val="0000FF"/>
              </w:rPr>
              <w:t>98109</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gridSpan w:val="3"/>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3240" w:type="dxa"/>
            <w:vAlign w:val="bottom"/>
            <w:gridSpan w:val="5"/>
          </w:tcPr>
          <w:p>
            <w:pPr>
              <w:spacing w:after="0" w:line="167" w:lineRule="exact"/>
              <w:rPr>
                <w:rFonts w:ascii="Arial" w:cs="Arial" w:eastAsia="Arial" w:hAnsi="Arial"/>
                <w:sz w:val="16"/>
                <w:szCs w:val="16"/>
                <w:color w:val="0000EE"/>
              </w:rPr>
            </w:pPr>
            <w:hyperlink r:id="rId12">
              <w:r>
                <w:rPr>
                  <w:rFonts w:ascii="Arial" w:cs="Arial" w:eastAsia="Arial" w:hAnsi="Arial"/>
                  <w:sz w:val="16"/>
                  <w:szCs w:val="16"/>
                  <w:color w:val="0000EE"/>
                </w:rPr>
                <w:t xml:space="preserve">Nautilus Biotechnology,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NAUT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6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300" w:type="dxa"/>
            <w:vAlign w:val="bottom"/>
            <w:tcBorders>
              <w:top w:val="single" w:sz="8" w:color="0000EE"/>
              <w:bottom w:val="single" w:sz="8" w:color="2C2C2C"/>
            </w:tcBorders>
          </w:tcPr>
          <w:p>
            <w:pPr>
              <w:spacing w:after="0"/>
              <w:rPr>
                <w:sz w:val="24"/>
                <w:szCs w:val="24"/>
                <w:color w:val="auto"/>
              </w:rPr>
            </w:pPr>
          </w:p>
        </w:tc>
        <w:tc>
          <w:tcPr>
            <w:tcW w:w="1440" w:type="dxa"/>
            <w:vAlign w:val="bottom"/>
            <w:tcBorders>
              <w:top w:val="single" w:sz="8" w:color="0000EE"/>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4"/>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2060" w:type="dxa"/>
            <w:vAlign w:val="bottom"/>
            <w:gridSpan w:val="4"/>
          </w:tcPr>
          <w:p>
            <w:pPr>
              <w:spacing w:after="0"/>
              <w:rPr>
                <w:sz w:val="20"/>
                <w:szCs w:val="20"/>
                <w:color w:val="auto"/>
              </w:rPr>
            </w:pPr>
            <w:r>
              <w:rPr>
                <w:rFonts w:ascii="Arial" w:cs="Arial" w:eastAsia="Arial" w:hAnsi="Arial"/>
                <w:sz w:val="10"/>
                <w:szCs w:val="10"/>
                <w:color w:val="auto"/>
              </w:rPr>
              <w:t>(Check all applicable)</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vMerge w:val="restart"/>
          </w:tcPr>
          <w:p>
            <w:pPr>
              <w:ind w:left="100"/>
              <w:spacing w:after="0"/>
              <w:rPr>
                <w:sz w:val="20"/>
                <w:szCs w:val="20"/>
                <w:color w:val="auto"/>
              </w:rPr>
            </w:pPr>
            <w:r>
              <w:rPr>
                <w:rFonts w:ascii="Arial" w:cs="Arial" w:eastAsia="Arial" w:hAnsi="Arial"/>
                <w:sz w:val="13"/>
                <w:szCs w:val="13"/>
                <w:color w:val="0000FF"/>
              </w:rPr>
              <w:t>X</w:t>
            </w:r>
          </w:p>
        </w:tc>
        <w:tc>
          <w:tcPr>
            <w:tcW w:w="1660" w:type="dxa"/>
            <w:vAlign w:val="bottom"/>
            <w:gridSpan w:val="2"/>
            <w:vMerge w:val="restart"/>
          </w:tcPr>
          <w:p>
            <w:pPr>
              <w:ind w:left="120"/>
              <w:spacing w:after="0"/>
              <w:rPr>
                <w:sz w:val="20"/>
                <w:szCs w:val="20"/>
                <w:color w:val="auto"/>
              </w:rPr>
            </w:pPr>
            <w:r>
              <w:rPr>
                <w:rFonts w:ascii="Arial" w:cs="Arial" w:eastAsia="Arial" w:hAnsi="Arial"/>
                <w:sz w:val="10"/>
                <w:szCs w:val="10"/>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20" w:type="dxa"/>
            <w:vAlign w:val="bottom"/>
            <w:vMerge w:val="restart"/>
          </w:tcPr>
          <w:p>
            <w:pPr>
              <w:ind w:left="80"/>
              <w:spacing w:after="0"/>
              <w:rPr>
                <w:sz w:val="20"/>
                <w:szCs w:val="20"/>
                <w:color w:val="auto"/>
              </w:rPr>
            </w:pP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3800"/>
        <w:spacing w:after="0"/>
        <w:rPr>
          <w:sz w:val="20"/>
          <w:szCs w:val="20"/>
          <w:color w:val="auto"/>
        </w:rPr>
      </w:pPr>
      <w:r>
        <w:rPr>
          <w:rFonts w:ascii="Arial" w:cs="Arial" w:eastAsia="Arial" w:hAnsi="Arial"/>
          <w:sz w:val="10"/>
          <w:szCs w:val="10"/>
          <w:color w:val="auto"/>
        </w:rPr>
        <w:t>Form filed by More than One Reporting Person</w:t>
      </w:r>
    </w:p>
    <w:p>
      <w:pPr>
        <w:spacing w:after="0" w:line="303" w:lineRule="exact"/>
        <w:rPr>
          <w:sz w:val="24"/>
          <w:szCs w:val="24"/>
          <w:color w:val="auto"/>
        </w:rPr>
      </w:pPr>
    </w:p>
    <w:p>
      <w:pPr>
        <w:sectPr>
          <w:pgSz w:w="11900" w:h="16838" w:orient="portrait"/>
          <w:cols w:equalWidth="0" w:num="2">
            <w:col w:w="4620" w:space="320"/>
            <w:col w:w="608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24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3580" w:type="dxa"/>
            <w:vAlign w:val="bottom"/>
          </w:tcPr>
          <w:p>
            <w:pPr>
              <w:jc w:val="center"/>
              <w:ind w:left="1635"/>
              <w:spacing w:after="0"/>
              <w:rPr>
                <w:sz w:val="20"/>
                <w:szCs w:val="20"/>
                <w:color w:val="auto"/>
              </w:rPr>
            </w:pPr>
            <w:r>
              <w:rPr>
                <w:rFonts w:ascii="Arial" w:cs="Arial" w:eastAsia="Arial" w:hAnsi="Arial"/>
                <w:sz w:val="13"/>
                <w:szCs w:val="13"/>
                <w:color w:val="0000FF"/>
                <w:w w:val="93"/>
              </w:rPr>
              <w:t>322,105</w:t>
            </w:r>
          </w:p>
        </w:tc>
        <w:tc>
          <w:tcPr>
            <w:tcW w:w="1060" w:type="dxa"/>
            <w:vAlign w:val="bottom"/>
          </w:tcPr>
          <w:p>
            <w:pPr>
              <w:jc w:val="center"/>
              <w:ind w:left="295"/>
              <w:spacing w:after="0"/>
              <w:rPr>
                <w:sz w:val="20"/>
                <w:szCs w:val="20"/>
                <w:color w:val="auto"/>
              </w:rPr>
            </w:pPr>
            <w:r>
              <w:rPr>
                <w:rFonts w:ascii="Arial" w:cs="Arial" w:eastAsia="Arial" w:hAnsi="Arial"/>
                <w:sz w:val="13"/>
                <w:szCs w:val="13"/>
                <w:color w:val="0000FF"/>
              </w:rPr>
              <w:t>D</w:t>
            </w: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2"/>
        </w:trPr>
        <w:tc>
          <w:tcPr>
            <w:tcW w:w="20" w:type="dxa"/>
            <w:vAlign w:val="bottom"/>
          </w:tcPr>
          <w:p>
            <w:pPr>
              <w:spacing w:after="0"/>
              <w:rPr>
                <w:sz w:val="3"/>
                <w:szCs w:val="3"/>
                <w:color w:val="auto"/>
              </w:rPr>
            </w:pPr>
          </w:p>
        </w:tc>
        <w:tc>
          <w:tcPr>
            <w:tcW w:w="3240" w:type="dxa"/>
            <w:vAlign w:val="bottom"/>
            <w:tcBorders>
              <w:bottom w:val="single" w:sz="8" w:color="2C2C2C"/>
            </w:tcBorders>
          </w:tcPr>
          <w:p>
            <w:pPr>
              <w:spacing w:after="0"/>
              <w:rPr>
                <w:sz w:val="3"/>
                <w:szCs w:val="3"/>
                <w:color w:val="auto"/>
              </w:rPr>
            </w:pPr>
          </w:p>
        </w:tc>
        <w:tc>
          <w:tcPr>
            <w:tcW w:w="35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40"/>
        </w:trPr>
        <w:tc>
          <w:tcPr>
            <w:tcW w:w="20" w:type="dxa"/>
            <w:vAlign w:val="bottom"/>
          </w:tcPr>
          <w:p>
            <w:pPr>
              <w:spacing w:after="0"/>
              <w:rPr>
                <w:sz w:val="20"/>
                <w:szCs w:val="20"/>
                <w:color w:val="auto"/>
              </w:rPr>
            </w:pPr>
          </w:p>
        </w:tc>
        <w:tc>
          <w:tcPr>
            <w:tcW w:w="32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3580" w:type="dxa"/>
            <w:vAlign w:val="bottom"/>
            <w:tcBorders>
              <w:bottom w:val="single" w:sz="8" w:color="2C2C2C"/>
            </w:tcBorders>
          </w:tcPr>
          <w:p>
            <w:pPr>
              <w:jc w:val="center"/>
              <w:ind w:left="1635"/>
              <w:spacing w:after="0"/>
              <w:rPr>
                <w:sz w:val="20"/>
                <w:szCs w:val="20"/>
                <w:color w:val="auto"/>
              </w:rPr>
            </w:pPr>
            <w:r>
              <w:rPr>
                <w:rFonts w:ascii="Arial" w:cs="Arial" w:eastAsia="Arial" w:hAnsi="Arial"/>
                <w:sz w:val="13"/>
                <w:szCs w:val="13"/>
                <w:color w:val="0000FF"/>
                <w:w w:val="89"/>
              </w:rPr>
              <w:t>5,798,394</w:t>
            </w:r>
          </w:p>
        </w:tc>
        <w:tc>
          <w:tcPr>
            <w:tcW w:w="1060" w:type="dxa"/>
            <w:vAlign w:val="bottom"/>
            <w:tcBorders>
              <w:bottom w:val="single" w:sz="8" w:color="2C2C2C"/>
            </w:tcBorders>
          </w:tcPr>
          <w:p>
            <w:pPr>
              <w:jc w:val="center"/>
              <w:ind w:left="315"/>
              <w:spacing w:after="0"/>
              <w:rPr>
                <w:sz w:val="20"/>
                <w:szCs w:val="20"/>
                <w:color w:val="auto"/>
              </w:rPr>
            </w:pPr>
            <w:r>
              <w:rPr>
                <w:rFonts w:ascii="Arial" w:cs="Arial" w:eastAsia="Arial" w:hAnsi="Arial"/>
                <w:sz w:val="13"/>
                <w:szCs w:val="13"/>
                <w:color w:val="0000FF"/>
              </w:rPr>
              <w:t>I</w:t>
            </w:r>
          </w:p>
        </w:tc>
        <w:tc>
          <w:tcPr>
            <w:tcW w:w="3100" w:type="dxa"/>
            <w:vAlign w:val="bottom"/>
            <w:tcBorders>
              <w:bottom w:val="single" w:sz="8" w:color="2C2C2C"/>
            </w:tcBorders>
          </w:tcPr>
          <w:p>
            <w:pPr>
              <w:ind w:left="300"/>
              <w:spacing w:after="0"/>
              <w:rPr>
                <w:sz w:val="20"/>
                <w:szCs w:val="20"/>
                <w:color w:val="auto"/>
              </w:rPr>
            </w:pPr>
            <w:r>
              <w:rPr>
                <w:rFonts w:ascii="Arial" w:cs="Arial" w:eastAsia="Arial" w:hAnsi="Arial"/>
                <w:sz w:val="13"/>
                <w:szCs w:val="13"/>
                <w:color w:val="0000FF"/>
              </w:rPr>
              <w:t>By Madrona Venture Fund VI, LP</w:t>
            </w:r>
            <w:r>
              <w:rPr>
                <w:rFonts w:ascii="Arial" w:cs="Arial" w:eastAsia="Arial" w:hAnsi="Arial"/>
                <w:sz w:val="16"/>
                <w:szCs w:val="16"/>
                <w:color w:val="008000"/>
                <w:vertAlign w:val="superscript"/>
              </w:rPr>
              <w:t>(1)</w:t>
            </w:r>
          </w:p>
        </w:tc>
        <w:tc>
          <w:tcPr>
            <w:tcW w:w="20" w:type="dxa"/>
            <w:vAlign w:val="bottom"/>
          </w:tcPr>
          <w:p>
            <w:pPr>
              <w:spacing w:after="0"/>
              <w:rPr>
                <w:sz w:val="20"/>
                <w:szCs w:val="20"/>
                <w:color w:val="auto"/>
              </w:rPr>
            </w:pPr>
          </w:p>
        </w:tc>
      </w:tr>
      <w:tr>
        <w:trPr>
          <w:trHeight w:val="265"/>
        </w:trPr>
        <w:tc>
          <w:tcPr>
            <w:tcW w:w="20" w:type="dxa"/>
            <w:vAlign w:val="bottom"/>
            <w:tcBorders>
              <w:bottom w:val="single" w:sz="8" w:color="2C2C2C"/>
            </w:tcBorders>
          </w:tcPr>
          <w:p>
            <w:pPr>
              <w:spacing w:after="0"/>
              <w:rPr>
                <w:sz w:val="22"/>
                <w:szCs w:val="22"/>
                <w:color w:val="auto"/>
              </w:rPr>
            </w:pPr>
          </w:p>
        </w:tc>
        <w:tc>
          <w:tcPr>
            <w:tcW w:w="32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3580" w:type="dxa"/>
            <w:vAlign w:val="bottom"/>
            <w:tcBorders>
              <w:bottom w:val="single" w:sz="8" w:color="2C2C2C"/>
            </w:tcBorders>
          </w:tcPr>
          <w:p>
            <w:pPr>
              <w:jc w:val="center"/>
              <w:ind w:left="1635"/>
              <w:spacing w:after="0"/>
              <w:rPr>
                <w:sz w:val="20"/>
                <w:szCs w:val="20"/>
                <w:color w:val="auto"/>
              </w:rPr>
            </w:pPr>
            <w:r>
              <w:rPr>
                <w:rFonts w:ascii="Arial" w:cs="Arial" w:eastAsia="Arial" w:hAnsi="Arial"/>
                <w:sz w:val="13"/>
                <w:szCs w:val="13"/>
                <w:color w:val="0000FF"/>
                <w:w w:val="93"/>
              </w:rPr>
              <w:t>222,376</w:t>
            </w:r>
          </w:p>
        </w:tc>
        <w:tc>
          <w:tcPr>
            <w:tcW w:w="1060" w:type="dxa"/>
            <w:vAlign w:val="bottom"/>
            <w:tcBorders>
              <w:bottom w:val="single" w:sz="8" w:color="2C2C2C"/>
            </w:tcBorders>
          </w:tcPr>
          <w:p>
            <w:pPr>
              <w:jc w:val="center"/>
              <w:ind w:left="315"/>
              <w:spacing w:after="0"/>
              <w:rPr>
                <w:sz w:val="20"/>
                <w:szCs w:val="20"/>
                <w:color w:val="auto"/>
              </w:rPr>
            </w:pPr>
            <w:r>
              <w:rPr>
                <w:rFonts w:ascii="Arial" w:cs="Arial" w:eastAsia="Arial" w:hAnsi="Arial"/>
                <w:sz w:val="13"/>
                <w:szCs w:val="13"/>
                <w:color w:val="0000FF"/>
              </w:rPr>
              <w:t>I</w:t>
            </w:r>
          </w:p>
        </w:tc>
        <w:tc>
          <w:tcPr>
            <w:tcW w:w="3100" w:type="dxa"/>
            <w:vAlign w:val="bottom"/>
            <w:tcBorders>
              <w:bottom w:val="single" w:sz="8" w:color="2C2C2C"/>
            </w:tcBorders>
          </w:tcPr>
          <w:p>
            <w:pPr>
              <w:ind w:left="300"/>
              <w:spacing w:after="0"/>
              <w:rPr>
                <w:sz w:val="20"/>
                <w:szCs w:val="20"/>
                <w:color w:val="auto"/>
              </w:rPr>
            </w:pPr>
            <w:r>
              <w:rPr>
                <w:rFonts w:ascii="Arial" w:cs="Arial" w:eastAsia="Arial" w:hAnsi="Arial"/>
                <w:sz w:val="13"/>
                <w:szCs w:val="13"/>
                <w:color w:val="0000FF"/>
              </w:rPr>
              <w:t>By Madrona Venture Fund VI-A, LP</w:t>
            </w:r>
            <w:r>
              <w:rPr>
                <w:rFonts w:ascii="Arial" w:cs="Arial" w:eastAsia="Arial" w:hAnsi="Arial"/>
                <w:sz w:val="16"/>
                <w:szCs w:val="16"/>
                <w:color w:val="008000"/>
                <w:vertAlign w:val="superscript"/>
              </w:rPr>
              <w:t>(2)</w:t>
            </w:r>
          </w:p>
        </w:tc>
        <w:tc>
          <w:tcPr>
            <w:tcW w:w="20" w:type="dxa"/>
            <w:vAlign w:val="bottom"/>
            <w:tcBorders>
              <w:bottom w:val="single" w:sz="8" w:color="2C2C2C"/>
            </w:tcBorders>
          </w:tcPr>
          <w:p>
            <w:pPr>
              <w:spacing w:after="0"/>
              <w:rPr>
                <w:sz w:val="22"/>
                <w:szCs w:val="22"/>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40" w:type="dxa"/>
            <w:vAlign w:val="bottom"/>
            <w:tcBorders>
              <w:top w:val="single" w:sz="8" w:color="808080"/>
            </w:tcBorders>
            <w:shd w:val="clear" w:color="auto" w:fill="2C2C2C"/>
          </w:tcPr>
          <w:p>
            <w:pPr>
              <w:spacing w:after="0" w:line="20" w:lineRule="exact"/>
              <w:rPr>
                <w:sz w:val="1"/>
                <w:szCs w:val="1"/>
                <w:color w:val="auto"/>
              </w:rPr>
            </w:pPr>
          </w:p>
        </w:tc>
        <w:tc>
          <w:tcPr>
            <w:tcW w:w="358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70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18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9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1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960" w:type="dxa"/>
            <w:vAlign w:val="bottom"/>
            <w:vMerge w:val="restart"/>
          </w:tcPr>
          <w:p>
            <w:pPr>
              <w:ind w:left="3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Expiration</w:t>
            </w:r>
          </w:p>
        </w:tc>
        <w:tc>
          <w:tcPr>
            <w:tcW w:w="18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960" w:type="dxa"/>
            <w:vAlign w:val="bottom"/>
          </w:tcPr>
          <w:p>
            <w:pPr>
              <w:ind w:left="3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1820" w:type="dxa"/>
            <w:vAlign w:val="bottom"/>
            <w:vMerge w:val="continue"/>
          </w:tcPr>
          <w:p>
            <w:pPr>
              <w:spacing w:after="0"/>
              <w:rPr>
                <w:sz w:val="11"/>
                <w:szCs w:val="11"/>
                <w:color w:val="auto"/>
              </w:rPr>
            </w:pPr>
          </w:p>
        </w:tc>
        <w:tc>
          <w:tcPr>
            <w:tcW w:w="960" w:type="dxa"/>
            <w:vAlign w:val="bottom"/>
          </w:tcPr>
          <w:p>
            <w:pPr>
              <w:ind w:left="3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ind w:left="40"/>
              <w:spacing w:after="0"/>
              <w:rPr>
                <w:sz w:val="20"/>
                <w:szCs w:val="20"/>
                <w:color w:val="auto"/>
              </w:rPr>
            </w:pPr>
            <w:r>
              <w:rPr>
                <w:rFonts w:ascii="Arial" w:cs="Arial" w:eastAsia="Arial" w:hAnsi="Arial"/>
                <w:sz w:val="13"/>
                <w:szCs w:val="13"/>
                <w:color w:val="0000FF"/>
              </w:rPr>
              <w:t>Stock Option (Right to Buy)</w:t>
            </w:r>
          </w:p>
        </w:tc>
        <w:tc>
          <w:tcPr>
            <w:tcW w:w="660" w:type="dxa"/>
            <w:vAlign w:val="bottom"/>
          </w:tcPr>
          <w:p>
            <w:pPr>
              <w:ind w:left="280"/>
              <w:spacing w:after="0"/>
              <w:rPr>
                <w:sz w:val="20"/>
                <w:szCs w:val="20"/>
                <w:color w:val="auto"/>
              </w:rPr>
            </w:pPr>
            <w:r>
              <w:rPr>
                <w:rFonts w:ascii="Arial" w:cs="Arial" w:eastAsia="Arial" w:hAnsi="Arial"/>
                <w:sz w:val="8"/>
                <w:szCs w:val="8"/>
                <w:color w:val="008000"/>
              </w:rPr>
              <w:t>(3)</w:t>
            </w:r>
          </w:p>
        </w:tc>
        <w:tc>
          <w:tcPr>
            <w:tcW w:w="600" w:type="dxa"/>
            <w:vAlign w:val="bottom"/>
          </w:tcPr>
          <w:p>
            <w:pPr>
              <w:jc w:val="right"/>
              <w:ind w:right="30"/>
              <w:spacing w:after="0"/>
              <w:rPr>
                <w:sz w:val="20"/>
                <w:szCs w:val="20"/>
                <w:color w:val="auto"/>
              </w:rPr>
            </w:pPr>
            <w:r>
              <w:rPr>
                <w:rFonts w:ascii="Arial" w:cs="Arial" w:eastAsia="Arial" w:hAnsi="Arial"/>
                <w:sz w:val="10"/>
                <w:szCs w:val="10"/>
                <w:color w:val="0000FF"/>
                <w:w w:val="99"/>
              </w:rPr>
              <w:t>01/31/2031</w:t>
            </w:r>
          </w:p>
        </w:tc>
        <w:tc>
          <w:tcPr>
            <w:tcW w:w="1820" w:type="dxa"/>
            <w:vAlign w:val="bottom"/>
          </w:tcPr>
          <w:p>
            <w:pPr>
              <w:ind w:left="660"/>
              <w:spacing w:after="0"/>
              <w:rPr>
                <w:sz w:val="20"/>
                <w:szCs w:val="20"/>
                <w:color w:val="auto"/>
              </w:rPr>
            </w:pPr>
            <w:r>
              <w:rPr>
                <w:rFonts w:ascii="Arial" w:cs="Arial" w:eastAsia="Arial" w:hAnsi="Arial"/>
                <w:sz w:val="13"/>
                <w:szCs w:val="13"/>
                <w:color w:val="0000FF"/>
              </w:rPr>
              <w:t>Common Stock</w:t>
            </w:r>
          </w:p>
        </w:tc>
        <w:tc>
          <w:tcPr>
            <w:tcW w:w="960" w:type="dxa"/>
            <w:vAlign w:val="bottom"/>
          </w:tcPr>
          <w:p>
            <w:pPr>
              <w:jc w:val="right"/>
              <w:ind w:right="86"/>
              <w:spacing w:after="0"/>
              <w:rPr>
                <w:sz w:val="20"/>
                <w:szCs w:val="20"/>
                <w:color w:val="auto"/>
              </w:rPr>
            </w:pPr>
            <w:r>
              <w:rPr>
                <w:rFonts w:ascii="Arial" w:cs="Arial" w:eastAsia="Arial" w:hAnsi="Arial"/>
                <w:sz w:val="13"/>
                <w:szCs w:val="13"/>
                <w:color w:val="0000FF"/>
              </w:rPr>
              <w:t>36,280</w:t>
            </w:r>
          </w:p>
        </w:tc>
        <w:tc>
          <w:tcPr>
            <w:tcW w:w="720" w:type="dxa"/>
            <w:vAlign w:val="bottom"/>
          </w:tcPr>
          <w:p>
            <w:pPr>
              <w:ind w:left="320"/>
              <w:spacing w:after="0"/>
              <w:rPr>
                <w:sz w:val="20"/>
                <w:szCs w:val="20"/>
                <w:color w:val="auto"/>
              </w:rPr>
            </w:pPr>
            <w:r>
              <w:rPr>
                <w:rFonts w:ascii="Arial" w:cs="Arial" w:eastAsia="Arial" w:hAnsi="Arial"/>
                <w:sz w:val="13"/>
                <w:szCs w:val="13"/>
                <w:color w:val="0000FF"/>
              </w:rPr>
              <w:t>10</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3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0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right="40" w:hanging="10"/>
        <w:spacing w:after="0" w:line="242"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Shares held by Madrona Venture Fund VI, LP ("Madrona Fund VI"). Madrona Investment Partners VI, L.P. ("Madrona Partners VI") is the general partner of Madrona Fund VI, and Madrona VI General Partner, LLC ("Madrona VI LLC") is the general partner of Madrona Partners VI. The reporting person, is a managing member of Madrona VI LLC. The reporting person disclaims beneficial ownership over such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2" w:lineRule="exact"/>
        <w:rPr>
          <w:rFonts w:ascii="Arial" w:cs="Arial" w:eastAsia="Arial" w:hAnsi="Arial"/>
          <w:sz w:val="10"/>
          <w:szCs w:val="10"/>
          <w:color w:val="008000"/>
        </w:rPr>
      </w:pPr>
    </w:p>
    <w:p>
      <w:pPr>
        <w:ind w:left="40" w:right="100" w:hanging="10"/>
        <w:spacing w:after="0" w:line="242"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Shares held by Madrona Venture Fund VI-A, LP ("Madrona Fund VI-A"). Madrona Partners VI is the general partner of Madrona Fund VI-A, and Madrona VI LLC is the general partner of Madrona Partners VI. The reporting person, is a managing member of Madrona VI LLC. The reporting person disclaims beneficial ownership over such securities except to the extent of his pecuniary interest therein, and the inclusion of these shares in this report shall not be deemed an admission of benefical ownership of all of the reported shares for purposes of Section 16 or for any other purpose.</w:t>
      </w:r>
    </w:p>
    <w:p>
      <w:pPr>
        <w:spacing w:after="0" w:line="22"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Subject to reporting person's continuous status as a "Service Provider" (as defined in the Nautilus Subsidiary, Inc. 2017 Equity Incentive Plan) through the applicable vesting date, one hundred percent (100%) of the shares subject to the Option shall vest on the earlier of</w:t>
      </w:r>
    </w:p>
    <w:p>
      <w:pPr>
        <w:spacing w:after="0" w:line="14" w:lineRule="exact"/>
        <w:rPr>
          <w:rFonts w:ascii="Arial" w:cs="Arial" w:eastAsia="Arial" w:hAnsi="Arial"/>
          <w:sz w:val="9"/>
          <w:szCs w:val="9"/>
          <w:color w:val="008000"/>
        </w:rPr>
      </w:pPr>
    </w:p>
    <w:p>
      <w:pPr>
        <w:ind w:left="40" w:right="20"/>
        <w:spacing w:after="0" w:line="239" w:lineRule="auto"/>
        <w:rPr>
          <w:rFonts w:ascii="Arial" w:cs="Arial" w:eastAsia="Arial" w:hAnsi="Arial"/>
          <w:sz w:val="9"/>
          <w:szCs w:val="9"/>
          <w:color w:val="008000"/>
        </w:rPr>
      </w:pPr>
      <w:r>
        <w:rPr>
          <w:rFonts w:ascii="Arial" w:cs="Arial" w:eastAsia="Arial" w:hAnsi="Arial"/>
          <w:sz w:val="10"/>
          <w:szCs w:val="10"/>
          <w:color w:val="008000"/>
        </w:rPr>
        <w:t>(a) the one (1) year anniversary of the Vesting Commencement Date (as defined below) and (b) the day immediately before the date of the next annual meeting of stockholders of the Company (or in the event of a merger or consolidation involving the Company in which the Company is a wholly-owned subsidiary immediately following such merger or consolidation, the next annual meeting of stockholders of the Company's parent). The Vesting Commencement Date is January 31, 2021.</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Anna Mowry, as Attorney-in-Fact</w:t>
            </w:r>
          </w:p>
        </w:tc>
        <w:tc>
          <w:tcPr>
            <w:tcW w:w="600" w:type="dxa"/>
            <w:vAlign w:val="bottom"/>
          </w:tcPr>
          <w:p>
            <w:pPr>
              <w:spacing w:after="0"/>
              <w:rPr>
                <w:sz w:val="20"/>
                <w:szCs w:val="20"/>
                <w:color w:val="auto"/>
              </w:rPr>
            </w:pPr>
            <w:r>
              <w:rPr>
                <w:rFonts w:ascii="Arial" w:cs="Arial" w:eastAsia="Arial" w:hAnsi="Arial"/>
                <w:sz w:val="13"/>
                <w:szCs w:val="13"/>
                <w:color w:val="0000FF"/>
                <w:w w:val="89"/>
              </w:rPr>
              <w:t>06/09/2021</w:t>
            </w:r>
          </w:p>
        </w:tc>
      </w:tr>
      <w:tr>
        <w:trPr>
          <w:trHeight w:val="170"/>
        </w:trPr>
        <w:tc>
          <w:tcPr>
            <w:tcW w:w="6580" w:type="dxa"/>
            <w:vAlign w:val="bottom"/>
          </w:tcPr>
          <w:p>
            <w:pPr>
              <w:spacing w:after="0"/>
              <w:rPr>
                <w:sz w:val="14"/>
                <w:szCs w:val="14"/>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28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Nautilus Biotechnology, Inc. (the "Company"), hereby constitutes and appoints Sujal Patel</w:t>
      </w:r>
    </w:p>
    <w:p>
      <w:pPr>
        <w:spacing w:after="0" w:line="153" w:lineRule="exact"/>
        <w:rPr>
          <w:sz w:val="20"/>
          <w:szCs w:val="20"/>
          <w:color w:val="auto"/>
        </w:rPr>
      </w:pPr>
    </w:p>
    <w:p>
      <w:pPr>
        <w:ind w:left="460" w:hanging="460"/>
        <w:spacing w:after="0"/>
        <w:tabs>
          <w:tab w:leader="none" w:pos="4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attorneys-in-fact shall in their discretion det</w:t>
      </w:r>
    </w:p>
    <w:p>
      <w:pPr>
        <w:spacing w:after="0" w:line="153" w:lineRule="exact"/>
        <w:rPr>
          <w:rFonts w:ascii="Courier New" w:cs="Courier New" w:eastAsia="Courier New" w:hAnsi="Courier New"/>
          <w:sz w:val="13"/>
          <w:szCs w:val="13"/>
          <w:color w:val="auto"/>
        </w:rPr>
      </w:pPr>
    </w:p>
    <w:p>
      <w:pPr>
        <w:jc w:val="both"/>
        <w:spacing w:after="0" w:line="488" w:lineRule="auto"/>
        <w:tabs>
          <w:tab w:leader="none" w:pos="468"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Securities and Exchange Commission, any securities exchange or national assoc The undersigned hereby ratifies and confirms all that said attorneys in-fact and agent shall do or cause to be done by virtue hereof. The und This Power of Attorney shall remain in full force and effect until the undersigned is no longer required to file Forms 3, 4 and 5 with respect IN WITNESS WHEREOF, the undersigned has caused this Power of Attorney to be executed as of this 9th day of June, 2021.</w:t>
      </w:r>
    </w:p>
    <w:p>
      <w:pPr>
        <w:spacing w:after="0" w:line="30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/s/ Matthew S. McIlwain</w:t>
      </w:r>
    </w:p>
    <w:p>
      <w:pPr>
        <w:spacing w:after="0" w:line="153"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2"/>
          <w:szCs w:val="12"/>
          <w:color w:val="auto"/>
        </w:rPr>
        <w:t>Matthew S. McIlwain</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81752" TargetMode="External"/><Relationship Id="rId12"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2021-06-09T20:45:50Z</dcterms:created>
  <dcterms:modified xsi:type="dcterms:W3CDTF">2021-06-09T20:45:50Z</dcterms:modified>
</cp:coreProperties>
</file>