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2, 2021</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9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425 Pontius Ave N, Ste 202</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Seattle, Washington 98109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3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3"/>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November 2, 2021, Nautilus Biotechnology, Inc. issued a press release reporting its financial results for the quarter ended September 30, 2021.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20"/>
        <w:spacing w:after="0"/>
        <w:tabs>
          <w:tab w:leader="none" w:pos="9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November 2, 2021.</w:t>
        </w:r>
      </w:hyperlink>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2021</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Third Quarter 2021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November 2, 2021 </w:t>
      </w:r>
      <w:r>
        <w:rPr>
          <w:rFonts w:ascii="Arial" w:cs="Arial" w:eastAsia="Arial" w:hAnsi="Arial"/>
          <w:sz w:val="18"/>
          <w:szCs w:val="18"/>
          <w:color w:val="auto"/>
        </w:rPr>
        <w:t>– Nautilus Biotechnology, Inc. (NASDAQ: NAUT; or “Nautilus”), a company pioneering a single-molecule protein</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platform for quantifying the proteome, today reported financial results for the third quarter ended September 30,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56" w:lineRule="exact"/>
        <w:rPr>
          <w:sz w:val="20"/>
          <w:szCs w:val="20"/>
          <w:color w:val="auto"/>
        </w:rPr>
      </w:pPr>
    </w:p>
    <w:p>
      <w:pPr>
        <w:jc w:val="both"/>
        <w:ind w:left="660" w:right="10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a strategic partnership with Abcam, a world leader in the design and production of commercial antibodies, which we expect to accelerate our technology development pipeline and provide access to antibody development expertise that we believe will enhance protein detection in our platform.</w:t>
      </w:r>
    </w:p>
    <w:p>
      <w:pPr>
        <w:spacing w:after="0" w:line="2"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our second and third research collaborations, one with a global pharmaceutical company and the other with an investigator at The University of Texas MD Anderson Cancer Center. Both collaborations are expected to utilize the Nautilus platform across a number of projects to investigate proteins and proteoforms of interest.</w:t>
      </w:r>
    </w:p>
    <w:p>
      <w:pPr>
        <w:spacing w:after="0" w:line="1" w:lineRule="exact"/>
        <w:rPr>
          <w:rFonts w:ascii="Arial" w:cs="Arial" w:eastAsia="Arial" w:hAnsi="Arial"/>
          <w:sz w:val="18"/>
          <w:szCs w:val="18"/>
          <w:color w:val="auto"/>
        </w:rPr>
      </w:pPr>
    </w:p>
    <w:p>
      <w:pPr>
        <w:ind w:left="660" w:right="1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a manuscript that introduces the theoretical foundation for a fundamentally different approach to proteomics, called Protein Identification by Short-epitope Mapping (PrISM).</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“Reflecting on the year thus far, 2021 has been characterized by exciting collaboration agreements, momentum around planned publications, the initiation of strategic partnerships, and our move to new world-class facilities in both San Carlos and Seattle,” said Sujal Patel, CEO of Nautilus. “Our team of scientific and engineering innovators continues to execute and capitalize on a wide range of opportunities. I am very proud of the team and pleased with the progress we are making towards delivering a deeper, richer view of the proteome than ever before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were $14.6 million for the third quarter of 2021, a 262% increase from $4.0 million for the three months ended September 30, 2020. The increase in operating expenses was driven primarily by an increase in headcount to support ongoing development of our products as well as the costs associated with being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loss was $14.5 million for the third quarter of 2021, as compared to a net loss of $4.0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$374.0 million as of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Nautilus will host a conference call to discuss the third quarter 2021 financial results, business developments and outlook before market open on Tuesday, November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2021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our collaborations and strategic partnerships, including our expectations with respect to the suitability of the Nautilus product platform to investigate proteins and proteoforms, and the ability of our strategic partnership to accelerate technology development and enhance protein detection; and expectations with respect to the functionality and performance of Nautilus’ product platform, its potential impact on pharmaceutical development and drug discovery.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6"/>
          <w:szCs w:val="16"/>
          <w:color w:val="auto"/>
        </w:rPr>
        <w:t>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the Registration Statement on Form S-1 filed with the SEC as well as in our Quarterly Report on Form 10-Q to be filed for the quarter ended September 30, 2021.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Thermal for Nautilus Biotechnology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Kaustuva Das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September 30, 2021 and December 31, 2020 (Unaudited)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2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190,241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Liabilities, Redeemable Convertible Preferred Stock, and Stockholders’ Equity (Deficit)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Series Seed redeemable convertible preferred stock</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Series B redeemable convertible preferred stock</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148"/>
        </w:trPr>
        <w:tc>
          <w:tcPr>
            <w:tcW w:w="7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320" w:top="140" w:right="131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2021 and 2020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19,459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3"/>
        </w:trPr>
        <w:tc>
          <w:tcPr>
            <w:tcW w:w="47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Weighted-average shares used in computing 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124,114,893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29,963,812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71,062,172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28,208,770</w:t>
            </w:r>
          </w:p>
        </w:tc>
        <w:tc>
          <w:tcPr>
            <w:tcW w:w="0" w:type="dxa"/>
            <w:vAlign w:val="bottom"/>
          </w:tcPr>
          <w:p>
            <w:pPr>
              <w:spacing w:after="0"/>
              <w:rPr>
                <w:sz w:val="1"/>
                <w:szCs w:val="1"/>
                <w:color w:val="auto"/>
              </w:rPr>
            </w:pPr>
          </w:p>
        </w:tc>
      </w:tr>
      <w:tr>
        <w:trPr>
          <w:trHeight w:val="203"/>
        </w:trPr>
        <w:tc>
          <w:tcPr>
            <w:tcW w:w="476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right="20" w:hanging="332"/>
        <w:spacing w:after="0" w:line="273" w:lineRule="auto"/>
        <w:tabs>
          <w:tab w:leader="none" w:pos="36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2021 and 2020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amortization of premiums on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15,001</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(53,975)</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75,857</w:t>
            </w:r>
          </w:p>
        </w:tc>
      </w:tr>
      <w:tr>
        <w:trPr>
          <w:trHeight w:val="223"/>
        </w:trPr>
        <w:tc>
          <w:tcPr>
            <w:tcW w:w="7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75,889</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153,634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12,645</w:t>
            </w:r>
          </w:p>
        </w:tc>
      </w:tr>
      <w:tr>
        <w:trPr>
          <w:trHeight w:val="257"/>
        </w:trPr>
        <w:tc>
          <w:tcPr>
            <w:tcW w:w="7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sectPr>
      <w:pgSz w:w="11900" w:h="16838" w:orient="portrait"/>
      <w:cols w:equalWidth="0" w:num="1">
        <w:col w:w="10260"/>
      </w:cols>
      <w:pgMar w:left="320" w:top="1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2021-11-02T05:18:55Z</dcterms:created>
  <dcterms:modified xsi:type="dcterms:W3CDTF">2021-11-02T05:18:55Z</dcterms:modified>
</cp:coreProperties>
</file>