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Nautilus Biotechnology, Inc.</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63909J 108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Parag Mallick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425 Pontius Ave N, Ste 202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Seattle, Washington 98109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(206) 333-2001</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5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Robert F. Kornegay</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(650) 493-9300</w:t>
      </w: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9,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9"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4" w:lineRule="exact"/>
        <w:rPr>
          <w:sz w:val="24"/>
          <w:szCs w:val="24"/>
          <w:color w:val="auto"/>
        </w:rPr>
      </w:pPr>
    </w:p>
    <w:p>
      <w:pPr>
        <w:ind w:left="480" w:right="240" w:hanging="454"/>
        <w:spacing w:after="0" w:line="308"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54"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440" w:right="359" w:bottom="1440" w:gutter="0" w:footer="0" w:header="0"/>
        </w:sectPr>
      </w:pPr>
    </w:p>
    <w:bookmarkStart w:id="1" w:name="page2"/>
    <w:bookmarkEnd w:id="1"/>
    <w:p>
      <w:pPr>
        <w:spacing w:after="0" w:line="33" w:lineRule="exact"/>
        <w:rPr>
          <w:sz w:val="20"/>
          <w:szCs w:val="20"/>
          <w:color w:val="auto"/>
        </w:rPr>
      </w:pPr>
    </w:p>
    <w:p>
      <w:pPr>
        <w:ind w:left="20"/>
        <w:spacing w:after="0"/>
        <w:rPr>
          <w:sz w:val="20"/>
          <w:szCs w:val="20"/>
          <w:color w:val="auto"/>
        </w:rPr>
      </w:pPr>
      <w:r>
        <w:rPr>
          <w:rFonts w:ascii="Arial" w:cs="Arial" w:eastAsia="Arial" w:hAnsi="Arial"/>
          <w:sz w:val="20"/>
          <w:szCs w:val="20"/>
          <w:color w:val="auto"/>
        </w:rPr>
        <w:t>CUSIP No. 63909J 108</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8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20"/>
                <w:szCs w:val="20"/>
                <w:color w:val="auto"/>
              </w:rPr>
              <w:t>1</w:t>
            </w:r>
          </w:p>
        </w:tc>
        <w:tc>
          <w:tcPr>
            <w:tcW w:w="700" w:type="dxa"/>
            <w:vAlign w:val="bottom"/>
            <w:tcBorders>
              <w:top w:val="single" w:sz="8" w:color="auto"/>
              <w:right w:val="single" w:sz="8" w:color="auto"/>
            </w:tcBorders>
          </w:tcPr>
          <w:p>
            <w:pPr>
              <w:spacing w:after="0"/>
              <w:rPr>
                <w:sz w:val="22"/>
                <w:szCs w:val="22"/>
                <w:color w:val="auto"/>
              </w:rPr>
            </w:pPr>
          </w:p>
        </w:tc>
        <w:tc>
          <w:tcPr>
            <w:tcW w:w="101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NAMES OF REPORTING PERSON</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auto"/>
                <w:w w:val="91"/>
              </w:rPr>
              <w:t>Parag Mallick</w:t>
            </w:r>
          </w:p>
        </w:tc>
        <w:tc>
          <w:tcPr>
            <w:tcW w:w="440" w:type="dxa"/>
            <w:vAlign w:val="bottom"/>
          </w:tcPr>
          <w:p>
            <w:pPr>
              <w:spacing w:after="0"/>
              <w:rPr>
                <w:sz w:val="21"/>
                <w:szCs w:val="21"/>
                <w:color w:val="auto"/>
              </w:rPr>
            </w:pPr>
          </w:p>
        </w:tc>
        <w:tc>
          <w:tcPr>
            <w:tcW w:w="8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18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ind w:left="140"/>
              <w:spacing w:after="0" w:line="196" w:lineRule="exact"/>
              <w:rPr>
                <w:sz w:val="20"/>
                <w:szCs w:val="20"/>
                <w:color w:val="auto"/>
              </w:rPr>
            </w:pPr>
            <w:r>
              <w:rPr>
                <w:rFonts w:ascii="Arial" w:cs="Arial" w:eastAsia="Arial" w:hAnsi="Arial"/>
                <w:sz w:val="20"/>
                <w:szCs w:val="20"/>
                <w:color w:val="auto"/>
              </w:rPr>
              <w:t>2</w:t>
            </w:r>
          </w:p>
        </w:tc>
        <w:tc>
          <w:tcPr>
            <w:tcW w:w="700" w:type="dxa"/>
            <w:vAlign w:val="bottom"/>
            <w:tcBorders>
              <w:right w:val="single" w:sz="8" w:color="auto"/>
            </w:tcBorders>
          </w:tcPr>
          <w:p>
            <w:pPr>
              <w:spacing w:after="0"/>
              <w:rPr>
                <w:sz w:val="17"/>
                <w:szCs w:val="17"/>
                <w:color w:val="auto"/>
              </w:rPr>
            </w:pPr>
          </w:p>
        </w:tc>
        <w:tc>
          <w:tcPr>
            <w:tcW w:w="10180" w:type="dxa"/>
            <w:vAlign w:val="bottom"/>
            <w:tcBorders>
              <w:right w:val="single" w:sz="8" w:color="auto"/>
            </w:tcBorders>
            <w:gridSpan w:val="3"/>
          </w:tcPr>
          <w:p>
            <w:pPr>
              <w:ind w:left="20"/>
              <w:spacing w:after="0" w:line="196" w:lineRule="exact"/>
              <w:rPr>
                <w:sz w:val="20"/>
                <w:szCs w:val="20"/>
                <w:color w:val="auto"/>
              </w:rPr>
            </w:pPr>
            <w:r>
              <w:rPr>
                <w:rFonts w:ascii="Arial" w:cs="Arial" w:eastAsia="Arial" w:hAnsi="Arial"/>
                <w:sz w:val="20"/>
                <w:szCs w:val="20"/>
                <w:color w:val="auto"/>
              </w:rPr>
              <w:t>CHECK THE APPROPRIATE BOX IF A MEMBER OF A GROUP</w:t>
            </w:r>
          </w:p>
        </w:tc>
        <w:tc>
          <w:tcPr>
            <w:tcW w:w="0" w:type="dxa"/>
            <w:vAlign w:val="bottom"/>
          </w:tcPr>
          <w:p>
            <w:pPr>
              <w:spacing w:after="0"/>
              <w:rPr>
                <w:sz w:val="1"/>
                <w:szCs w:val="1"/>
                <w:color w:val="auto"/>
              </w:rPr>
            </w:pPr>
          </w:p>
        </w:tc>
      </w:tr>
      <w:tr>
        <w:trPr>
          <w:trHeight w:val="310"/>
        </w:trPr>
        <w:tc>
          <w:tcPr>
            <w:tcW w:w="38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rFonts w:ascii="Arial" w:cs="Arial" w:eastAsia="Arial" w:hAnsi="Arial"/>
                <w:sz w:val="20"/>
                <w:szCs w:val="20"/>
                <w:color w:val="auto"/>
              </w:rPr>
              <w:t xml:space="preserve"> (b) </w:t>
            </w:r>
            <w:r>
              <w:rPr>
                <w:rFonts w:ascii="MS PGothic" w:cs="MS PGothic" w:eastAsia="MS PGothic" w:hAnsi="MS PGothic"/>
                <w:sz w:val="20"/>
                <w:szCs w:val="20"/>
                <w:color w:val="auto"/>
              </w:rPr>
              <w:t>☐</w:t>
            </w:r>
          </w:p>
        </w:tc>
        <w:tc>
          <w:tcPr>
            <w:tcW w:w="440" w:type="dxa"/>
            <w:vAlign w:val="bottom"/>
            <w:tcBorders>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3</w:t>
            </w:r>
          </w:p>
        </w:tc>
        <w:tc>
          <w:tcPr>
            <w:tcW w:w="700" w:type="dxa"/>
            <w:vAlign w:val="bottom"/>
            <w:tcBorders>
              <w:right w:val="single" w:sz="8" w:color="auto"/>
            </w:tcBorders>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color w:val="auto"/>
              </w:rPr>
              <w:t>SEC USE ONLY</w:t>
            </w:r>
          </w:p>
        </w:tc>
        <w:tc>
          <w:tcPr>
            <w:tcW w:w="8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18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4</w:t>
            </w:r>
          </w:p>
        </w:tc>
        <w:tc>
          <w:tcPr>
            <w:tcW w:w="700" w:type="dxa"/>
            <w:vAlign w:val="bottom"/>
            <w:tcBorders>
              <w:right w:val="single" w:sz="8" w:color="auto"/>
            </w:tcBorders>
          </w:tcPr>
          <w:p>
            <w:pPr>
              <w:spacing w:after="0"/>
              <w:rPr>
                <w:sz w:val="20"/>
                <w:szCs w:val="20"/>
                <w:color w:val="auto"/>
              </w:rPr>
            </w:pPr>
          </w:p>
        </w:tc>
        <w:tc>
          <w:tcPr>
            <w:tcW w:w="10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SOURCE OF FUNDS (See Instructions)</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auto"/>
              </w:rPr>
              <w:t>PF</w:t>
            </w:r>
          </w:p>
        </w:tc>
        <w:tc>
          <w:tcPr>
            <w:tcW w:w="440" w:type="dxa"/>
            <w:vAlign w:val="bottom"/>
          </w:tcPr>
          <w:p>
            <w:pPr>
              <w:spacing w:after="0"/>
              <w:rPr>
                <w:sz w:val="21"/>
                <w:szCs w:val="21"/>
                <w:color w:val="auto"/>
              </w:rPr>
            </w:pPr>
          </w:p>
        </w:tc>
        <w:tc>
          <w:tcPr>
            <w:tcW w:w="8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18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ind w:left="140"/>
              <w:spacing w:after="0" w:line="196" w:lineRule="exact"/>
              <w:rPr>
                <w:sz w:val="20"/>
                <w:szCs w:val="20"/>
                <w:color w:val="auto"/>
              </w:rPr>
            </w:pPr>
            <w:r>
              <w:rPr>
                <w:rFonts w:ascii="Arial" w:cs="Arial" w:eastAsia="Arial" w:hAnsi="Arial"/>
                <w:sz w:val="20"/>
                <w:szCs w:val="20"/>
                <w:color w:val="auto"/>
              </w:rPr>
              <w:t>5</w:t>
            </w:r>
          </w:p>
        </w:tc>
        <w:tc>
          <w:tcPr>
            <w:tcW w:w="700" w:type="dxa"/>
            <w:vAlign w:val="bottom"/>
            <w:tcBorders>
              <w:right w:val="single" w:sz="8" w:color="auto"/>
            </w:tcBorders>
          </w:tcPr>
          <w:p>
            <w:pPr>
              <w:spacing w:after="0"/>
              <w:rPr>
                <w:sz w:val="17"/>
                <w:szCs w:val="17"/>
                <w:color w:val="auto"/>
              </w:rPr>
            </w:pPr>
          </w:p>
        </w:tc>
        <w:tc>
          <w:tcPr>
            <w:tcW w:w="10180" w:type="dxa"/>
            <w:vAlign w:val="bottom"/>
            <w:tcBorders>
              <w:right w:val="single" w:sz="8" w:color="auto"/>
            </w:tcBorders>
            <w:gridSpan w:val="3"/>
          </w:tcPr>
          <w:p>
            <w:pPr>
              <w:ind w:left="20"/>
              <w:spacing w:after="0" w:line="196" w:lineRule="exact"/>
              <w:rPr>
                <w:sz w:val="20"/>
                <w:szCs w:val="20"/>
                <w:color w:val="auto"/>
              </w:rPr>
            </w:pPr>
            <w:r>
              <w:rPr>
                <w:rFonts w:ascii="Arial" w:cs="Arial" w:eastAsia="Arial" w:hAnsi="Arial"/>
                <w:sz w:val="20"/>
                <w:szCs w:val="20"/>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318"/>
        </w:trPr>
        <w:tc>
          <w:tcPr>
            <w:tcW w:w="38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440" w:type="dxa"/>
            <w:vAlign w:val="bottom"/>
            <w:tcBorders>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6</w:t>
            </w:r>
          </w:p>
        </w:tc>
        <w:tc>
          <w:tcPr>
            <w:tcW w:w="700" w:type="dxa"/>
            <w:vAlign w:val="bottom"/>
            <w:tcBorders>
              <w:right w:val="single" w:sz="8" w:color="auto"/>
            </w:tcBorders>
          </w:tcPr>
          <w:p>
            <w:pPr>
              <w:spacing w:after="0"/>
              <w:rPr>
                <w:sz w:val="20"/>
                <w:szCs w:val="20"/>
                <w:color w:val="auto"/>
              </w:rPr>
            </w:pPr>
          </w:p>
        </w:tc>
        <w:tc>
          <w:tcPr>
            <w:tcW w:w="10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CITIZENSHIP OR PLACE OF ORGANIZATION</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auto"/>
              </w:rPr>
              <w:t>USA</w:t>
            </w:r>
          </w:p>
        </w:tc>
        <w:tc>
          <w:tcPr>
            <w:tcW w:w="440" w:type="dxa"/>
            <w:vAlign w:val="bottom"/>
          </w:tcPr>
          <w:p>
            <w:pPr>
              <w:spacing w:after="0"/>
              <w:rPr>
                <w:sz w:val="21"/>
                <w:szCs w:val="21"/>
                <w:color w:val="auto"/>
              </w:rPr>
            </w:pPr>
          </w:p>
        </w:tc>
        <w:tc>
          <w:tcPr>
            <w:tcW w:w="8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spacing w:after="0"/>
              <w:rPr>
                <w:sz w:val="20"/>
                <w:szCs w:val="20"/>
                <w:color w:val="auto"/>
              </w:rPr>
            </w:pPr>
          </w:p>
        </w:tc>
        <w:tc>
          <w:tcPr>
            <w:tcW w:w="1860" w:type="dxa"/>
            <w:vAlign w:val="bottom"/>
            <w:tcBorders>
              <w:right w:val="single" w:sz="8" w:color="auto"/>
            </w:tcBorders>
            <w:gridSpan w:val="2"/>
            <w:vMerge w:val="restart"/>
          </w:tcPr>
          <w:p>
            <w:pPr>
              <w:jc w:val="center"/>
              <w:ind w:right="281"/>
              <w:spacing w:after="0"/>
              <w:rPr>
                <w:sz w:val="20"/>
                <w:szCs w:val="20"/>
                <w:color w:val="auto"/>
              </w:rPr>
            </w:pPr>
            <w:r>
              <w:rPr>
                <w:rFonts w:ascii="Arial" w:cs="Arial" w:eastAsia="Arial" w:hAnsi="Arial"/>
                <w:sz w:val="20"/>
                <w:szCs w:val="20"/>
                <w:color w:val="auto"/>
                <w:w w:val="96"/>
              </w:rPr>
              <w:t>NUMBER OF</w:t>
            </w:r>
          </w:p>
        </w:tc>
        <w:tc>
          <w:tcPr>
            <w:tcW w:w="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w:t>
            </w:r>
          </w:p>
        </w:tc>
        <w:tc>
          <w:tcPr>
            <w:tcW w:w="85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21,153,911</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65"/>
        </w:trPr>
        <w:tc>
          <w:tcPr>
            <w:tcW w:w="38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81"/>
              <w:spacing w:after="0"/>
              <w:rPr>
                <w:sz w:val="20"/>
                <w:szCs w:val="20"/>
                <w:color w:val="auto"/>
              </w:rPr>
            </w:pPr>
            <w:r>
              <w:rPr>
                <w:rFonts w:ascii="Arial" w:cs="Arial" w:eastAsia="Arial" w:hAnsi="Arial"/>
                <w:sz w:val="20"/>
                <w:szCs w:val="20"/>
                <w:color w:val="auto"/>
                <w:w w:val="92"/>
              </w:rPr>
              <w:t>SHARES</w:t>
            </w:r>
          </w:p>
        </w:tc>
        <w:tc>
          <w:tcPr>
            <w:tcW w:w="44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8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4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8</w:t>
            </w:r>
          </w:p>
        </w:tc>
        <w:tc>
          <w:tcPr>
            <w:tcW w:w="85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380" w:type="dxa"/>
            <w:vAlign w:val="bottom"/>
            <w:tcBorders>
              <w:left w:val="single" w:sz="8" w:color="auto"/>
            </w:tcBorders>
          </w:tcPr>
          <w:p>
            <w:pPr>
              <w:spacing w:after="0"/>
              <w:rPr>
                <w:sz w:val="16"/>
                <w:szCs w:val="16"/>
                <w:color w:val="auto"/>
              </w:rPr>
            </w:pPr>
          </w:p>
        </w:tc>
        <w:tc>
          <w:tcPr>
            <w:tcW w:w="1860" w:type="dxa"/>
            <w:vAlign w:val="bottom"/>
            <w:tcBorders>
              <w:right w:val="single" w:sz="8" w:color="auto"/>
            </w:tcBorders>
            <w:gridSpan w:val="2"/>
          </w:tcPr>
          <w:p>
            <w:pPr>
              <w:jc w:val="center"/>
              <w:ind w:right="281"/>
              <w:spacing w:after="0" w:line="192" w:lineRule="exact"/>
              <w:rPr>
                <w:sz w:val="20"/>
                <w:szCs w:val="20"/>
                <w:color w:val="auto"/>
              </w:rPr>
            </w:pPr>
            <w:r>
              <w:rPr>
                <w:rFonts w:ascii="Arial" w:cs="Arial" w:eastAsia="Arial" w:hAnsi="Arial"/>
                <w:sz w:val="20"/>
                <w:szCs w:val="20"/>
                <w:color w:val="auto"/>
                <w:w w:val="99"/>
              </w:rPr>
              <w:t>BENEFICIALLY</w:t>
            </w:r>
          </w:p>
        </w:tc>
        <w:tc>
          <w:tcPr>
            <w:tcW w:w="440" w:type="dxa"/>
            <w:vAlign w:val="bottom"/>
            <w:tcBorders>
              <w:right w:val="single" w:sz="8" w:color="auto"/>
            </w:tcBorders>
            <w:vMerge w:val="continue"/>
          </w:tcPr>
          <w:p>
            <w:pPr>
              <w:spacing w:after="0"/>
              <w:rPr>
                <w:sz w:val="16"/>
                <w:szCs w:val="16"/>
                <w:color w:val="auto"/>
              </w:rPr>
            </w:pPr>
          </w:p>
        </w:tc>
        <w:tc>
          <w:tcPr>
            <w:tcW w:w="85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8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jc w:val="center"/>
              <w:ind w:right="261"/>
              <w:spacing w:after="0"/>
              <w:rPr>
                <w:sz w:val="20"/>
                <w:szCs w:val="20"/>
                <w:color w:val="auto"/>
              </w:rPr>
            </w:pPr>
            <w:r>
              <w:rPr>
                <w:rFonts w:ascii="Arial" w:cs="Arial" w:eastAsia="Arial" w:hAnsi="Arial"/>
                <w:sz w:val="20"/>
                <w:szCs w:val="20"/>
                <w:color w:val="auto"/>
                <w:w w:val="97"/>
              </w:rPr>
              <w:t>OWNED BY</w:t>
            </w:r>
          </w:p>
        </w:tc>
        <w:tc>
          <w:tcPr>
            <w:tcW w:w="44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tcBorders>
          </w:tcPr>
          <w:p>
            <w:pPr>
              <w:spacing w:after="0"/>
              <w:rPr>
                <w:sz w:val="17"/>
                <w:szCs w:val="17"/>
                <w:color w:val="auto"/>
              </w:rPr>
            </w:pPr>
          </w:p>
        </w:tc>
        <w:tc>
          <w:tcPr>
            <w:tcW w:w="1860" w:type="dxa"/>
            <w:vAlign w:val="bottom"/>
            <w:tcBorders>
              <w:right w:val="single" w:sz="8" w:color="auto"/>
            </w:tcBorders>
            <w:gridSpan w:val="2"/>
          </w:tcPr>
          <w:p>
            <w:pPr>
              <w:jc w:val="center"/>
              <w:ind w:right="261"/>
              <w:spacing w:after="0" w:line="203" w:lineRule="exact"/>
              <w:rPr>
                <w:sz w:val="20"/>
                <w:szCs w:val="20"/>
                <w:color w:val="auto"/>
              </w:rPr>
            </w:pPr>
            <w:r>
              <w:rPr>
                <w:rFonts w:ascii="Arial" w:cs="Arial" w:eastAsia="Arial" w:hAnsi="Arial"/>
                <w:sz w:val="20"/>
                <w:szCs w:val="20"/>
                <w:color w:val="auto"/>
                <w:w w:val="97"/>
              </w:rPr>
              <w:t>EACH</w:t>
            </w:r>
          </w:p>
        </w:tc>
        <w:tc>
          <w:tcPr>
            <w:tcW w:w="44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0"/>
                <w:szCs w:val="20"/>
                <w:color w:val="auto"/>
              </w:rPr>
              <w:t>9</w:t>
            </w:r>
          </w:p>
        </w:tc>
        <w:tc>
          <w:tcPr>
            <w:tcW w:w="8580" w:type="dxa"/>
            <w:vAlign w:val="bottom"/>
            <w:tcBorders>
              <w:right w:val="single" w:sz="8" w:color="auto"/>
            </w:tcBorders>
          </w:tcPr>
          <w:p>
            <w:pPr>
              <w:spacing w:after="0" w:line="203" w:lineRule="exact"/>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1"/>
              <w:spacing w:after="0"/>
              <w:rPr>
                <w:sz w:val="20"/>
                <w:szCs w:val="20"/>
                <w:color w:val="auto"/>
              </w:rPr>
            </w:pPr>
            <w:r>
              <w:rPr>
                <w:rFonts w:ascii="Arial" w:cs="Arial" w:eastAsia="Arial" w:hAnsi="Arial"/>
                <w:sz w:val="20"/>
                <w:szCs w:val="20"/>
                <w:color w:val="auto"/>
                <w:w w:val="92"/>
              </w:rPr>
              <w:t>REPORTING</w:t>
            </w:r>
          </w:p>
        </w:tc>
        <w:tc>
          <w:tcPr>
            <w:tcW w:w="440" w:type="dxa"/>
            <w:vAlign w:val="bottom"/>
            <w:tcBorders>
              <w:right w:val="single" w:sz="8" w:color="auto"/>
            </w:tcBorders>
          </w:tcPr>
          <w:p>
            <w:pPr>
              <w:spacing w:after="0"/>
              <w:rPr>
                <w:sz w:val="19"/>
                <w:szCs w:val="19"/>
                <w:color w:val="auto"/>
              </w:rPr>
            </w:pPr>
          </w:p>
        </w:tc>
        <w:tc>
          <w:tcPr>
            <w:tcW w:w="8580" w:type="dxa"/>
            <w:vAlign w:val="bottom"/>
            <w:tcBorders>
              <w:right w:val="single" w:sz="8" w:color="auto"/>
            </w:tcBorders>
          </w:tcPr>
          <w:p>
            <w:pPr>
              <w:spacing w:after="0" w:line="229" w:lineRule="exact"/>
              <w:rPr>
                <w:sz w:val="20"/>
                <w:szCs w:val="20"/>
                <w:color w:val="auto"/>
              </w:rPr>
            </w:pPr>
            <w:r>
              <w:rPr>
                <w:rFonts w:ascii="Arial" w:cs="Arial" w:eastAsia="Arial" w:hAnsi="Arial"/>
                <w:sz w:val="20"/>
                <w:szCs w:val="20"/>
                <w:color w:val="auto"/>
              </w:rPr>
              <w:t>21,153,911</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81"/>
              <w:spacing w:after="0" w:line="227" w:lineRule="exact"/>
              <w:rPr>
                <w:sz w:val="20"/>
                <w:szCs w:val="20"/>
                <w:color w:val="auto"/>
              </w:rPr>
            </w:pPr>
            <w:r>
              <w:rPr>
                <w:rFonts w:ascii="Arial" w:cs="Arial" w:eastAsia="Arial" w:hAnsi="Arial"/>
                <w:sz w:val="20"/>
                <w:szCs w:val="20"/>
                <w:color w:val="auto"/>
                <w:w w:val="89"/>
              </w:rPr>
              <w:t>PERSON</w:t>
            </w:r>
          </w:p>
        </w:tc>
        <w:tc>
          <w:tcPr>
            <w:tcW w:w="44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80" w:type="dxa"/>
            <w:vAlign w:val="bottom"/>
            <w:tcBorders>
              <w:left w:val="single" w:sz="8" w:color="auto"/>
            </w:tcBorders>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4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10</w:t>
            </w:r>
          </w:p>
        </w:tc>
        <w:tc>
          <w:tcPr>
            <w:tcW w:w="85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1860" w:type="dxa"/>
            <w:vAlign w:val="bottom"/>
            <w:tcBorders>
              <w:right w:val="single" w:sz="8" w:color="auto"/>
            </w:tcBorders>
            <w:gridSpan w:val="2"/>
            <w:vMerge w:val="restart"/>
          </w:tcPr>
          <w:p>
            <w:pPr>
              <w:jc w:val="center"/>
              <w:ind w:right="281"/>
              <w:spacing w:after="0"/>
              <w:rPr>
                <w:sz w:val="20"/>
                <w:szCs w:val="20"/>
                <w:color w:val="auto"/>
              </w:rPr>
            </w:pPr>
            <w:r>
              <w:rPr>
                <w:rFonts w:ascii="Arial" w:cs="Arial" w:eastAsia="Arial" w:hAnsi="Arial"/>
                <w:sz w:val="20"/>
                <w:szCs w:val="20"/>
                <w:color w:val="auto"/>
              </w:rPr>
              <w:t>WITH</w:t>
            </w:r>
          </w:p>
        </w:tc>
        <w:tc>
          <w:tcPr>
            <w:tcW w:w="440" w:type="dxa"/>
            <w:vAlign w:val="bottom"/>
            <w:tcBorders>
              <w:right w:val="single" w:sz="8" w:color="auto"/>
            </w:tcBorders>
            <w:vMerge w:val="continue"/>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80" w:type="dxa"/>
            <w:vAlign w:val="bottom"/>
            <w:tcBorders>
              <w:left w:val="single" w:sz="8" w:color="auto"/>
            </w:tcBorders>
          </w:tcPr>
          <w:p>
            <w:pPr>
              <w:spacing w:after="0"/>
              <w:rPr>
                <w:sz w:val="11"/>
                <w:szCs w:val="11"/>
                <w:color w:val="auto"/>
              </w:rPr>
            </w:pPr>
          </w:p>
        </w:tc>
        <w:tc>
          <w:tcPr>
            <w:tcW w:w="1860" w:type="dxa"/>
            <w:vAlign w:val="bottom"/>
            <w:tcBorders>
              <w:right w:val="single" w:sz="8" w:color="auto"/>
            </w:tcBorders>
            <w:gridSpan w:val="2"/>
            <w:vMerge w:val="continue"/>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5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w w:val="98"/>
              </w:rPr>
              <w:t>11</w:t>
            </w:r>
          </w:p>
        </w:tc>
        <w:tc>
          <w:tcPr>
            <w:tcW w:w="700" w:type="dxa"/>
            <w:vAlign w:val="bottom"/>
            <w:tcBorders>
              <w:right w:val="single" w:sz="8" w:color="auto"/>
            </w:tcBorders>
          </w:tcPr>
          <w:p>
            <w:pPr>
              <w:spacing w:after="0"/>
              <w:rPr>
                <w:sz w:val="20"/>
                <w:szCs w:val="20"/>
                <w:color w:val="auto"/>
              </w:rPr>
            </w:pPr>
          </w:p>
        </w:tc>
        <w:tc>
          <w:tcPr>
            <w:tcW w:w="10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AGGREGATE AMOUNT BENEFICIALLY OWNED BY EACH REPORTING PERSON</w:t>
            </w:r>
          </w:p>
        </w:tc>
        <w:tc>
          <w:tcPr>
            <w:tcW w:w="0" w:type="dxa"/>
            <w:vAlign w:val="bottom"/>
          </w:tcPr>
          <w:p>
            <w:pPr>
              <w:spacing w:after="0"/>
              <w:rPr>
                <w:sz w:val="1"/>
                <w:szCs w:val="1"/>
                <w:color w:val="auto"/>
              </w:rPr>
            </w:pPr>
          </w:p>
        </w:tc>
      </w:tr>
      <w:tr>
        <w:trPr>
          <w:trHeight w:val="287"/>
        </w:trPr>
        <w:tc>
          <w:tcPr>
            <w:tcW w:w="38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1"/>
              </w:rPr>
              <w:t>21,153,911</w:t>
            </w:r>
            <w:r>
              <w:rPr>
                <w:rFonts w:ascii="Arial" w:cs="Arial" w:eastAsia="Arial" w:hAnsi="Arial"/>
                <w:sz w:val="25"/>
                <w:szCs w:val="25"/>
                <w:color w:val="auto"/>
                <w:w w:val="91"/>
                <w:vertAlign w:val="superscript"/>
              </w:rPr>
              <w:t>(1)</w:t>
            </w:r>
          </w:p>
        </w:tc>
        <w:tc>
          <w:tcPr>
            <w:tcW w:w="440" w:type="dxa"/>
            <w:vAlign w:val="bottom"/>
            <w:tcBorders>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ind w:left="140"/>
              <w:spacing w:after="0" w:line="196" w:lineRule="exact"/>
              <w:rPr>
                <w:sz w:val="20"/>
                <w:szCs w:val="20"/>
                <w:color w:val="auto"/>
              </w:rPr>
            </w:pPr>
            <w:r>
              <w:rPr>
                <w:rFonts w:ascii="Arial" w:cs="Arial" w:eastAsia="Arial" w:hAnsi="Arial"/>
                <w:sz w:val="20"/>
                <w:szCs w:val="20"/>
                <w:color w:val="auto"/>
                <w:w w:val="98"/>
              </w:rPr>
              <w:t>12</w:t>
            </w:r>
          </w:p>
        </w:tc>
        <w:tc>
          <w:tcPr>
            <w:tcW w:w="700" w:type="dxa"/>
            <w:vAlign w:val="bottom"/>
            <w:tcBorders>
              <w:right w:val="single" w:sz="8" w:color="auto"/>
            </w:tcBorders>
          </w:tcPr>
          <w:p>
            <w:pPr>
              <w:spacing w:after="0"/>
              <w:rPr>
                <w:sz w:val="17"/>
                <w:szCs w:val="17"/>
                <w:color w:val="auto"/>
              </w:rPr>
            </w:pPr>
          </w:p>
        </w:tc>
        <w:tc>
          <w:tcPr>
            <w:tcW w:w="10180" w:type="dxa"/>
            <w:vAlign w:val="bottom"/>
            <w:tcBorders>
              <w:right w:val="single" w:sz="8" w:color="auto"/>
            </w:tcBorders>
            <w:gridSpan w:val="3"/>
          </w:tcPr>
          <w:p>
            <w:pPr>
              <w:ind w:left="20"/>
              <w:spacing w:after="0" w:line="196" w:lineRule="exact"/>
              <w:rPr>
                <w:sz w:val="20"/>
                <w:szCs w:val="20"/>
                <w:color w:val="auto"/>
              </w:rPr>
            </w:pPr>
            <w:r>
              <w:rPr>
                <w:rFonts w:ascii="Arial" w:cs="Arial" w:eastAsia="Arial" w:hAnsi="Arial"/>
                <w:sz w:val="20"/>
                <w:szCs w:val="20"/>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318"/>
        </w:trPr>
        <w:tc>
          <w:tcPr>
            <w:tcW w:w="38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440" w:type="dxa"/>
            <w:vAlign w:val="bottom"/>
            <w:tcBorders>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w w:val="98"/>
              </w:rPr>
              <w:t>13</w:t>
            </w:r>
          </w:p>
        </w:tc>
        <w:tc>
          <w:tcPr>
            <w:tcW w:w="700" w:type="dxa"/>
            <w:vAlign w:val="bottom"/>
            <w:tcBorders>
              <w:right w:val="single" w:sz="8" w:color="auto"/>
            </w:tcBorders>
          </w:tcPr>
          <w:p>
            <w:pPr>
              <w:spacing w:after="0"/>
              <w:rPr>
                <w:sz w:val="20"/>
                <w:szCs w:val="20"/>
                <w:color w:val="auto"/>
              </w:rPr>
            </w:pPr>
          </w:p>
        </w:tc>
        <w:tc>
          <w:tcPr>
            <w:tcW w:w="10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PERCENT OF CLASS REPRESENTED BY AMOUNT IN ROW (11)</w:t>
            </w:r>
          </w:p>
        </w:tc>
        <w:tc>
          <w:tcPr>
            <w:tcW w:w="0" w:type="dxa"/>
            <w:vAlign w:val="bottom"/>
          </w:tcPr>
          <w:p>
            <w:pPr>
              <w:spacing w:after="0"/>
              <w:rPr>
                <w:sz w:val="1"/>
                <w:szCs w:val="1"/>
                <w:color w:val="auto"/>
              </w:rPr>
            </w:pPr>
          </w:p>
        </w:tc>
      </w:tr>
      <w:tr>
        <w:trPr>
          <w:trHeight w:val="287"/>
        </w:trPr>
        <w:tc>
          <w:tcPr>
            <w:tcW w:w="38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17.0%</w:t>
            </w:r>
            <w:r>
              <w:rPr>
                <w:rFonts w:ascii="Arial" w:cs="Arial" w:eastAsia="Arial" w:hAnsi="Arial"/>
                <w:sz w:val="25"/>
                <w:szCs w:val="25"/>
                <w:color w:val="auto"/>
                <w:vertAlign w:val="superscript"/>
              </w:rPr>
              <w:t>(2)</w:t>
            </w:r>
          </w:p>
        </w:tc>
        <w:tc>
          <w:tcPr>
            <w:tcW w:w="440" w:type="dxa"/>
            <w:vAlign w:val="bottom"/>
            <w:tcBorders>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w w:val="98"/>
              </w:rPr>
              <w:t>14</w:t>
            </w:r>
          </w:p>
        </w:tc>
        <w:tc>
          <w:tcPr>
            <w:tcW w:w="700" w:type="dxa"/>
            <w:vAlign w:val="bottom"/>
            <w:tcBorders>
              <w:right w:val="single" w:sz="8" w:color="auto"/>
            </w:tcBorders>
          </w:tcPr>
          <w:p>
            <w:pPr>
              <w:spacing w:after="0"/>
              <w:rPr>
                <w:sz w:val="20"/>
                <w:szCs w:val="20"/>
                <w:color w:val="auto"/>
              </w:rPr>
            </w:pPr>
          </w:p>
        </w:tc>
        <w:tc>
          <w:tcPr>
            <w:tcW w:w="10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TYPE OF REPORTING PERSON (See Instructions)</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auto"/>
              </w:rPr>
              <w:t>IN</w:t>
            </w:r>
          </w:p>
        </w:tc>
        <w:tc>
          <w:tcPr>
            <w:tcW w:w="440" w:type="dxa"/>
            <w:vAlign w:val="bottom"/>
          </w:tcPr>
          <w:p>
            <w:pPr>
              <w:spacing w:after="0"/>
              <w:rPr>
                <w:sz w:val="21"/>
                <w:szCs w:val="21"/>
                <w:color w:val="auto"/>
              </w:rPr>
            </w:pPr>
          </w:p>
        </w:tc>
        <w:tc>
          <w:tcPr>
            <w:tcW w:w="8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38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right="20" w:hanging="332"/>
        <w:spacing w:after="0" w:line="273"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Consists of 20,689,892 shares of Common Stock and 464,019 shares of Common Stock issuable upon exercise of options. No options to purchase shares of Common Stock are exercisable within 60 days of June 9, 2021. 116,005 options to purchase shares of Common Stock vest on January 31, 2022 and 348,014 options to purchase shares of Common Stock vest monthly over 36 months thereafter, subject to Dr. Mallick’s continued service through each vesting date. If, during the period beginning three months before a change in control through the one-year anniversary of a change in control, Dr. Mallick’s employment with the Issuer is terminated either (x) by the Issuer without cause, and excluding by reason of Dr. Mallick’s death or disability or (y) by Dr. Mallick for good reason, then 100% of any unvested shares shall immediately vest.</w:t>
      </w:r>
    </w:p>
    <w:p>
      <w:pPr>
        <w:spacing w:after="0" w:line="69" w:lineRule="exact"/>
        <w:rPr>
          <w:rFonts w:ascii="Arial" w:cs="Arial" w:eastAsia="Arial" w:hAnsi="Arial"/>
          <w:sz w:val="17"/>
          <w:szCs w:val="17"/>
          <w:color w:val="auto"/>
        </w:rPr>
      </w:pPr>
    </w:p>
    <w:p>
      <w:pPr>
        <w:ind w:left="400" w:hanging="392"/>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the quotient obtained by dividing (a) the aggregate number of shares of Common Stock beneficially owned by Dr. Mallick by (b) the sum of</w:t>
      </w:r>
    </w:p>
    <w:p>
      <w:pPr>
        <w:spacing w:after="0" w:line="46" w:lineRule="exact"/>
        <w:rPr>
          <w:rFonts w:ascii="Arial" w:cs="Arial" w:eastAsia="Arial" w:hAnsi="Arial"/>
          <w:sz w:val="16"/>
          <w:szCs w:val="16"/>
          <w:color w:val="auto"/>
        </w:rPr>
      </w:pPr>
    </w:p>
    <w:p>
      <w:pPr>
        <w:jc w:val="both"/>
        <w:ind w:left="340" w:right="20" w:hanging="8"/>
        <w:spacing w:after="0" w:line="253" w:lineRule="auto"/>
        <w:tabs>
          <w:tab w:leader="none" w:pos="562" w:val="left"/>
        </w:tabs>
        <w:numPr>
          <w:ilvl w:val="1"/>
          <w:numId w:val="2"/>
        </w:numPr>
        <w:rPr>
          <w:rFonts w:ascii="Arial" w:cs="Arial" w:eastAsia="Arial" w:hAnsi="Arial"/>
          <w:sz w:val="18"/>
          <w:szCs w:val="18"/>
          <w:color w:val="auto"/>
        </w:rPr>
      </w:pPr>
      <w:r>
        <w:rPr>
          <w:rFonts w:ascii="Arial" w:cs="Arial" w:eastAsia="Arial" w:hAnsi="Arial"/>
          <w:sz w:val="18"/>
          <w:szCs w:val="18"/>
          <w:color w:val="auto"/>
        </w:rPr>
        <w:t>124,045,255 shares of Common Stock outstanding as of June 9, 2021, as reported in the Issuer’s Form 8-K filed with the Securities and Exchange Commission on June 10, 2021, and (ii) 464,019 shares of Common Stock issuable upon exercise of options held by Dr. Mallick. The aggregate number of shares of Common Stock beneficially owned by Dr. Mallick as set forth in clauses “(a)” and “(b)” of this footnote are treated as outstanding shares of Common Stock only for the purpose of computing the percentage ownership of Dr. Mallick.</w:t>
      </w:r>
    </w:p>
    <w:p>
      <w:pPr>
        <w:sectPr>
          <w:pgSz w:w="11900" w:h="16838" w:orient="portrait"/>
          <w:cols w:equalWidth="0" w:num="1">
            <w:col w:w="11260"/>
          </w:cols>
          <w:pgMar w:left="320" w:top="1440"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Schedule relates to the shares of common stock, par value $0.0001 per share (“Common Stock”), of Nautilus Biotechnology, Inc., f/k/a ARYA Sciences Acquisition Corp III (the “Issuer”). The principal executive offices of the Issuer are located at 425 Pontius Ave N, Ste 202, Seattle, WA 98109. The Issuer’s Common Stock is listed on the Nasdaq Global Select Market under the symbol “NAUT”.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Parag Mallick (the “Reporting Person”)</w:t>
      </w:r>
    </w:p>
    <w:p>
      <w:pPr>
        <w:spacing w:after="0" w:line="225"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the principal business office of the Reporting Person is: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425 Pontius Ave N, Ste 202</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Seattle, WA 98109</w:t>
      </w:r>
    </w:p>
    <w:p>
      <w:pPr>
        <w:spacing w:after="0" w:line="211" w:lineRule="exact"/>
        <w:rPr>
          <w:sz w:val="20"/>
          <w:szCs w:val="20"/>
          <w:color w:val="auto"/>
        </w:rPr>
      </w:pPr>
    </w:p>
    <w:p>
      <w:pPr>
        <w:ind w:left="700" w:hanging="36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of the Reporting Person is serving as Chief Scientist of the Issuer.</w:t>
      </w:r>
    </w:p>
    <w:p>
      <w:pPr>
        <w:spacing w:after="0" w:line="225" w:lineRule="exact"/>
        <w:rPr>
          <w:rFonts w:ascii="Arial" w:cs="Arial" w:eastAsia="Arial" w:hAnsi="Arial"/>
          <w:sz w:val="18"/>
          <w:szCs w:val="18"/>
          <w:color w:val="auto"/>
        </w:rPr>
      </w:pPr>
    </w:p>
    <w:p>
      <w:pPr>
        <w:ind w:left="980" w:hanging="648"/>
        <w:spacing w:after="0" w:line="277" w:lineRule="auto"/>
        <w:tabs>
          <w:tab w:leader="none" w:pos="8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has not,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980" w:hanging="648"/>
        <w:spacing w:after="0" w:line="286" w:lineRule="auto"/>
        <w:tabs>
          <w:tab w:leader="none" w:pos="78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Reporting Person has not during the last five years, been a party to a civil proceeding of a judicial or administrative body of competent jurisdiction, and as a result of such proceeding was or is subject to any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680" w:hanging="34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of the shares of Common Stock reported herein as beneficially owned by the Reporting Person were acquired pursuant to a Business Combination Agreement, dated as of February 7, 2021, by and among Nautilus Biotechnology, Inc., a Delaware corporation (f/k/a ARYA Sciences Acquisition Corp III (“ARYA”)) (the “Issuer”), Mako Merger Sub, Inc., a Delaware corporation and wholly owned subsidiary of ARYA (“Merger Sub”), and Nautilus Subsidiary, Inc., a Delaware corporation (f/k/a Nautilus Biotechnology, Inc.) (“Legacy Nautilus”) (as it may be amended from time to time, the “Business Combination Agreement”). Pursuant to the terms of the Business Combination Agreement, a business combination between the Issuer and Legacy Nautilus was effected through the merger of Merger Sub with and into Legacy Nautilus, with Legacy Nautilus surviving as the surviving company and as a wholly-owned subsidiary of Issuer (the “Merger,” and collectively with the other transactions described in the Business Combination Agreement, the “Business Combination”). The Business Combination closed on June 9, 2021 (the “Closing”).</w:t>
      </w:r>
    </w:p>
    <w:p>
      <w:pPr>
        <w:spacing w:after="0" w:line="17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At the effective time of the Merger (the “Effective Time”), and subject to the terms and conditions of the Business Combination Agreement, each share of Legacy Nautilus common stock, par value $0.0001 per share (the “Legacy Nautilus Common Stock”), and each share of the Legacy Nautilus preferred stock, par value $0.0001 per share, that was convertible into a share of Legacy Nautilus Common Stock, was canceled and converted into the right to receive the number of shares of the Issuer’s Common Stock equal to the product (rounded down to the nearest whole number) of the number of such shares outstanding immediately prior to the Effective Time multiplied by 3.62807118207724 (the “Exchange Ratio”).</w:t>
      </w:r>
    </w:p>
    <w:p>
      <w:pPr>
        <w:spacing w:after="0" w:line="17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Each option to purchase shares of Legacy Nautilus Common Stock (a “Legacy Nautilus Option”) that was outstanding immediately prior to the Effective Time, whether vested or unvested, was converted into an option to</w:t>
      </w:r>
    </w:p>
    <w:p>
      <w:pPr>
        <w:sectPr>
          <w:pgSz w:w="11900" w:h="16838" w:orient="portrait"/>
          <w:cols w:equalWidth="0" w:num="1">
            <w:col w:w="11240"/>
          </w:cols>
          <w:pgMar w:left="320" w:top="1417"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purchase a number of shares of Common Stock (such option, an “Exchanged Option”) equal to the product (rounded down to the nearest whole number) of</w:t>
      </w:r>
    </w:p>
    <w:p>
      <w:pPr>
        <w:spacing w:after="0" w:line="46" w:lineRule="exact"/>
        <w:rPr>
          <w:sz w:val="20"/>
          <w:szCs w:val="20"/>
          <w:color w:val="auto"/>
        </w:rPr>
      </w:pPr>
    </w:p>
    <w:p>
      <w:pPr>
        <w:jc w:val="both"/>
        <w:ind w:firstLine="8"/>
        <w:spacing w:after="0" w:line="292" w:lineRule="auto"/>
        <w:tabs>
          <w:tab w:leader="none" w:pos="2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of Legacy Nautilus Common Stock subject to such Legacy Nautilus Option immediately prior to the Effective Time and (ii) the Exchange Ratio, at an exercise price per share (rounded up to the nearest whole cent) equal to (A) the exercise price per share of such Legacy Nautilus Option immediately prior to the Effective Time, divided by (B) the Exchange Ratio. Except as specifically provided in the Business Combination Agreement, following the Effective Time, each Exchanged Option continued to be governed by the same terms and conditions (including vesting and exercisability terms) as were applicable to the corresponding former Legacy Nautilus Option outstanding immediately prior to the Effective Time.</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in or incorporated by reference into Items 4, 5 and 6 of this Schedule 13D is hereby incorporated by reference in its entirety into this Item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the Business Combination Agreement, the Reporting Person tendered 5,702,725 shares of Legacy Nautilus Common Stock and options to purchase 127,897 shares of Legacy Nautilus Common Stock in exchange for 20,689,892 shares of Common Stock and options to purchase 464,019 shares of Common Stock, respectively.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Reporting Person serves as Chief Scientist of the Issuer and, in such capacity, may have influence over the corporate activities of the Issuer, including activities which may relate to items described in subparagraphs (a) through (j) of Item 4 of Schedule 13D. Subject to the Amended and Restated Registration Rights and Lock-up Agreement described in Item 6 of this Schedule 13D and the Issuer’s Insider Trading Policy, the Reporting Person may from time to time buy or sell securities of the Issuer as appropriate for his personal circumstances.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described herein, the Reporting Person does not have any present plans or proposals that relate to or would result in any of the transactions described in subparagraphs (a) through (j) of Item 4 of Schedule 13D. However, the Reporting Person reserves the right to formulate in the future plans or proposals which may relate to or result in the transactions described in subparagraphs (a) through (j) of this Item 4.</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Reporting Person may, from time to time, purchase additional securities of the Issuer either in the open market or in privately-negotiated transactions, depending upon the Reporting Person’s evaluation of the Issuer’s business, prospects and financial condition, the market for such securities, other opportunities available to the Reporting Person, general economic conditions, stock market conditions and other factors. Depending upon the factors noted above, the Reporting Person may also decide to hold or dispose of all or part of his investments in securities of the Issuer and/or enter into derivative transactions with institutional counterparties with respect to the Issuer’s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8"/>
        <w:spacing w:after="0" w:line="259" w:lineRule="auto"/>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date of this Schedule 13D, the Reporting Person beneficially owns an aggregate of 21,153,911 shares of Common Stock, or 17.0% of the Issuer’s outstanding shares of Common Stock. The beneficial ownership percentages used in this Schedule are calculated based on a total of 124,045,255 shares of Common Stock outstanding as of June 9, 2021 plus 464,019 shares of Common Stock issuable upon exercise of options held by the Reporting Person.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the Reporting Person’s options to purchase shares of Common Stock are exercisable within 60 days of June 9, 2021. 116,005 options to purchase shares of Common Stock vest on January 31, 2022 and 348,014 options to purchase shares of Common Stock vest monthly over 36 months thereafter, subject to the Reporting Person’s continued service through each vesting date. If, during the period beginning three months before a change in control through the one-year anniversary of a change in control, the Reporting Person’s employment with the Issuer is terminated either (x) by the Issuer without cause, and excluding by reason of the Reporting Person’s death or disability or (y) by the Reporting Person for good reason, then 100% of any unvested shares shall immediately vest.</w:t>
      </w:r>
    </w:p>
    <w:p>
      <w:pPr>
        <w:sectPr>
          <w:pgSz w:w="11900" w:h="16838" w:orient="portrait"/>
          <w:cols w:equalWidth="0" w:num="1">
            <w:col w:w="11240"/>
          </w:cols>
          <w:pgMar w:left="320" w:top="1421" w:right="339" w:bottom="1440" w:gutter="0" w:footer="0" w:header="0"/>
        </w:sectPr>
      </w:pPr>
    </w:p>
    <w:bookmarkStart w:id="4" w:name="page5"/>
    <w:bookmarkEnd w:id="4"/>
    <w:p>
      <w:pPr>
        <w:ind w:firstLine="8"/>
        <w:spacing w:after="0" w:line="277"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Reporting Person has sole voting and dispositive power with respect to 20,689,892 shares of Common Stock and 464,019 options to purchase shares of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described in Items 3 and 4 of this Schedule, which descriptions are incorporated herein by reference, the Reporting Person has not effected any transactions in the Common Stock during the past 60 days.</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disclosed in Item 2, no person is known to the Reporting Person to have the right to receive or the power to direct the receipt of dividends from, or the proceeds from the sale of, any securities covered by this Schedule.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and Lock-Up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was effective as of the Closing, with ARYA Sciences Holding III, a Cayman Islands exempted limited company, Perceptive Life Sciences Master Fund Ltd., an exempted company incorporated in the Cayman Islands with limited liability, ARYA’s initial shareholders, Nautilus’ directors, and certain holders of Nautilus’ capital stock, including, among others, the Reporting Person. Pursuant to the terms of the Amended and Restated Registration Rights and Lock-Up Agreement, the Issuer will be obligated to file a registration statement to register the resale of certain shares of the Issuer’s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the Issuer file a registration statement on Form S-3 (or on Form S-1 if Form S-3 is not available) to register the securities of the Issuer held by such holders, and the Issuer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the Issuer held by the holders party thereto to be locked-up for a period of time following the Closing, subject to certain exceptions.</w:t>
      </w:r>
    </w:p>
    <w:p>
      <w:pPr>
        <w:spacing w:after="0" w:line="170"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This summary is qualified by the actual terms of the Amended and Restated Registration Rights and Lock-Up Agreement, a copy of which is attached as an exhibit to this Schedule 13D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180" w:type="dxa"/>
            <w:vAlign w:val="bottom"/>
            <w:gridSpan w:val="3"/>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880" w:type="dxa"/>
            <w:vAlign w:val="bottom"/>
            <w:vMerge w:val="restart"/>
          </w:tcPr>
          <w:p>
            <w:pPr>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3"/>
          </w:tcPr>
          <w:p>
            <w:pPr>
              <w:spacing w:after="0"/>
              <w:rPr>
                <w:rFonts w:ascii="Arial" w:cs="Arial" w:eastAsia="Arial" w:hAnsi="Arial"/>
                <w:sz w:val="16"/>
                <w:szCs w:val="16"/>
                <w:color w:val="0000FF"/>
                <w:w w:val="91"/>
              </w:rPr>
            </w:pPr>
            <w:hyperlink r:id="rId8">
              <w:r>
                <w:rPr>
                  <w:rFonts w:ascii="Arial" w:cs="Arial" w:eastAsia="Arial" w:hAnsi="Arial"/>
                  <w:sz w:val="16"/>
                  <w:szCs w:val="16"/>
                  <w:color w:val="0000FF"/>
                  <w:w w:val="91"/>
                </w:rPr>
                <w:t>Amended and Restated Registration Rights and Lock-up Agreement, dated as of February 7, 2021, by and among ARYA Sciences Acquisition</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gridSpan w:val="4"/>
          </w:tcPr>
          <w:p>
            <w:pPr>
              <w:spacing w:after="0" w:line="169" w:lineRule="exact"/>
              <w:rPr>
                <w:rFonts w:ascii="Arial" w:cs="Arial" w:eastAsia="Arial" w:hAnsi="Arial"/>
                <w:sz w:val="16"/>
                <w:szCs w:val="16"/>
                <w:color w:val="0000FF"/>
                <w:w w:val="94"/>
              </w:rPr>
            </w:pPr>
            <w:hyperlink r:id="rId8">
              <w:r>
                <w:rPr>
                  <w:rFonts w:ascii="Arial" w:cs="Arial" w:eastAsia="Arial" w:hAnsi="Arial"/>
                  <w:sz w:val="16"/>
                  <w:szCs w:val="16"/>
                  <w:color w:val="0000FF"/>
                  <w:w w:val="94"/>
                </w:rPr>
                <w:t>Corp III and the persons named therein. (Incorporated by reference to Exhibit 10.2 to the Company’s Current Report on Form 8-K filed with</w:t>
              </w:r>
            </w:hyperlink>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0"/>
              </w:rPr>
            </w:pPr>
            <w:hyperlink r:id="rId8">
              <w:r>
                <w:rPr>
                  <w:rFonts w:ascii="Arial" w:cs="Arial" w:eastAsia="Arial" w:hAnsi="Arial"/>
                  <w:sz w:val="16"/>
                  <w:szCs w:val="16"/>
                  <w:color w:val="0000FF"/>
                  <w:w w:val="90"/>
                </w:rPr>
                <w:t>the Securities and Exchange Commission on February 8, 2021.)</w:t>
              </w:r>
            </w:hyperlink>
          </w:p>
        </w:tc>
        <w:tc>
          <w:tcPr>
            <w:tcW w:w="4960" w:type="dxa"/>
            <w:vAlign w:val="bottom"/>
            <w:tcBorders>
              <w:top w:val="single" w:sz="8" w:color="0000FF"/>
            </w:tcBorders>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Parag Mallick</w:t>
      </w:r>
    </w:p>
    <w:p>
      <w:pPr>
        <w:spacing w:after="0" w:line="27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Pr>
          <w:p>
            <w:pPr>
              <w:jc w:val="center"/>
              <w:ind w:right="2310"/>
              <w:spacing w:after="0"/>
              <w:rPr>
                <w:sz w:val="20"/>
                <w:szCs w:val="20"/>
                <w:color w:val="auto"/>
              </w:rPr>
            </w:pPr>
            <w:r>
              <w:rPr>
                <w:rFonts w:ascii="Arial" w:cs="Arial" w:eastAsia="Arial" w:hAnsi="Arial"/>
                <w:sz w:val="18"/>
                <w:szCs w:val="18"/>
                <w:color w:val="auto"/>
                <w:w w:val="92"/>
              </w:rPr>
              <w:t>/s/ Parag Mallick</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3660" w:type="dxa"/>
            <w:vAlign w:val="bottom"/>
          </w:tcPr>
          <w:p>
            <w:pPr>
              <w:jc w:val="center"/>
              <w:ind w:right="2330"/>
              <w:spacing w:after="0"/>
              <w:rPr>
                <w:sz w:val="20"/>
                <w:szCs w:val="20"/>
                <w:color w:val="auto"/>
              </w:rPr>
            </w:pPr>
            <w:r>
              <w:rPr>
                <w:rFonts w:ascii="Arial" w:cs="Arial" w:eastAsia="Arial" w:hAnsi="Arial"/>
                <w:sz w:val="18"/>
                <w:szCs w:val="18"/>
                <w:color w:val="auto"/>
                <w:w w:val="92"/>
              </w:rPr>
              <w:t>Parag Mallick</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Roman"/>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1808805/000114036121003650/brhc10019858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2021-06-16T16:11:46Z</dcterms:created>
  <dcterms:modified xsi:type="dcterms:W3CDTF">2021-06-16T16:11:46Z</dcterms:modified>
</cp:coreProperties>
</file>