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6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333-258100</w:t>
      </w:r>
    </w:p>
    <w:p>
      <w:pPr>
        <w:spacing w:after="0" w:line="21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PROSPECTUS SUPPLEMENT</w:t>
      </w:r>
    </w:p>
    <w:p>
      <w:pPr>
        <w:spacing w:after="0" w:line="16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(to prospectus dated March 1, 2022)</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2553335</wp:posOffset>
            </wp:positionH>
            <wp:positionV relativeFrom="paragraph">
              <wp:posOffset>127000</wp:posOffset>
            </wp:positionV>
            <wp:extent cx="2035810"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5810" cy="63119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934720</wp:posOffset>
            </wp:positionV>
            <wp:extent cx="1581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180" w:firstLine="318"/>
        <w:spacing w:after="0" w:line="277" w:lineRule="auto"/>
        <w:rPr>
          <w:sz w:val="20"/>
          <w:szCs w:val="20"/>
          <w:color w:val="auto"/>
        </w:rPr>
      </w:pPr>
      <w:r>
        <w:rPr>
          <w:rFonts w:ascii="Arial" w:cs="Arial" w:eastAsia="Arial" w:hAnsi="Arial"/>
          <w:sz w:val="17"/>
          <w:szCs w:val="17"/>
          <w:color w:val="auto"/>
        </w:rPr>
        <w:t>This prospectus supplement updates and amends the prospectus dated March 1, 2022 (as supplemented to date, the “Prospectus”), which forms a part of our Registration Statement on Post-Effective Amendment No. 1 to the Form S-1 (Registration Statement No. 333-258100) filed with the Securities and Exchange Commission (the “SEC”) on February 24, 2022 and declared effective by the SEC on March 1, 2022.</w:t>
      </w:r>
    </w:p>
    <w:p>
      <w:pPr>
        <w:spacing w:after="0" w:line="118" w:lineRule="exact"/>
        <w:rPr>
          <w:sz w:val="24"/>
          <w:szCs w:val="24"/>
          <w:color w:val="auto"/>
        </w:rPr>
      </w:pPr>
    </w:p>
    <w:p>
      <w:pPr>
        <w:ind w:right="140" w:firstLine="318"/>
        <w:spacing w:after="0" w:line="309" w:lineRule="auto"/>
        <w:rPr>
          <w:sz w:val="20"/>
          <w:szCs w:val="20"/>
          <w:color w:val="auto"/>
        </w:rPr>
      </w:pPr>
      <w:r>
        <w:rPr>
          <w:rFonts w:ascii="Arial" w:cs="Arial" w:eastAsia="Arial" w:hAnsi="Arial"/>
          <w:sz w:val="15"/>
          <w:szCs w:val="15"/>
          <w:color w:val="auto"/>
        </w:rPr>
        <w:t>The Prospectus and this prospectus supplement relate to (i) the resale of 4,286,500 shares of common stock, par value $0.0001 per share (the “Common 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w:t>
      </w:r>
    </w:p>
    <w:p>
      <w:pPr>
        <w:spacing w:after="0" w:line="99" w:lineRule="exact"/>
        <w:rPr>
          <w:sz w:val="24"/>
          <w:szCs w:val="24"/>
          <w:color w:val="auto"/>
        </w:rPr>
      </w:pPr>
    </w:p>
    <w:p>
      <w:pPr>
        <w:ind w:right="100" w:firstLine="318"/>
        <w:spacing w:after="0" w:line="330" w:lineRule="auto"/>
        <w:rPr>
          <w:sz w:val="20"/>
          <w:szCs w:val="20"/>
          <w:color w:val="auto"/>
        </w:rPr>
      </w:pPr>
      <w:r>
        <w:rPr>
          <w:rFonts w:ascii="Arial" w:cs="Arial" w:eastAsia="Arial" w:hAnsi="Arial"/>
          <w:sz w:val="15"/>
          <w:szCs w:val="15"/>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84" w:lineRule="exact"/>
        <w:rPr>
          <w:sz w:val="24"/>
          <w:szCs w:val="24"/>
          <w:color w:val="auto"/>
        </w:rPr>
      </w:pPr>
    </w:p>
    <w:p>
      <w:pPr>
        <w:ind w:right="560" w:firstLine="318"/>
        <w:spacing w:after="0" w:line="264"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12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Quarterly Report on Form 10-Q</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August 2, 2022, we filed a Quarterly Report on Form 10-Q with the SEC. The Quarterly Report on Form 10-Q is attached hereto.</w:t>
      </w:r>
    </w:p>
    <w:p>
      <w:pPr>
        <w:spacing w:after="0" w:line="158" w:lineRule="exact"/>
        <w:rPr>
          <w:sz w:val="24"/>
          <w:szCs w:val="24"/>
          <w:color w:val="auto"/>
        </w:rPr>
      </w:pPr>
    </w:p>
    <w:p>
      <w:pPr>
        <w:ind w:right="400" w:firstLine="318"/>
        <w:spacing w:after="0" w:line="271"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6" w:lineRule="exact"/>
        <w:rPr>
          <w:sz w:val="24"/>
          <w:szCs w:val="24"/>
          <w:color w:val="auto"/>
        </w:rPr>
      </w:pPr>
    </w:p>
    <w:p>
      <w:pPr>
        <w:ind w:right="360" w:firstLine="318"/>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the section titled “</w:t>
      </w:r>
      <w:hyperlink r:id="rId10">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beginning on page 6 of the Prospectus.</w:t>
      </w:r>
    </w:p>
    <w:p>
      <w:pPr>
        <w:spacing w:after="0" w:line="116" w:lineRule="exact"/>
        <w:rPr>
          <w:sz w:val="24"/>
          <w:szCs w:val="24"/>
          <w:color w:val="auto"/>
        </w:rPr>
      </w:pPr>
    </w:p>
    <w:p>
      <w:pPr>
        <w:ind w:right="220" w:firstLine="318"/>
        <w:spacing w:after="0" w:line="271"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16" w:lineRule="exact"/>
        <w:rPr>
          <w:sz w:val="24"/>
          <w:szCs w:val="24"/>
          <w:color w:val="auto"/>
        </w:rPr>
      </w:pPr>
    </w:p>
    <w:p>
      <w:pPr>
        <w:ind w:right="680" w:firstLine="318"/>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87630</wp:posOffset>
            </wp:positionV>
            <wp:extent cx="1581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supplement is August 2, 2022.</w:t>
      </w:r>
    </w:p>
    <w:p>
      <w:pPr>
        <w:sectPr>
          <w:pgSz w:w="11900" w:h="16838" w:orient="portrait"/>
          <w:cols w:equalWidth="0" w:num="1">
            <w:col w:w="11240"/>
          </w:cols>
          <w:pgMar w:left="320" w:top="1035"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476250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501015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120015</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(Mark One)</w:t>
      </w:r>
    </w:p>
    <w:p>
      <w:pPr>
        <w:spacing w:after="0" w:line="217" w:lineRule="exact"/>
        <w:rPr>
          <w:sz w:val="20"/>
          <w:szCs w:val="20"/>
          <w:color w:val="auto"/>
        </w:rPr>
      </w:pPr>
    </w:p>
    <w:p>
      <w:pPr>
        <w:ind w:left="1120" w:hanging="45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ind w:left="1120" w:hanging="45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For the transition period from _________ to _________</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Commission File Number 001-39434</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3"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120" w:type="dxa"/>
            <w:vAlign w:val="bottom"/>
          </w:tcPr>
          <w:p>
            <w:pPr>
              <w:jc w:val="center"/>
              <w:ind w:right="189"/>
              <w:spacing w:after="0"/>
              <w:rPr>
                <w:sz w:val="20"/>
                <w:szCs w:val="20"/>
                <w:color w:val="auto"/>
              </w:rPr>
            </w:pPr>
            <w:r>
              <w:rPr>
                <w:rFonts w:ascii="Arial" w:cs="Arial" w:eastAsia="Arial" w:hAnsi="Arial"/>
                <w:sz w:val="14"/>
                <w:szCs w:val="14"/>
                <w:b w:val="1"/>
                <w:bCs w:val="1"/>
                <w:color w:val="auto"/>
                <w:w w:val="94"/>
              </w:rPr>
              <w:t>Delaware</w:t>
            </w:r>
          </w:p>
        </w:tc>
        <w:tc>
          <w:tcPr>
            <w:tcW w:w="5740" w:type="dxa"/>
            <w:vAlign w:val="bottom"/>
          </w:tcPr>
          <w:p>
            <w:pPr>
              <w:jc w:val="right"/>
              <w:ind w:right="109"/>
              <w:spacing w:after="0"/>
              <w:rPr>
                <w:sz w:val="20"/>
                <w:szCs w:val="20"/>
                <w:color w:val="auto"/>
              </w:rPr>
            </w:pPr>
            <w:r>
              <w:rPr>
                <w:rFonts w:ascii="Arial" w:cs="Arial" w:eastAsia="Arial" w:hAnsi="Arial"/>
                <w:sz w:val="14"/>
                <w:szCs w:val="14"/>
                <w:b w:val="1"/>
                <w:bCs w:val="1"/>
                <w:color w:val="auto"/>
              </w:rPr>
              <w:t>98-1541723</w:t>
            </w:r>
          </w:p>
        </w:tc>
      </w:tr>
      <w:tr>
        <w:trPr>
          <w:trHeight w:val="144"/>
        </w:trPr>
        <w:tc>
          <w:tcPr>
            <w:tcW w:w="3120" w:type="dxa"/>
            <w:vAlign w:val="bottom"/>
          </w:tcPr>
          <w:p>
            <w:pPr>
              <w:jc w:val="center"/>
              <w:ind w:right="209"/>
              <w:spacing w:after="0" w:line="143" w:lineRule="exact"/>
              <w:rPr>
                <w:sz w:val="20"/>
                <w:szCs w:val="20"/>
                <w:color w:val="auto"/>
              </w:rPr>
            </w:pPr>
            <w:r>
              <w:rPr>
                <w:rFonts w:ascii="Arial" w:cs="Arial" w:eastAsia="Arial" w:hAnsi="Arial"/>
                <w:sz w:val="14"/>
                <w:szCs w:val="14"/>
                <w:color w:val="auto"/>
                <w:w w:val="93"/>
              </w:rPr>
              <w:t>(State or other jurisdiction of</w:t>
            </w:r>
          </w:p>
        </w:tc>
        <w:tc>
          <w:tcPr>
            <w:tcW w:w="5740" w:type="dxa"/>
            <w:vAlign w:val="bottom"/>
          </w:tcPr>
          <w:p>
            <w:pPr>
              <w:jc w:val="center"/>
              <w:ind w:left="4629"/>
              <w:spacing w:after="0" w:line="143" w:lineRule="exact"/>
              <w:rPr>
                <w:sz w:val="20"/>
                <w:szCs w:val="20"/>
                <w:color w:val="auto"/>
              </w:rPr>
            </w:pPr>
            <w:r>
              <w:rPr>
                <w:rFonts w:ascii="Arial" w:cs="Arial" w:eastAsia="Arial" w:hAnsi="Arial"/>
                <w:sz w:val="14"/>
                <w:szCs w:val="14"/>
                <w:color w:val="auto"/>
                <w:w w:val="93"/>
              </w:rPr>
              <w:t>(I.R.S. Employer</w:t>
            </w:r>
          </w:p>
        </w:tc>
      </w:tr>
      <w:tr>
        <w:trPr>
          <w:trHeight w:val="180"/>
        </w:trPr>
        <w:tc>
          <w:tcPr>
            <w:tcW w:w="3120" w:type="dxa"/>
            <w:vAlign w:val="bottom"/>
          </w:tcPr>
          <w:p>
            <w:pPr>
              <w:jc w:val="center"/>
              <w:ind w:right="189"/>
              <w:spacing w:after="0"/>
              <w:rPr>
                <w:sz w:val="20"/>
                <w:szCs w:val="20"/>
                <w:color w:val="auto"/>
              </w:rPr>
            </w:pPr>
            <w:r>
              <w:rPr>
                <w:rFonts w:ascii="Arial" w:cs="Arial" w:eastAsia="Arial" w:hAnsi="Arial"/>
                <w:sz w:val="14"/>
                <w:szCs w:val="14"/>
                <w:color w:val="auto"/>
                <w:w w:val="93"/>
              </w:rPr>
              <w:t>incorporation or organization)</w:t>
            </w:r>
          </w:p>
        </w:tc>
        <w:tc>
          <w:tcPr>
            <w:tcW w:w="5740" w:type="dxa"/>
            <w:vAlign w:val="bottom"/>
          </w:tcPr>
          <w:p>
            <w:pPr>
              <w:jc w:val="center"/>
              <w:ind w:left="4629"/>
              <w:spacing w:after="0"/>
              <w:rPr>
                <w:sz w:val="20"/>
                <w:szCs w:val="20"/>
                <w:color w:val="auto"/>
              </w:rPr>
            </w:pPr>
            <w:r>
              <w:rPr>
                <w:rFonts w:ascii="Arial" w:cs="Arial" w:eastAsia="Arial" w:hAnsi="Arial"/>
                <w:sz w:val="14"/>
                <w:szCs w:val="14"/>
                <w:color w:val="auto"/>
                <w:w w:val="95"/>
              </w:rPr>
              <w:t>Identification No.)</w:t>
            </w:r>
          </w:p>
        </w:tc>
      </w:tr>
      <w:tr>
        <w:trPr>
          <w:trHeight w:val="750"/>
        </w:trPr>
        <w:tc>
          <w:tcPr>
            <w:tcW w:w="312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2701 Eastlake Avenue East Seattle, Washington</w:t>
            </w:r>
          </w:p>
        </w:tc>
        <w:tc>
          <w:tcPr>
            <w:tcW w:w="5740" w:type="dxa"/>
            <w:vAlign w:val="bottom"/>
          </w:tcPr>
          <w:p>
            <w:pPr>
              <w:jc w:val="right"/>
              <w:ind w:right="269"/>
              <w:spacing w:after="0"/>
              <w:rPr>
                <w:sz w:val="20"/>
                <w:szCs w:val="20"/>
                <w:color w:val="auto"/>
              </w:rPr>
            </w:pPr>
            <w:r>
              <w:rPr>
                <w:rFonts w:ascii="Arial" w:cs="Arial" w:eastAsia="Arial" w:hAnsi="Arial"/>
                <w:sz w:val="14"/>
                <w:szCs w:val="14"/>
                <w:b w:val="1"/>
                <w:bCs w:val="1"/>
                <w:color w:val="auto"/>
              </w:rPr>
              <w:t>98102</w:t>
            </w:r>
          </w:p>
        </w:tc>
      </w:tr>
      <w:tr>
        <w:trPr>
          <w:trHeight w:val="358"/>
        </w:trPr>
        <w:tc>
          <w:tcPr>
            <w:tcW w:w="3120" w:type="dxa"/>
            <w:vAlign w:val="bottom"/>
          </w:tcPr>
          <w:p>
            <w:pPr>
              <w:jc w:val="center"/>
              <w:ind w:right="209"/>
              <w:spacing w:after="0"/>
              <w:rPr>
                <w:sz w:val="20"/>
                <w:szCs w:val="20"/>
                <w:color w:val="auto"/>
              </w:rPr>
            </w:pPr>
            <w:r>
              <w:rPr>
                <w:rFonts w:ascii="Arial" w:cs="Arial" w:eastAsia="Arial" w:hAnsi="Arial"/>
                <w:sz w:val="14"/>
                <w:szCs w:val="14"/>
                <w:color w:val="auto"/>
                <w:w w:val="93"/>
              </w:rPr>
              <w:t>(Address of principal executive offices)</w:t>
            </w:r>
          </w:p>
        </w:tc>
        <w:tc>
          <w:tcPr>
            <w:tcW w:w="5740" w:type="dxa"/>
            <w:vAlign w:val="bottom"/>
          </w:tcPr>
          <w:p>
            <w:pPr>
              <w:jc w:val="center"/>
              <w:ind w:left="4649"/>
              <w:spacing w:after="0"/>
              <w:rPr>
                <w:sz w:val="20"/>
                <w:szCs w:val="20"/>
                <w:color w:val="auto"/>
              </w:rPr>
            </w:pPr>
            <w:r>
              <w:rPr>
                <w:rFonts w:ascii="Arial" w:cs="Arial" w:eastAsia="Arial" w:hAnsi="Arial"/>
                <w:sz w:val="14"/>
                <w:szCs w:val="14"/>
                <w:color w:val="auto"/>
                <w:w w:val="93"/>
              </w:rPr>
              <w:t>(Zip Code)</w:t>
            </w:r>
          </w:p>
        </w:tc>
      </w:tr>
      <w:tr>
        <w:trPr>
          <w:trHeight w:val="199"/>
        </w:trPr>
        <w:tc>
          <w:tcPr>
            <w:tcW w:w="3120" w:type="dxa"/>
            <w:vAlign w:val="bottom"/>
          </w:tcPr>
          <w:p>
            <w:pPr>
              <w:spacing w:after="0"/>
              <w:rPr>
                <w:sz w:val="17"/>
                <w:szCs w:val="17"/>
                <w:color w:val="auto"/>
              </w:rPr>
            </w:pPr>
          </w:p>
        </w:tc>
        <w:tc>
          <w:tcPr>
            <w:tcW w:w="5740" w:type="dxa"/>
            <w:vAlign w:val="bottom"/>
          </w:tcPr>
          <w:p>
            <w:pPr>
              <w:jc w:val="right"/>
              <w:ind w:right="3469"/>
              <w:spacing w:after="0"/>
              <w:rPr>
                <w:sz w:val="20"/>
                <w:szCs w:val="20"/>
                <w:color w:val="auto"/>
              </w:rPr>
            </w:pPr>
            <w:r>
              <w:rPr>
                <w:rFonts w:ascii="Arial" w:cs="Arial" w:eastAsia="Arial" w:hAnsi="Arial"/>
                <w:sz w:val="14"/>
                <w:szCs w:val="14"/>
                <w:b w:val="1"/>
                <w:bCs w:val="1"/>
                <w:color w:val="auto"/>
              </w:rPr>
              <w:t>(206) 333-2001</w:t>
            </w:r>
          </w:p>
        </w:tc>
      </w:tr>
      <w:tr>
        <w:trPr>
          <w:trHeight w:val="358"/>
        </w:trPr>
        <w:tc>
          <w:tcPr>
            <w:tcW w:w="3120" w:type="dxa"/>
            <w:vAlign w:val="bottom"/>
          </w:tcPr>
          <w:p>
            <w:pPr>
              <w:spacing w:after="0"/>
              <w:rPr>
                <w:sz w:val="24"/>
                <w:szCs w:val="24"/>
                <w:color w:val="auto"/>
              </w:rPr>
            </w:pPr>
          </w:p>
        </w:tc>
        <w:tc>
          <w:tcPr>
            <w:tcW w:w="5740" w:type="dxa"/>
            <w:vAlign w:val="bottom"/>
          </w:tcPr>
          <w:p>
            <w:pPr>
              <w:jc w:val="center"/>
              <w:ind w:right="2129"/>
              <w:spacing w:after="0"/>
              <w:rPr>
                <w:sz w:val="20"/>
                <w:szCs w:val="20"/>
                <w:color w:val="auto"/>
              </w:rPr>
            </w:pPr>
            <w:r>
              <w:rPr>
                <w:rFonts w:ascii="Arial" w:cs="Arial" w:eastAsia="Arial" w:hAnsi="Arial"/>
                <w:sz w:val="14"/>
                <w:szCs w:val="14"/>
                <w:color w:val="auto"/>
                <w:w w:val="90"/>
              </w:rPr>
              <w:t>(Registrant's telephone number, including area code)</w:t>
            </w:r>
          </w:p>
        </w:tc>
      </w:tr>
    </w:tbl>
    <w:p>
      <w:pPr>
        <w:spacing w:after="0" w:line="244"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182"/>
        </w:trPr>
        <w:tc>
          <w:tcPr>
            <w:tcW w:w="3440" w:type="dxa"/>
            <w:vAlign w:val="bottom"/>
          </w:tcPr>
          <w:p>
            <w:pPr>
              <w:jc w:val="center"/>
              <w:spacing w:after="0"/>
              <w:rPr>
                <w:sz w:val="20"/>
                <w:szCs w:val="20"/>
                <w:color w:val="auto"/>
              </w:rPr>
            </w:pPr>
            <w:r>
              <w:rPr>
                <w:rFonts w:ascii="Arial" w:cs="Arial" w:eastAsia="Arial" w:hAnsi="Arial"/>
                <w:sz w:val="14"/>
                <w:szCs w:val="14"/>
                <w:color w:val="auto"/>
                <w:w w:val="89"/>
              </w:rPr>
              <w:t>Common Stock, par value $0.0001 per share</w:t>
            </w:r>
          </w:p>
        </w:tc>
        <w:tc>
          <w:tcPr>
            <w:tcW w:w="2280" w:type="dxa"/>
            <w:vAlign w:val="bottom"/>
          </w:tcPr>
          <w:p>
            <w:pPr>
              <w:ind w:left="106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21"/>
              <w:spacing w:after="0"/>
              <w:rPr>
                <w:sz w:val="20"/>
                <w:szCs w:val="20"/>
                <w:color w:val="auto"/>
              </w:rPr>
            </w:pPr>
            <w:r>
              <w:rPr>
                <w:rFonts w:ascii="Arial" w:cs="Arial" w:eastAsia="Arial" w:hAnsi="Arial"/>
                <w:sz w:val="14"/>
                <w:szCs w:val="14"/>
                <w:color w:val="auto"/>
                <w:w w:val="92"/>
              </w:rPr>
              <w:t>The Nasdaq Stock Market LLC</w:t>
            </w:r>
          </w:p>
        </w:tc>
      </w:tr>
    </w:tbl>
    <w:p>
      <w:pPr>
        <w:spacing w:after="0" w:line="303" w:lineRule="exact"/>
        <w:rPr>
          <w:sz w:val="20"/>
          <w:szCs w:val="20"/>
          <w:color w:val="auto"/>
        </w:rPr>
      </w:pPr>
    </w:p>
    <w:p>
      <w:pPr>
        <w:ind w:right="120" w:firstLine="318"/>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ind w:right="18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1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3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0"/>
          <w:szCs w:val="20"/>
          <w:color w:val="auto"/>
        </w:rPr>
      </w:pPr>
    </w:p>
    <w:p>
      <w:pPr>
        <w:ind w:right="1520" w:firstLine="318"/>
        <w:spacing w:after="0" w:line="473"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July 29, 2022, the registrant had 124,663,186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-68580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907" w:right="399" w:bottom="1440" w:gutter="0" w:footer="0" w:header="0"/>
        </w:sectPr>
      </w:pPr>
    </w:p>
    <w:bookmarkStart w:id="2" w:name="page3"/>
    <w:bookmarkEnd w:id="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9"/>
              </w:rPr>
              <w:t>NAUTILUS BIOTECHNOLOGY,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20" w:type="dxa"/>
            <w:vAlign w:val="bottom"/>
            <w:gridSpan w:val="11"/>
          </w:tcPr>
          <w:p>
            <w:pPr>
              <w:jc w:val="center"/>
              <w:ind w:right="380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18"/>
        </w:trPr>
        <w:tc>
          <w:tcPr>
            <w:tcW w:w="2840" w:type="dxa"/>
            <w:vAlign w:val="bottom"/>
            <w:gridSpan w:val="10"/>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PART I. FINANCIAL INFORMATION</w:t>
              </w:r>
            </w:hyperlink>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w:t>
              </w:r>
            </w:hyperlink>
          </w:p>
        </w:tc>
        <w:tc>
          <w:tcPr>
            <w:tcW w:w="340" w:type="dxa"/>
            <w:vAlign w:val="bottom"/>
            <w:tcBorders>
              <w:top w:val="single" w:sz="8" w:color="0000FF"/>
            </w:tcBorders>
            <w:gridSpan w:val="3"/>
          </w:tcPr>
          <w:p>
            <w:pPr>
              <w:spacing w:after="0"/>
              <w:rPr>
                <w:sz w:val="24"/>
                <w:szCs w:val="24"/>
                <w:color w:val="auto"/>
              </w:rPr>
            </w:pPr>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Financial Statements (Unaudited)</w:t>
              </w:r>
            </w:hyperlink>
          </w:p>
        </w:tc>
        <w:tc>
          <w:tcPr>
            <w:tcW w:w="320" w:type="dxa"/>
            <w:vAlign w:val="bottom"/>
          </w:tcPr>
          <w:p>
            <w:pPr>
              <w:spacing w:after="0"/>
              <w:rPr>
                <w:sz w:val="22"/>
                <w:szCs w:val="22"/>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June 30, 2022 and December 31, 2021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Operations for the Three and Six Months Ended June 30, 2022 and 2021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8740" w:type="dxa"/>
            <w:vAlign w:val="bottom"/>
            <w:gridSpan w:val="20"/>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Comprehensive Loss for the Three and Six Months Ended June 30, 2022 and 2021</w:t>
              </w:r>
            </w:hyperlink>
          </w:p>
        </w:tc>
        <w:tc>
          <w:tcPr>
            <w:tcW w:w="540" w:type="dxa"/>
            <w:vAlign w:val="bottom"/>
            <w:gridSpan w:val="2"/>
          </w:tcPr>
          <w:p>
            <w:pPr>
              <w:spacing w:after="0"/>
              <w:rPr>
                <w:sz w:val="22"/>
                <w:szCs w:val="22"/>
                <w:color w:val="auto"/>
              </w:rPr>
            </w:pPr>
          </w:p>
        </w:tc>
        <w:tc>
          <w:tcPr>
            <w:tcW w:w="320" w:type="dxa"/>
            <w:vAlign w:val="bottom"/>
            <w:vMerge w:val="restart"/>
          </w:tcPr>
          <w:p>
            <w:pPr>
              <w:spacing w:after="0"/>
              <w:rPr>
                <w:sz w:val="22"/>
                <w:szCs w:val="22"/>
                <w:color w:val="auto"/>
              </w:rPr>
            </w:pPr>
          </w:p>
        </w:tc>
        <w:tc>
          <w:tcPr>
            <w:tcW w:w="80" w:type="dxa"/>
            <w:vAlign w:val="bottom"/>
            <w:vMerge w:val="restart"/>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760" w:type="dxa"/>
            <w:vAlign w:val="bottom"/>
            <w:tcBorders>
              <w:top w:val="single" w:sz="8" w:color="0000FF"/>
            </w:tcBorders>
            <w:gridSpan w:val="2"/>
          </w:tcPr>
          <w:p>
            <w:pPr>
              <w:spacing w:after="0" w:line="152" w:lineRule="exact"/>
              <w:rPr>
                <w:rFonts w:ascii="Arial" w:cs="Arial" w:eastAsia="Arial" w:hAnsi="Arial"/>
                <w:sz w:val="17"/>
                <w:szCs w:val="17"/>
                <w:color w:val="0000FF"/>
                <w:w w:val="86"/>
              </w:rPr>
            </w:pPr>
            <w:hyperlink w:anchor="page7">
              <w:r>
                <w:rPr>
                  <w:rFonts w:ascii="Arial" w:cs="Arial" w:eastAsia="Arial" w:hAnsi="Arial"/>
                  <w:sz w:val="17"/>
                  <w:szCs w:val="17"/>
                  <w:color w:val="0000FF"/>
                  <w:w w:val="86"/>
                </w:rPr>
                <w:t>(unaudited)</w:t>
              </w:r>
            </w:hyperlink>
          </w:p>
        </w:tc>
        <w:tc>
          <w:tcPr>
            <w:tcW w:w="7840" w:type="dxa"/>
            <w:vAlign w:val="bottom"/>
            <w:tcBorders>
              <w:top w:val="single" w:sz="8" w:color="0000FF"/>
            </w:tcBorders>
            <w:gridSpan w:val="17"/>
          </w:tcPr>
          <w:p>
            <w:pPr>
              <w:spacing w:after="0"/>
              <w:rPr>
                <w:sz w:val="13"/>
                <w:szCs w:val="13"/>
                <w:color w:val="auto"/>
              </w:rPr>
            </w:pPr>
          </w:p>
        </w:tc>
        <w:tc>
          <w:tcPr>
            <w:tcW w:w="4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Redeemable Convertible Preferred Stock and Stockholders’ Equity for the Three and Six</w:t>
              </w:r>
            </w:hyperlink>
          </w:p>
        </w:tc>
        <w:tc>
          <w:tcPr>
            <w:tcW w:w="400" w:type="dxa"/>
            <w:vAlign w:val="bottom"/>
            <w:gridSpan w:val="2"/>
            <w:vMerge w:val="restart"/>
          </w:tcPr>
          <w:p>
            <w:pPr>
              <w:jc w:val="center"/>
              <w:ind w:left="23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04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Months Ended June 30, 2022 and 2021 (unaudited)</w:t>
              </w:r>
            </w:hyperlink>
          </w:p>
        </w:tc>
        <w:tc>
          <w:tcPr>
            <w:tcW w:w="24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Six Months Ended June 30, 2022 and 2021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804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 (unaudited)</w:t>
              </w:r>
            </w:hyperlink>
          </w:p>
        </w:tc>
        <w:tc>
          <w:tcPr>
            <w:tcW w:w="1240" w:type="dxa"/>
            <w:vAlign w:val="bottom"/>
            <w:gridSpan w:val="4"/>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jc w:val="center"/>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40" w:type="dxa"/>
            <w:vAlign w:val="bottom"/>
            <w:gridSpan w:val="14"/>
          </w:tcPr>
          <w:p>
            <w:pP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Quantitative and Qualitative Disclosures About Market Risk</w:t>
              </w:r>
            </w:hyperlink>
          </w:p>
        </w:tc>
        <w:tc>
          <w:tcPr>
            <w:tcW w:w="2020" w:type="dxa"/>
            <w:vAlign w:val="bottom"/>
            <w:gridSpan w:val="2"/>
          </w:tcPr>
          <w:p>
            <w:pPr>
              <w:spacing w:after="0"/>
              <w:rPr>
                <w:sz w:val="17"/>
                <w:szCs w:val="17"/>
                <w:color w:val="auto"/>
              </w:rPr>
            </w:pPr>
          </w:p>
        </w:tc>
        <w:tc>
          <w:tcPr>
            <w:tcW w:w="3020" w:type="dxa"/>
            <w:vAlign w:val="bottom"/>
            <w:gridSpan w:val="6"/>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680" w:type="dxa"/>
            <w:vAlign w:val="bottom"/>
            <w:gridSpan w:val="8"/>
          </w:tcPr>
          <w:p>
            <w:pPr>
              <w:spacing w:after="0" w:line="205" w:lineRule="exact"/>
              <w:rPr>
                <w:rFonts w:ascii="Arial" w:cs="Arial" w:eastAsia="Arial" w:hAnsi="Arial"/>
                <w:sz w:val="18"/>
                <w:szCs w:val="18"/>
                <w:color w:val="0000FF"/>
                <w:w w:val="83"/>
              </w:rPr>
            </w:pPr>
            <w:hyperlink w:anchor="page36">
              <w:r>
                <w:rPr>
                  <w:rFonts w:ascii="Arial" w:cs="Arial" w:eastAsia="Arial" w:hAnsi="Arial"/>
                  <w:sz w:val="18"/>
                  <w:szCs w:val="18"/>
                  <w:color w:val="0000FF"/>
                  <w:w w:val="83"/>
                </w:rPr>
                <w:t>Controls and Procedures</w:t>
              </w:r>
            </w:hyperlink>
          </w:p>
        </w:tc>
        <w:tc>
          <w:tcPr>
            <w:tcW w:w="2560" w:type="dxa"/>
            <w:vAlign w:val="bottom"/>
            <w:gridSpan w:val="6"/>
          </w:tcPr>
          <w:p>
            <w:pPr>
              <w:spacing w:after="0"/>
              <w:rPr>
                <w:sz w:val="17"/>
                <w:szCs w:val="17"/>
                <w:color w:val="auto"/>
              </w:rPr>
            </w:pPr>
          </w:p>
        </w:tc>
        <w:tc>
          <w:tcPr>
            <w:tcW w:w="5040" w:type="dxa"/>
            <w:vAlign w:val="bottom"/>
            <w:gridSpan w:val="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 - OTHER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7"/>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Legal Proceedings</w:t>
              </w:r>
            </w:hyperlink>
          </w:p>
        </w:tc>
        <w:tc>
          <w:tcPr>
            <w:tcW w:w="720" w:type="dxa"/>
            <w:vAlign w:val="bottom"/>
            <w:gridSpan w:val="3"/>
          </w:tcPr>
          <w:p>
            <w:pPr>
              <w:spacing w:after="0"/>
              <w:rPr>
                <w:sz w:val="24"/>
                <w:szCs w:val="24"/>
                <w:color w:val="auto"/>
              </w:rPr>
            </w:pPr>
          </w:p>
        </w:tc>
        <w:tc>
          <w:tcPr>
            <w:tcW w:w="7060" w:type="dxa"/>
            <w:vAlign w:val="bottom"/>
            <w:gridSpan w:val="12"/>
          </w:tcPr>
          <w:p>
            <w:pPr>
              <w:spacing w:after="0"/>
              <w:rPr>
                <w:sz w:val="24"/>
                <w:szCs w:val="24"/>
                <w:color w:val="auto"/>
              </w:rPr>
            </w:pPr>
          </w:p>
        </w:tc>
        <w:tc>
          <w:tcPr>
            <w:tcW w:w="720" w:type="dxa"/>
            <w:vAlign w:val="bottom"/>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line="205" w:lineRule="exact"/>
              <w:rPr>
                <w:rFonts w:ascii="Arial" w:cs="Arial" w:eastAsia="Arial" w:hAnsi="Arial"/>
                <w:sz w:val="18"/>
                <w:szCs w:val="18"/>
                <w:color w:val="0000FF"/>
                <w:w w:val="81"/>
              </w:rPr>
            </w:pPr>
            <w:hyperlink w:anchor="page38">
              <w:r>
                <w:rPr>
                  <w:rFonts w:ascii="Arial" w:cs="Arial" w:eastAsia="Arial" w:hAnsi="Arial"/>
                  <w:sz w:val="18"/>
                  <w:szCs w:val="18"/>
                  <w:color w:val="0000FF"/>
                  <w:w w:val="81"/>
                </w:rPr>
                <w:t>Risk Factors</w:t>
              </w:r>
            </w:hyperlink>
          </w:p>
        </w:tc>
        <w:tc>
          <w:tcPr>
            <w:tcW w:w="1380" w:type="dxa"/>
            <w:vAlign w:val="bottom"/>
            <w:gridSpan w:val="7"/>
          </w:tcPr>
          <w:p>
            <w:pPr>
              <w:spacing w:after="0"/>
              <w:rPr>
                <w:sz w:val="17"/>
                <w:szCs w:val="17"/>
                <w:color w:val="auto"/>
              </w:rPr>
            </w:pPr>
          </w:p>
        </w:tc>
        <w:tc>
          <w:tcPr>
            <w:tcW w:w="7060" w:type="dxa"/>
            <w:vAlign w:val="bottom"/>
            <w:gridSpan w:val="12"/>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220" w:type="dxa"/>
            <w:vAlign w:val="bottom"/>
            <w:gridSpan w:val="13"/>
          </w:tcPr>
          <w:p>
            <w:pPr>
              <w:spacing w:after="0" w:line="205" w:lineRule="exact"/>
              <w:rPr>
                <w:rFonts w:ascii="Arial" w:cs="Arial" w:eastAsia="Arial" w:hAnsi="Arial"/>
                <w:sz w:val="18"/>
                <w:szCs w:val="18"/>
                <w:color w:val="0000FF"/>
                <w:w w:val="86"/>
              </w:rPr>
            </w:pPr>
            <w:hyperlink w:anchor="page78">
              <w:r>
                <w:rPr>
                  <w:rFonts w:ascii="Arial" w:cs="Arial" w:eastAsia="Arial" w:hAnsi="Arial"/>
                  <w:sz w:val="18"/>
                  <w:szCs w:val="18"/>
                  <w:color w:val="0000FF"/>
                  <w:w w:val="86"/>
                </w:rPr>
                <w:t>Unregistered Sales of Equity Securities and Use of Proceeds</w:t>
              </w:r>
            </w:hyperlink>
          </w:p>
        </w:tc>
        <w:tc>
          <w:tcPr>
            <w:tcW w:w="5060" w:type="dxa"/>
            <w:vAlign w:val="bottom"/>
            <w:gridSpan w:val="9"/>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20" w:type="dxa"/>
            <w:vAlign w:val="bottom"/>
            <w:gridSpan w:val="13"/>
          </w:tcPr>
          <w:p>
            <w:pPr>
              <w:spacing w:after="0" w:line="205" w:lineRule="exact"/>
              <w:rPr>
                <w:rFonts w:ascii="Arial" w:cs="Arial" w:eastAsia="Arial" w:hAnsi="Arial"/>
                <w:sz w:val="18"/>
                <w:szCs w:val="18"/>
                <w:color w:val="0000FF"/>
              </w:rPr>
            </w:pPr>
            <w:hyperlink w:anchor="page79">
              <w:r>
                <w:rPr>
                  <w:rFonts w:ascii="Arial" w:cs="Arial" w:eastAsia="Arial" w:hAnsi="Arial"/>
                  <w:sz w:val="18"/>
                  <w:szCs w:val="18"/>
                  <w:color w:val="0000FF"/>
                </w:rPr>
                <w:t>Defaults Upon Senior Securities</w:t>
              </w:r>
            </w:hyperlink>
          </w:p>
        </w:tc>
        <w:tc>
          <w:tcPr>
            <w:tcW w:w="5060" w:type="dxa"/>
            <w:vAlign w:val="bottom"/>
            <w:gridSpan w:val="9"/>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9280" w:type="dxa"/>
            <w:vAlign w:val="bottom"/>
            <w:gridSpan w:val="22"/>
          </w:tcPr>
          <w:p>
            <w:pPr>
              <w:spacing w:after="0" w:line="205" w:lineRule="exact"/>
              <w:rPr>
                <w:rFonts w:ascii="Arial" w:cs="Arial" w:eastAsia="Arial" w:hAnsi="Arial"/>
                <w:sz w:val="18"/>
                <w:szCs w:val="18"/>
                <w:color w:val="0000FF"/>
              </w:rPr>
            </w:pPr>
            <w:hyperlink w:anchor="page79">
              <w:r>
                <w:rPr>
                  <w:rFonts w:ascii="Arial" w:cs="Arial" w:eastAsia="Arial" w:hAnsi="Arial"/>
                  <w:sz w:val="18"/>
                  <w:szCs w:val="18"/>
                  <w:color w:val="0000FF"/>
                </w:rPr>
                <w:t>Mine Safety Disclosures</w:t>
              </w:r>
            </w:hyperlink>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240" w:type="dxa"/>
            <w:vAlign w:val="bottom"/>
            <w:gridSpan w:val="4"/>
          </w:tcPr>
          <w:p>
            <w:pPr>
              <w:spacing w:after="0" w:line="205" w:lineRule="exact"/>
              <w:rPr>
                <w:rFonts w:ascii="Arial" w:cs="Arial" w:eastAsia="Arial" w:hAnsi="Arial"/>
                <w:sz w:val="18"/>
                <w:szCs w:val="18"/>
                <w:color w:val="0000FF"/>
                <w:w w:val="87"/>
              </w:rPr>
            </w:pPr>
            <w:hyperlink w:anchor="page79">
              <w:r>
                <w:rPr>
                  <w:rFonts w:ascii="Arial" w:cs="Arial" w:eastAsia="Arial" w:hAnsi="Arial"/>
                  <w:sz w:val="18"/>
                  <w:szCs w:val="18"/>
                  <w:color w:val="0000FF"/>
                  <w:w w:val="87"/>
                </w:rPr>
                <w:t>Other Information</w:t>
              </w:r>
            </w:hyperlink>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line="205" w:lineRule="exact"/>
              <w:rPr>
                <w:rFonts w:ascii="Arial" w:cs="Arial" w:eastAsia="Arial" w:hAnsi="Arial"/>
                <w:sz w:val="18"/>
                <w:szCs w:val="18"/>
                <w:color w:val="0000FF"/>
                <w:w w:val="82"/>
              </w:rPr>
            </w:pPr>
            <w:hyperlink w:anchor="page79">
              <w:r>
                <w:rPr>
                  <w:rFonts w:ascii="Arial" w:cs="Arial" w:eastAsia="Arial" w:hAnsi="Arial"/>
                  <w:sz w:val="18"/>
                  <w:szCs w:val="18"/>
                  <w:color w:val="0000FF"/>
                  <w:w w:val="82"/>
                </w:rPr>
                <w:t>Exhibits</w:t>
              </w:r>
            </w:hyperlink>
          </w:p>
        </w:tc>
        <w:tc>
          <w:tcPr>
            <w:tcW w:w="700" w:type="dxa"/>
            <w:vAlign w:val="bottom"/>
            <w:gridSpan w:val="3"/>
          </w:tcPr>
          <w:p>
            <w:pPr>
              <w:spacing w:after="0"/>
              <w:rPr>
                <w:sz w:val="17"/>
                <w:szCs w:val="17"/>
                <w:color w:val="auto"/>
              </w:rPr>
            </w:pPr>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740" w:type="dxa"/>
            <w:vAlign w:val="bottom"/>
            <w:gridSpan w:val="2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SIGNATURES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40" w:top="1440" w:right="479" w:bottom="1440" w:gutter="0" w:footer="0" w:header="0"/>
        </w:sectPr>
      </w:pPr>
    </w:p>
    <w:bookmarkStart w:id="3" w:name="page4"/>
    <w:bookmarkEnd w:id="3"/>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jc w:val="both"/>
        <w:ind w:right="120" w:firstLine="318"/>
        <w:spacing w:after="0" w:line="250"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1" w:lineRule="exact"/>
        <w:rPr>
          <w:sz w:val="20"/>
          <w:szCs w:val="20"/>
          <w:color w:val="auto"/>
        </w:rPr>
      </w:pPr>
    </w:p>
    <w:p>
      <w:pPr>
        <w:ind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right="3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jc w:val="both"/>
        <w:ind w:right="100" w:firstLine="324"/>
        <w:spacing w:after="0" w:line="277" w:lineRule="auto"/>
        <w:tabs>
          <w:tab w:leader="none" w:pos="631"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spacing w:after="0" w:line="119"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200" w:firstLine="318"/>
        <w:spacing w:after="0" w:line="305" w:lineRule="auto"/>
        <w:rPr>
          <w:sz w:val="20"/>
          <w:szCs w:val="20"/>
          <w:color w:val="auto"/>
        </w:rPr>
      </w:pPr>
      <w:r>
        <w:rPr>
          <w:rFonts w:ascii="Arial" w:cs="Arial" w:eastAsia="Arial" w:hAnsi="Arial"/>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01"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440"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As of June 30, 2022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210,354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line="204"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2"/>
              </w:rPr>
              <w:t>Preferred stock, $0.0001 par value, 200,000,000 authorized as of June 30, 2022 and December 31, 2021; 0</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as of June 30, 2022 and December 31, 2021</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00"/>
              <w:spacing w:after="0" w:line="173" w:lineRule="exact"/>
              <w:rPr>
                <w:sz w:val="20"/>
                <w:szCs w:val="20"/>
                <w:color w:val="auto"/>
              </w:rPr>
            </w:pPr>
            <w:r>
              <w:rPr>
                <w:rFonts w:ascii="Arial" w:cs="Arial" w:eastAsia="Arial" w:hAnsi="Arial"/>
                <w:sz w:val="18"/>
                <w:szCs w:val="18"/>
                <w:color w:val="auto"/>
                <w:w w:val="91"/>
              </w:rPr>
              <w:t>Common stock, $0.0001 par value, 1,000,000,000 shares authorized as of June 30, 2022 and December 31,</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60"/>
              <w:spacing w:after="0" w:line="172" w:lineRule="exact"/>
              <w:rPr>
                <w:sz w:val="20"/>
                <w:szCs w:val="20"/>
                <w:color w:val="auto"/>
              </w:rPr>
            </w:pPr>
            <w:r>
              <w:rPr>
                <w:rFonts w:ascii="Arial" w:cs="Arial" w:eastAsia="Arial" w:hAnsi="Arial"/>
                <w:sz w:val="18"/>
                <w:szCs w:val="18"/>
                <w:color w:val="auto"/>
                <w:w w:val="90"/>
              </w:rPr>
              <w:t>2021; 124,562,745 and 124,303,083 shares issued and outstanding as of June 30, 2022 and December 31,</w:t>
            </w:r>
          </w:p>
        </w:tc>
        <w:tc>
          <w:tcPr>
            <w:tcW w:w="3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8020" w:type="dxa"/>
            <w:vAlign w:val="bottom"/>
          </w:tcPr>
          <w:p>
            <w:pPr>
              <w:ind w:left="260"/>
              <w:spacing w:after="0"/>
              <w:rPr>
                <w:sz w:val="20"/>
                <w:szCs w:val="20"/>
                <w:color w:val="auto"/>
              </w:rPr>
            </w:pPr>
            <w:r>
              <w:rPr>
                <w:rFonts w:ascii="Arial" w:cs="Arial" w:eastAsia="Arial" w:hAnsi="Arial"/>
                <w:sz w:val="18"/>
                <w:szCs w:val="18"/>
                <w:color w:val="auto"/>
              </w:rPr>
              <w:t>2021, respectively</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8"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1"/>
          <w:szCs w:val="21"/>
          <w:b w:val="1"/>
          <w:bCs w:val="1"/>
          <w:color w:val="auto"/>
        </w:rPr>
        <w:t>Nautilus Biotechnology, Inc.</w:t>
      </w:r>
    </w:p>
    <w:p>
      <w:pPr>
        <w:ind w:left="20"/>
        <w:spacing w:after="0" w:line="210" w:lineRule="auto"/>
        <w:rPr>
          <w:sz w:val="20"/>
          <w:szCs w:val="20"/>
          <w:color w:val="auto"/>
        </w:rPr>
      </w:pPr>
      <w:r>
        <w:rPr>
          <w:rFonts w:ascii="Arial" w:cs="Arial" w:eastAsia="Arial" w:hAnsi="Arial"/>
          <w:sz w:val="21"/>
          <w:szCs w:val="21"/>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18,514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18"/>
        </w:trPr>
        <w:tc>
          <w:tcPr>
            <w:tcW w:w="4700" w:type="dxa"/>
            <w:vAlign w:val="bottom"/>
          </w:tcPr>
          <w:p>
            <w:pPr>
              <w:ind w:left="240"/>
              <w:spacing w:after="0" w:line="204" w:lineRule="exact"/>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2"/>
              </w:rPr>
              <w:t>Weighted-average shares used in computing 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124,494,036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124,456,518</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0" w:type="dxa"/>
            <w:vAlign w:val="bottom"/>
          </w:tcPr>
          <w:p>
            <w:pPr>
              <w:spacing w:after="0"/>
              <w:rPr>
                <w:sz w:val="1"/>
                <w:szCs w:val="1"/>
                <w:color w:val="auto"/>
              </w:rPr>
            </w:pPr>
          </w:p>
        </w:tc>
      </w:tr>
      <w:tr>
        <w:trPr>
          <w:trHeight w:val="198"/>
        </w:trPr>
        <w:tc>
          <w:tcPr>
            <w:tcW w:w="470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146" w:right="559" w:bottom="1440" w:gutter="0" w:footer="0" w:header="0"/>
        </w:sectPr>
      </w:pPr>
    </w:p>
    <w:bookmarkStart w:id="7" w:name="page8"/>
    <w:bookmarkEnd w:id="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19"/>
        </w:trPr>
        <w:tc>
          <w:tcPr>
            <w:tcW w:w="4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securities available-for-sale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8"/>
        </w:trPr>
        <w:tc>
          <w:tcPr>
            <w:tcW w:w="47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other comprehensive loss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178" w:right="519" w:bottom="1440" w:gutter="0" w:footer="0" w:header="0"/>
        </w:sectPr>
      </w:pPr>
    </w:p>
    <w:bookmarkStart w:id="8" w:name="page9"/>
    <w:bookmarkEnd w:id="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right="1540"/>
        <w:spacing w:after="0" w:line="261" w:lineRule="auto"/>
        <w:rPr>
          <w:sz w:val="20"/>
          <w:szCs w:val="20"/>
          <w:color w:val="auto"/>
        </w:rPr>
      </w:pPr>
      <w:r>
        <w:rPr>
          <w:rFonts w:ascii="Arial" w:cs="Arial" w:eastAsia="Arial" w:hAnsi="Arial"/>
          <w:sz w:val="21"/>
          <w:szCs w:val="21"/>
          <w:b w:val="1"/>
          <w:bCs w:val="1"/>
          <w:color w:val="auto"/>
        </w:rPr>
        <w:t>Condensed Consolidated Statements of Redeemable Convertible Preferred Stock and Stockholders’ Equity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i w:val="1"/>
                <w:iCs w:val="1"/>
                <w:color w:val="auto"/>
              </w:rPr>
              <w:t>Three Months Ended June 30,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15"/>
            <w:vMerge w:val="restart"/>
          </w:tcPr>
          <w:p>
            <w:pPr>
              <w:jc w:val="center"/>
              <w:ind w:right="278"/>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6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i w:val="1"/>
                <w:iCs w:val="1"/>
                <w:color w:val="auto"/>
              </w:rPr>
              <w:t>2022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160" w:type="dxa"/>
            <w:vAlign w:val="bottom"/>
            <w:tcBorders>
              <w:bottom w:val="single" w:sz="8" w:color="auto"/>
            </w:tcBorders>
            <w:gridSpan w:val="27"/>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60" w:type="dxa"/>
            <w:vAlign w:val="bottom"/>
            <w:gridSpan w:val="18"/>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6"/>
            <w:vMerge w:val="restart"/>
          </w:tcPr>
          <w:p>
            <w:pPr>
              <w:ind w:left="300"/>
              <w:spacing w:after="0"/>
              <w:rPr>
                <w:sz w:val="20"/>
                <w:szCs w:val="20"/>
                <w:color w:val="auto"/>
              </w:rPr>
            </w:pPr>
            <w:r>
              <w:rPr>
                <w:rFonts w:ascii="Arial" w:cs="Arial" w:eastAsia="Arial" w:hAnsi="Arial"/>
                <w:sz w:val="12"/>
                <w:szCs w:val="12"/>
                <w:b w:val="1"/>
                <w:bCs w:val="1"/>
                <w:color w:val="auto"/>
                <w:w w:val="88"/>
              </w:rPr>
              <w:t>Series Seed</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jc w:val="center"/>
              <w:ind w:left="138"/>
              <w:spacing w:after="0"/>
              <w:rPr>
                <w:sz w:val="20"/>
                <w:szCs w:val="20"/>
                <w:color w:val="auto"/>
              </w:rPr>
            </w:pPr>
            <w:r>
              <w:rPr>
                <w:rFonts w:ascii="Arial" w:cs="Arial" w:eastAsia="Arial" w:hAnsi="Arial"/>
                <w:sz w:val="12"/>
                <w:szCs w:val="12"/>
                <w:b w:val="1"/>
                <w:bCs w:val="1"/>
                <w:color w:val="auto"/>
                <w:w w:val="91"/>
              </w:rPr>
              <w:t>Series A</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ind w:left="240"/>
              <w:spacing w:after="0"/>
              <w:rPr>
                <w:sz w:val="20"/>
                <w:szCs w:val="20"/>
                <w:color w:val="auto"/>
              </w:rPr>
            </w:pPr>
            <w:r>
              <w:rPr>
                <w:rFonts w:ascii="Arial" w:cs="Arial" w:eastAsia="Arial" w:hAnsi="Arial"/>
                <w:sz w:val="12"/>
                <w:szCs w:val="12"/>
                <w:b w:val="1"/>
                <w:bCs w:val="1"/>
                <w:color w:val="auto"/>
              </w:rPr>
              <w:t>Series B</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5"/>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6"/>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right"/>
              <w:spacing w:after="0" w:line="100"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39"/>
              <w:spacing w:after="0" w:line="100"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66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80" w:type="dxa"/>
            <w:vAlign w:val="bottom"/>
          </w:tcPr>
          <w:p>
            <w:pPr>
              <w:spacing w:after="0"/>
              <w:rPr>
                <w:sz w:val="8"/>
                <w:szCs w:val="8"/>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140" w:type="dxa"/>
            <w:vAlign w:val="bottom"/>
            <w:gridSpan w:val="2"/>
            <w:vMerge w:val="restart"/>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4"/>
            <w:vMerge w:val="restart"/>
          </w:tcPr>
          <w:p>
            <w:pPr>
              <w:jc w:val="right"/>
              <w:ind w:right="18"/>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540" w:type="dxa"/>
            <w:vAlign w:val="bottom"/>
            <w:gridSpan w:val="2"/>
            <w:vMerge w:val="restart"/>
          </w:tcPr>
          <w:p>
            <w:pPr>
              <w:jc w:val="right"/>
              <w:ind w:right="98"/>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8"/>
                <w:szCs w:val="8"/>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3"/>
            <w:vMerge w:val="restart"/>
          </w:tcPr>
          <w:p>
            <w:pPr>
              <w:jc w:val="right"/>
              <w:ind w:right="138"/>
              <w:spacing w:after="0"/>
              <w:rPr>
                <w:sz w:val="20"/>
                <w:szCs w:val="20"/>
                <w:color w:val="auto"/>
              </w:rPr>
            </w:pPr>
            <w:r>
              <w:rPr>
                <w:rFonts w:ascii="Arial" w:cs="Arial" w:eastAsia="Arial" w:hAnsi="Arial"/>
                <w:sz w:val="12"/>
                <w:szCs w:val="12"/>
                <w:b w:val="1"/>
                <w:bCs w:val="1"/>
                <w:color w:val="auto"/>
              </w:rPr>
              <w:t>Shares</w:t>
            </w:r>
          </w:p>
        </w:tc>
        <w:tc>
          <w:tcPr>
            <w:tcW w:w="60" w:type="dxa"/>
            <w:vAlign w:val="bottom"/>
            <w:vMerge w:val="restart"/>
          </w:tcPr>
          <w:p>
            <w:pPr>
              <w:spacing w:after="0"/>
              <w:rPr>
                <w:sz w:val="8"/>
                <w:szCs w:val="8"/>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620" w:type="dxa"/>
            <w:vAlign w:val="bottom"/>
            <w:gridSpan w:val="5"/>
          </w:tcPr>
          <w:p>
            <w:pPr>
              <w:jc w:val="right"/>
              <w:ind w:right="39"/>
              <w:spacing w:after="0" w:line="100"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8"/>
                <w:szCs w:val="8"/>
                <w:color w:val="auto"/>
              </w:rPr>
            </w:pPr>
          </w:p>
        </w:tc>
        <w:tc>
          <w:tcPr>
            <w:tcW w:w="900" w:type="dxa"/>
            <w:vAlign w:val="bottom"/>
            <w:gridSpan w:val="7"/>
          </w:tcPr>
          <w:p>
            <w:pPr>
              <w:ind w:left="60"/>
              <w:spacing w:after="0" w:line="100" w:lineRule="exact"/>
              <w:rPr>
                <w:sz w:val="20"/>
                <w:szCs w:val="20"/>
                <w:color w:val="auto"/>
              </w:rPr>
            </w:pPr>
            <w:r>
              <w:rPr>
                <w:rFonts w:ascii="Arial" w:cs="Arial" w:eastAsia="Arial" w:hAnsi="Arial"/>
                <w:sz w:val="11"/>
                <w:szCs w:val="11"/>
                <w:b w:val="1"/>
                <w:bCs w:val="1"/>
                <w:color w:val="auto"/>
              </w:rPr>
              <w:t>Accumulated</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2"/>
                <w:szCs w:val="12"/>
                <w:b w:val="1"/>
                <w:bCs w:val="1"/>
                <w:color w:val="auto"/>
              </w:rPr>
              <w:t>Capital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39"/>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3"/>
              </w:rPr>
              <w:t>Stockholders’Equity</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March 31, 2022</w:t>
            </w:r>
          </w:p>
        </w:tc>
        <w:tc>
          <w:tcPr>
            <w:tcW w:w="700" w:type="dxa"/>
            <w:vAlign w:val="bottom"/>
            <w:gridSpan w:val="3"/>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left="278"/>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w w:val="89"/>
              </w:rPr>
              <w:t>124,456,653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w w:val="92"/>
              </w:rPr>
              <w:t>446,654</w:t>
            </w: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30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(96,403)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349,709</w:t>
            </w:r>
          </w:p>
        </w:tc>
        <w:tc>
          <w:tcPr>
            <w:tcW w:w="0" w:type="dxa"/>
            <w:vAlign w:val="bottom"/>
          </w:tcPr>
          <w:p>
            <w:pPr>
              <w:spacing w:after="0"/>
              <w:rPr>
                <w:sz w:val="1"/>
                <w:szCs w:val="1"/>
                <w:color w:val="auto"/>
              </w:rPr>
            </w:pPr>
          </w:p>
        </w:tc>
      </w:tr>
      <w:tr>
        <w:trPr>
          <w:trHeight w:val="119"/>
        </w:trPr>
        <w:tc>
          <w:tcPr>
            <w:tcW w:w="5940" w:type="dxa"/>
            <w:vAlign w:val="bottom"/>
            <w:tcBorders>
              <w:right w:val="single" w:sz="8" w:color="auto"/>
            </w:tcBorders>
            <w:gridSpan w:val="32"/>
          </w:tcPr>
          <w:p>
            <w:pPr>
              <w:spacing w:after="0"/>
              <w:rPr>
                <w:sz w:val="20"/>
                <w:szCs w:val="20"/>
                <w:color w:val="auto"/>
              </w:rPr>
            </w:pPr>
            <w:r>
              <w:rPr>
                <w:rFonts w:ascii="Arial" w:cs="Arial" w:eastAsia="Arial" w:hAnsi="Arial"/>
                <w:sz w:val="12"/>
                <w:szCs w:val="12"/>
                <w:color w:val="auto"/>
              </w:rPr>
              <w:t>Issuance of common stock upon</w:t>
            </w:r>
          </w:p>
        </w:tc>
        <w:tc>
          <w:tcPr>
            <w:tcW w:w="5280" w:type="dxa"/>
            <w:vAlign w:val="bottom"/>
            <w:gridSpan w:val="33"/>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gridSpan w:val="4"/>
          </w:tcPr>
          <w:p>
            <w:pPr>
              <w:ind w:left="160"/>
              <w:spacing w:after="0" w:line="120" w:lineRule="exact"/>
              <w:rPr>
                <w:sz w:val="20"/>
                <w:szCs w:val="20"/>
                <w:color w:val="auto"/>
              </w:rPr>
            </w:pPr>
            <w:r>
              <w:rPr>
                <w:rFonts w:ascii="Arial" w:cs="Arial" w:eastAsia="Arial" w:hAnsi="Arial"/>
                <w:sz w:val="12"/>
                <w:szCs w:val="12"/>
                <w:color w:val="auto"/>
              </w:rPr>
              <w:t>exercise of vested stock</w:t>
            </w:r>
          </w:p>
        </w:tc>
        <w:tc>
          <w:tcPr>
            <w:tcW w:w="700" w:type="dxa"/>
            <w:vAlign w:val="bottom"/>
            <w:gridSpan w:val="3"/>
            <w:vMerge w:val="restart"/>
          </w:tcPr>
          <w:p>
            <w:pPr>
              <w:jc w:val="right"/>
              <w:ind w:right="9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restart"/>
          </w:tcPr>
          <w:p>
            <w:pPr>
              <w:ind w:left="16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center"/>
              <w:ind w:left="278"/>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restart"/>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2"/>
                <w:szCs w:val="12"/>
                <w:color w:val="auto"/>
              </w:rPr>
              <w:t>57,739</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restart"/>
          </w:tcPr>
          <w:p>
            <w:pPr>
              <w:jc w:val="right"/>
              <w:ind w:right="98"/>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2"/>
                <w:szCs w:val="12"/>
                <w:color w:val="auto"/>
              </w:rPr>
              <w:t>options</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74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w w:val="97"/>
              </w:rPr>
              <w:t>Issuance of common stock under</w:t>
            </w:r>
          </w:p>
        </w:tc>
        <w:tc>
          <w:tcPr>
            <w:tcW w:w="700" w:type="dxa"/>
            <w:vAlign w:val="bottom"/>
            <w:gridSpan w:val="3"/>
            <w:vMerge w:val="restart"/>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center"/>
              <w:ind w:left="278"/>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3"/>
            <w:vMerge w:val="restart"/>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tcBorders>
              <w:right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48,353</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153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w w:val="96"/>
              </w:rPr>
              <w:t>employee stock purchase plan</w:t>
            </w: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4"/>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gridSpan w:val="4"/>
          </w:tcPr>
          <w:p>
            <w:pPr>
              <w:spacing w:after="0" w:line="120" w:lineRule="exact"/>
              <w:rPr>
                <w:sz w:val="20"/>
                <w:szCs w:val="20"/>
                <w:color w:val="auto"/>
              </w:rPr>
            </w:pPr>
            <w:r>
              <w:rPr>
                <w:rFonts w:ascii="Arial" w:cs="Arial" w:eastAsia="Arial" w:hAnsi="Arial"/>
                <w:sz w:val="12"/>
                <w:szCs w:val="12"/>
                <w:color w:val="auto"/>
              </w:rPr>
              <w:t>Stock-based compensation</w:t>
            </w:r>
          </w:p>
        </w:tc>
        <w:tc>
          <w:tcPr>
            <w:tcW w:w="700" w:type="dxa"/>
            <w:vAlign w:val="bottom"/>
            <w:gridSpan w:val="3"/>
            <w:vMerge w:val="restart"/>
          </w:tcPr>
          <w:p>
            <w:pPr>
              <w:jc w:val="right"/>
              <w:ind w:right="9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restart"/>
          </w:tcPr>
          <w:p>
            <w:pPr>
              <w:ind w:left="16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center"/>
              <w:ind w:left="278"/>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restart"/>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420" w:type="dxa"/>
            <w:vAlign w:val="bottom"/>
            <w:gridSpan w:val="4"/>
            <w:vMerge w:val="restart"/>
          </w:tcPr>
          <w:p>
            <w:pPr>
              <w:jc w:val="right"/>
              <w:spacing w:after="0"/>
              <w:rPr>
                <w:sz w:val="20"/>
                <w:szCs w:val="20"/>
                <w:color w:val="auto"/>
              </w:rPr>
            </w:pPr>
            <w:r>
              <w:rPr>
                <w:rFonts w:ascii="Arial" w:cs="Arial" w:eastAsia="Arial" w:hAnsi="Arial"/>
                <w:sz w:val="12"/>
                <w:szCs w:val="12"/>
                <w:color w:val="auto"/>
              </w:rPr>
              <w:t>2,567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2,567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2"/>
                <w:szCs w:val="12"/>
                <w:color w:val="auto"/>
              </w:rPr>
              <w:t>expense</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right w:val="single" w:sz="8" w:color="auto"/>
            </w:tcBorders>
            <w:gridSpan w:val="2"/>
            <w:vMerge w:val="continue"/>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98"/>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700" w:type="dxa"/>
            <w:vAlign w:val="bottom"/>
            <w:gridSpan w:val="3"/>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center"/>
              <w:ind w:left="278"/>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Net loss</w:t>
            </w: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5"/>
          </w:tcPr>
          <w:p>
            <w:pPr>
              <w:jc w:val="right"/>
              <w:ind w:right="738"/>
              <w:spacing w:after="0"/>
              <w:rPr>
                <w:sz w:val="20"/>
                <w:szCs w:val="20"/>
                <w:color w:val="auto"/>
              </w:rPr>
            </w:pPr>
            <w:r>
              <w:rPr>
                <w:rFonts w:ascii="Arial" w:cs="Arial" w:eastAsia="Arial" w:hAnsi="Arial"/>
                <w:sz w:val="12"/>
                <w:szCs w:val="12"/>
                <w:color w:val="auto"/>
              </w:rPr>
              <w:t>(14,689)</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5"/>
          </w:tcPr>
          <w:p>
            <w:pPr>
              <w:jc w:val="right"/>
              <w:ind w:right="1058"/>
              <w:spacing w:after="0"/>
              <w:rPr>
                <w:sz w:val="20"/>
                <w:szCs w:val="20"/>
                <w:color w:val="auto"/>
              </w:rPr>
            </w:pPr>
            <w:r>
              <w:rPr>
                <w:rFonts w:ascii="Arial" w:cs="Arial" w:eastAsia="Arial" w:hAnsi="Arial"/>
                <w:sz w:val="12"/>
                <w:szCs w:val="12"/>
                <w:color w:val="auto"/>
              </w:rPr>
              <w:t>(14,689)</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June 30, 2022</w:t>
            </w:r>
          </w:p>
        </w:tc>
        <w:tc>
          <w:tcPr>
            <w:tcW w:w="700" w:type="dxa"/>
            <w:vAlign w:val="bottom"/>
            <w:tcBorders>
              <w:bottom w:val="single" w:sz="8" w:color="CCEEFF"/>
            </w:tcBorders>
            <w:gridSpan w:val="3"/>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center"/>
              <w:ind w:left="278"/>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w w:val="89"/>
              </w:rPr>
              <w:t>124,562,745</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w w:val="92"/>
              </w:rPr>
              <w:t>449,406</w:t>
            </w:r>
          </w:p>
        </w:tc>
        <w:tc>
          <w:tcPr>
            <w:tcW w:w="3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3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rPr>
              <w:t>(111,092)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337,558</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gridSpan w:val="4"/>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40" w:type="dxa"/>
            <w:vAlign w:val="bottom"/>
            <w:gridSpan w:val="4"/>
            <w:vMerge w:val="restart"/>
          </w:tcPr>
          <w:p>
            <w:pPr>
              <w:spacing w:after="0"/>
              <w:rPr>
                <w:sz w:val="20"/>
                <w:szCs w:val="20"/>
                <w:color w:val="auto"/>
              </w:rPr>
            </w:pPr>
            <w:r>
              <w:rPr>
                <w:rFonts w:ascii="Arial" w:cs="Arial" w:eastAsia="Arial" w:hAnsi="Arial"/>
                <w:sz w:val="12"/>
                <w:szCs w:val="12"/>
                <w:b w:val="1"/>
                <w:bCs w:val="1"/>
                <w:i w:val="1"/>
                <w:iCs w:val="1"/>
                <w:color w:val="auto"/>
              </w:rPr>
              <w:t>Three Months Ended June 30,</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15"/>
            <w:vMerge w:val="restart"/>
          </w:tcPr>
          <w:p>
            <w:pPr>
              <w:jc w:val="right"/>
              <w:ind w:right="98"/>
              <w:spacing w:after="0"/>
              <w:rPr>
                <w:sz w:val="20"/>
                <w:szCs w:val="20"/>
                <w:color w:val="auto"/>
              </w:rPr>
            </w:pPr>
            <w:r>
              <w:rPr>
                <w:rFonts w:ascii="Arial" w:cs="Arial" w:eastAsia="Arial" w:hAnsi="Arial"/>
                <w:sz w:val="12"/>
                <w:szCs w:val="12"/>
                <w:b w:val="1"/>
                <w:bCs w:val="1"/>
                <w:color w:val="auto"/>
                <w:w w:val="99"/>
              </w:rPr>
              <w:t>Redeemable Convertible Preferred Stock</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15"/>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9"/>
                <w:szCs w:val="9"/>
                <w:b w:val="1"/>
                <w:bCs w:val="1"/>
                <w:i w:val="1"/>
                <w:iCs w:val="1"/>
                <w:color w:val="auto"/>
              </w:rPr>
              <w:t>2021</w:t>
            </w:r>
          </w:p>
        </w:tc>
        <w:tc>
          <w:tcPr>
            <w:tcW w:w="1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18"/>
              <w:spacing w:after="0" w:line="100"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1760" w:type="dxa"/>
            <w:vAlign w:val="bottom"/>
            <w:gridSpan w:val="5"/>
          </w:tcPr>
          <w:p>
            <w:pPr>
              <w:spacing w:after="0" w:line="20" w:lineRule="exact"/>
              <w:rPr>
                <w:sz w:val="1"/>
                <w:szCs w:val="1"/>
                <w:color w:val="auto"/>
              </w:rPr>
            </w:pPr>
          </w:p>
        </w:tc>
        <w:tc>
          <w:tcPr>
            <w:tcW w:w="4360" w:type="dxa"/>
            <w:vAlign w:val="bottom"/>
            <w:tcBorders>
              <w:bottom w:val="single" w:sz="8" w:color="auto"/>
            </w:tcBorders>
            <w:gridSpan w:val="3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300" w:type="dxa"/>
            <w:vAlign w:val="bottom"/>
            <w:gridSpan w:val="16"/>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10"/>
            <w:vMerge w:val="restart"/>
          </w:tcPr>
          <w:p>
            <w:pPr>
              <w:ind w:left="400"/>
              <w:spacing w:after="0" w:line="134" w:lineRule="exact"/>
              <w:rPr>
                <w:sz w:val="20"/>
                <w:szCs w:val="20"/>
                <w:color w:val="auto"/>
              </w:rPr>
            </w:pPr>
            <w:r>
              <w:rPr>
                <w:rFonts w:ascii="Arial" w:cs="Arial" w:eastAsia="Arial" w:hAnsi="Arial"/>
                <w:sz w:val="12"/>
                <w:szCs w:val="12"/>
                <w:b w:val="1"/>
                <w:bCs w:val="1"/>
                <w:color w:val="auto"/>
              </w:rPr>
              <w:t>Series Seed</w:t>
            </w:r>
          </w:p>
        </w:tc>
        <w:tc>
          <w:tcPr>
            <w:tcW w:w="480" w:type="dxa"/>
            <w:vAlign w:val="bottom"/>
          </w:tcPr>
          <w:p>
            <w:pPr>
              <w:spacing w:after="0"/>
              <w:rPr>
                <w:sz w:val="5"/>
                <w:szCs w:val="5"/>
                <w:color w:val="auto"/>
              </w:rPr>
            </w:pPr>
          </w:p>
        </w:tc>
        <w:tc>
          <w:tcPr>
            <w:tcW w:w="46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w w:val="87"/>
              </w:rPr>
              <w:t>Series A</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gridSpan w:val="4"/>
            <w:vMerge w:val="restart"/>
          </w:tcPr>
          <w:p>
            <w:pPr>
              <w:jc w:val="right"/>
              <w:spacing w:after="0" w:line="134" w:lineRule="exact"/>
              <w:rPr>
                <w:sz w:val="20"/>
                <w:szCs w:val="20"/>
                <w:color w:val="auto"/>
              </w:rPr>
            </w:pPr>
            <w:r>
              <w:rPr>
                <w:rFonts w:ascii="Arial" w:cs="Arial" w:eastAsia="Arial" w:hAnsi="Arial"/>
                <w:sz w:val="12"/>
                <w:szCs w:val="12"/>
                <w:b w:val="1"/>
                <w:bCs w:val="1"/>
                <w:color w:val="auto"/>
                <w:w w:val="91"/>
              </w:rPr>
              <w:t>Series B</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6"/>
            <w:vMerge w:val="restart"/>
          </w:tcPr>
          <w:p>
            <w:pPr>
              <w:ind w:left="300"/>
              <w:spacing w:after="0" w:line="134" w:lineRule="exact"/>
              <w:rPr>
                <w:sz w:val="20"/>
                <w:szCs w:val="20"/>
                <w:color w:val="auto"/>
              </w:rPr>
            </w:pPr>
            <w:r>
              <w:rPr>
                <w:rFonts w:ascii="Arial" w:cs="Arial" w:eastAsia="Arial" w:hAnsi="Arial"/>
                <w:sz w:val="12"/>
                <w:szCs w:val="12"/>
                <w:b w:val="1"/>
                <w:bCs w:val="1"/>
                <w:color w:val="auto"/>
                <w:w w:val="97"/>
              </w:rPr>
              <w:t>Common Stock</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6"/>
            <w:vMerge w:val="continue"/>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6"/>
            <w:vMerge w:val="restart"/>
          </w:tcPr>
          <w:p>
            <w:pPr>
              <w:ind w:left="40"/>
              <w:spacing w:after="0" w:line="100" w:lineRule="exact"/>
              <w:rPr>
                <w:sz w:val="20"/>
                <w:szCs w:val="20"/>
                <w:color w:val="auto"/>
              </w:rPr>
            </w:pPr>
            <w:r>
              <w:rPr>
                <w:rFonts w:ascii="Arial" w:cs="Arial" w:eastAsia="Arial" w:hAnsi="Arial"/>
                <w:sz w:val="11"/>
                <w:szCs w:val="11"/>
                <w:b w:val="1"/>
                <w:bCs w:val="1"/>
                <w:color w:val="auto"/>
              </w:rPr>
              <w:t>Additional</w:t>
            </w:r>
          </w:p>
        </w:tc>
        <w:tc>
          <w:tcPr>
            <w:tcW w:w="620" w:type="dxa"/>
            <w:vAlign w:val="bottom"/>
            <w:vMerge w:val="restart"/>
          </w:tcPr>
          <w:p>
            <w:pPr>
              <w:jc w:val="center"/>
              <w:ind w:left="239"/>
              <w:spacing w:after="0" w:line="100"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60" w:type="dxa"/>
            <w:vAlign w:val="bottom"/>
            <w:gridSpan w:val="5"/>
          </w:tcPr>
          <w:p>
            <w:pPr>
              <w:spacing w:after="0"/>
              <w:rPr>
                <w:sz w:val="3"/>
                <w:szCs w:val="3"/>
                <w:color w:val="auto"/>
              </w:rPr>
            </w:pPr>
          </w:p>
        </w:tc>
        <w:tc>
          <w:tcPr>
            <w:tcW w:w="140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gridSpan w:val="1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6"/>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360" w:type="dxa"/>
            <w:vAlign w:val="bottom"/>
            <w:gridSpan w:val="11"/>
          </w:tcPr>
          <w:p>
            <w:pPr>
              <w:spacing w:after="0"/>
              <w:rPr>
                <w:sz w:val="3"/>
                <w:szCs w:val="3"/>
                <w:color w:val="auto"/>
              </w:rPr>
            </w:pPr>
          </w:p>
        </w:tc>
        <w:tc>
          <w:tcPr>
            <w:tcW w:w="72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4"/>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700" w:type="dxa"/>
            <w:vAlign w:val="bottom"/>
            <w:gridSpan w:val="3"/>
            <w:vMerge w:val="restart"/>
          </w:tcPr>
          <w:p>
            <w:pPr>
              <w:jc w:val="right"/>
              <w:ind w:right="1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60" w:type="dxa"/>
            <w:vAlign w:val="bottom"/>
            <w:gridSpan w:val="4"/>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8"/>
                <w:szCs w:val="8"/>
                <w:color w:val="auto"/>
              </w:rPr>
            </w:pPr>
          </w:p>
        </w:tc>
        <w:tc>
          <w:tcPr>
            <w:tcW w:w="760" w:type="dxa"/>
            <w:vAlign w:val="bottom"/>
            <w:gridSpan w:val="3"/>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5"/>
          </w:tcPr>
          <w:p>
            <w:pPr>
              <w:jc w:val="right"/>
              <w:ind w:right="220"/>
              <w:spacing w:after="0" w:line="100" w:lineRule="exact"/>
              <w:rPr>
                <w:sz w:val="20"/>
                <w:szCs w:val="20"/>
                <w:color w:val="auto"/>
              </w:rPr>
            </w:pPr>
            <w:r>
              <w:rPr>
                <w:rFonts w:ascii="Arial" w:cs="Arial" w:eastAsia="Arial" w:hAnsi="Arial"/>
                <w:sz w:val="11"/>
                <w:szCs w:val="11"/>
                <w:b w:val="1"/>
                <w:bCs w:val="1"/>
                <w:color w:val="auto"/>
              </w:rPr>
              <w:t>Paid-in</w:t>
            </w:r>
          </w:p>
        </w:tc>
        <w:tc>
          <w:tcPr>
            <w:tcW w:w="92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6"/>
          </w:tcPr>
          <w:p>
            <w:pPr>
              <w:jc w:val="center"/>
              <w:ind w:right="80"/>
              <w:spacing w:after="0" w:line="100"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i w:val="1"/>
                <w:iCs w:val="1"/>
                <w:color w:val="auto"/>
              </w:rPr>
              <w:t>amounts)</w:t>
            </w:r>
          </w:p>
        </w:tc>
        <w:tc>
          <w:tcPr>
            <w:tcW w:w="70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5"/>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2"/>
              </w:rPr>
              <w:t>Deficit</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March 31, 2021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13,174,805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8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16,836,436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27,067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75,857</w:t>
            </w:r>
          </w:p>
        </w:tc>
        <w:tc>
          <w:tcPr>
            <w:tcW w:w="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33,069,513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3"/>
              </w:rPr>
              <w:t>1,936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gridSpan w:val="3"/>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(38,734)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(36,795)</w:t>
            </w:r>
          </w:p>
        </w:tc>
        <w:tc>
          <w:tcPr>
            <w:tcW w:w="0" w:type="dxa"/>
            <w:vAlign w:val="bottom"/>
          </w:tcPr>
          <w:p>
            <w:pPr>
              <w:spacing w:after="0"/>
              <w:rPr>
                <w:sz w:val="1"/>
                <w:szCs w:val="1"/>
                <w:color w:val="auto"/>
              </w:rPr>
            </w:pPr>
          </w:p>
        </w:tc>
      </w:tr>
      <w:tr>
        <w:trPr>
          <w:trHeight w:val="119"/>
        </w:trPr>
        <w:tc>
          <w:tcPr>
            <w:tcW w:w="6220" w:type="dxa"/>
            <w:vAlign w:val="bottom"/>
            <w:tcBorders>
              <w:right w:val="single" w:sz="8" w:color="auto"/>
            </w:tcBorders>
            <w:gridSpan w:val="36"/>
          </w:tcPr>
          <w:p>
            <w:pPr>
              <w:spacing w:after="0"/>
              <w:rPr>
                <w:sz w:val="20"/>
                <w:szCs w:val="20"/>
                <w:color w:val="auto"/>
              </w:rPr>
            </w:pPr>
            <w:r>
              <w:rPr>
                <w:rFonts w:ascii="Arial" w:cs="Arial" w:eastAsia="Arial" w:hAnsi="Arial"/>
                <w:sz w:val="12"/>
                <w:szCs w:val="12"/>
                <w:color w:val="auto"/>
              </w:rPr>
              <w:t>Issuance of common stock upon</w:t>
            </w:r>
          </w:p>
        </w:tc>
        <w:tc>
          <w:tcPr>
            <w:tcW w:w="500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gridSpan w:val="4"/>
          </w:tcPr>
          <w:p>
            <w:pPr>
              <w:ind w:left="160"/>
              <w:spacing w:after="0" w:line="120" w:lineRule="exact"/>
              <w:rPr>
                <w:sz w:val="20"/>
                <w:szCs w:val="20"/>
                <w:color w:val="auto"/>
              </w:rPr>
            </w:pPr>
            <w:r>
              <w:rPr>
                <w:rFonts w:ascii="Arial" w:cs="Arial" w:eastAsia="Arial" w:hAnsi="Arial"/>
                <w:sz w:val="12"/>
                <w:szCs w:val="12"/>
                <w:color w:val="auto"/>
              </w:rPr>
              <w:t>exercise of vested stock</w:t>
            </w:r>
          </w:p>
        </w:tc>
        <w:tc>
          <w:tcPr>
            <w:tcW w:w="70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restart"/>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2"/>
                <w:szCs w:val="12"/>
                <w:color w:val="auto"/>
              </w:rPr>
              <w:t>65,003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2"/>
                <w:szCs w:val="12"/>
                <w:color w:val="auto"/>
              </w:rPr>
              <w:t>options</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74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w w:val="99"/>
              </w:rPr>
              <w:t>Issuance of common stock upon</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62,772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exercise of warrants</w:t>
            </w: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4"/>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Borders>
              <w:right w:val="single" w:sz="8" w:color="auto"/>
            </w:tcBorders>
            <w:gridSpan w:val="36"/>
          </w:tcPr>
          <w:p>
            <w:pPr>
              <w:spacing w:after="0"/>
              <w:rPr>
                <w:sz w:val="20"/>
                <w:szCs w:val="20"/>
                <w:color w:val="auto"/>
              </w:rPr>
            </w:pPr>
            <w:r>
              <w:rPr>
                <w:rFonts w:ascii="Arial" w:cs="Arial" w:eastAsia="Arial" w:hAnsi="Arial"/>
                <w:sz w:val="12"/>
                <w:szCs w:val="12"/>
                <w:color w:val="auto"/>
              </w:rPr>
              <w:t>Conversion of redeemable</w:t>
            </w:r>
          </w:p>
        </w:tc>
        <w:tc>
          <w:tcPr>
            <w:tcW w:w="500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220" w:type="dxa"/>
            <w:vAlign w:val="bottom"/>
            <w:tcBorders>
              <w:right w:val="single" w:sz="8" w:color="auto"/>
            </w:tcBorders>
            <w:gridSpan w:val="36"/>
          </w:tcPr>
          <w:p>
            <w:pPr>
              <w:spacing w:after="0"/>
              <w:rPr>
                <w:sz w:val="20"/>
                <w:szCs w:val="20"/>
                <w:color w:val="auto"/>
              </w:rPr>
            </w:pPr>
            <w:r>
              <w:rPr>
                <w:rFonts w:ascii="Arial" w:cs="Arial" w:eastAsia="Arial" w:hAnsi="Arial"/>
                <w:sz w:val="12"/>
                <w:szCs w:val="12"/>
                <w:color w:val="auto"/>
              </w:rPr>
              <w:t>convertible preferred stock into</w:t>
            </w:r>
          </w:p>
        </w:tc>
        <w:tc>
          <w:tcPr>
            <w:tcW w:w="500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220" w:type="dxa"/>
            <w:vAlign w:val="bottom"/>
            <w:tcBorders>
              <w:right w:val="single" w:sz="8" w:color="auto"/>
            </w:tcBorders>
            <w:gridSpan w:val="36"/>
          </w:tcPr>
          <w:p>
            <w:pPr>
              <w:spacing w:after="0"/>
              <w:rPr>
                <w:sz w:val="20"/>
                <w:szCs w:val="20"/>
                <w:color w:val="auto"/>
              </w:rPr>
            </w:pPr>
            <w:r>
              <w:rPr>
                <w:rFonts w:ascii="Arial" w:cs="Arial" w:eastAsia="Arial" w:hAnsi="Arial"/>
                <w:sz w:val="12"/>
                <w:szCs w:val="12"/>
                <w:color w:val="auto"/>
              </w:rPr>
              <w:t>common stock in connection</w:t>
            </w:r>
          </w:p>
        </w:tc>
        <w:tc>
          <w:tcPr>
            <w:tcW w:w="5000" w:type="dxa"/>
            <w:vAlign w:val="bottom"/>
            <w:gridSpan w:val="29"/>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gridSpan w:val="4"/>
          </w:tcPr>
          <w:p>
            <w:pPr>
              <w:ind w:left="160"/>
              <w:spacing w:after="0" w:line="120" w:lineRule="exact"/>
              <w:rPr>
                <w:sz w:val="20"/>
                <w:szCs w:val="20"/>
                <w:color w:val="auto"/>
              </w:rPr>
            </w:pPr>
            <w:r>
              <w:rPr>
                <w:rFonts w:ascii="Arial" w:cs="Arial" w:eastAsia="Arial" w:hAnsi="Arial"/>
                <w:sz w:val="12"/>
                <w:szCs w:val="12"/>
                <w:color w:val="auto"/>
              </w:rPr>
              <w:t>with the reverse</w:t>
            </w:r>
          </w:p>
        </w:tc>
        <w:tc>
          <w:tcPr>
            <w:tcW w:w="760" w:type="dxa"/>
            <w:vAlign w:val="bottom"/>
            <w:gridSpan w:val="4"/>
            <w:vMerge w:val="restart"/>
          </w:tcPr>
          <w:p>
            <w:pPr>
              <w:ind w:left="80"/>
              <w:spacing w:after="0"/>
              <w:rPr>
                <w:sz w:val="20"/>
                <w:szCs w:val="20"/>
                <w:color w:val="auto"/>
              </w:rPr>
            </w:pPr>
            <w:r>
              <w:rPr>
                <w:rFonts w:ascii="Arial" w:cs="Arial" w:eastAsia="Arial" w:hAnsi="Arial"/>
                <w:sz w:val="12"/>
                <w:szCs w:val="12"/>
                <w:color w:val="auto"/>
                <w:w w:val="96"/>
              </w:rPr>
              <w:t>(13,174,805)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2"/>
                <w:szCs w:val="12"/>
                <w:color w:val="auto"/>
              </w:rPr>
              <w:t>(5,494)</w:t>
            </w:r>
          </w:p>
        </w:tc>
        <w:tc>
          <w:tcPr>
            <w:tcW w:w="80" w:type="dxa"/>
            <w:vAlign w:val="bottom"/>
          </w:tcPr>
          <w:p>
            <w:pPr>
              <w:spacing w:after="0"/>
              <w:rPr>
                <w:sz w:val="10"/>
                <w:szCs w:val="10"/>
                <w:color w:val="auto"/>
              </w:rPr>
            </w:pPr>
          </w:p>
        </w:tc>
        <w:tc>
          <w:tcPr>
            <w:tcW w:w="760" w:type="dxa"/>
            <w:vAlign w:val="bottom"/>
            <w:gridSpan w:val="4"/>
            <w:vMerge w:val="restart"/>
          </w:tcPr>
          <w:p>
            <w:pPr>
              <w:jc w:val="center"/>
              <w:spacing w:after="0"/>
              <w:rPr>
                <w:sz w:val="20"/>
                <w:szCs w:val="20"/>
                <w:color w:val="auto"/>
              </w:rPr>
            </w:pPr>
            <w:r>
              <w:rPr>
                <w:rFonts w:ascii="Arial" w:cs="Arial" w:eastAsia="Arial" w:hAnsi="Arial"/>
                <w:sz w:val="12"/>
                <w:szCs w:val="12"/>
                <w:color w:val="auto"/>
                <w:w w:val="93"/>
              </w:rPr>
              <w:t>(16,836,436)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2"/>
                <w:szCs w:val="12"/>
                <w:color w:val="auto"/>
                <w:w w:val="93"/>
              </w:rPr>
              <w:t>(27,067)</w:t>
            </w:r>
          </w:p>
        </w:tc>
        <w:tc>
          <w:tcPr>
            <w:tcW w:w="840" w:type="dxa"/>
            <w:vAlign w:val="bottom"/>
            <w:gridSpan w:val="4"/>
            <w:vMerge w:val="restart"/>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5"/>
            <w:vMerge w:val="restart"/>
          </w:tcPr>
          <w:p>
            <w:pPr>
              <w:ind w:left="40"/>
              <w:spacing w:after="0"/>
              <w:rPr>
                <w:sz w:val="20"/>
                <w:szCs w:val="20"/>
                <w:color w:val="auto"/>
              </w:rPr>
            </w:pPr>
            <w:r>
              <w:rPr>
                <w:rFonts w:ascii="Arial" w:cs="Arial" w:eastAsia="Arial" w:hAnsi="Arial"/>
                <w:sz w:val="12"/>
                <w:szCs w:val="12"/>
                <w:color w:val="auto"/>
                <w:w w:val="93"/>
              </w:rPr>
              <w:t>(75,857)</w:t>
            </w:r>
          </w:p>
        </w:tc>
        <w:tc>
          <w:tcPr>
            <w:tcW w:w="100" w:type="dxa"/>
            <w:vAlign w:val="bottom"/>
            <w:tcBorders>
              <w:right w:val="single" w:sz="8" w:color="auto"/>
            </w:tcBorders>
          </w:tcPr>
          <w:p>
            <w:pPr>
              <w:spacing w:after="0"/>
              <w:rPr>
                <w:sz w:val="10"/>
                <w:szCs w:val="10"/>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2"/>
                <w:szCs w:val="12"/>
                <w:color w:val="auto"/>
              </w:rPr>
              <w:t>52,175,965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2"/>
                <w:szCs w:val="12"/>
                <w:color w:val="auto"/>
              </w:rPr>
              <w:t>108,411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108,418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2"/>
                <w:szCs w:val="12"/>
                <w:color w:val="auto"/>
              </w:rPr>
              <w:t>recapitalization</w:t>
            </w:r>
          </w:p>
        </w:tc>
        <w:tc>
          <w:tcPr>
            <w:tcW w:w="7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940" w:type="dxa"/>
            <w:vAlign w:val="bottom"/>
            <w:tcBorders>
              <w:right w:val="single" w:sz="8" w:color="CCEEFF"/>
            </w:tcBorders>
            <w:gridSpan w:val="32"/>
            <w:shd w:val="clear" w:color="auto" w:fill="CCEEFF"/>
          </w:tcPr>
          <w:p>
            <w:pPr>
              <w:spacing w:after="0"/>
              <w:rPr>
                <w:sz w:val="20"/>
                <w:szCs w:val="20"/>
                <w:color w:val="auto"/>
              </w:rPr>
            </w:pPr>
            <w:r>
              <w:rPr>
                <w:rFonts w:ascii="Arial" w:cs="Arial" w:eastAsia="Arial" w:hAnsi="Arial"/>
                <w:sz w:val="12"/>
                <w:szCs w:val="12"/>
                <w:color w:val="auto"/>
              </w:rPr>
              <w:t>Issuance of common stock upon</w:t>
            </w:r>
          </w:p>
        </w:tc>
        <w:tc>
          <w:tcPr>
            <w:tcW w:w="280" w:type="dxa"/>
            <w:vAlign w:val="bottom"/>
            <w:tcBorders>
              <w:right w:val="single" w:sz="8" w:color="auto"/>
            </w:tcBorders>
            <w:gridSpan w:val="4"/>
            <w:shd w:val="clear" w:color="auto" w:fill="CCEEFF"/>
          </w:tcPr>
          <w:p>
            <w:pPr>
              <w:spacing w:after="0"/>
              <w:rPr>
                <w:sz w:val="11"/>
                <w:szCs w:val="11"/>
                <w:color w:val="auto"/>
              </w:rPr>
            </w:pPr>
          </w:p>
        </w:tc>
        <w:tc>
          <w:tcPr>
            <w:tcW w:w="5000" w:type="dxa"/>
            <w:vAlign w:val="bottom"/>
            <w:gridSpan w:val="2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1740" w:type="dxa"/>
            <w:vAlign w:val="bottom"/>
            <w:gridSpan w:val="4"/>
            <w:shd w:val="clear" w:color="auto" w:fill="CCEEFF"/>
          </w:tcPr>
          <w:p>
            <w:pPr>
              <w:ind w:left="160"/>
              <w:spacing w:after="0" w:line="120" w:lineRule="exact"/>
              <w:rPr>
                <w:sz w:val="20"/>
                <w:szCs w:val="20"/>
                <w:color w:val="auto"/>
              </w:rPr>
            </w:pPr>
            <w:r>
              <w:rPr>
                <w:rFonts w:ascii="Arial" w:cs="Arial" w:eastAsia="Arial" w:hAnsi="Arial"/>
                <w:sz w:val="12"/>
                <w:szCs w:val="12"/>
                <w:color w:val="auto"/>
                <w:w w:val="93"/>
              </w:rPr>
              <w:t>the reverse recapitalization, net</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4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38,721,137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327,276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327,280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74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of issuance costs</w:t>
            </w: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4"/>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gridSpan w:val="4"/>
          </w:tcPr>
          <w:p>
            <w:pPr>
              <w:spacing w:after="0" w:line="120" w:lineRule="exact"/>
              <w:rPr>
                <w:sz w:val="20"/>
                <w:szCs w:val="20"/>
                <w:color w:val="auto"/>
              </w:rPr>
            </w:pPr>
            <w:r>
              <w:rPr>
                <w:rFonts w:ascii="Arial" w:cs="Arial" w:eastAsia="Arial" w:hAnsi="Arial"/>
                <w:sz w:val="12"/>
                <w:szCs w:val="12"/>
                <w:color w:val="auto"/>
              </w:rPr>
              <w:t>Stock-based compensation</w:t>
            </w:r>
          </w:p>
        </w:tc>
        <w:tc>
          <w:tcPr>
            <w:tcW w:w="70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restart"/>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2"/>
                <w:szCs w:val="12"/>
                <w:color w:val="auto"/>
                <w:w w:val="93"/>
              </w:rPr>
              <w:t>1,820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1,820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2"/>
                <w:szCs w:val="12"/>
                <w:color w:val="auto"/>
              </w:rPr>
              <w:t>expense</w:t>
            </w: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Net loss</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(10,713)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(10,713)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Balances at June 30, 2021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124,094,390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439,489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40" w:type="dxa"/>
            <w:vAlign w:val="bottom"/>
            <w:gridSpan w:val="3"/>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(49,447)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390,044</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gridSpan w:val="5"/>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6"/>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78"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right="1560"/>
        <w:spacing w:after="0" w:line="261" w:lineRule="auto"/>
        <w:rPr>
          <w:sz w:val="20"/>
          <w:szCs w:val="20"/>
          <w:color w:val="auto"/>
        </w:rPr>
      </w:pPr>
      <w:r>
        <w:rPr>
          <w:rFonts w:ascii="Arial" w:cs="Arial" w:eastAsia="Arial" w:hAnsi="Arial"/>
          <w:sz w:val="21"/>
          <w:szCs w:val="21"/>
          <w:b w:val="1"/>
          <w:bCs w:val="1"/>
          <w:color w:val="auto"/>
        </w:rPr>
        <w:t>Condensed Consolidated Statements of Redeemable Convertible Preferred Stock and Stockholders’ Equity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Arial" w:cs="Arial" w:eastAsia="Arial" w:hAnsi="Arial"/>
                <w:sz w:val="12"/>
                <w:szCs w:val="12"/>
                <w:b w:val="1"/>
                <w:bCs w:val="1"/>
                <w:i w:val="1"/>
                <w:iCs w:val="1"/>
                <w:color w:val="auto"/>
                <w:w w:val="97"/>
              </w:rPr>
              <w:t>Six Months Ended June 30, 2022</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17"/>
          </w:tcPr>
          <w:p>
            <w:pPr>
              <w:ind w:left="80"/>
              <w:spacing w:after="0"/>
              <w:rPr>
                <w:sz w:val="20"/>
                <w:szCs w:val="20"/>
                <w:color w:val="auto"/>
              </w:rPr>
            </w:pPr>
            <w:r>
              <w:rPr>
                <w:rFonts w:ascii="Arial" w:cs="Arial" w:eastAsia="Arial" w:hAnsi="Arial"/>
                <w:sz w:val="12"/>
                <w:szCs w:val="12"/>
                <w:b w:val="1"/>
                <w:bCs w:val="1"/>
                <w:color w:val="auto"/>
              </w:rPr>
              <w:t>Redeemable Convertible Preferred Stock</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Borders>
              <w:bottom w:val="single" w:sz="8" w:color="auto"/>
            </w:tcBorders>
            <w:gridSpan w:val="28"/>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40" w:type="dxa"/>
            <w:vAlign w:val="bottom"/>
            <w:gridSpan w:val="17"/>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6"/>
            <w:vMerge w:val="restart"/>
          </w:tcPr>
          <w:p>
            <w:pPr>
              <w:ind w:left="280"/>
              <w:spacing w:after="0"/>
              <w:rPr>
                <w:sz w:val="20"/>
                <w:szCs w:val="20"/>
                <w:color w:val="auto"/>
              </w:rPr>
            </w:pPr>
            <w:r>
              <w:rPr>
                <w:rFonts w:ascii="Arial" w:cs="Arial" w:eastAsia="Arial" w:hAnsi="Arial"/>
                <w:sz w:val="12"/>
                <w:szCs w:val="12"/>
                <w:b w:val="1"/>
                <w:bCs w:val="1"/>
                <w:color w:val="auto"/>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ind w:left="280"/>
              <w:spacing w:after="0"/>
              <w:rPr>
                <w:sz w:val="20"/>
                <w:szCs w:val="20"/>
                <w:color w:val="auto"/>
              </w:rPr>
            </w:pPr>
            <w:r>
              <w:rPr>
                <w:rFonts w:ascii="Arial" w:cs="Arial" w:eastAsia="Arial" w:hAnsi="Arial"/>
                <w:sz w:val="12"/>
                <w:szCs w:val="12"/>
                <w:b w:val="1"/>
                <w:bCs w:val="1"/>
                <w:color w:val="auto"/>
              </w:rPr>
              <w:t>Series A</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ind w:left="220"/>
              <w:spacing w:after="0"/>
              <w:rPr>
                <w:sz w:val="20"/>
                <w:szCs w:val="20"/>
                <w:color w:val="auto"/>
              </w:rPr>
            </w:pPr>
            <w:r>
              <w:rPr>
                <w:rFonts w:ascii="Arial" w:cs="Arial" w:eastAsia="Arial" w:hAnsi="Arial"/>
                <w:sz w:val="12"/>
                <w:szCs w:val="12"/>
                <w:b w:val="1"/>
                <w:bCs w:val="1"/>
                <w:color w:val="auto"/>
              </w:rPr>
              <w:t>Series B</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w w:val="95"/>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6"/>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5"/>
          </w:tcPr>
          <w:p>
            <w:pPr>
              <w:jc w:val="right"/>
              <w:spacing w:after="0" w:line="100"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39"/>
              <w:spacing w:after="0" w:line="100"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2"/>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80" w:type="dxa"/>
            <w:vAlign w:val="bottom"/>
          </w:tcPr>
          <w:p>
            <w:pPr>
              <w:spacing w:after="0"/>
              <w:rPr>
                <w:sz w:val="8"/>
                <w:szCs w:val="8"/>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2"/>
              </w:rPr>
              <w:t xml:space="preserve">Shares </w:t>
            </w:r>
            <w:r>
              <w:rPr>
                <w:rFonts w:ascii="Arial" w:cs="Arial" w:eastAsia="Arial" w:hAnsi="Arial"/>
                <w:sz w:val="16"/>
                <w:szCs w:val="16"/>
                <w:b w:val="1"/>
                <w:bCs w:val="1"/>
                <w:color w:val="auto"/>
                <w:w w:val="92"/>
                <w:vertAlign w:val="superscript"/>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2"/>
              </w:rPr>
              <w:t xml:space="preserve">Shares </w:t>
            </w:r>
            <w:r>
              <w:rPr>
                <w:rFonts w:ascii="Arial" w:cs="Arial" w:eastAsia="Arial" w:hAnsi="Arial"/>
                <w:sz w:val="16"/>
                <w:szCs w:val="16"/>
                <w:b w:val="1"/>
                <w:bCs w:val="1"/>
                <w:color w:val="auto"/>
                <w:w w:val="92"/>
                <w:vertAlign w:val="superscript"/>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tcPr>
          <w:p>
            <w:pPr>
              <w:spacing w:after="0"/>
              <w:rPr>
                <w:sz w:val="8"/>
                <w:szCs w:val="8"/>
                <w:color w:val="auto"/>
              </w:rPr>
            </w:pPr>
          </w:p>
        </w:tc>
        <w:tc>
          <w:tcPr>
            <w:tcW w:w="5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3"/>
            <w:vMerge w:val="restart"/>
          </w:tcPr>
          <w:p>
            <w:pPr>
              <w:jc w:val="right"/>
              <w:ind w:right="78"/>
              <w:spacing w:after="0"/>
              <w:rPr>
                <w:sz w:val="20"/>
                <w:szCs w:val="20"/>
                <w:color w:val="auto"/>
              </w:rPr>
            </w:pPr>
            <w:r>
              <w:rPr>
                <w:rFonts w:ascii="Arial" w:cs="Arial" w:eastAsia="Arial" w:hAnsi="Arial"/>
                <w:sz w:val="12"/>
                <w:szCs w:val="12"/>
                <w:b w:val="1"/>
                <w:bCs w:val="1"/>
                <w:color w:val="auto"/>
                <w:w w:val="81"/>
              </w:rPr>
              <w:t xml:space="preserve">Shares </w:t>
            </w:r>
            <w:r>
              <w:rPr>
                <w:rFonts w:ascii="Arial" w:cs="Arial" w:eastAsia="Arial" w:hAnsi="Arial"/>
                <w:sz w:val="16"/>
                <w:szCs w:val="16"/>
                <w:b w:val="1"/>
                <w:bCs w:val="1"/>
                <w:color w:val="auto"/>
                <w:w w:val="81"/>
                <w:vertAlign w:val="superscript"/>
              </w:rPr>
              <w:t>(1)</w:t>
            </w:r>
          </w:p>
        </w:tc>
        <w:tc>
          <w:tcPr>
            <w:tcW w:w="80" w:type="dxa"/>
            <w:vAlign w:val="bottom"/>
            <w:vMerge w:val="restart"/>
          </w:tcPr>
          <w:p>
            <w:pPr>
              <w:spacing w:after="0"/>
              <w:rPr>
                <w:sz w:val="8"/>
                <w:szCs w:val="8"/>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620" w:type="dxa"/>
            <w:vAlign w:val="bottom"/>
            <w:gridSpan w:val="5"/>
          </w:tcPr>
          <w:p>
            <w:pPr>
              <w:jc w:val="right"/>
              <w:ind w:right="39"/>
              <w:spacing w:after="0" w:line="100"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tcPr>
          <w:p>
            <w:pPr>
              <w:jc w:val="right"/>
              <w:spacing w:after="0" w:line="100"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8"/>
                <w:szCs w:val="8"/>
                <w:color w:val="auto"/>
              </w:rPr>
            </w:pPr>
          </w:p>
        </w:tc>
        <w:tc>
          <w:tcPr>
            <w:tcW w:w="880" w:type="dxa"/>
            <w:vAlign w:val="bottom"/>
            <w:gridSpan w:val="5"/>
          </w:tcPr>
          <w:p>
            <w:pPr>
              <w:ind w:left="40"/>
              <w:spacing w:after="0" w:line="100"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rPr>
              <w:t>amounts)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2"/>
                <w:szCs w:val="12"/>
                <w:b w:val="1"/>
                <w:bCs w:val="1"/>
                <w:color w:val="auto"/>
              </w:rPr>
              <w:t>Capital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39"/>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3"/>
              </w:rPr>
              <w:t>Stockholders’Equity</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2021</w:t>
            </w:r>
          </w:p>
        </w:tc>
        <w:tc>
          <w:tcPr>
            <w:tcW w:w="56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center"/>
              <w:ind w:left="258"/>
              <w:spacing w:after="0"/>
              <w:rPr>
                <w:sz w:val="20"/>
                <w:szCs w:val="20"/>
                <w:color w:val="auto"/>
              </w:rPr>
            </w:pPr>
            <w:r>
              <w:rPr>
                <w:rFonts w:ascii="Arial" w:cs="Arial" w:eastAsia="Arial" w:hAnsi="Arial"/>
                <w:sz w:val="12"/>
                <w:szCs w:val="12"/>
                <w:color w:val="auto"/>
                <w:w w:val="99"/>
              </w:rPr>
              <w:t>—</w:t>
            </w:r>
          </w:p>
        </w:tc>
        <w:tc>
          <w:tcPr>
            <w:tcW w:w="280" w:type="dxa"/>
            <w:vAlign w:val="bottom"/>
            <w:gridSpan w:val="3"/>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124,303,083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w w:val="92"/>
              </w:rPr>
              <w:t>444,388</w:t>
            </w:r>
          </w:p>
        </w:tc>
        <w:tc>
          <w:tcPr>
            <w:tcW w:w="340" w:type="dxa"/>
            <w:vAlign w:val="bottom"/>
            <w:gridSpan w:val="3"/>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239"/>
              <w:spacing w:after="0"/>
              <w:rPr>
                <w:sz w:val="20"/>
                <w:szCs w:val="20"/>
                <w:color w:val="auto"/>
              </w:rPr>
            </w:pPr>
            <w:r>
              <w:rPr>
                <w:rFonts w:ascii="Arial" w:cs="Arial" w:eastAsia="Arial" w:hAnsi="Arial"/>
                <w:sz w:val="12"/>
                <w:szCs w:val="12"/>
                <w:color w:val="auto"/>
                <w:w w:val="99"/>
              </w:rPr>
              <w:t>(184)</w:t>
            </w:r>
          </w:p>
        </w:tc>
        <w:tc>
          <w:tcPr>
            <w:tcW w:w="300" w:type="dxa"/>
            <w:vAlign w:val="bottom"/>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(80,640)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363,576</w:t>
            </w:r>
          </w:p>
        </w:tc>
        <w:tc>
          <w:tcPr>
            <w:tcW w:w="0" w:type="dxa"/>
            <w:vAlign w:val="bottom"/>
          </w:tcPr>
          <w:p>
            <w:pPr>
              <w:spacing w:after="0"/>
              <w:rPr>
                <w:sz w:val="1"/>
                <w:szCs w:val="1"/>
                <w:color w:val="auto"/>
              </w:rPr>
            </w:pPr>
          </w:p>
        </w:tc>
      </w:tr>
      <w:tr>
        <w:trPr>
          <w:trHeight w:val="119"/>
        </w:trPr>
        <w:tc>
          <w:tcPr>
            <w:tcW w:w="6000" w:type="dxa"/>
            <w:vAlign w:val="bottom"/>
            <w:tcBorders>
              <w:right w:val="single" w:sz="8" w:color="auto"/>
            </w:tcBorders>
            <w:gridSpan w:val="32"/>
          </w:tcPr>
          <w:p>
            <w:pPr>
              <w:spacing w:after="0"/>
              <w:rPr>
                <w:sz w:val="20"/>
                <w:szCs w:val="20"/>
                <w:color w:val="auto"/>
              </w:rPr>
            </w:pPr>
            <w:r>
              <w:rPr>
                <w:rFonts w:ascii="Arial" w:cs="Arial" w:eastAsia="Arial" w:hAnsi="Arial"/>
                <w:sz w:val="12"/>
                <w:szCs w:val="12"/>
                <w:color w:val="auto"/>
              </w:rPr>
              <w:t>Issuance of common stock upon</w:t>
            </w:r>
          </w:p>
        </w:tc>
        <w:tc>
          <w:tcPr>
            <w:tcW w:w="5240" w:type="dxa"/>
            <w:vAlign w:val="bottom"/>
            <w:gridSpan w:val="30"/>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exercise of vested stock</w:t>
            </w:r>
          </w:p>
        </w:tc>
        <w:tc>
          <w:tcPr>
            <w:tcW w:w="560" w:type="dxa"/>
            <w:vAlign w:val="bottom"/>
            <w:vMerge w:val="restart"/>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vMerge w:val="restart"/>
          </w:tcPr>
          <w:p>
            <w:pPr>
              <w:jc w:val="center"/>
              <w:ind w:left="258"/>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vMerge w:val="restart"/>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2"/>
                <w:szCs w:val="12"/>
                <w:color w:val="auto"/>
              </w:rPr>
              <w:t>211,309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w w:val="89"/>
              </w:rPr>
              <w:t>188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gridSpan w:val="3"/>
          </w:tcPr>
          <w:p>
            <w:pPr>
              <w:ind w:left="160"/>
              <w:spacing w:after="0"/>
              <w:rPr>
                <w:sz w:val="20"/>
                <w:szCs w:val="20"/>
                <w:color w:val="auto"/>
              </w:rPr>
            </w:pPr>
            <w:r>
              <w:rPr>
                <w:rFonts w:ascii="Arial" w:cs="Arial" w:eastAsia="Arial" w:hAnsi="Arial"/>
                <w:sz w:val="12"/>
                <w:szCs w:val="12"/>
                <w:color w:val="auto"/>
              </w:rPr>
              <w:t>options</w:t>
            </w: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000" w:type="dxa"/>
            <w:vAlign w:val="bottom"/>
            <w:tcBorders>
              <w:right w:val="single" w:sz="8" w:color="auto"/>
            </w:tcBorders>
            <w:gridSpan w:val="32"/>
            <w:shd w:val="clear" w:color="auto" w:fill="CCEEFF"/>
          </w:tcPr>
          <w:p>
            <w:pPr>
              <w:spacing w:after="0"/>
              <w:rPr>
                <w:sz w:val="20"/>
                <w:szCs w:val="20"/>
                <w:color w:val="auto"/>
              </w:rPr>
            </w:pPr>
            <w:r>
              <w:rPr>
                <w:rFonts w:ascii="Arial" w:cs="Arial" w:eastAsia="Arial" w:hAnsi="Arial"/>
                <w:sz w:val="12"/>
                <w:szCs w:val="12"/>
                <w:color w:val="auto"/>
              </w:rPr>
              <w:t>Issuance of common stock under</w:t>
            </w:r>
          </w:p>
        </w:tc>
        <w:tc>
          <w:tcPr>
            <w:tcW w:w="200" w:type="dxa"/>
            <w:vAlign w:val="bottom"/>
            <w:gridSpan w:val="2"/>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48,353</w:t>
            </w:r>
          </w:p>
        </w:tc>
        <w:tc>
          <w:tcPr>
            <w:tcW w:w="380" w:type="dxa"/>
            <w:vAlign w:val="bottom"/>
            <w:gridSpan w:val="3"/>
            <w:shd w:val="clear" w:color="auto" w:fill="CCEEFF"/>
          </w:tcPr>
          <w:p>
            <w:pPr>
              <w:spacing w:after="0"/>
              <w:rPr>
                <w:sz w:val="11"/>
                <w:szCs w:val="11"/>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00" w:type="dxa"/>
            <w:vAlign w:val="bottom"/>
            <w:gridSpan w:val="4"/>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153</w:t>
            </w:r>
          </w:p>
        </w:tc>
        <w:tc>
          <w:tcPr>
            <w:tcW w:w="420" w:type="dxa"/>
            <w:vAlign w:val="bottom"/>
            <w:gridSpan w:val="4"/>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4"/>
            <w:shd w:val="clear" w:color="auto" w:fill="CCEEFF"/>
          </w:tcPr>
          <w:p>
            <w:pPr>
              <w:spacing w:after="0"/>
              <w:rPr>
                <w:sz w:val="11"/>
                <w:szCs w:val="11"/>
                <w:color w:val="auto"/>
              </w:rPr>
            </w:pPr>
          </w:p>
        </w:tc>
        <w:tc>
          <w:tcPr>
            <w:tcW w:w="420" w:type="dxa"/>
            <w:vAlign w:val="bottom"/>
            <w:gridSpan w:val="2"/>
            <w:vMerge w:val="restart"/>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0" w:type="dxa"/>
            <w:vAlign w:val="bottom"/>
            <w:gridSpan w:val="3"/>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employee stock purchase plan</w:t>
            </w:r>
          </w:p>
        </w:tc>
        <w:tc>
          <w:tcPr>
            <w:tcW w:w="56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center"/>
              <w:ind w:left="258"/>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3"/>
          </w:tcPr>
          <w:p>
            <w:pPr>
              <w:spacing w:after="0" w:line="120" w:lineRule="exact"/>
              <w:rPr>
                <w:sz w:val="20"/>
                <w:szCs w:val="20"/>
                <w:color w:val="auto"/>
              </w:rPr>
            </w:pPr>
            <w:r>
              <w:rPr>
                <w:rFonts w:ascii="Arial" w:cs="Arial" w:eastAsia="Arial" w:hAnsi="Arial"/>
                <w:sz w:val="12"/>
                <w:szCs w:val="12"/>
                <w:color w:val="auto"/>
              </w:rPr>
              <w:t>Stock-based compensation</w:t>
            </w:r>
          </w:p>
        </w:tc>
        <w:tc>
          <w:tcPr>
            <w:tcW w:w="560" w:type="dxa"/>
            <w:vAlign w:val="bottom"/>
            <w:vMerge w:val="restart"/>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vMerge w:val="restart"/>
          </w:tcPr>
          <w:p>
            <w:pPr>
              <w:jc w:val="center"/>
              <w:ind w:left="258"/>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vMerge w:val="restart"/>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440" w:type="dxa"/>
            <w:vAlign w:val="bottom"/>
            <w:gridSpan w:val="4"/>
            <w:vMerge w:val="restart"/>
          </w:tcPr>
          <w:p>
            <w:pPr>
              <w:jc w:val="right"/>
              <w:spacing w:after="0"/>
              <w:rPr>
                <w:sz w:val="20"/>
                <w:szCs w:val="20"/>
                <w:color w:val="auto"/>
              </w:rPr>
            </w:pPr>
            <w:r>
              <w:rPr>
                <w:rFonts w:ascii="Arial" w:cs="Arial" w:eastAsia="Arial" w:hAnsi="Arial"/>
                <w:sz w:val="12"/>
                <w:szCs w:val="12"/>
                <w:color w:val="auto"/>
              </w:rPr>
              <w:t>4,677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4,677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gridSpan w:val="3"/>
          </w:tcPr>
          <w:p>
            <w:pPr>
              <w:ind w:left="160"/>
              <w:spacing w:after="0"/>
              <w:rPr>
                <w:sz w:val="20"/>
                <w:szCs w:val="20"/>
                <w:color w:val="auto"/>
              </w:rPr>
            </w:pPr>
            <w:r>
              <w:rPr>
                <w:rFonts w:ascii="Arial" w:cs="Arial" w:eastAsia="Arial" w:hAnsi="Arial"/>
                <w:sz w:val="12"/>
                <w:szCs w:val="12"/>
                <w:color w:val="auto"/>
              </w:rPr>
              <w:t>expense</w:t>
            </w: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56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center"/>
              <w:ind w:left="258"/>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left="239"/>
              <w:spacing w:after="0"/>
              <w:rPr>
                <w:sz w:val="20"/>
                <w:szCs w:val="20"/>
                <w:color w:val="auto"/>
              </w:rPr>
            </w:pPr>
            <w:r>
              <w:rPr>
                <w:rFonts w:ascii="Arial" w:cs="Arial" w:eastAsia="Arial" w:hAnsi="Arial"/>
                <w:sz w:val="12"/>
                <w:szCs w:val="12"/>
                <w:color w:val="auto"/>
                <w:w w:val="99"/>
              </w:rPr>
              <w:t>(584)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Net loss</w:t>
            </w: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6"/>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2"/>
                <w:szCs w:val="12"/>
                <w:color w:val="auto"/>
              </w:rPr>
              <w:t>(30,452)</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4"/>
          </w:tcPr>
          <w:p>
            <w:pPr>
              <w:jc w:val="right"/>
              <w:ind w:right="1058"/>
              <w:spacing w:after="0"/>
              <w:rPr>
                <w:sz w:val="20"/>
                <w:szCs w:val="20"/>
                <w:color w:val="auto"/>
              </w:rPr>
            </w:pPr>
            <w:r>
              <w:rPr>
                <w:rFonts w:ascii="Arial" w:cs="Arial" w:eastAsia="Arial" w:hAnsi="Arial"/>
                <w:sz w:val="12"/>
                <w:szCs w:val="12"/>
                <w:color w:val="auto"/>
              </w:rPr>
              <w:t>(30,452)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Balances at June 30, 2022###</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2"/>
                <w:szCs w:val="12"/>
                <w:color w:val="auto"/>
                <w:w w:val="99"/>
              </w:rPr>
              <w:t>—</w:t>
            </w:r>
          </w:p>
        </w:tc>
        <w:tc>
          <w:tcPr>
            <w:tcW w:w="280" w:type="dxa"/>
            <w:vAlign w:val="bottom"/>
            <w:tcBorders>
              <w:bottom w:val="single" w:sz="8" w:color="CCEEFF"/>
            </w:tcBorders>
            <w:gridSpan w:val="3"/>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2"/>
                <w:szCs w:val="12"/>
                <w:color w:val="auto"/>
              </w:rPr>
              <w:t>124,562,745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w w:val="92"/>
              </w:rPr>
              <w:t>449,406</w:t>
            </w:r>
          </w:p>
        </w:tc>
        <w:tc>
          <w:tcPr>
            <w:tcW w:w="3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2"/>
                <w:szCs w:val="12"/>
                <w:color w:val="auto"/>
                <w:w w:val="99"/>
              </w:rPr>
              <w:t>(768)</w:t>
            </w:r>
          </w:p>
        </w:tc>
        <w:tc>
          <w:tcPr>
            <w:tcW w:w="3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(111,092)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337,558</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820" w:type="dxa"/>
            <w:vAlign w:val="bottom"/>
            <w:gridSpan w:val="3"/>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16"/>
            <w:vMerge w:val="restart"/>
          </w:tcPr>
          <w:p>
            <w:pPr>
              <w:ind w:left="100"/>
              <w:spacing w:after="0"/>
              <w:rPr>
                <w:sz w:val="20"/>
                <w:szCs w:val="20"/>
                <w:color w:val="auto"/>
              </w:rPr>
            </w:pPr>
            <w:r>
              <w:rPr>
                <w:rFonts w:ascii="Arial" w:cs="Arial" w:eastAsia="Arial" w:hAnsi="Arial"/>
                <w:sz w:val="12"/>
                <w:szCs w:val="12"/>
                <w:b w:val="1"/>
                <w:bCs w:val="1"/>
                <w:color w:val="auto"/>
                <w:w w:val="98"/>
              </w:rPr>
              <w:t>Redeemable Convertible Preferred Stock</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0"/>
              </w:rPr>
              <w:t>Six Months Ended June 30, 2021</w:t>
            </w:r>
          </w:p>
        </w:tc>
        <w:tc>
          <w:tcPr>
            <w:tcW w:w="120" w:type="dxa"/>
            <w:vAlign w:val="bottom"/>
            <w:gridSpan w:val="2"/>
            <w:vMerge w:val="restart"/>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16"/>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16"/>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6"/>
            <w:vMerge w:val="restart"/>
          </w:tcPr>
          <w:p>
            <w:pPr>
              <w:ind w:left="400"/>
              <w:spacing w:after="0" w:line="134" w:lineRule="exact"/>
              <w:rPr>
                <w:sz w:val="20"/>
                <w:szCs w:val="20"/>
                <w:color w:val="auto"/>
              </w:rPr>
            </w:pPr>
            <w:r>
              <w:rPr>
                <w:rFonts w:ascii="Arial" w:cs="Arial" w:eastAsia="Arial" w:hAnsi="Arial"/>
                <w:sz w:val="12"/>
                <w:szCs w:val="12"/>
                <w:b w:val="1"/>
                <w:bCs w:val="1"/>
                <w:color w:val="auto"/>
                <w:w w:val="85"/>
              </w:rPr>
              <w:t>Series Seed</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w w:val="87"/>
              </w:rPr>
              <w:t>Series A</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gridSpan w:val="4"/>
            <w:vMerge w:val="restart"/>
          </w:tcPr>
          <w:p>
            <w:pPr>
              <w:jc w:val="right"/>
              <w:spacing w:after="0" w:line="134" w:lineRule="exact"/>
              <w:rPr>
                <w:sz w:val="20"/>
                <w:szCs w:val="20"/>
                <w:color w:val="auto"/>
              </w:rPr>
            </w:pPr>
            <w:r>
              <w:rPr>
                <w:rFonts w:ascii="Arial" w:cs="Arial" w:eastAsia="Arial" w:hAnsi="Arial"/>
                <w:sz w:val="12"/>
                <w:szCs w:val="12"/>
                <w:b w:val="1"/>
                <w:bCs w:val="1"/>
                <w:color w:val="auto"/>
                <w:w w:val="91"/>
              </w:rPr>
              <w:t>Series B</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6"/>
            <w:vMerge w:val="restart"/>
          </w:tcPr>
          <w:p>
            <w:pPr>
              <w:ind w:left="280"/>
              <w:spacing w:after="0" w:line="134" w:lineRule="exact"/>
              <w:rPr>
                <w:sz w:val="20"/>
                <w:szCs w:val="20"/>
                <w:color w:val="auto"/>
              </w:rPr>
            </w:pPr>
            <w:r>
              <w:rPr>
                <w:rFonts w:ascii="Arial" w:cs="Arial" w:eastAsia="Arial" w:hAnsi="Arial"/>
                <w:sz w:val="12"/>
                <w:szCs w:val="12"/>
                <w:b w:val="1"/>
                <w:bCs w:val="1"/>
                <w:color w:val="auto"/>
                <w:w w:val="95"/>
              </w:rPr>
              <w:t>Common Stock</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6"/>
            <w:vMerge w:val="restart"/>
          </w:tcPr>
          <w:p>
            <w:pPr>
              <w:jc w:val="center"/>
              <w:ind w:right="80"/>
              <w:spacing w:after="0" w:line="100" w:lineRule="exact"/>
              <w:rPr>
                <w:sz w:val="20"/>
                <w:szCs w:val="20"/>
                <w:color w:val="auto"/>
              </w:rPr>
            </w:pPr>
            <w:r>
              <w:rPr>
                <w:rFonts w:ascii="Arial" w:cs="Arial" w:eastAsia="Arial" w:hAnsi="Arial"/>
                <w:sz w:val="11"/>
                <w:szCs w:val="11"/>
                <w:b w:val="1"/>
                <w:bCs w:val="1"/>
                <w:color w:val="auto"/>
              </w:rPr>
              <w:t>Additional</w:t>
            </w:r>
          </w:p>
        </w:tc>
        <w:tc>
          <w:tcPr>
            <w:tcW w:w="620" w:type="dxa"/>
            <w:vAlign w:val="bottom"/>
            <w:vMerge w:val="restart"/>
          </w:tcPr>
          <w:p>
            <w:pPr>
              <w:jc w:val="center"/>
              <w:ind w:left="239"/>
              <w:spacing w:after="0" w:line="100"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840" w:type="dxa"/>
            <w:vAlign w:val="bottom"/>
            <w:gridSpan w:val="4"/>
          </w:tcPr>
          <w:p>
            <w:pPr>
              <w:spacing w:after="0"/>
              <w:rPr>
                <w:sz w:val="3"/>
                <w:szCs w:val="3"/>
                <w:color w:val="auto"/>
              </w:rPr>
            </w:pPr>
          </w:p>
        </w:tc>
        <w:tc>
          <w:tcPr>
            <w:tcW w:w="1400" w:type="dxa"/>
            <w:vAlign w:val="bottom"/>
            <w:tcBorders>
              <w:bottom w:val="single" w:sz="8" w:color="auto"/>
            </w:tcBorders>
            <w:gridSpan w:val="9"/>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gridSpan w:val="10"/>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gridSpan w:val="9"/>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360" w:type="dxa"/>
            <w:vAlign w:val="bottom"/>
            <w:tcBorders>
              <w:bottom w:val="single" w:sz="8" w:color="auto"/>
            </w:tcBorders>
            <w:gridSpan w:val="8"/>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6"/>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360" w:type="dxa"/>
            <w:vAlign w:val="bottom"/>
            <w:gridSpan w:val="9"/>
          </w:tcPr>
          <w:p>
            <w:pPr>
              <w:spacing w:after="0"/>
              <w:rPr>
                <w:sz w:val="3"/>
                <w:szCs w:val="3"/>
                <w:color w:val="auto"/>
              </w:rPr>
            </w:pPr>
          </w:p>
        </w:tc>
        <w:tc>
          <w:tcPr>
            <w:tcW w:w="72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2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740" w:type="dxa"/>
            <w:vAlign w:val="bottom"/>
            <w:gridSpan w:val="4"/>
            <w:vMerge w:val="restart"/>
          </w:tcPr>
          <w:p>
            <w:pPr>
              <w:jc w:val="right"/>
              <w:ind w:right="5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8"/>
                <w:szCs w:val="8"/>
                <w:color w:val="auto"/>
              </w:rPr>
            </w:pPr>
          </w:p>
        </w:tc>
        <w:tc>
          <w:tcPr>
            <w:tcW w:w="760" w:type="dxa"/>
            <w:vAlign w:val="bottom"/>
            <w:gridSpan w:val="4"/>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0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8"/>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5"/>
          </w:tcPr>
          <w:p>
            <w:pPr>
              <w:jc w:val="center"/>
              <w:ind w:right="180"/>
              <w:spacing w:after="0" w:line="100" w:lineRule="exact"/>
              <w:rPr>
                <w:sz w:val="20"/>
                <w:szCs w:val="20"/>
                <w:color w:val="auto"/>
              </w:rPr>
            </w:pPr>
            <w:r>
              <w:rPr>
                <w:rFonts w:ascii="Arial" w:cs="Arial" w:eastAsia="Arial" w:hAnsi="Arial"/>
                <w:sz w:val="11"/>
                <w:szCs w:val="11"/>
                <w:b w:val="1"/>
                <w:bCs w:val="1"/>
                <w:color w:val="auto"/>
              </w:rPr>
              <w:t>Paid-in</w:t>
            </w:r>
          </w:p>
        </w:tc>
        <w:tc>
          <w:tcPr>
            <w:tcW w:w="920" w:type="dxa"/>
            <w:vAlign w:val="bottom"/>
            <w:gridSpan w:val="3"/>
          </w:tcPr>
          <w:p>
            <w:pPr>
              <w:jc w:val="center"/>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8"/>
                <w:szCs w:val="8"/>
                <w:color w:val="auto"/>
              </w:rPr>
            </w:pPr>
          </w:p>
        </w:tc>
        <w:tc>
          <w:tcPr>
            <w:tcW w:w="880" w:type="dxa"/>
            <w:vAlign w:val="bottom"/>
            <w:gridSpan w:val="5"/>
          </w:tcPr>
          <w:p>
            <w:pPr>
              <w:ind w:left="60"/>
              <w:spacing w:after="0" w:line="100"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74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2"/>
              </w:rPr>
              <w:t>Deficit</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Balances at December 31, 2020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13,174,805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16,836,436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27,067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75,857</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33,069,513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(30,325)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3"/>
          </w:tcPr>
          <w:p>
            <w:pPr>
              <w:spacing w:after="0" w:line="120" w:lineRule="exact"/>
              <w:rPr>
                <w:sz w:val="20"/>
                <w:szCs w:val="20"/>
                <w:color w:val="auto"/>
              </w:rPr>
            </w:pPr>
            <w:r>
              <w:rPr>
                <w:rFonts w:ascii="Arial" w:cs="Arial" w:eastAsia="Arial" w:hAnsi="Arial"/>
                <w:sz w:val="12"/>
                <w:szCs w:val="12"/>
                <w:color w:val="auto"/>
              </w:rPr>
              <w:t>Issuance of common stock upon</w:t>
            </w:r>
          </w:p>
        </w:tc>
        <w:tc>
          <w:tcPr>
            <w:tcW w:w="560" w:type="dxa"/>
            <w:vAlign w:val="bottom"/>
          </w:tcPr>
          <w:p>
            <w:pPr>
              <w:spacing w:after="0"/>
              <w:rPr>
                <w:sz w:val="10"/>
                <w:szCs w:val="10"/>
                <w:color w:val="auto"/>
              </w:rPr>
            </w:pPr>
          </w:p>
        </w:tc>
        <w:tc>
          <w:tcPr>
            <w:tcW w:w="260" w:type="dxa"/>
            <w:vAlign w:val="bottom"/>
            <w:gridSpan w:val="4"/>
            <w:vMerge w:val="restart"/>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0"/>
                <w:szCs w:val="10"/>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auto"/>
            </w:tcBorders>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2"/>
                <w:szCs w:val="12"/>
                <w:color w:val="auto"/>
              </w:rPr>
              <w:t>65,003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gridSpan w:val="3"/>
          </w:tcPr>
          <w:p>
            <w:pPr>
              <w:ind w:left="160"/>
              <w:spacing w:after="0"/>
              <w:rPr>
                <w:sz w:val="20"/>
                <w:szCs w:val="20"/>
                <w:color w:val="auto"/>
              </w:rPr>
            </w:pPr>
            <w:r>
              <w:rPr>
                <w:rFonts w:ascii="Arial" w:cs="Arial" w:eastAsia="Arial" w:hAnsi="Arial"/>
                <w:sz w:val="12"/>
                <w:szCs w:val="12"/>
                <w:color w:val="auto"/>
                <w:w w:val="96"/>
              </w:rPr>
              <w:t>exercise of vested stock options</w:t>
            </w:r>
          </w:p>
        </w:tc>
        <w:tc>
          <w:tcPr>
            <w:tcW w:w="560" w:type="dxa"/>
            <w:vAlign w:val="bottom"/>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82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Issuance of common stock upon</w:t>
            </w:r>
          </w:p>
        </w:tc>
        <w:tc>
          <w:tcPr>
            <w:tcW w:w="560" w:type="dxa"/>
            <w:vAlign w:val="bottom"/>
            <w:shd w:val="clear" w:color="auto" w:fill="CCEEFF"/>
          </w:tcPr>
          <w:p>
            <w:pPr>
              <w:spacing w:after="0"/>
              <w:rPr>
                <w:sz w:val="11"/>
                <w:szCs w:val="11"/>
                <w:color w:val="auto"/>
              </w:rPr>
            </w:pPr>
          </w:p>
        </w:tc>
        <w:tc>
          <w:tcPr>
            <w:tcW w:w="2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1"/>
                <w:szCs w:val="11"/>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auto"/>
            </w:tcBorders>
            <w:shd w:val="clear" w:color="auto" w:fill="CCEEFF"/>
          </w:tcPr>
          <w:p>
            <w:pPr>
              <w:spacing w:after="0"/>
              <w:rPr>
                <w:sz w:val="11"/>
                <w:szCs w:val="11"/>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62,772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exercise of warrants</w:t>
            </w:r>
          </w:p>
        </w:tc>
        <w:tc>
          <w:tcPr>
            <w:tcW w:w="560" w:type="dxa"/>
            <w:vAlign w:val="bottom"/>
            <w:shd w:val="clear" w:color="auto" w:fill="CCEEFF"/>
          </w:tcPr>
          <w:p>
            <w:pPr>
              <w:spacing w:after="0"/>
              <w:rPr>
                <w:sz w:val="14"/>
                <w:szCs w:val="14"/>
                <w:color w:val="auto"/>
              </w:rPr>
            </w:pPr>
          </w:p>
        </w:tc>
        <w:tc>
          <w:tcPr>
            <w:tcW w:w="260" w:type="dxa"/>
            <w:vAlign w:val="bottom"/>
            <w:gridSpan w:val="4"/>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Borders>
              <w:right w:val="single" w:sz="8" w:color="auto"/>
            </w:tcBorders>
            <w:gridSpan w:val="35"/>
          </w:tcPr>
          <w:p>
            <w:pPr>
              <w:spacing w:after="0"/>
              <w:rPr>
                <w:sz w:val="20"/>
                <w:szCs w:val="20"/>
                <w:color w:val="auto"/>
              </w:rPr>
            </w:pPr>
            <w:r>
              <w:rPr>
                <w:rFonts w:ascii="Arial" w:cs="Arial" w:eastAsia="Arial" w:hAnsi="Arial"/>
                <w:sz w:val="12"/>
                <w:szCs w:val="12"/>
                <w:color w:val="auto"/>
              </w:rPr>
              <w:t>Conversion of redeemable</w:t>
            </w:r>
          </w:p>
        </w:tc>
        <w:tc>
          <w:tcPr>
            <w:tcW w:w="4940" w:type="dxa"/>
            <w:vAlign w:val="bottom"/>
            <w:gridSpan w:val="27"/>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300" w:type="dxa"/>
            <w:vAlign w:val="bottom"/>
            <w:tcBorders>
              <w:right w:val="single" w:sz="8" w:color="auto"/>
            </w:tcBorders>
            <w:gridSpan w:val="35"/>
          </w:tcPr>
          <w:p>
            <w:pPr>
              <w:spacing w:after="0"/>
              <w:rPr>
                <w:sz w:val="20"/>
                <w:szCs w:val="20"/>
                <w:color w:val="auto"/>
              </w:rPr>
            </w:pPr>
            <w:r>
              <w:rPr>
                <w:rFonts w:ascii="Arial" w:cs="Arial" w:eastAsia="Arial" w:hAnsi="Arial"/>
                <w:sz w:val="12"/>
                <w:szCs w:val="12"/>
                <w:color w:val="auto"/>
              </w:rPr>
              <w:t>convertible preferred stock into</w:t>
            </w:r>
          </w:p>
        </w:tc>
        <w:tc>
          <w:tcPr>
            <w:tcW w:w="4940" w:type="dxa"/>
            <w:vAlign w:val="bottom"/>
            <w:gridSpan w:val="27"/>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common stock in connection</w:t>
            </w:r>
          </w:p>
        </w:tc>
        <w:tc>
          <w:tcPr>
            <w:tcW w:w="740" w:type="dxa"/>
            <w:vAlign w:val="bottom"/>
            <w:gridSpan w:val="4"/>
            <w:vMerge w:val="restart"/>
          </w:tcPr>
          <w:p>
            <w:pPr>
              <w:jc w:val="right"/>
              <w:spacing w:after="0"/>
              <w:rPr>
                <w:sz w:val="20"/>
                <w:szCs w:val="20"/>
                <w:color w:val="auto"/>
              </w:rPr>
            </w:pPr>
            <w:r>
              <w:rPr>
                <w:rFonts w:ascii="Arial" w:cs="Arial" w:eastAsia="Arial" w:hAnsi="Arial"/>
                <w:sz w:val="12"/>
                <w:szCs w:val="12"/>
                <w:color w:val="auto"/>
              </w:rPr>
              <w:t>(13,174,805)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2"/>
                <w:szCs w:val="12"/>
                <w:color w:val="auto"/>
                <w:w w:val="94"/>
              </w:rPr>
              <w:t>(5,494)</w:t>
            </w:r>
          </w:p>
        </w:tc>
        <w:tc>
          <w:tcPr>
            <w:tcW w:w="840" w:type="dxa"/>
            <w:vAlign w:val="bottom"/>
            <w:gridSpan w:val="5"/>
            <w:vMerge w:val="restart"/>
          </w:tcPr>
          <w:p>
            <w:pPr>
              <w:jc w:val="center"/>
              <w:ind w:left="58"/>
              <w:spacing w:after="0"/>
              <w:rPr>
                <w:sz w:val="20"/>
                <w:szCs w:val="20"/>
                <w:color w:val="auto"/>
              </w:rPr>
            </w:pPr>
            <w:r>
              <w:rPr>
                <w:rFonts w:ascii="Arial" w:cs="Arial" w:eastAsia="Arial" w:hAnsi="Arial"/>
                <w:sz w:val="12"/>
                <w:szCs w:val="12"/>
                <w:color w:val="auto"/>
                <w:w w:val="93"/>
              </w:rPr>
              <w:t>(16,836,436)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4"/>
            <w:vMerge w:val="restart"/>
          </w:tcPr>
          <w:p>
            <w:pPr>
              <w:jc w:val="right"/>
              <w:spacing w:after="0"/>
              <w:rPr>
                <w:sz w:val="20"/>
                <w:szCs w:val="20"/>
                <w:color w:val="auto"/>
              </w:rPr>
            </w:pPr>
            <w:r>
              <w:rPr>
                <w:rFonts w:ascii="Arial" w:cs="Arial" w:eastAsia="Arial" w:hAnsi="Arial"/>
                <w:sz w:val="12"/>
                <w:szCs w:val="12"/>
                <w:color w:val="auto"/>
                <w:w w:val="93"/>
              </w:rPr>
              <w:t>(27,067)</w:t>
            </w:r>
          </w:p>
        </w:tc>
        <w:tc>
          <w:tcPr>
            <w:tcW w:w="80" w:type="dxa"/>
            <w:vAlign w:val="bottom"/>
          </w:tcPr>
          <w:p>
            <w:pPr>
              <w:spacing w:after="0"/>
              <w:rPr>
                <w:sz w:val="10"/>
                <w:szCs w:val="10"/>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2"/>
                <w:szCs w:val="12"/>
                <w:color w:val="auto"/>
              </w:rPr>
              <w:t>(22,164,724)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2"/>
                <w:szCs w:val="12"/>
                <w:color w:val="auto"/>
                <w:w w:val="98"/>
              </w:rPr>
              <w:t>(75,857)</w:t>
            </w:r>
          </w:p>
        </w:tc>
        <w:tc>
          <w:tcPr>
            <w:tcW w:w="100" w:type="dxa"/>
            <w:vAlign w:val="bottom"/>
            <w:tcBorders>
              <w:right w:val="single" w:sz="8" w:color="auto"/>
            </w:tcBorders>
          </w:tcPr>
          <w:p>
            <w:pPr>
              <w:spacing w:after="0"/>
              <w:rPr>
                <w:sz w:val="10"/>
                <w:szCs w:val="10"/>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2"/>
                <w:szCs w:val="12"/>
                <w:color w:val="auto"/>
              </w:rPr>
              <w:t>52,175,965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2"/>
                <w:szCs w:val="12"/>
                <w:color w:val="auto"/>
              </w:rPr>
              <w:t>108,411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108,418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20" w:type="dxa"/>
            <w:vAlign w:val="bottom"/>
            <w:gridSpan w:val="3"/>
          </w:tcPr>
          <w:p>
            <w:pPr>
              <w:ind w:left="160"/>
              <w:spacing w:after="0"/>
              <w:rPr>
                <w:sz w:val="20"/>
                <w:szCs w:val="20"/>
                <w:color w:val="auto"/>
              </w:rPr>
            </w:pPr>
            <w:r>
              <w:rPr>
                <w:rFonts w:ascii="Arial" w:cs="Arial" w:eastAsia="Arial" w:hAnsi="Arial"/>
                <w:sz w:val="12"/>
                <w:szCs w:val="12"/>
                <w:color w:val="auto"/>
                <w:w w:val="97"/>
              </w:rPr>
              <w:t>with the reverse recapitalization</w:t>
            </w:r>
          </w:p>
        </w:tc>
        <w:tc>
          <w:tcPr>
            <w:tcW w:w="7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000" w:type="dxa"/>
            <w:vAlign w:val="bottom"/>
            <w:tcBorders>
              <w:right w:val="single" w:sz="8" w:color="CCEEFF"/>
            </w:tcBorders>
            <w:gridSpan w:val="32"/>
            <w:shd w:val="clear" w:color="auto" w:fill="CCEEFF"/>
          </w:tcPr>
          <w:p>
            <w:pPr>
              <w:spacing w:after="0"/>
              <w:rPr>
                <w:sz w:val="20"/>
                <w:szCs w:val="20"/>
                <w:color w:val="auto"/>
              </w:rPr>
            </w:pPr>
            <w:r>
              <w:rPr>
                <w:rFonts w:ascii="Arial" w:cs="Arial" w:eastAsia="Arial" w:hAnsi="Arial"/>
                <w:sz w:val="12"/>
                <w:szCs w:val="12"/>
                <w:color w:val="auto"/>
              </w:rPr>
              <w:t>Issuance of common stock upon the</w:t>
            </w:r>
          </w:p>
        </w:tc>
        <w:tc>
          <w:tcPr>
            <w:tcW w:w="300" w:type="dxa"/>
            <w:vAlign w:val="bottom"/>
            <w:tcBorders>
              <w:right w:val="single" w:sz="8" w:color="auto"/>
            </w:tcBorders>
            <w:gridSpan w:val="3"/>
            <w:shd w:val="clear" w:color="auto" w:fill="CCEEFF"/>
          </w:tcPr>
          <w:p>
            <w:pPr>
              <w:spacing w:after="0"/>
              <w:rPr>
                <w:sz w:val="11"/>
                <w:szCs w:val="11"/>
                <w:color w:val="auto"/>
              </w:rPr>
            </w:pPr>
          </w:p>
        </w:tc>
        <w:tc>
          <w:tcPr>
            <w:tcW w:w="4940" w:type="dxa"/>
            <w:vAlign w:val="bottom"/>
            <w:gridSpan w:val="27"/>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182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reverse recapitalization, net of</w:t>
            </w:r>
          </w:p>
        </w:tc>
        <w:tc>
          <w:tcPr>
            <w:tcW w:w="560" w:type="dxa"/>
            <w:vAlign w:val="bottom"/>
            <w:shd w:val="clear" w:color="auto" w:fill="CCEEFF"/>
          </w:tcPr>
          <w:p>
            <w:pPr>
              <w:spacing w:after="0"/>
              <w:rPr>
                <w:sz w:val="10"/>
                <w:szCs w:val="10"/>
                <w:color w:val="auto"/>
              </w:rPr>
            </w:pPr>
          </w:p>
        </w:tc>
        <w:tc>
          <w:tcPr>
            <w:tcW w:w="2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0"/>
                <w:szCs w:val="10"/>
                <w:color w:val="auto"/>
              </w:rPr>
            </w:pP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auto"/>
            </w:tcBorders>
            <w:shd w:val="clear" w:color="auto" w:fill="CCEEFF"/>
          </w:tcPr>
          <w:p>
            <w:pPr>
              <w:spacing w:after="0"/>
              <w:rPr>
                <w:sz w:val="10"/>
                <w:szCs w:val="10"/>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38,721,137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4"/>
            <w:vMerge w:val="restart"/>
            <w:shd w:val="clear" w:color="auto" w:fill="CCEEFF"/>
          </w:tcPr>
          <w:p>
            <w:pPr>
              <w:jc w:val="right"/>
              <w:spacing w:after="0"/>
              <w:rPr>
                <w:sz w:val="20"/>
                <w:szCs w:val="20"/>
                <w:color w:val="auto"/>
              </w:rPr>
            </w:pPr>
            <w:r>
              <w:rPr>
                <w:rFonts w:ascii="Arial" w:cs="Arial" w:eastAsia="Arial" w:hAnsi="Arial"/>
                <w:sz w:val="12"/>
                <w:szCs w:val="12"/>
                <w:color w:val="auto"/>
              </w:rPr>
              <w:t>327,276</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327,280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8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issuance costs</w:t>
            </w:r>
          </w:p>
        </w:tc>
        <w:tc>
          <w:tcPr>
            <w:tcW w:w="560" w:type="dxa"/>
            <w:vAlign w:val="bottom"/>
            <w:shd w:val="clear" w:color="auto" w:fill="CCEEFF"/>
          </w:tcPr>
          <w:p>
            <w:pPr>
              <w:spacing w:after="0"/>
              <w:rPr>
                <w:sz w:val="14"/>
                <w:szCs w:val="14"/>
                <w:color w:val="auto"/>
              </w:rPr>
            </w:pPr>
          </w:p>
        </w:tc>
        <w:tc>
          <w:tcPr>
            <w:tcW w:w="260" w:type="dxa"/>
            <w:vAlign w:val="bottom"/>
            <w:gridSpan w:val="4"/>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Arial" w:cs="Arial" w:eastAsia="Arial" w:hAnsi="Arial"/>
                <w:sz w:val="12"/>
                <w:szCs w:val="12"/>
                <w:color w:val="auto"/>
                <w:w w:val="93"/>
              </w:rPr>
              <w:t>Stock-based compensation expense</w:t>
            </w:r>
          </w:p>
        </w:tc>
        <w:tc>
          <w:tcPr>
            <w:tcW w:w="560" w:type="dxa"/>
            <w:vAlign w:val="bottom"/>
          </w:tcPr>
          <w:p>
            <w:pPr>
              <w:spacing w:after="0"/>
              <w:rPr>
                <w:sz w:val="16"/>
                <w:szCs w:val="16"/>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Arial" w:cs="Arial" w:eastAsia="Arial" w:hAnsi="Arial"/>
                <w:sz w:val="12"/>
                <w:szCs w:val="12"/>
                <w:color w:val="auto"/>
                <w:w w:val="86"/>
              </w:rPr>
              <w:t>3,156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5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Net loss</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(19,122)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(19,122)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Balances at June 30, 2021###</w:t>
            </w:r>
          </w:p>
        </w:tc>
        <w:tc>
          <w:tcPr>
            <w:tcW w:w="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2"/>
                <w:szCs w:val="12"/>
                <w:color w:val="auto"/>
                <w:w w:val="99"/>
              </w:rPr>
              <w:t>—</w:t>
            </w: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rPr>
              <w:t>124,094,390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2"/>
                <w:szCs w:val="12"/>
                <w:color w:val="auto"/>
              </w:rPr>
              <w:t>439,489</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390,044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gridSpan w:val="4"/>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right="420" w:hanging="314"/>
        <w:spacing w:after="0" w:line="265" w:lineRule="auto"/>
        <w:tabs>
          <w:tab w:leader="none" w:pos="30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78"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on securities,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251,780</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recapitalization</w:t>
            </w:r>
          </w:p>
        </w:tc>
        <w:tc>
          <w:tcPr>
            <w:tcW w:w="3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78"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On June 9, 2021 (the “Closing Date”),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44"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June 30, 2022, the results of its operations for the three and six months ended June 30, 2022 and 2021 and its cash flows for the six months ended June 30, 2022 and 2021. The results of operations for the three and six months ended June 30, 2022 are not necessarily indicative of the results that may be expected for the year ending December 31, 2022. These financial statements and accompanying notes should be read in conjunction with the consolidated financial statements and notes thereto in the Company’s Annual Report on Form 10-K for the fiscal year ended December 31, 2021 on file with the SEC. The Company’s reporting currency is the U.S. dollar.</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78"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inception and expects this to continue for the foreseeable future. As of June 30, 2022, the Company had an accumulated deficit of $111.1 million.</w:t>
      </w:r>
    </w:p>
    <w:p>
      <w:pPr>
        <w:spacing w:after="0" w:line="176"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$299.3 million as of June 30, 2022.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43" w:lineRule="exact"/>
        <w:rPr>
          <w:sz w:val="20"/>
          <w:szCs w:val="20"/>
          <w:color w:val="auto"/>
        </w:rPr>
      </w:pPr>
    </w:p>
    <w:p>
      <w:pPr>
        <w:jc w:val="both"/>
        <w:ind w:right="2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78" w:right="39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the economic environment will be reflected in the financial statements in future periods. As future events and their effects cannot be determined with precision, actual results could materially differ from those estimates and assumptions.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01"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5"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7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240" w:firstLine="318"/>
        <w:spacing w:after="0" w:line="265"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7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Comprehensive loss consists of net loss and other gains or losses affecting stockholders’ equity that, under U.S. GAAP are excluded from net loss. For the three and six months ended June 30, 2022 and 2021, unrealized losses on debt securities were included as components of comprehensive loss.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8"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78"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adoption of this ASU on its condensed consolidated financial statements and related disclosures. The Company does not anticipate adoption to have a material impact on its condensed consolidated financial statements.</w:t>
      </w:r>
    </w:p>
    <w:p>
      <w:pPr>
        <w:spacing w:after="0" w:line="122"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1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07"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78"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87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4"/>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details the assets carried at fair value and measured on a recurring basis within the three levels of fair value as of June 30, 2022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Reported as: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Short-term</w:t>
            </w:r>
          </w:p>
        </w:tc>
        <w:tc>
          <w:tcPr>
            <w:tcW w:w="20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investments</w:t>
            </w:r>
          </w:p>
        </w:tc>
        <w:tc>
          <w:tcPr>
            <w:tcW w:w="2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0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41,226</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40,998</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14,976</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24,201</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Reported as:</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Short-term</w:t>
            </w:r>
          </w:p>
        </w:tc>
        <w:tc>
          <w:tcPr>
            <w:tcW w:w="200" w:type="dxa"/>
            <w:vAlign w:val="bottom"/>
          </w:tcPr>
          <w:p>
            <w:pPr>
              <w:spacing w:after="0"/>
              <w:rPr>
                <w:sz w:val="11"/>
                <w:szCs w:val="11"/>
                <w:color w:val="auto"/>
              </w:rPr>
            </w:pPr>
          </w:p>
        </w:tc>
        <w:tc>
          <w:tcPr>
            <w:tcW w:w="1060" w:type="dxa"/>
            <w:vAlign w:val="bottom"/>
          </w:tcPr>
          <w:p>
            <w:pPr>
              <w:jc w:val="center"/>
              <w:ind w:right="115"/>
              <w:spacing w:after="0" w:line="131" w:lineRule="exact"/>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investments</w:t>
            </w:r>
          </w:p>
        </w:tc>
        <w:tc>
          <w:tcPr>
            <w:tcW w:w="2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20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301,906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260"/>
              <w:spacing w:after="0"/>
              <w:rPr>
                <w:sz w:val="20"/>
                <w:szCs w:val="20"/>
                <w:color w:val="auto"/>
              </w:rPr>
            </w:pPr>
            <w:r>
              <w:rPr>
                <w:rFonts w:ascii="Arial" w:cs="Arial" w:eastAsia="Arial" w:hAnsi="Arial"/>
                <w:sz w:val="18"/>
                <w:szCs w:val="18"/>
                <w:color w:val="auto"/>
              </w:rPr>
              <w:t>Total Level 1 and Level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362,284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362,100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Contractual maturities of short-term investments as of June 30, 2022 and December 31, 2021 are due in one year or less. Contractual maturities of long-term investments as of June 30, 2022 and December 31, 2021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7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after 1 year through 2 years. There were no continuous unrealized loss positions in excess of twelve months as of June 30, 2022 and December 31, 2021.</w:t>
      </w:r>
    </w:p>
    <w:p>
      <w:pPr>
        <w:spacing w:after="0" w:line="193" w:lineRule="exact"/>
        <w:rPr>
          <w:sz w:val="20"/>
          <w:szCs w:val="20"/>
          <w:color w:val="auto"/>
        </w:rPr>
      </w:pPr>
    </w:p>
    <w:p>
      <w:pPr>
        <w:ind w:right="4500" w:firstLine="6"/>
        <w:spacing w:after="0" w:line="433" w:lineRule="auto"/>
        <w:tabs>
          <w:tab w:leader="none" w:pos="6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40" w:firstLine="318"/>
        <w:spacing w:after="0" w:line="365" w:lineRule="auto"/>
        <w:rPr>
          <w:sz w:val="20"/>
          <w:szCs w:val="20"/>
          <w:color w:val="auto"/>
        </w:rPr>
      </w:pPr>
      <w:r>
        <w:rPr>
          <w:rFonts w:ascii="Arial" w:cs="Arial" w:eastAsia="Arial" w:hAnsi="Arial"/>
          <w:sz w:val="15"/>
          <w:szCs w:val="15"/>
          <w:color w:val="auto"/>
        </w:rPr>
        <w:t>The Company recorded depreciation expense of $0.3 million and $0.6 million for the three and six months ended June 30, 2022 and $0.3 million and $0.5 million for the three and six months ended June 30, 2021, respectively, which was primarily allocated to research and development expense.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facilities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7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8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June 30, 2022 the Company had no issued and outstanding Preferred Stock shares.</w:t>
      </w:r>
    </w:p>
    <w:p>
      <w:pPr>
        <w:spacing w:after="0" w:line="132"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8"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w:t>
      </w:r>
    </w:p>
    <w:p>
      <w:pPr>
        <w:spacing w:after="0" w:line="10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shares. There were 124,562,745 shares issued and outstanding as of June 30, 2022.</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right"/>
              <w:ind w:right="27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70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Stock options issued and outstanding</w:t>
            </w:r>
          </w:p>
        </w:tc>
        <w:tc>
          <w:tcPr>
            <w:tcW w:w="5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r>
      <w:tr>
        <w:trPr>
          <w:trHeight w:val="225"/>
        </w:trPr>
        <w:tc>
          <w:tcPr>
            <w:tcW w:w="2700" w:type="dxa"/>
            <w:vAlign w:val="bottom"/>
          </w:tcPr>
          <w:p>
            <w:pPr>
              <w:ind w:left="20"/>
              <w:spacing w:after="0"/>
              <w:rPr>
                <w:sz w:val="20"/>
                <w:szCs w:val="20"/>
                <w:color w:val="auto"/>
              </w:rPr>
            </w:pPr>
            <w:r>
              <w:rPr>
                <w:rFonts w:ascii="Arial" w:cs="Arial" w:eastAsia="Arial" w:hAnsi="Arial"/>
                <w:sz w:val="18"/>
                <w:szCs w:val="18"/>
                <w:color w:val="auto"/>
                <w:w w:val="88"/>
              </w:rPr>
              <w:t>Shares available for grant under 2021</w:t>
            </w:r>
          </w:p>
        </w:tc>
        <w:tc>
          <w:tcPr>
            <w:tcW w:w="532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17,384,590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14,481,463</w:t>
            </w:r>
          </w:p>
        </w:tc>
      </w:tr>
      <w:tr>
        <w:trPr>
          <w:trHeight w:val="225"/>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Shares available for grant under 2021</w:t>
            </w: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2,439,577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1,244,900</w:t>
            </w:r>
          </w:p>
        </w:tc>
      </w:tr>
      <w:tr>
        <w:trPr>
          <w:trHeight w:val="21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31,474,961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24,276,439</w:t>
            </w:r>
          </w:p>
        </w:tc>
      </w:tr>
      <w:tr>
        <w:trPr>
          <w:trHeight w:val="20"/>
        </w:trPr>
        <w:tc>
          <w:tcPr>
            <w:tcW w:w="2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2022 and 2021, no income tax expense or benefit was recognized, primarily due to a full valuation allowance recorded against its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7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On June 8, 2021, the stockholders of the Company approved the 2021 Equity Incentive Plan (“2021 Plan”) and the 2021 Employee Stock Purchase Plan (“2021 ESPP”). As of June 30, 2022, 17,384,590 and 2,439,577 shares were available for grant under the 2021 Plan and 2021 ESPP,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Under the 2021 ESPP, the Company can grant stock options to employees to purchase shares of Common Stock at a purchase price which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2022, the number of shares available under the ESPP increased by 1,243,030 shares pursuant to this feature.</w:t>
      </w:r>
    </w:p>
    <w:p>
      <w:pPr>
        <w:spacing w:after="0" w:line="319"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The first offering period was from October 1, 2021 through June 1, 2022. For subsequent offering periods, the Company will be offering a six month purchase period. As of June 30, 2022, 48,353 shares of common stock were purchased under the 2021 ESPP.</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2022, the number of shares available under the 2021 Plan increased by 6,215,154 shares pursuant to this feature.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4120" w:type="dxa"/>
            <w:vAlign w:val="bottom"/>
            <w:gridSpan w:val="4"/>
          </w:tcPr>
          <w:p>
            <w:pPr>
              <w:ind w:left="110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ind w:left="1200"/>
              <w:spacing w:after="0"/>
              <w:rPr>
                <w:sz w:val="20"/>
                <w:szCs w:val="20"/>
                <w:color w:val="auto"/>
              </w:rPr>
            </w:pPr>
            <w:r>
              <w:rPr>
                <w:rFonts w:ascii="Arial" w:cs="Arial" w:eastAsia="Arial" w:hAnsi="Arial"/>
                <w:sz w:val="14"/>
                <w:szCs w:val="14"/>
                <w:b w:val="1"/>
                <w:bCs w:val="1"/>
                <w:color w:val="auto"/>
                <w:w w:val="91"/>
              </w:rPr>
              <w:t>Six Months Ended June 30,</w:t>
            </w:r>
          </w:p>
        </w:tc>
        <w:tc>
          <w:tcPr>
            <w:tcW w:w="1160" w:type="dxa"/>
            <w:vAlign w:val="bottom"/>
          </w:tcPr>
          <w:p>
            <w:pPr>
              <w:spacing w:after="0"/>
              <w:rPr>
                <w:sz w:val="16"/>
                <w:szCs w:val="16"/>
                <w:color w:val="auto"/>
              </w:rPr>
            </w:pPr>
          </w:p>
        </w:tc>
      </w:tr>
      <w:tr>
        <w:trPr>
          <w:trHeight w:val="183"/>
        </w:trPr>
        <w:tc>
          <w:tcPr>
            <w:tcW w:w="2880" w:type="dxa"/>
            <w:vAlign w:val="bottom"/>
            <w:tcBorders>
              <w:bottom w:val="single" w:sz="8" w:color="CCEEFF"/>
            </w:tcBorders>
          </w:tcPr>
          <w:p>
            <w:pPr>
              <w:spacing w:after="0"/>
              <w:rPr>
                <w:sz w:val="15"/>
                <w:szCs w:val="15"/>
                <w:color w:val="auto"/>
              </w:rPr>
            </w:pPr>
          </w:p>
        </w:tc>
        <w:tc>
          <w:tcPr>
            <w:tcW w:w="196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98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w w:val="96"/>
              </w:rPr>
              <w:t>2021</w:t>
            </w: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105.2% - 109.1%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93.0% - 93.7%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105.2% - 110.0%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92.0% - 94.2%</w:t>
            </w:r>
          </w:p>
        </w:tc>
      </w:tr>
      <w:tr>
        <w:trPr>
          <w:trHeight w:val="22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2.80% - 3.36%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0.91% - 1.02%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1.73% - 3.36%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0.53% - 1.02%</w:t>
            </w:r>
          </w:p>
        </w:tc>
      </w:tr>
      <w:tr>
        <w:trPr>
          <w:trHeight w:val="22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 $4.72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 $11.16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 $4.72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$7.56 - $11.16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78"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jc w:val="both"/>
        <w:ind w:right="40" w:firstLine="318"/>
        <w:spacing w:after="0" w:line="215" w:lineRule="exact"/>
        <w:rPr>
          <w:sz w:val="20"/>
          <w:szCs w:val="20"/>
          <w:color w:val="auto"/>
        </w:rPr>
      </w:pPr>
      <w:r>
        <w:rPr>
          <w:rFonts w:ascii="Arial" w:cs="Arial" w:eastAsia="Arial" w:hAnsi="Arial"/>
          <w:sz w:val="15"/>
          <w:szCs w:val="15"/>
          <w:color w:val="auto"/>
        </w:rPr>
        <w:t>Expected volatility: Historically, the Company has been a private company and lacked company</w:t>
      </w:r>
      <w:r>
        <w:rPr>
          <w:rFonts w:ascii="MS PGothic" w:cs="MS PGothic" w:eastAsia="MS PGothic" w:hAnsi="MS PGothic"/>
          <w:sz w:val="15"/>
          <w:szCs w:val="15"/>
          <w:color w:val="auto"/>
        </w:rPr>
        <w:t>‑</w:t>
      </w:r>
      <w:r>
        <w:rPr>
          <w:rFonts w:ascii="Arial" w:cs="Arial" w:eastAsia="Arial" w:hAnsi="Arial"/>
          <w:sz w:val="15"/>
          <w:szCs w:val="15"/>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Expected dividend yield: The expected dividend rate is zero as the Company has no history or expectation of declaring dividends on its common stock.</w:t>
      </w:r>
    </w:p>
    <w:p>
      <w:pPr>
        <w:spacing w:after="0" w:line="199"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32"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six months ended June 30,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4,037,863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(725,836)</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Pr>
          <w:p>
            <w:pPr>
              <w:ind w:left="20"/>
              <w:spacing w:after="0" w:line="199" w:lineRule="exact"/>
              <w:rPr>
                <w:sz w:val="20"/>
                <w:szCs w:val="20"/>
                <w:color w:val="auto"/>
              </w:rPr>
            </w:pPr>
            <w:r>
              <w:rPr>
                <w:rFonts w:ascii="Arial" w:cs="Arial" w:eastAsia="Arial" w:hAnsi="Arial"/>
                <w:sz w:val="18"/>
                <w:szCs w:val="18"/>
                <w:color w:val="auto"/>
              </w:rPr>
              <w:t>Options vested and expected to vest as of June 30, 2022</w:t>
            </w: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11,650,794</w:t>
            </w:r>
          </w:p>
        </w:tc>
        <w:tc>
          <w:tcPr>
            <w:tcW w:w="2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9" w:lineRule="exact"/>
              <w:rPr>
                <w:sz w:val="20"/>
                <w:szCs w:val="20"/>
                <w:color w:val="auto"/>
              </w:rPr>
            </w:pPr>
            <w:r>
              <w:rPr>
                <w:rFonts w:ascii="Arial" w:cs="Arial" w:eastAsia="Arial" w:hAnsi="Arial"/>
                <w:sz w:val="18"/>
                <w:szCs w:val="18"/>
                <w:color w:val="auto"/>
              </w:rPr>
              <w:t>4.21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June 30,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3,279,223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As of June 30, 2022, there was $31.0 million of total unrecognized compensation expense expected to be recognized over a weighted average-period of 2.94 years. Aggregate intrinsic value represents the difference between the fair market value of the common stock and the exercise price of outstanding, in-the-money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7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June 30, 2022 as the Company had not yet received the related goods or services. As of June 30, 2022, the Company had open purchase commitments for goods and services of $2.0 million, which are expected to be received through the next 12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Company is obligated under certain non-cancellable operating leases for office space and laboratory space. This space includes operating leases in Seattle, Washington, and San Carlos, California.</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Seattle Leases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San Carlos Leases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41"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$1.2 million. The temporary office space lease agreement was recognized as a short-term lease due to the election of the short-term lease measurement and recognition exemption.</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In December 2021, the Company entered into another lease in San Carlos, California for nine years expected to commence in December 2022 and expiring in October 2031. The Company can terminate this lease after five years from commencement date without bearing any significant termination penalties and therefore the Company concluded that the lease term is five years with total minimum lease payments of $7.2 million. The Company may borrow funds from the landlord of up to $2.0 million with an interest rate of 7% to finance its tenant improvements. No amounts have been borrowed as of June 30, 2022.</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components of lease costs, which were included in operating expenses in condensed consolidated statements of operations,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19"/>
        </w:trPr>
        <w:tc>
          <w:tcPr>
            <w:tcW w:w="470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For the six months ended June 30, 2022 and 2021, cash paid for amounts included in the measurement of operating lease liabilities included in cash flows used in operating activities was $1.7 million and $0.8 million, respectively.</w:t>
      </w:r>
    </w:p>
    <w:p>
      <w:pPr>
        <w:spacing w:after="0" w:line="128"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As of June 30, 2022, the weighted-average remaining lease term and weighted-average discount rate for operating leases is 9.0 years and 8.9%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June 30, 2022:</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ending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(13,689)</w:t>
            </w: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78"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condensed consolidated balance sheets.</w:t>
      </w:r>
    </w:p>
    <w:p>
      <w:pPr>
        <w:spacing w:after="0" w:line="132" w:lineRule="exact"/>
        <w:rPr>
          <w:sz w:val="20"/>
          <w:szCs w:val="20"/>
          <w:color w:val="auto"/>
        </w:rPr>
      </w:pPr>
    </w:p>
    <w:p>
      <w:pPr>
        <w:ind w:left="620" w:hanging="614"/>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8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(30,452)</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124,494,036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124,456,518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44,130,773</w:t>
            </w: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92"/>
              </w:rPr>
              <w:t xml:space="preserve">Less: </w:t>
            </w:r>
            <w:r>
              <w:rPr>
                <w:rFonts w:ascii="Arial" w:cs="Arial" w:eastAsia="Arial" w:hAnsi="Arial"/>
                <w:sz w:val="18"/>
                <w:szCs w:val="18"/>
                <w:color w:val="auto"/>
                <w:w w:val="92"/>
              </w:rPr>
              <w:t>Weighted-average unvested restricted shares and shares</w:t>
            </w:r>
          </w:p>
        </w:tc>
        <w:tc>
          <w:tcPr>
            <w:tcW w:w="3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(34,624)</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3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20"/>
              <w:spacing w:after="0" w:line="154" w:lineRule="exact"/>
              <w:rPr>
                <w:sz w:val="20"/>
                <w:szCs w:val="20"/>
                <w:color w:val="auto"/>
              </w:rPr>
            </w:pPr>
            <w:r>
              <w:rPr>
                <w:rFonts w:ascii="Arial" w:cs="Arial" w:eastAsia="Arial" w:hAnsi="Arial"/>
                <w:sz w:val="17"/>
                <w:szCs w:val="17"/>
                <w:color w:val="auto"/>
                <w:w w:val="97"/>
              </w:rPr>
              <w:t>Weighted average shares used in computing net loss per share</w:t>
            </w: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124,494,036</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55,070,480</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124,456,518</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44,096,149</w:t>
            </w:r>
          </w:p>
        </w:tc>
        <w:tc>
          <w:tcPr>
            <w:tcW w:w="0" w:type="dxa"/>
            <w:vAlign w:val="bottom"/>
          </w:tcPr>
          <w:p>
            <w:pPr>
              <w:spacing w:after="0"/>
              <w:rPr>
                <w:sz w:val="1"/>
                <w:szCs w:val="1"/>
                <w:color w:val="auto"/>
              </w:rPr>
            </w:pPr>
          </w:p>
        </w:tc>
      </w:tr>
      <w:tr>
        <w:trPr>
          <w:trHeight w:val="198"/>
        </w:trPr>
        <w:tc>
          <w:tcPr>
            <w:tcW w:w="470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5"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Three and Six Months Ended</w:t>
      </w:r>
    </w:p>
    <w:p>
      <w:pPr>
        <w:jc w:val="center"/>
        <w:ind w:left="718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11,650,794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8,014,879</w:t>
            </w:r>
          </w:p>
        </w:tc>
      </w:tr>
      <w:tr>
        <w:trPr>
          <w:trHeight w:val="22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11,712,205</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78" w:right="339" w:bottom="1440" w:gutter="0" w:footer="0" w:header="0"/>
        </w:sectPr>
      </w:pPr>
    </w:p>
    <w:bookmarkStart w:id="25" w:name="page26"/>
    <w:bookmarkEnd w:id="2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2021 and the related notes included in the Company’s Annual Report on Form 10-K filed with the SEC on February 24, 2022.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04" w:lineRule="exact"/>
        <w:rPr>
          <w:sz w:val="20"/>
          <w:szCs w:val="20"/>
          <w:color w:val="auto"/>
        </w:rPr>
      </w:pPr>
    </w:p>
    <w:p>
      <w:pPr>
        <w:ind w:right="280" w:firstLine="318"/>
        <w:spacing w:after="0" w:line="277"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18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19" w:lineRule="exact"/>
        <w:rPr>
          <w:sz w:val="20"/>
          <w:szCs w:val="20"/>
          <w:color w:val="auto"/>
        </w:rPr>
      </w:pPr>
    </w:p>
    <w:p>
      <w:pPr>
        <w:ind w:right="420"/>
        <w:spacing w:after="0" w:line="330" w:lineRule="auto"/>
        <w:rPr>
          <w:sz w:val="20"/>
          <w:szCs w:val="20"/>
          <w:color w:val="auto"/>
        </w:rPr>
      </w:pPr>
      <w:r>
        <w:rPr>
          <w:rFonts w:ascii="Arial" w:cs="Arial" w:eastAsia="Arial" w:hAnsi="Arial"/>
          <w:sz w:val="15"/>
          <w:szCs w:val="15"/>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84"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We do not anticipate that these activities will result in any material revenue. During the second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321"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June 30, 2022, we had cash, cash equivalents and short-term investments of $299.3 million.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right="200"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$30.5 million during the six months ended June 30, 2022, and we expect to continue to incur significant losses for the foreseeable future as we continue our research and development activities and planned commercialization of our proteomics platform. As of June 30, 2022, we had an accumulated deficit of $111.1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13" w:lineRule="exact"/>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09"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monitor our supply chain and contingency planning is ongoing with our partners to reduce the possibility of an interruption to our development activities or the availability of necessary materials.</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with masking and vaccination requirements in our offices, and with our employees working remotely fully or intermittently as able from March 2020 until August 2022.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0"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8"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93"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440" w:right="379" w:bottom="1440" w:gutter="0" w:footer="0" w:header="0"/>
        </w:sectPr>
      </w:pPr>
    </w:p>
    <w:bookmarkStart w:id="29" w:name="page30"/>
    <w:bookmarkEnd w:id="2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commercial activities supporting the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June 30, 2022 to the Three Months Ended June 30,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60"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21590</wp:posOffset>
            </wp:positionV>
            <wp:extent cx="2019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51" w:lineRule="exact"/>
        <w:rPr>
          <w:sz w:val="20"/>
          <w:szCs w:val="20"/>
          <w:color w:val="auto"/>
        </w:rPr>
      </w:pPr>
    </w:p>
    <w:p>
      <w:pPr>
        <w:ind w:left="5340"/>
        <w:spacing w:after="0"/>
        <w:tabs>
          <w:tab w:leader="none" w:pos="692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36195</wp:posOffset>
            </wp:positionV>
            <wp:extent cx="19602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960245" cy="8255"/>
                    </a:xfrm>
                    <a:prstGeom prst="rect">
                      <a:avLst/>
                    </a:prstGeom>
                    <a:noFill/>
                  </pic:spPr>
                </pic:pic>
              </a:graphicData>
            </a:graphic>
          </wp:anchor>
        </w:drawing>
      </w:r>
    </w:p>
    <w:p>
      <w:pPr>
        <w:spacing w:after="0" w:line="54"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2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00" w:space="720"/>
            <w:col w:w="280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5"/>
        </w:trPr>
        <w:tc>
          <w:tcPr>
            <w:tcW w:w="47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8,856</w:t>
            </w:r>
          </w:p>
        </w:tc>
        <w:tc>
          <w:tcPr>
            <w:tcW w:w="8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18"/>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1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19"/>
        </w:trPr>
        <w:tc>
          <w:tcPr>
            <w:tcW w:w="4740" w:type="dxa"/>
            <w:vAlign w:val="bottom"/>
          </w:tcPr>
          <w:p>
            <w:pPr>
              <w:ind w:left="66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type w:val="continuous"/>
        </w:sectPr>
      </w:pPr>
    </w:p>
    <w:bookmarkStart w:id="30" w:name="page31"/>
    <w:bookmarkEnd w:id="3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Research and development expenses were $8.9 million for the three months ended June 30, 2022, compared to $6.4 million for the three months ended June 30, 2021, an increase of $2.5 million, or 39%. The increase was primarily due to a $1.8 million increase in salaries, related benefits, and stock-based compensation, a $0.8 million increase in costs for development services and a $0.5 million increase in facilities costs, partially offset by a $0.5 million reduction in laboratory supplies and equipment expense.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240" w:firstLine="318"/>
        <w:spacing w:after="0" w:line="277" w:lineRule="auto"/>
        <w:rPr>
          <w:sz w:val="20"/>
          <w:szCs w:val="20"/>
          <w:color w:val="auto"/>
        </w:rPr>
      </w:pPr>
      <w:r>
        <w:rPr>
          <w:rFonts w:ascii="Arial" w:cs="Arial" w:eastAsia="Arial" w:hAnsi="Arial"/>
          <w:sz w:val="17"/>
          <w:szCs w:val="17"/>
          <w:color w:val="auto"/>
        </w:rPr>
        <w:t>General and administrative expenses were $6.6 million for the three months ended June 30, 2022, compared to $4.3 million for the three months ended June 30, 2021, an increase of $2.3 million, or 53%. The increase was primarily due to a $1.1 million increase in salaries, related benefits, and stock-based compensation, a $0.5 million increase in insurance costs and a $0.3 million increase in facilities costs.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Other income (expense), net for the three months ended June 30, 2022 as compared to the three months ended June 30, 2021 changed primarily due to income from accretion and amortization on investments and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Six Months Ended June 30, 2022 to the Six Months Ended June 30,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2"/>
        </w:trPr>
        <w:tc>
          <w:tcPr>
            <w:tcW w:w="48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40" w:type="dxa"/>
            <w:vAlign w:val="bottom"/>
          </w:tcPr>
          <w:p>
            <w:pPr>
              <w:jc w:val="right"/>
              <w:ind w:right="517"/>
              <w:spacing w:after="0"/>
              <w:rPr>
                <w:sz w:val="20"/>
                <w:szCs w:val="20"/>
                <w:color w:val="auto"/>
              </w:rPr>
            </w:pPr>
            <w:r>
              <w:rPr>
                <w:rFonts w:ascii="Arial" w:cs="Arial" w:eastAsia="Arial" w:hAnsi="Arial"/>
                <w:sz w:val="14"/>
                <w:szCs w:val="14"/>
                <w:b w:val="1"/>
                <w:bCs w:val="1"/>
                <w:color w:val="auto"/>
              </w:rPr>
              <w:t>Change</w:t>
            </w:r>
          </w:p>
        </w:tc>
      </w:tr>
      <w:tr>
        <w:trPr>
          <w:trHeight w:val="197"/>
        </w:trPr>
        <w:tc>
          <w:tcPr>
            <w:tcW w:w="48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206"/>
        </w:trPr>
        <w:tc>
          <w:tcPr>
            <w:tcW w:w="4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5"/>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11,215</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6"/>
        </w:trPr>
        <w:tc>
          <w:tcPr>
            <w:tcW w:w="4840" w:type="dxa"/>
            <w:vAlign w:val="bottom"/>
            <w:shd w:val="clear" w:color="auto" w:fill="CCEEFF"/>
          </w:tcPr>
          <w:p>
            <w:pPr>
              <w:jc w:val="right"/>
              <w:ind w:right="2652"/>
              <w:spacing w:after="0"/>
              <w:rPr>
                <w:sz w:val="20"/>
                <w:szCs w:val="20"/>
                <w:color w:val="auto"/>
              </w:rPr>
            </w:pPr>
            <w:r>
              <w:rPr>
                <w:rFonts w:ascii="Arial" w:cs="Arial" w:eastAsia="Arial" w:hAnsi="Arial"/>
                <w:sz w:val="18"/>
                <w:szCs w:val="18"/>
                <w:color w:val="auto"/>
                <w:w w:val="96"/>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18"/>
        </w:trPr>
        <w:tc>
          <w:tcPr>
            <w:tcW w:w="4840" w:type="dxa"/>
            <w:vAlign w:val="bottom"/>
            <w:tcBorders>
              <w:bottom w:val="single" w:sz="8" w:color="CCEEFF"/>
            </w:tcBorders>
          </w:tcPr>
          <w:p>
            <w:pPr>
              <w:jc w:val="right"/>
              <w:ind w:right="2652"/>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r>
      <w:tr>
        <w:trPr>
          <w:trHeight w:val="218"/>
        </w:trPr>
        <w:tc>
          <w:tcPr>
            <w:tcW w:w="4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Research and development expenses were $18.5 million for the six months ended June 30, 2022, compared to $11.2 million for the six months ended June 30, 2021, an increase of $7.3 million, or 65%. The increase was primarily due to a $3.9 million increase in salaries, related benefits, and stock-based compensation, a $1.7 million increase in costs for development services, a $1.2 million increase in facilities costs and a $0.6 million increase in laboratory supplies and equipment expense.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General and administrative expenses were $13.0 million for the six months ended June 30, 2022, compared to $7.9 million for the six months ended June 30, 2021, an increase of $5.1 million, or 64%. The increase was primarily due to a $2.4 million increase in salaries, related benefits, and stock-based compensation, a $1.3 million increase in insurance costs and a $0.6 million increase in facilities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Other income (expense), net for the six months ended June 30, 2022 as compared to the six months ended June 30, 2021 changed primarily due to income from accretion and amortization on investments and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and negative cash flows from our operations. Our net loss was $30.5 million for the six months ended June 30, 2022. As of June 30, 2022, we had an accumulated deficit of $111.1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June 30, 2022, we had cash, cash equivalents and short-term investments of $299.3 million.</w:t>
      </w:r>
    </w:p>
    <w:p>
      <w:pPr>
        <w:spacing w:after="0" w:line="104"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10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4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the conflicts in Eastern Europe, and otherwise. Our failure to raise additional capital, if needed, would have a negative impact on our financial condition and our ability to execute our business plan.</w:t>
      </w:r>
    </w:p>
    <w:p>
      <w:pPr>
        <w:spacing w:after="0" w:line="14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Six Months Ended June 30, 2022 and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0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r>
      <w:tr>
        <w:trPr>
          <w:trHeight w:val="179"/>
        </w:trPr>
        <w:tc>
          <w:tcPr>
            <w:tcW w:w="8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(14,545)</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50,258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w w:val="89"/>
              </w:rPr>
              <w:t>(61,048)</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327,373</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24,735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5"/>
              </w:rPr>
              <w:t>251,780</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During the six months ended June 30, 2022, net cash used in operating activities was $25.9 million, primarily resulting from our operating loss of $30.5 million and decrease in net changes in assets and liabilities aggregating $1.6 million, primarily driven by $0.6 million decrease in accounts payable and a $0.5 million increase in prepaid expenses and other assets. Net cash used in operating activities was partially offset by non-cash charges aggregating $6.2 million, which primarily included $4.7 million of stock-based compensation and $1.1 million amortization of operating lease right-of-use assets.</w:t>
      </w:r>
    </w:p>
    <w:p>
      <w:pPr>
        <w:spacing w:after="0" w:line="93"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During the six months ended June 30, 2021, net cash used in operating activities was $14.5 million, primarily resulting from our operating loss of $19.1 million, offset by non-cash charges aggregating $4.6 million, which primarily included $3.2 million of stock-based compensation and $0.8 million amortization of operating lease right-of-use assets.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During the six months ended June 30, 2022, net cash provided by investing activities was $50.3 million, primarily resulting from $105.6 million in proceeds from maturities of securities, partially offset by $54.2 million in purchases of securities and $1.1 million in purchases of property and equipment.</w:t>
      </w:r>
    </w:p>
    <w:p>
      <w:pPr>
        <w:spacing w:after="0" w:line="5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During the six months ended June 30, 2021, net cash used in investing activities was $61.0 million, primarily resulting from $100.0 million in purchases of securities, partially offset by $40.0 million in proceeds from maturities of securities.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During the six months ended June 30, 2022, net cash provided by financing activities was $0.3 million of proceeds from exercise of stock options and issuance of common stock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During the six months ended June 30, 2021, net cash provided by financing activities was $327.4 million primarily resulting from $335.4 million in proceeds from the Business Combination and PIPE Financing, offset by $8.1 million in payments of offering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For a discussion of our contractual obligations and commitments, refer to Part I, Item 1, Note 10, “Commitments and Contingencies,” in our notes to condensed consolidated financial statements in this Quarterly Report on Form 10-Q.</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2"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right="20" w:firstLine="6"/>
        <w:spacing w:after="0" w:line="251" w:lineRule="auto"/>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1440" w:right="439" w:bottom="1440" w:gutter="0" w:footer="0" w:header="0"/>
        </w:sectPr>
      </w:pPr>
    </w:p>
    <w:bookmarkStart w:id="35" w:name="page36"/>
    <w:bookmarkEnd w:id="3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Our market risk exposure is primarily a result of fluctuations in interest rates and inflation. We do not hold or issue financial instruments for trading purposes.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had cash, cash equivalents, short-term and long-term investments of $334.9 million as of June 30,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June 30, 2022, the effect of a hypothetical 1.00% (100 basis point) change in interest rates would have changed the fair value of our marketable securities by $1.1 million. Such change would only be realized if we sold the marketable securities prior to maturity.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firstLine="318"/>
        <w:spacing w:after="0" w:line="214"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2022.</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2022 that has materially affected, or is reasonably likely to materially affect, our internal control over financial reporting.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64"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280"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right="1100"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40" w:firstLine="324"/>
        <w:spacing w:after="0" w:line="294" w:lineRule="auto"/>
        <w:tabs>
          <w:tab w:leader="none" w:pos="631"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ind w:left="600" w:hanging="31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Risks Related to Litigation</w:t>
      </w:r>
    </w:p>
    <w:p>
      <w:pPr>
        <w:spacing w:after="0" w:line="170" w:lineRule="exact"/>
        <w:rPr>
          <w:sz w:val="20"/>
          <w:szCs w:val="20"/>
          <w:color w:val="auto"/>
        </w:rPr>
      </w:pPr>
    </w:p>
    <w:p>
      <w:pPr>
        <w:ind w:left="-40" w:right="240" w:firstLine="324"/>
        <w:spacing w:after="0" w:line="264" w:lineRule="auto"/>
        <w:tabs>
          <w:tab w:leader="none" w:pos="5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127" w:lineRule="exact"/>
        <w:rPr>
          <w:rFonts w:ascii="Arial" w:cs="Arial" w:eastAsia="Arial" w:hAnsi="Arial"/>
          <w:sz w:val="18"/>
          <w:szCs w:val="18"/>
          <w:color w:val="auto"/>
        </w:rPr>
      </w:pPr>
    </w:p>
    <w:p>
      <w:pPr>
        <w:ind w:left="600" w:hanging="31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left="600" w:hanging="31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64" w:lineRule="exact"/>
        <w:rPr>
          <w:rFonts w:ascii="Arial" w:cs="Arial" w:eastAsia="Arial" w:hAnsi="Arial"/>
          <w:sz w:val="18"/>
          <w:szCs w:val="18"/>
          <w:color w:val="auto"/>
        </w:rPr>
      </w:pPr>
    </w:p>
    <w:p>
      <w:pPr>
        <w:ind w:left="-40" w:right="220" w:firstLine="324"/>
        <w:spacing w:after="0" w:line="264"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27" w:lineRule="exact"/>
        <w:rPr>
          <w:rFonts w:ascii="Arial" w:cs="Arial" w:eastAsia="Arial" w:hAnsi="Arial"/>
          <w:sz w:val="18"/>
          <w:szCs w:val="18"/>
          <w:color w:val="auto"/>
        </w:rPr>
      </w:pPr>
    </w:p>
    <w:p>
      <w:pPr>
        <w:ind w:left="-40" w:right="860" w:firstLine="324"/>
        <w:spacing w:after="0" w:line="294" w:lineRule="auto"/>
        <w:tabs>
          <w:tab w:leader="none" w:pos="5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4" w:lineRule="exact"/>
        <w:rPr>
          <w:rFonts w:ascii="Arial" w:cs="Arial" w:eastAsia="Arial" w:hAnsi="Arial"/>
          <w:sz w:val="17"/>
          <w:szCs w:val="17"/>
          <w:color w:val="auto"/>
        </w:rPr>
      </w:pPr>
    </w:p>
    <w:p>
      <w:pPr>
        <w:ind w:left="-40" w:right="460" w:firstLine="324"/>
        <w:spacing w:after="0" w:line="264"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27" w:lineRule="exact"/>
        <w:rPr>
          <w:rFonts w:ascii="Arial" w:cs="Arial" w:eastAsia="Arial" w:hAnsi="Arial"/>
          <w:sz w:val="18"/>
          <w:szCs w:val="18"/>
          <w:color w:val="auto"/>
        </w:rPr>
      </w:pPr>
    </w:p>
    <w:p>
      <w:pPr>
        <w:ind w:left="-40" w:right="300" w:firstLine="324"/>
        <w:spacing w:after="0" w:line="264"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600" w:hanging="31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left="-40" w:right="40" w:firstLine="324"/>
        <w:spacing w:after="0" w:line="264"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40" w:firstLine="324"/>
        <w:spacing w:after="0" w:line="264"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operations and financial results could be adversely impacted by global and national events, such as the COVID-19 pandemic, conflicts in Eastern Europe, and general economic downturns.</w:t>
      </w:r>
    </w:p>
    <w:p>
      <w:pPr>
        <w:spacing w:after="0" w:line="127" w:lineRule="exact"/>
        <w:rPr>
          <w:rFonts w:ascii="Arial" w:cs="Arial" w:eastAsia="Arial" w:hAnsi="Arial"/>
          <w:sz w:val="18"/>
          <w:szCs w:val="18"/>
          <w:color w:val="auto"/>
        </w:rPr>
      </w:pPr>
    </w:p>
    <w:p>
      <w:pPr>
        <w:ind w:left="600" w:hanging="31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40" w:right="240" w:firstLine="324"/>
        <w:spacing w:after="0" w:line="264" w:lineRule="auto"/>
        <w:tabs>
          <w:tab w:leader="none" w:pos="5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600" w:hanging="31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64" w:lineRule="exact"/>
        <w:rPr>
          <w:rFonts w:ascii="Arial" w:cs="Arial" w:eastAsia="Arial" w:hAnsi="Arial"/>
          <w:sz w:val="18"/>
          <w:szCs w:val="18"/>
          <w:color w:val="auto"/>
        </w:rPr>
      </w:pPr>
    </w:p>
    <w:p>
      <w:pPr>
        <w:ind w:left="-40" w:right="220" w:firstLine="324"/>
        <w:spacing w:after="0" w:line="264" w:lineRule="auto"/>
        <w:tabs>
          <w:tab w:leader="none" w:pos="5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27" w:lineRule="exact"/>
        <w:rPr>
          <w:rFonts w:ascii="Arial" w:cs="Arial" w:eastAsia="Arial" w:hAnsi="Arial"/>
          <w:sz w:val="18"/>
          <w:szCs w:val="18"/>
          <w:color w:val="auto"/>
        </w:rPr>
      </w:pPr>
    </w:p>
    <w:p>
      <w:pPr>
        <w:ind w:left="-40" w:right="380" w:firstLine="324"/>
        <w:spacing w:after="0" w:line="264" w:lineRule="auto"/>
        <w:tabs>
          <w:tab w:leader="none" w:pos="5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60" w:top="1440" w:right="359" w:bottom="1440" w:gutter="0" w:footer="0" w:header="0"/>
        </w:sectPr>
      </w:pPr>
    </w:p>
    <w:bookmarkStart w:id="39" w:name="page40"/>
    <w:bookmarkEnd w:id="39"/>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$14.7 million and $10.7 million during the three and six months ended June 30, 2022 and 2021, respectively. As of June 30, 2022, we had an accumulated deficit of $111.1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09"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07" w:lineRule="exact"/>
        <w:rPr>
          <w:sz w:val="20"/>
          <w:szCs w:val="20"/>
          <w:color w:val="auto"/>
        </w:rPr>
      </w:pPr>
    </w:p>
    <w:p>
      <w:pPr>
        <w:ind w:right="440" w:firstLine="318"/>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and are seeking to enter into collaborations with a small number of research customers, including with biopharmaceutical companies and key opinion leaders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whose assessment and validation of our products can significantly influence other researchers in their respective markets and/or fields. We do not anticipate that these activities will result in any material revenue. During the second, early access phase, we expect to work closely with early access customers to demonstrate a unique value proposition for our Nautilus platform. During this phase, we plan to provide early access program partners with broad-scale analysis and profiling of samples analyzed in our facility and shared via a cloud platform. We anticipate meaningful early access engagements and associated revenue to begin at the start of 2024. We expect this second phase to lead into the third phase of broad commercialization and launch of the proteome analysis platform in mid-2024.</w:t>
      </w:r>
    </w:p>
    <w:p>
      <w:pPr>
        <w:spacing w:after="0" w:line="143"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2"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16" w:lineRule="exact"/>
        <w:rPr>
          <w:rFonts w:ascii="Arial" w:cs="Arial" w:eastAsia="Arial" w:hAnsi="Arial"/>
          <w:sz w:val="18"/>
          <w:szCs w:val="18"/>
          <w:color w:val="auto"/>
        </w:rPr>
      </w:pPr>
    </w:p>
    <w:p>
      <w:pPr>
        <w:ind w:right="580"/>
        <w:spacing w:after="0" w:line="280" w:lineRule="auto"/>
        <w:rPr>
          <w:rFonts w:ascii="Arial" w:cs="Arial" w:eastAsia="Arial" w:hAnsi="Arial"/>
          <w:sz w:val="18"/>
          <w:szCs w:val="18"/>
          <w:color w:val="auto"/>
        </w:rPr>
      </w:pPr>
      <w:r>
        <w:rPr>
          <w:rFonts w:ascii="Arial" w:cs="Arial" w:eastAsia="Arial" w:hAnsi="Arial"/>
          <w:sz w:val="17"/>
          <w:szCs w:val="17"/>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19" w:lineRule="exact"/>
        <w:rPr>
          <w:sz w:val="20"/>
          <w:szCs w:val="20"/>
          <w:color w:val="auto"/>
        </w:rPr>
      </w:pPr>
    </w:p>
    <w:p>
      <w:pPr>
        <w:ind w:right="6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right="6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right="80" w:firstLine="324"/>
        <w:spacing w:after="0" w:line="255"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right="36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8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1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right="400" w:firstLine="324"/>
        <w:spacing w:after="0" w:line="264"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1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99"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right="240" w:firstLine="324"/>
        <w:spacing w:after="0" w:line="255" w:lineRule="auto"/>
        <w:tabs>
          <w:tab w:leader="none" w:pos="6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6"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19"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19"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93"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2"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jc w:val="both"/>
        <w:ind w:right="380" w:firstLine="318"/>
        <w:spacing w:after="0" w:line="255" w:lineRule="auto"/>
        <w:rPr>
          <w:sz w:val="20"/>
          <w:szCs w:val="20"/>
          <w:color w:val="auto"/>
        </w:rPr>
      </w:pPr>
      <w:r>
        <w:rPr>
          <w:rFonts w:ascii="Arial" w:cs="Arial" w:eastAsia="Arial" w:hAnsi="Arial"/>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1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Danaher; Luminex; Olink Proteomics; Quanterix; SomaLogic; Quantum-Si; and Thermo Fisher Scientific. We also compete with a number of emerging companies that are developing proteomic products and solutions.</w:t>
      </w:r>
    </w:p>
    <w:p>
      <w:pPr>
        <w:spacing w:after="0" w:line="12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19"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5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2"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09"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successfully establish and successfully maintain appropriate collaborations and derive revenue from those collaborations; and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level of demand for any products we are able to commercialize, particularly our Nautilus platform, which may vary significantly from period to</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right="36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right="240" w:firstLine="324"/>
        <w:spacing w:after="0" w:line="365" w:lineRule="auto"/>
        <w:tabs>
          <w:tab w:leader="none" w:pos="63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impact of the COVID-19 pandemic, the conflicts in Eastern Europe, and other national and global events on the economy, investment in life sciences and research industries, our business operations, and resources and operations of our customers, suppliers, and distributors; and</w:t>
      </w:r>
    </w:p>
    <w:p>
      <w:pPr>
        <w:spacing w:after="0" w:line="58" w:lineRule="exact"/>
        <w:rPr>
          <w:rFonts w:ascii="Arial" w:cs="Arial" w:eastAsia="Arial" w:hAnsi="Arial"/>
          <w:sz w:val="15"/>
          <w:szCs w:val="15"/>
          <w:color w:val="auto"/>
        </w:rPr>
      </w:pPr>
    </w:p>
    <w:p>
      <w:pPr>
        <w:ind w:right="400" w:firstLine="324"/>
        <w:spacing w:after="0" w:line="264" w:lineRule="auto"/>
        <w:tabs>
          <w:tab w:leader="none" w:pos="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1440" w:right="539" w:bottom="1440" w:gutter="0" w:footer="0" w:header="0"/>
        </w:sectPr>
      </w:pPr>
    </w:p>
    <w:bookmarkStart w:id="48" w:name="page49"/>
    <w:bookmarkEnd w:id="48"/>
    <w:p>
      <w:pPr>
        <w:spacing w:after="0" w:line="1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firstLine="318"/>
        <w:spacing w:after="0" w:line="214" w:lineRule="exact"/>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7"/>
          <w:szCs w:val="17"/>
          <w:color w:val="auto"/>
        </w:rPr>
        <w:t>‑</w:t>
      </w:r>
      <w:r>
        <w:rPr>
          <w:rFonts w:ascii="Arial" w:cs="Arial" w:eastAsia="Arial" w:hAnsi="Arial"/>
          <w:sz w:val="17"/>
          <w:szCs w:val="17"/>
          <w:color w:val="auto"/>
        </w:rPr>
        <w:t>19 pandemic, the conflicts in Eastern Europe,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5"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5"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19"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4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3"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4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19"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2"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2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19"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 xml:space="preserve">Some of our patents or patent applications may be challenged at a future point in time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19"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28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jc w:val="both"/>
        <w:ind w:right="780" w:firstLine="31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0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4" w:lineRule="exact"/>
        <w:rPr>
          <w:sz w:val="20"/>
          <w:szCs w:val="20"/>
          <w:color w:val="auto"/>
        </w:rPr>
      </w:pPr>
    </w:p>
    <w:p>
      <w:pPr>
        <w:ind w:right="380" w:firstLine="318"/>
        <w:spacing w:after="0" w:line="318" w:lineRule="auto"/>
        <w:rPr>
          <w:sz w:val="20"/>
          <w:szCs w:val="20"/>
          <w:color w:val="auto"/>
        </w:rPr>
      </w:pPr>
      <w:r>
        <w:rPr>
          <w:rFonts w:ascii="Arial" w:cs="Arial" w:eastAsia="Arial" w:hAnsi="Arial"/>
          <w:sz w:val="15"/>
          <w:szCs w:val="15"/>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right="10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right="360" w:firstLine="324"/>
        <w:spacing w:after="0" w:line="26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left="320" w:right="920"/>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ind w:right="260" w:firstLine="318"/>
        <w:spacing w:after="0" w:line="33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8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32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6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In manufacturing our Nautilus platform, we depend upon third parties for the supply of various components. Many of these components require a significant degree of technical expertise to produce. If our suppliers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produce components to specification, or if the suppliers, or we, use defective materials or workmanship in the manufacturing process, the reliability and performance of our products will be compromised.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300" w:firstLine="4"/>
        <w:spacing w:after="0" w:line="516" w:lineRule="auto"/>
        <w:tabs>
          <w:tab w:leader="none" w:pos="633" w:val="left"/>
        </w:tabs>
        <w:numPr>
          <w:ilvl w:val="0"/>
          <w:numId w:val="39"/>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32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0"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440" w:right="379" w:bottom="1440" w:gutter="0" w:footer="0" w:header="0"/>
        </w:sectPr>
      </w:pPr>
    </w:p>
    <w:bookmarkStart w:id="60" w:name="page61"/>
    <w:bookmarkEnd w:id="60"/>
    <w:p>
      <w:pPr>
        <w:spacing w:after="0" w:line="119" w:lineRule="exact"/>
        <w:rPr>
          <w:sz w:val="20"/>
          <w:szCs w:val="20"/>
          <w:color w:val="auto"/>
        </w:rPr>
      </w:pPr>
    </w:p>
    <w:p>
      <w:pPr>
        <w:jc w:val="both"/>
        <w:ind w:right="260"/>
        <w:spacing w:after="0" w:line="318" w:lineRule="auto"/>
        <w:rPr>
          <w:sz w:val="20"/>
          <w:szCs w:val="20"/>
          <w:color w:val="auto"/>
        </w:rPr>
      </w:pPr>
      <w:r>
        <w:rPr>
          <w:rFonts w:ascii="Arial" w:cs="Arial" w:eastAsia="Arial" w:hAnsi="Arial"/>
          <w:sz w:val="15"/>
          <w:szCs w:val="15"/>
          <w:color w:val="auto"/>
        </w:rPr>
        <w:t>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93" w:lineRule="exact"/>
        <w:rPr>
          <w:sz w:val="20"/>
          <w:szCs w:val="20"/>
          <w:color w:val="auto"/>
        </w:rPr>
      </w:pPr>
    </w:p>
    <w:p>
      <w:pPr>
        <w:ind w:right="100" w:firstLine="318"/>
        <w:spacing w:after="0" w:line="300" w:lineRule="auto"/>
        <w:rPr>
          <w:sz w:val="20"/>
          <w:szCs w:val="20"/>
          <w:color w:val="auto"/>
        </w:rPr>
      </w:pPr>
      <w:r>
        <w:rPr>
          <w:rFonts w:ascii="Arial" w:cs="Arial" w:eastAsia="Arial" w:hAnsi="Arial"/>
          <w:sz w:val="15"/>
          <w:szCs w:val="15"/>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321"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7" w:lineRule="exact"/>
        <w:rPr>
          <w:sz w:val="20"/>
          <w:szCs w:val="20"/>
          <w:color w:val="auto"/>
        </w:rPr>
      </w:pPr>
    </w:p>
    <w:p>
      <w:pPr>
        <w:ind w:right="100" w:firstLine="318"/>
        <w:spacing w:after="0" w:line="301"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19"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41"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8"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19"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9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04"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right="180" w:firstLine="324"/>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systems;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right="220" w:firstLine="324"/>
        <w:spacing w:after="0" w:line="277" w:lineRule="auto"/>
        <w:tabs>
          <w:tab w:leader="none" w:pos="6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6"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19"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28"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21"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04"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99"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2022, we had 124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This competition has become exacerbated by the increase in employee resignations in 2021 reported by employers nationwide and continued high rates of employee turnover continuing into 2022.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2"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0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ind w:right="120" w:firstLine="324"/>
        <w:spacing w:after="0" w:line="277" w:lineRule="auto"/>
        <w:tabs>
          <w:tab w:leader="none" w:pos="631"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right="80" w:firstLine="324"/>
        <w:spacing w:after="0" w:line="255"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the emergence or further spread of additional variants, and the risk of waning immunity among persons already vaccinated among others. While we do not yet know the full extent of potential impacts on our business, any of these occurrences could significantly harm our business, results of operations and financial condition.</w:t>
      </w:r>
    </w:p>
    <w:p>
      <w:pPr>
        <w:spacing w:after="0" w:line="99"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multiple global events, including the COVID-19 pandemic, the conflict in Eastern Europe, increasing interest rates and general economic downturns, could adversely affect our ability to raise capital and our business, results of operations and financial condition.</w:t>
      </w:r>
    </w:p>
    <w:p>
      <w:pPr>
        <w:spacing w:after="0" w:line="135"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While the potential economic impact brought by multiple adverse global circumstances, such as the COVID-19 pandemic conflicts in Eastern Europe, increasing interest rates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r>
        <w:rPr>
          <w:rFonts w:ascii="Arial" w:cs="Arial" w:eastAsia="Arial" w:hAnsi="Arial"/>
          <w:sz w:val="18"/>
          <w:szCs w:val="18"/>
          <w:b w:val="1"/>
          <w:bCs w:val="1"/>
          <w:color w:val="auto"/>
        </w:rPr>
        <w:t>.</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 For example, as discussed in the risk factor above entitled “</w:t>
      </w:r>
      <w:r>
        <w:rPr>
          <w:rFonts w:ascii="Arial" w:cs="Arial" w:eastAsia="Arial" w:hAnsi="Arial"/>
          <w:sz w:val="15"/>
          <w:szCs w:val="15"/>
          <w:b w:val="1"/>
          <w:bCs w:val="1"/>
          <w:i w:val="1"/>
          <w:iCs w:val="1"/>
          <w:color w:val="auto"/>
        </w:rPr>
        <w:t>The COVID-19 pandemic and efforts</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to reduce its spread have adversely impacted and are expected to continue to materially and adversely impact, our business and operations</w:t>
      </w:r>
      <w:r>
        <w:rPr>
          <w:rFonts w:ascii="Arial" w:cs="Arial" w:eastAsia="Arial" w:hAnsi="Arial"/>
          <w:sz w:val="15"/>
          <w:szCs w:val="15"/>
          <w:color w:val="auto"/>
        </w:rPr>
        <w:t>,” we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similar delays could impact us if they recur or are exacerbated due to the situation in Ukraine.</w:t>
      </w:r>
    </w:p>
    <w:p>
      <w:pPr>
        <w:spacing w:after="0" w:line="10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320" w:top="1440" w:right="419" w:bottom="1440" w:gutter="0" w:footer="0" w:header="0"/>
        </w:sectPr>
      </w:pPr>
    </w:p>
    <w:bookmarkStart w:id="71" w:name="page72"/>
    <w:bookmarkEnd w:id="71"/>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right="260"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64" w:lineRule="exact"/>
        <w:rPr>
          <w:rFonts w:ascii="Arial" w:cs="Arial" w:eastAsia="Arial" w:hAnsi="Arial"/>
          <w:sz w:val="18"/>
          <w:szCs w:val="18"/>
          <w:color w:val="auto"/>
        </w:rPr>
      </w:pPr>
    </w:p>
    <w:p>
      <w:pPr>
        <w:ind w:right="240" w:firstLine="324"/>
        <w:spacing w:after="0" w:line="255"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19"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As of June 30, 2022, our directors, executive officers, holders of more than 5% of our outstanding shares of Common Stock and their respective affiliates beneficially owned, collectively, approximately 68.3%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28"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19"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265" w:lineRule="auto"/>
        <w:tabs>
          <w:tab w:leader="none" w:pos="309"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8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firstLine="324"/>
        <w:spacing w:after="0" w:line="294" w:lineRule="auto"/>
        <w:tabs>
          <w:tab w:leader="none" w:pos="631"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right="580"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64"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440" w:right="379" w:bottom="1440" w:gutter="0" w:footer="0" w:header="0"/>
        </w:sectPr>
      </w:pPr>
    </w:p>
    <w:bookmarkStart w:id="76" w:name="page77"/>
    <w:bookmarkEnd w:id="76"/>
    <w:p>
      <w:pPr>
        <w:spacing w:after="0" w:line="119"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color w:val="auto"/>
        </w:rPr>
        <w:t>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9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5"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139"/>
          </w:cols>
          <w:pgMar w:left="320" w:top="1440" w:right="1440" w:bottom="1440" w:gutter="0" w:footer="0" w:header="0"/>
        </w:sectPr>
      </w:pPr>
    </w:p>
    <w:bookmarkStart w:id="79" w:name="page80"/>
    <w:bookmarkEnd w:id="7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180" w:type="dxa"/>
            <w:vAlign w:val="bottom"/>
            <w:gridSpan w:val="8"/>
            <w:vMerge w:val="restart"/>
          </w:tcPr>
          <w:p>
            <w:pPr>
              <w:ind w:left="3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18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4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6"/>
                <w:szCs w:val="16"/>
                <w:color w:val="auto"/>
              </w:rPr>
              <w:t>10.1*+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320" w:type="dxa"/>
            <w:vAlign w:val="bottom"/>
            <w:tcBorders>
              <w:top w:val="single" w:sz="8" w:color="auto"/>
              <w:bottom w:val="single" w:sz="8" w:color="0000FF"/>
            </w:tcBorders>
            <w:gridSpan w:val="3"/>
          </w:tcPr>
          <w:p>
            <w:pPr>
              <w:spacing w:after="0" w:line="180"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Offer Letter between Nautilus Biotechnology, Inc. and Mary Godwin dated July 26, 2022</w:t>
              </w:r>
            </w:hyperlink>
          </w:p>
        </w:tc>
        <w:tc>
          <w:tcPr>
            <w:tcW w:w="370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FF"/>
            </w:tcBorders>
            <w:gridSpan w:val="4"/>
          </w:tcPr>
          <w:p>
            <w:pPr>
              <w:spacing w:after="0" w:line="205"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Change in Control and Severance Agreement between Nautilus Biotechnology, Inc. and Mary Godwin dated June 27, 2022</w:t>
              </w:r>
            </w:hyperlink>
          </w:p>
        </w:tc>
        <w:tc>
          <w:tcPr>
            <w:tcW w:w="1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31.1*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9"/>
          </w:tcPr>
          <w:p>
            <w:pPr>
              <w:spacing w:after="0" w:line="205"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6"/>
          </w:tcPr>
          <w:p>
            <w:pPr>
              <w:spacing w:after="0" w:line="152" w:lineRule="exact"/>
              <w:rPr>
                <w:rFonts w:ascii="Arial" w:cs="Arial" w:eastAsia="Arial" w:hAnsi="Arial"/>
                <w:sz w:val="17"/>
                <w:szCs w:val="17"/>
                <w:color w:val="0000FF"/>
              </w:rPr>
            </w:pPr>
            <w:hyperlink r:id="rId41">
              <w:r>
                <w:rPr>
                  <w:rFonts w:ascii="Arial" w:cs="Arial" w:eastAsia="Arial" w:hAnsi="Arial"/>
                  <w:sz w:val="17"/>
                  <w:szCs w:val="17"/>
                  <w:color w:val="0000FF"/>
                </w:rPr>
                <w:t>Adopted Pursuant to Section 302 of the Sarbanes-Oxley Act of 2002</w:t>
              </w:r>
            </w:hyperlink>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9"/>
          </w:tcPr>
          <w:p>
            <w:pPr>
              <w:spacing w:after="0" w:line="205"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r:id="rId42">
              <w:r>
                <w:rPr>
                  <w:rFonts w:ascii="Arial" w:cs="Arial" w:eastAsia="Arial" w:hAnsi="Arial"/>
                  <w:sz w:val="17"/>
                  <w:szCs w:val="17"/>
                  <w:color w:val="0000FF"/>
                </w:rPr>
                <w:t>Adopted Pursuant to Section 302 of the Sarbanes-Oxley Act of 2002</w:t>
              </w:r>
            </w:hyperlink>
          </w:p>
        </w:tc>
        <w:tc>
          <w:tcPr>
            <w:tcW w:w="4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20" w:type="dxa"/>
            <w:vAlign w:val="bottom"/>
            <w:gridSpan w:val="9"/>
          </w:tcPr>
          <w:p>
            <w:pPr>
              <w:spacing w:after="0" w:line="205"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43">
              <w:r>
                <w:rPr>
                  <w:rFonts w:ascii="Arial" w:cs="Arial" w:eastAsia="Arial" w:hAnsi="Arial"/>
                  <w:sz w:val="17"/>
                  <w:szCs w:val="17"/>
                  <w:color w:val="0000FF"/>
                  <w:w w:val="95"/>
                </w:rPr>
                <w:t>Act of 2002</w:t>
              </w:r>
            </w:hyperlink>
          </w:p>
        </w:tc>
        <w:tc>
          <w:tcPr>
            <w:tcW w:w="902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20" w:type="dxa"/>
            <w:vAlign w:val="bottom"/>
            <w:gridSpan w:val="9"/>
          </w:tcPr>
          <w:p>
            <w:pPr>
              <w:spacing w:after="0" w:line="205"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44">
              <w:r>
                <w:rPr>
                  <w:rFonts w:ascii="Arial" w:cs="Arial" w:eastAsia="Arial" w:hAnsi="Arial"/>
                  <w:sz w:val="17"/>
                  <w:szCs w:val="17"/>
                  <w:color w:val="0000FF"/>
                  <w:w w:val="95"/>
                </w:rPr>
                <w:t>Act of 2002</w:t>
              </w:r>
            </w:hyperlink>
          </w:p>
        </w:tc>
        <w:tc>
          <w:tcPr>
            <w:tcW w:w="8960" w:type="dxa"/>
            <w:vAlign w:val="bottom"/>
            <w:tcBorders>
              <w:top w:val="single" w:sz="8" w:color="0000FF"/>
            </w:tcBorders>
            <w:gridSpan w:val="6"/>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6"/>
                <w:szCs w:val="16"/>
                <w:color w:val="auto"/>
              </w:rPr>
            </w:pPr>
          </w:p>
        </w:tc>
        <w:tc>
          <w:tcPr>
            <w:tcW w:w="10020" w:type="dxa"/>
            <w:vAlign w:val="bottom"/>
            <w:gridSpan w:val="9"/>
          </w:tcPr>
          <w:p>
            <w:pPr>
              <w:spacing w:after="0" w:line="193"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5"/>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220" w:hanging="1196"/>
        <w:spacing w:after="0"/>
        <w:tabs>
          <w:tab w:leader="none" w:pos="1220" w:val="left"/>
        </w:tabs>
        <w:numPr>
          <w:ilvl w:val="0"/>
          <w:numId w:val="48"/>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37" w:lineRule="auto"/>
        <w:rPr>
          <w:sz w:val="20"/>
          <w:szCs w:val="20"/>
          <w:color w:val="auto"/>
        </w:rPr>
      </w:pPr>
      <w:r>
        <w:rPr>
          <w:rFonts w:ascii="Arial" w:cs="Arial" w:eastAsia="Arial" w:hAnsi="Arial"/>
          <w:sz w:val="14"/>
          <w:szCs w:val="14"/>
          <w:color w:val="auto"/>
        </w:rPr>
        <w:t>+ Indicates management contract or compensatory plan.</w:t>
      </w:r>
    </w:p>
    <w:p>
      <w:pPr>
        <w:ind w:left="320" w:right="100" w:hanging="314"/>
        <w:spacing w:after="0" w:line="269" w:lineRule="auto"/>
        <w:tabs>
          <w:tab w:leader="none" w:pos="108"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7760" w:type="dxa"/>
            <w:vAlign w:val="bottom"/>
            <w:gridSpan w:val="2"/>
          </w:tcPr>
          <w:p>
            <w:pPr>
              <w:ind w:left="1940"/>
              <w:spacing w:after="0"/>
              <w:rPr>
                <w:sz w:val="20"/>
                <w:szCs w:val="20"/>
                <w:color w:val="auto"/>
              </w:rPr>
            </w:pPr>
            <w:r>
              <w:rPr>
                <w:rFonts w:ascii="Arial" w:cs="Arial" w:eastAsia="Arial" w:hAnsi="Arial"/>
                <w:sz w:val="18"/>
                <w:szCs w:val="18"/>
                <w:b w:val="1"/>
                <w:bCs w:val="1"/>
                <w:color w:val="auto"/>
              </w:rPr>
              <w:t>NAUTILUS BIOTECHNOLOGY, INC.</w:t>
            </w:r>
          </w:p>
        </w:tc>
      </w:tr>
      <w:tr>
        <w:trPr>
          <w:trHeight w:val="491"/>
        </w:trPr>
        <w:tc>
          <w:tcPr>
            <w:tcW w:w="3460" w:type="dxa"/>
            <w:vAlign w:val="bottom"/>
          </w:tcPr>
          <w:p>
            <w:pPr>
              <w:spacing w:after="0"/>
              <w:rPr>
                <w:sz w:val="20"/>
                <w:szCs w:val="20"/>
                <w:color w:val="auto"/>
              </w:rPr>
            </w:pPr>
            <w:r>
              <w:rPr>
                <w:rFonts w:ascii="Arial" w:cs="Arial" w:eastAsia="Arial" w:hAnsi="Arial"/>
                <w:sz w:val="18"/>
                <w:szCs w:val="18"/>
                <w:color w:val="auto"/>
              </w:rPr>
              <w:t>Date: August 2, 2022</w:t>
            </w:r>
          </w:p>
        </w:tc>
        <w:tc>
          <w:tcPr>
            <w:tcW w:w="7760" w:type="dxa"/>
            <w:vAlign w:val="bottom"/>
            <w:gridSpan w:val="2"/>
          </w:tcPr>
          <w:p>
            <w:pPr>
              <w:ind w:left="1940"/>
              <w:spacing w:after="0"/>
              <w:rPr>
                <w:sz w:val="20"/>
                <w:szCs w:val="20"/>
                <w:color w:val="auto"/>
              </w:rPr>
            </w:pPr>
            <w:r>
              <w:rPr>
                <w:rFonts w:ascii="Arial" w:cs="Arial" w:eastAsia="Arial" w:hAnsi="Arial"/>
                <w:sz w:val="18"/>
                <w:szCs w:val="18"/>
                <w:color w:val="auto"/>
              </w:rPr>
              <w:t>By:  /s/ Sujal Patel</w:t>
            </w:r>
          </w:p>
        </w:tc>
      </w:tr>
      <w:tr>
        <w:trPr>
          <w:trHeight w:val="218"/>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25"/>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460" w:type="dxa"/>
            <w:vAlign w:val="bottom"/>
          </w:tcPr>
          <w:p>
            <w:pPr>
              <w:spacing w:after="0"/>
              <w:rPr>
                <w:sz w:val="20"/>
                <w:szCs w:val="20"/>
                <w:color w:val="auto"/>
              </w:rPr>
            </w:pPr>
            <w:r>
              <w:rPr>
                <w:rFonts w:ascii="Arial" w:cs="Arial" w:eastAsia="Arial" w:hAnsi="Arial"/>
                <w:sz w:val="18"/>
                <w:szCs w:val="18"/>
                <w:color w:val="auto"/>
              </w:rPr>
              <w:t>Date: August 2, 2022</w:t>
            </w:r>
          </w:p>
        </w:tc>
        <w:tc>
          <w:tcPr>
            <w:tcW w:w="7760" w:type="dxa"/>
            <w:vAlign w:val="bottom"/>
            <w:gridSpan w:val="2"/>
          </w:tcPr>
          <w:p>
            <w:pPr>
              <w:ind w:left="1940"/>
              <w:spacing w:after="0"/>
              <w:rPr>
                <w:sz w:val="20"/>
                <w:szCs w:val="20"/>
                <w:color w:val="auto"/>
              </w:rPr>
            </w:pPr>
            <w:r>
              <w:rPr>
                <w:rFonts w:ascii="Arial" w:cs="Arial" w:eastAsia="Arial" w:hAnsi="Arial"/>
                <w:sz w:val="18"/>
                <w:szCs w:val="18"/>
                <w:color w:val="auto"/>
              </w:rPr>
              <w:t>By:  /s/ Anna Mowry</w:t>
            </w:r>
          </w:p>
        </w:tc>
      </w:tr>
      <w:tr>
        <w:trPr>
          <w:trHeight w:val="218"/>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25"/>
        </w:trPr>
        <w:tc>
          <w:tcPr>
            <w:tcW w:w="3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4"/>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Roman"/>
      <w:start w:val="3"/>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Roman"/>
      <w:start w:val="3"/>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04"/>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0" Type="http://schemas.openxmlformats.org/officeDocument/2006/relationships/hyperlink" Target="https://www.sec.gov/Archives/edgar/data/0001808805/000162828022004652/nautilusmarch2022424b3.htm" TargetMode="External"/><Relationship Id="rId39" Type="http://schemas.openxmlformats.org/officeDocument/2006/relationships/hyperlink" Target="https://www.sec.gov/Archives/edgar/data/0001808805/000180880522000081/exhibit101-offerletter_god.htm" TargetMode="External"/><Relationship Id="rId40" Type="http://schemas.openxmlformats.org/officeDocument/2006/relationships/hyperlink" Target="https://www.sec.gov/Archives/edgar/data/0001808805/000180880522000081/exhibit102-changeincontrol.htm" TargetMode="External"/><Relationship Id="rId41" Type="http://schemas.openxmlformats.org/officeDocument/2006/relationships/hyperlink" Target="https://www.sec.gov/Archives/edgar/data/0001808805/000180880522000081/exhibit311-2022q210xq.htm" TargetMode="External"/><Relationship Id="rId42" Type="http://schemas.openxmlformats.org/officeDocument/2006/relationships/hyperlink" Target="https://www.sec.gov/Archives/edgar/data/0001808805/000180880522000081/exhibit312-2022q210xq.htm" TargetMode="External"/><Relationship Id="rId43" Type="http://schemas.openxmlformats.org/officeDocument/2006/relationships/hyperlink" Target="https://www.sec.gov/Archives/edgar/data/0001808805/000180880522000081/exhibit321-2022q210xq.htm" TargetMode="External"/><Relationship Id="rId44" Type="http://schemas.openxmlformats.org/officeDocument/2006/relationships/hyperlink" Target="https://www.sec.gov/Archives/edgar/data/0001808805/000180880522000081/exhibit322-2022q2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2022-08-02T15:43:05Z</dcterms:created>
  <dcterms:modified xsi:type="dcterms:W3CDTF">2022-08-02T15:43:05Z</dcterms:modified>
</cp:coreProperties>
</file>