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June 30, 2020</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1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For the transition period from</w:t>
      </w:r>
      <w:r>
        <w:rPr>
          <w:rFonts w:ascii="Times New Roman" w:cs="Times New Roman" w:eastAsia="Times New Roman" w:hAnsi="Times New Roman"/>
          <w:sz w:val="22"/>
          <w:szCs w:val="22"/>
          <w:b w:val="1"/>
          <w:bCs w:val="1"/>
          <w:u w:val="single" w:color="auto"/>
          <w:color w:val="auto"/>
        </w:rPr>
        <w:t>__________</w:t>
      </w:r>
      <w:r>
        <w:rPr>
          <w:rFonts w:ascii="Times New Roman" w:cs="Times New Roman" w:eastAsia="Times New Roman" w:hAnsi="Times New Roman"/>
          <w:sz w:val="22"/>
          <w:szCs w:val="22"/>
          <w:b w:val="1"/>
          <w:bCs w:val="1"/>
          <w:color w:val="auto"/>
        </w:rPr>
        <w:t>to</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ARYA SCIENCES ACQUISITION CORP III</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14"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001-39434</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21" w:lineRule="exact"/>
        <w:rPr>
          <w:sz w:val="24"/>
          <w:szCs w:val="24"/>
          <w:color w:val="auto"/>
        </w:rPr>
      </w:pPr>
    </w:p>
    <w:p>
      <w:pPr>
        <w:sectPr>
          <w:pgSz w:w="11900" w:h="16838" w:orient="portrait"/>
          <w:cols w:equalWidth="0" w:num="3">
            <w:col w:w="3860" w:space="720"/>
            <w:col w:w="2520" w:space="720"/>
            <w:col w:w="3420"/>
          </w:cols>
          <w:pgMar w:left="320" w:top="529"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b w:val="1"/>
          <w:bCs w:val="1"/>
          <w:color w:val="auto"/>
        </w:rPr>
        <w:t>organization)</w:t>
      </w:r>
    </w:p>
    <w:p>
      <w:pPr>
        <w:sectPr>
          <w:pgSz w:w="11900" w:h="16838" w:orient="portrait"/>
          <w:cols w:equalWidth="0" w:num="1">
            <w:col w:w="11240"/>
          </w:cols>
          <w:pgMar w:left="320" w:top="529" w:right="339" w:bottom="1440" w:gutter="0" w:footer="0" w:header="0"/>
          <w:type w:val="continuous"/>
        </w:sectPr>
      </w:pPr>
    </w:p>
    <w:p>
      <w:pPr>
        <w:spacing w:after="0" w:line="23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51 Astor Place, 10th Floor New York, NY</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10003</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29" w:right="3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Registrant’s telephone number, including area code: (212) 284-2300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jc w:val="center"/>
        <w:spacing w:after="0"/>
        <w:rPr>
          <w:sz w:val="20"/>
          <w:szCs w:val="20"/>
          <w:color w:val="auto"/>
        </w:rPr>
      </w:pPr>
      <w:r>
        <w:rPr>
          <w:rFonts w:ascii="Times New Roman" w:cs="Times New Roman" w:eastAsia="Times New Roman" w:hAnsi="Times New Roman"/>
          <w:sz w:val="22"/>
          <w:szCs w:val="22"/>
          <w:b w:val="1"/>
          <w:bCs w:val="1"/>
          <w:color w:val="auto"/>
        </w:rPr>
        <w:t>(Former name or former address, if changed since last report)</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registered pursuant to Section 12(b) of the Act:</w:t>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Ordinary Shares, par value $0.0001 per Share</w:t>
            </w:r>
          </w:p>
        </w:tc>
        <w:tc>
          <w:tcPr>
            <w:tcW w:w="14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ARYA</w:t>
            </w:r>
          </w:p>
        </w:tc>
        <w:tc>
          <w:tcPr>
            <w:tcW w:w="1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93"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 </w:t>
      </w:r>
      <w:r>
        <w:rPr>
          <w:rFonts w:ascii="MS PGothic" w:cs="MS PGothic" w:eastAsia="MS PGothic" w:hAnsi="MS PGothic"/>
          <w:sz w:val="22"/>
          <w:szCs w:val="22"/>
          <w:color w:val="auto"/>
        </w:rPr>
        <w:t>☐</w:t>
      </w:r>
    </w:p>
    <w:p>
      <w:pPr>
        <w:spacing w:after="0" w:line="182" w:lineRule="exact"/>
        <w:rPr>
          <w:sz w:val="24"/>
          <w:szCs w:val="24"/>
          <w:color w:val="auto"/>
        </w:rPr>
      </w:pPr>
    </w:p>
    <w:p>
      <w:pPr>
        <w:jc w:val="both"/>
        <w:spacing w:after="0" w:line="268"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 </w:t>
      </w:r>
      <w:r>
        <w:rPr>
          <w:rFonts w:ascii="MS PGothic" w:cs="MS PGothic" w:eastAsia="MS PGothic" w:hAnsi="MS PGothic"/>
          <w:sz w:val="22"/>
          <w:szCs w:val="22"/>
          <w:color w:val="auto"/>
        </w:rPr>
        <w:t>☐</w:t>
      </w:r>
    </w:p>
    <w:p>
      <w:pPr>
        <w:spacing w:after="0" w:line="182"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96" w:lineRule="exact"/>
        <w:rPr>
          <w:sz w:val="24"/>
          <w:szCs w:val="24"/>
          <w:color w:val="auto"/>
        </w:rPr>
      </w:pPr>
    </w:p>
    <w:p>
      <w:pPr>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3" w:lineRule="exact"/>
        <w:rPr>
          <w:sz w:val="24"/>
          <w:szCs w:val="24"/>
          <w:color w:val="auto"/>
        </w:rPr>
      </w:pPr>
    </w:p>
    <w:p>
      <w:pPr>
        <w:ind w:right="60"/>
        <w:spacing w:after="0" w:line="298"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is a shell company (as defined in Rule 12b-2 of the Exchange Act).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 </w:t>
      </w:r>
      <w:r>
        <w:rPr>
          <w:rFonts w:ascii="MS PGothic" w:cs="MS PGothic" w:eastAsia="MS PGothic" w:hAnsi="MS PGothic"/>
          <w:sz w:val="22"/>
          <w:szCs w:val="22"/>
          <w:color w:val="auto"/>
        </w:rPr>
        <w:t>☐</w:t>
      </w:r>
    </w:p>
    <w:p>
      <w:pPr>
        <w:spacing w:after="0" w:line="18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As of September 18, 2020, 15,449,000 Class A ordinary shares, par value $0.0001 per share, and 3,737,500 Class B ordinary shares, par value $0.0001 per share, were issued and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ARYA SCIENCES ACQUISITION CORP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 Ended June 30, 2020</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5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3"/>
        </w:trPr>
        <w:tc>
          <w:tcPr>
            <w:tcW w:w="10560" w:type="dxa"/>
            <w:vAlign w:val="bottom"/>
            <w:gridSpan w:val="6"/>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 (Unaudited)</w:t>
              </w:r>
            </w:hyperlink>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Balance Sheet as of June 30, 2020 (Unaudited)</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Unaudited Condensed Statement of Operations for the period from March 27, 2020 (inception) through June 30, 2020</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9780" w:type="dxa"/>
            <w:vAlign w:val="bottom"/>
            <w:gridSpan w:val="5"/>
            <w:shd w:val="clear" w:color="auto" w:fill="CCEEFF"/>
          </w:tcPr>
          <w:p>
            <w:pPr>
              <w:ind w:left="14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Statement of Changes in Shareholder’s Equity for the period from March 27, 2020 (inception) through June</w:t>
              </w:r>
            </w:hyperlink>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380" w:type="dxa"/>
            <w:vAlign w:val="bottom"/>
            <w:tcBorders>
              <w:top w:val="single" w:sz="8" w:color="0000EE"/>
            </w:tcBorders>
            <w:gridSpan w:val="3"/>
            <w:shd w:val="clear" w:color="auto" w:fill="CCEEFF"/>
          </w:tcPr>
          <w:p>
            <w:pPr>
              <w:jc w:val="right"/>
              <w:ind w:right="860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30, 2020</w:t>
              </w:r>
            </w:hyperlink>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Unaudited Condensed Statement of Cash Flows for the period from March 27, 2020 (inception) through June 30, 2020</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Unaudited Condensed Financial Statements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Quantitative and Qualitative Disclosures About Market Risk</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Controls and Procedures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Legal Proceedings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Risk Factors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Unregistered Sales of Equity Securities and Use of Proceeds from Registered Securities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Defaults Upon Senior Securities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Mine Safety Disclosures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Other Information</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780" w:type="dxa"/>
            <w:vAlign w:val="bottom"/>
            <w:gridSpan w:val="5"/>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Exhibits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425"/>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24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ARYA SCIENCES ACQUISITION CORP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BALANCE SHEET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30,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associated with initial public offering</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211,326</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 related party</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63,410</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$0.0001 par value; 479,000,000 shares authorized; none issued and outstanding</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 $0.0001 par value; 20,000,000 shares authorized; 3,737,500 shares issued and outstanding (1)(2)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(11,717)</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211,326</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right="200" w:firstLine="8"/>
        <w:spacing w:after="0" w:line="239" w:lineRule="auto"/>
        <w:tabs>
          <w:tab w:leader="none" w:pos="306"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This number includes up to 487,500 shares subject to forfeiture if the over-allotment option is not exercised in full or in part by the underwriters. The underwriters fully exercised the over-allotment option on August 11, 2020; thus, these shares were no longer subject to forfeiture.</w:t>
      </w:r>
    </w:p>
    <w:p>
      <w:pPr>
        <w:spacing w:after="0" w:line="1" w:lineRule="exact"/>
        <w:rPr>
          <w:rFonts w:ascii="Times New Roman" w:cs="Times New Roman" w:eastAsia="Times New Roman" w:hAnsi="Times New Roman"/>
          <w:sz w:val="22"/>
          <w:szCs w:val="22"/>
          <w:i w:val="1"/>
          <w:iCs w:val="1"/>
          <w:color w:val="auto"/>
        </w:rPr>
      </w:pPr>
    </w:p>
    <w:p>
      <w:pPr>
        <w:ind w:right="20" w:firstLine="8"/>
        <w:spacing w:after="0" w:line="235" w:lineRule="auto"/>
        <w:tabs>
          <w:tab w:leader="none" w:pos="306"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On August 6, 2020, the Company effected share capitalizations resulting in the initial shareholders holding 3,737,500 Class B ordinary shares. All shares and associated amounts have been retroactively restated to reflect the share capitalization (see Note 4).</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unaudited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ARYA SCIENCES ACQUISITION CORP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STATEMENT OF OPERATIONS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PERIOD FROM MARCH 27, 2020 (INCEPTION) THROUGH JUNE 30, 2020</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(11,717)</w:t>
            </w:r>
          </w:p>
        </w:tc>
      </w:tr>
      <w:tr>
        <w:trPr>
          <w:trHeight w:val="20"/>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Weighted average shares outstanding, basic and diluted </w:t>
            </w:r>
            <w:r>
              <w:rPr>
                <w:rFonts w:ascii="Times New Roman" w:cs="Times New Roman" w:eastAsia="Times New Roman" w:hAnsi="Times New Roman"/>
                <w:sz w:val="25"/>
                <w:szCs w:val="25"/>
                <w:b w:val="1"/>
                <w:bCs w:val="1"/>
                <w:color w:val="auto"/>
                <w:vertAlign w:val="superscript"/>
              </w:rPr>
              <w:t>(1)(2)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3,737,500</w:t>
            </w:r>
          </w:p>
        </w:tc>
        <w:tc>
          <w:tcPr>
            <w:tcW w:w="8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right="200" w:firstLine="8"/>
        <w:spacing w:after="0" w:line="239" w:lineRule="auto"/>
        <w:tabs>
          <w:tab w:leader="none" w:pos="306" w:val="left"/>
        </w:tabs>
        <w:numPr>
          <w:ilvl w:val="0"/>
          <w:numId w:val="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This number includes up to 487,500 shares subject to forfeiture if the over-allotment option is not exercised in full or in part by the underwriters. The underwriters fully exercised the over-allotment option on August 11, 2020; thus, these shares were no longer subject to forfeiture.</w:t>
      </w:r>
    </w:p>
    <w:p>
      <w:pPr>
        <w:spacing w:after="0" w:line="1" w:lineRule="exact"/>
        <w:rPr>
          <w:rFonts w:ascii="Times New Roman" w:cs="Times New Roman" w:eastAsia="Times New Roman" w:hAnsi="Times New Roman"/>
          <w:sz w:val="22"/>
          <w:szCs w:val="22"/>
          <w:i w:val="1"/>
          <w:iCs w:val="1"/>
          <w:color w:val="auto"/>
        </w:rPr>
      </w:pPr>
    </w:p>
    <w:p>
      <w:pPr>
        <w:ind w:right="20" w:firstLine="8"/>
        <w:spacing w:after="0" w:line="235" w:lineRule="auto"/>
        <w:tabs>
          <w:tab w:leader="none" w:pos="306" w:val="left"/>
        </w:tabs>
        <w:numPr>
          <w:ilvl w:val="0"/>
          <w:numId w:val="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On August 6, 2020, the Company effected share capitalizations resulting in the initial shareholders holding 3,737,500 Class B ordinary shares. All shares and associated amounts have been retroactively restated to reflect the share capitalization (see Note 4).</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unaudited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ARYA SCIENCES ACQUISITION CORP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STATEMENT OF CHANGES IN SHAREHOLDER’S EQUITY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PERIOD FROM MARCH 27, 2020 (INCEPTION) THROUGH JUNE 30,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1940" w:type="dxa"/>
            <w:vAlign w:val="bottom"/>
          </w:tcPr>
          <w:p>
            <w:pPr>
              <w:spacing w:after="0"/>
              <w:rPr>
                <w:sz w:val="19"/>
                <w:szCs w:val="19"/>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194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194"/>
        </w:trPr>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March 27,</w:t>
            </w: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2020 (inception)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ordinary shares to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1940" w:type="dxa"/>
            <w:vAlign w:val="bottom"/>
          </w:tcPr>
          <w:p>
            <w:pPr>
              <w:ind w:left="140"/>
              <w:spacing w:after="0" w:line="243" w:lineRule="exact"/>
              <w:rPr>
                <w:sz w:val="20"/>
                <w:szCs w:val="20"/>
                <w:color w:val="auto"/>
              </w:rPr>
            </w:pPr>
            <w:r>
              <w:rPr>
                <w:rFonts w:ascii="Times New Roman" w:cs="Times New Roman" w:eastAsia="Times New Roman" w:hAnsi="Times New Roman"/>
                <w:sz w:val="17"/>
                <w:szCs w:val="17"/>
                <w:color w:val="auto"/>
              </w:rPr>
              <w:t xml:space="preserve">Sponsor </w:t>
            </w:r>
            <w:r>
              <w:rPr>
                <w:rFonts w:ascii="Times New Roman" w:cs="Times New Roman" w:eastAsia="Times New Roman" w:hAnsi="Times New Roman"/>
                <w:sz w:val="28"/>
                <w:szCs w:val="28"/>
                <w:color w:val="auto"/>
                <w:vertAlign w:val="superscript"/>
              </w:rPr>
              <w:t>(1)(2)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3,737,500</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24,626</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(11,717)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(11,717)</w:t>
            </w:r>
          </w:p>
        </w:tc>
      </w:tr>
      <w:tr>
        <w:trPr>
          <w:trHeight w:val="194"/>
        </w:trPr>
        <w:tc>
          <w:tcPr>
            <w:tcW w:w="194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June 30, 2020</w:t>
            </w: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3,737,500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24,626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(11,717)</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13,283</w:t>
            </w:r>
          </w:p>
        </w:tc>
      </w:tr>
      <w:tr>
        <w:trPr>
          <w:trHeight w:val="20"/>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right="200" w:firstLine="8"/>
        <w:spacing w:after="0" w:line="239" w:lineRule="auto"/>
        <w:tabs>
          <w:tab w:leader="none" w:pos="306"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This number includes up to 487,500 shares subject to forfeiture if the over-allotment option is not exercised in full or in part by the underwriters. The underwriters fully exercised the over-allotment option on August 11, 2020; thus, these shares were no longer subject to forfeiture.</w:t>
      </w:r>
    </w:p>
    <w:p>
      <w:pPr>
        <w:spacing w:after="0" w:line="1" w:lineRule="exact"/>
        <w:rPr>
          <w:rFonts w:ascii="Times New Roman" w:cs="Times New Roman" w:eastAsia="Times New Roman" w:hAnsi="Times New Roman"/>
          <w:sz w:val="22"/>
          <w:szCs w:val="22"/>
          <w:i w:val="1"/>
          <w:iCs w:val="1"/>
          <w:color w:val="auto"/>
        </w:rPr>
      </w:pPr>
    </w:p>
    <w:p>
      <w:pPr>
        <w:ind w:right="20" w:firstLine="8"/>
        <w:spacing w:after="0" w:line="235" w:lineRule="auto"/>
        <w:tabs>
          <w:tab w:leader="none" w:pos="306"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On August 6, 2020, the Company effected share capitalizations resulting in the initial shareholders holding 3,737,500 Class B ordinary shares. All shares and associated amounts have been retroactively restated to reflect the share capitalization (see Note 4).</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unaudited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ARYA SCIENCES ACQUISITION CORP III</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UNAUDITED CONDENSED STATEMENT OF CASH FLOWS</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FOR THE PERIOD FROM MARCH 27, 2020 (INCEPTION) THROUGH JUNE 30, 2020</w:t>
      </w:r>
    </w:p>
    <w:p>
      <w:pPr>
        <w:sectPr>
          <w:pgSz w:w="11900" w:h="16838" w:orient="portrait"/>
          <w:cols w:equalWidth="0" w:num="1">
            <w:col w:w="11200"/>
          </w:cols>
          <w:pgMar w:left="320" w:top="115" w:right="379" w:bottom="144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General and adminsitrative expenses paid by related party under note payable</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Deferred offering costs paid by Sponsor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offering costs included in accounts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offering costs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Deferred offering costs included in note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560" w:hanging="555"/>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(11,717)</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11,717</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2" w:lineRule="exact"/>
        <w:rPr>
          <w:sz w:val="20"/>
          <w:szCs w:val="20"/>
          <w:color w:val="auto"/>
        </w:rPr>
      </w:pPr>
    </w:p>
    <w:p>
      <w:pPr>
        <w:ind w:left="1060" w:hanging="1055"/>
        <w:spacing w:after="0"/>
        <w:tabs>
          <w:tab w:leader="none" w:pos="10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9" w:lineRule="exact"/>
        <w:rPr>
          <w:sz w:val="20"/>
          <w:szCs w:val="20"/>
          <w:color w:val="auto"/>
        </w:rPr>
      </w:pPr>
    </w:p>
    <w:p>
      <w:pPr>
        <w:ind w:left="620" w:hanging="615"/>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w:t>
      </w:r>
    </w:p>
    <w:p>
      <w:pPr>
        <w:spacing w:after="0" w:line="27" w:lineRule="exact"/>
        <w:rPr>
          <w:sz w:val="20"/>
          <w:szCs w:val="20"/>
          <w:color w:val="auto"/>
        </w:rPr>
      </w:pPr>
    </w:p>
    <w:p>
      <w:pPr>
        <w:ind w:left="700" w:hanging="695"/>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9,633</w:t>
      </w:r>
    </w:p>
    <w:p>
      <w:pPr>
        <w:spacing w:after="0" w:line="9" w:lineRule="exact"/>
        <w:rPr>
          <w:sz w:val="20"/>
          <w:szCs w:val="20"/>
          <w:color w:val="auto"/>
        </w:rPr>
      </w:pPr>
    </w:p>
    <w:p>
      <w:pPr>
        <w:ind w:left="520" w:hanging="515"/>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w:t>
      </w:r>
    </w:p>
    <w:p>
      <w:pPr>
        <w:spacing w:after="0" w:line="9" w:lineRule="exact"/>
        <w:rPr>
          <w:rFonts w:ascii="Times New Roman" w:cs="Times New Roman" w:eastAsia="Times New Roman" w:hAnsi="Times New Roman"/>
          <w:sz w:val="18"/>
          <w:szCs w:val="18"/>
          <w:color w:val="auto"/>
        </w:rPr>
      </w:pPr>
    </w:p>
    <w:p>
      <w:pPr>
        <w:ind w:left="620" w:hanging="615"/>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51,693</w:t>
      </w:r>
    </w:p>
    <w:p>
      <w:pPr>
        <w:spacing w:after="0" w:line="200" w:lineRule="exact"/>
        <w:rPr>
          <w:sz w:val="20"/>
          <w:szCs w:val="20"/>
          <w:color w:val="auto"/>
        </w:rPr>
      </w:pPr>
    </w:p>
    <w:p>
      <w:pPr>
        <w:sectPr>
          <w:pgSz w:w="11900" w:h="16838" w:orient="portrait"/>
          <w:cols w:equalWidth="0" w:num="2">
            <w:col w:w="9300" w:space="720"/>
            <w:col w:w="1180"/>
          </w:cols>
          <w:pgMar w:left="320" w:top="115" w:right="379" w:bottom="1440" w:gutter="0" w:footer="0" w:header="0"/>
          <w:type w:val="continuous"/>
        </w:sectPr>
      </w:pP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i w:val="1"/>
          <w:iCs w:val="1"/>
          <w:color w:val="auto"/>
        </w:rPr>
        <w:t>The accompanying notes are an integral part of these unaudited interim condensed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ARYA SCIENCES ACQUISITION CORP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 Description of Organization and Business Operations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of June 30, 2020, the Company had not commenced any operations. All activity for the period from March 27, 2020 (inception) through June 30, 2020 relates to the Company’s formation and the preparation of its initial public offering (the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3).</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Upon the closing of the Initial Public Offering and the Private Placement, $149.5 million ($10.00 per Class A ordinary share) of the net proceeds of the Initial Public Offering and certain of the proceeds of the Private Placement were placed in a trust account (“Trust Account”), located in the United States at J.P. Morgan Chase Bank, N.A., with Continental Stock Transfer &amp; Trust Company acting as trustee, and was invested only in U.S. government securities, within the meaning set forth in Section 2(a)(16) of the Investment Company Act, with a maturity of 185 days or less or in money market fund meeting the conditions of paragraphs (d)(1), (d)(2), (d)(3) and (d)(4) of Rule 2a-7 of the Investment Company Act, as determined by the Company, until the earlier of: (i) the completion of a Business Combination and (ii) the distribution of the Trust Account as described below.</w:t>
      </w:r>
    </w:p>
    <w:p>
      <w:pPr>
        <w:spacing w:after="0" w:line="19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will provide the holders (the “Public Shareholders”) of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ARYA SCIENCES ACQUISITION CORP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FINANCIAL STATEMENTS</w:t>
      </w:r>
    </w:p>
    <w:p>
      <w:pPr>
        <w:spacing w:after="0" w:line="20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will adopt an insider trading policy which will require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2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 with respect to any other provision relating to the rights of Public Shareholders, unless the Company provides the Public Shareholders with the opportunity to redeem their Class A ordinary shares in conjunction with any such amendment.</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w:t>
      </w:r>
    </w:p>
    <w:p>
      <w:pPr>
        <w:sectPr>
          <w:pgSz w:w="11900" w:h="16838" w:orient="portrait"/>
          <w:cols w:equalWidth="0" w:num="1">
            <w:col w:w="11240"/>
          </w:cols>
          <w:pgMar w:left="320" w:top="115" w:right="339" w:bottom="0" w:gutter="0" w:footer="0" w:header="0"/>
        </w:sectPr>
      </w:pPr>
    </w:p>
    <w:bookmarkStart w:id="8" w:name="page9"/>
    <w:bookmarkEnd w:id="8"/>
    <w:p>
      <w:pPr>
        <w:spacing w:after="0" w:line="259" w:lineRule="auto"/>
        <w:rPr>
          <w:sz w:val="20"/>
          <w:szCs w:val="20"/>
          <w:color w:val="auto"/>
        </w:rPr>
      </w:pPr>
      <w:r>
        <w:rPr>
          <w:rFonts w:ascii="Times New Roman" w:cs="Times New Roman" w:eastAsia="Times New Roman" w:hAnsi="Times New Roman"/>
          <w:sz w:val="22"/>
          <w:szCs w:val="22"/>
          <w:color w:val="auto"/>
        </w:rPr>
        <w:t>the Initial Public Offering against certain liabilities, including liabilities under the Securities Act of 1933, as amended (the “Securities Act”).</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ARYA SCIENCES ACQUISITION CORP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FINANCIAL STATEMENTS</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Liquidity and Capital Resources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June 30, 2020, the Company had no cash and working capital deficit of approximately $198,000.</w:t>
      </w:r>
    </w:p>
    <w:p>
      <w:pPr>
        <w:spacing w:after="0" w:line="2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Company’s liquidity needs up to June 30, 2020 had been satisfied through the receipt of $25,000 from the Sponsor to cover certain expenses of the Company’s behalf in exchange for the issuance of the Founder Shares (as defined below), and a loan of approximately $63,000 pursuant to the Note issued to the Sponsor (Note 4). Subsequent to June 30, 2020, the Company’s liquidity needs had been satisfied with the remaining balance of the loan proceeds under the Note of approximately $137,000, and the proceeds from the consummation of the Private Placement not held in the Trust Account. The Company fully repaid the loan of $200,000 under the Note in full on August 11, 2020. In addition, in order to finance transaction costs in connection with a Business Combination, the Sponsor may, but is not obligated to, provide the Company Working Capital Loans (see Note 4).</w:t>
      </w:r>
    </w:p>
    <w:p>
      <w:pPr>
        <w:spacing w:after="0" w:line="1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Management continues to evaluate the impact of the COVID-19 pandemic and has concluded that the specific impact is not readily determinable as of the date of the condensed financial statements were available to be issued. The unaudited condensed financial statements do not include any adjustments that might result from the outcome of this uncertainty.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 Summary of Significant Accounting Policies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Basis of Presentation</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period from March 27, 2020 through June 30, 2020 are not necessarily indicative of the results that may be expected through December 31, 2020.</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accompanying unaudited condensed financial statements should be read in conjunction with the audited financial statements and notes thereto included in the Form 8-K and the final prospectus filed by the Company with the SEC on August 17, 2020 and August 10, 2020,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Use of Estimates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ectPr>
          <w:pgSz w:w="11900" w:h="16838" w:orient="portrait"/>
          <w:cols w:equalWidth="0" w:num="1">
            <w:col w:w="11240"/>
          </w:cols>
          <w:pgMar w:left="320" w:top="115" w:right="3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ARYA SCIENCES ACQUISITION CORP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FINANCIAL STATEMENTS</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Emerging Growth Company</w:t>
      </w:r>
    </w:p>
    <w:p>
      <w:pPr>
        <w:spacing w:after="0" w:line="23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Concentration of Credit Risk</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Cash and Cash Equivalents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considers all short-term investments with an original maturity of three months or less when purchased to be cash equivalents. The Company had no cash equivalents as of June 30,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Financial Instruments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fair value of the Company’s assets and liabilities, which qualify as financial instruments under the FASB ASC 820, “Fair Value Measurements and Disclosures,” approximates the carrying amounts represented in the condensed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Net Loss Per Ordinary Share</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complies with accounting and disclosure requirements of FASB ASC Topic 260, “Earnings Per Share.” Net loss per share is computed by dividing net loss by the weighted average number of ordinary shares outstanding during the period. At June 30, 2020,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Deferred Offering Costs Associated with the Initial Public Offering</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Deferred offering costs consist of legal, accounting, underwriting fees and other costs incurred through the balance sheet date that were directly related to the Initial Public Offering and that were charged to shareholder’s equity upon the completion of the Initial Public Offering in August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Income Taxes</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ectPr>
          <w:pgSz w:w="11900" w:h="16838" w:orient="portrait"/>
          <w:cols w:equalWidth="0" w:num="1">
            <w:col w:w="11240"/>
          </w:cols>
          <w:pgMar w:left="320" w:top="116" w:right="339" w:bottom="417"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417" w:gutter="0" w:footer="0" w:header="0"/>
          <w:type w:val="continuous"/>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ARYA SCIENCES ACQUISITION CORP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FINANCIAL STATEMENTS</w:t>
      </w:r>
    </w:p>
    <w:p>
      <w:pPr>
        <w:spacing w:after="0" w:line="20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for the period from March 27, 2020 (inception) through June 30, 2020. The Company is currently not aware of any issues under review that could result in significant payments, accruals or material deviation from its position. The Company is subject to income tax examinations by major taxing authorities since inception. There is currently no taxation imposed on income by the Government of the Cayman Islands. In accordance with Cayman income tax regulations, income taxes are not levied on the Company. Consequently, income taxes are not reflected in the Company’s condensed financial statements. The Company’s management does not expect that the total amount of unrecognized tax benefits will materially change over the next twelve months.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Recent Accounting Pronouncements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Management does not believe that any recently issued, but not yet effective, accounting standards if currently adopted would have a material effect on the accompanying condensed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 Initial Public Offering</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 Related Party Transactions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Founder Shares</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On April 2, 2020, the Sponsor paid $25,000 to cover certain offering costs of the Company in consideration of 3,593,750 Class B ordinary shares, par value $0.0001, (the “Founder Shares”). In July 2020, the Sponsor transferred an aggregate of 90,000 Founder Shares to the Company’s independent director nominees.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Private Placement Share</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sectPr>
          <w:pgSz w:w="11900" w:h="16838" w:orient="portrait"/>
          <w:cols w:equalWidth="0" w:num="1">
            <w:col w:w="11240"/>
          </w:cols>
          <w:pgMar w:left="320" w:top="116" w:right="3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ARYA SCIENCES ACQUISITION CORP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FINANCIAL STATEMENTS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Sponsor and the Company’s officers and directors agreed, subject to limited exceptions, not to transfer, assign or sell any of their Private Placement Shares until 30 days after the completion of the initial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Related Party Loans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April 2, 2020, the Sponsor agreed to loan the Company an aggregate of up to $300,000 to cover for expenses related to the Initial Public Offering pursuant to a promissory note (the “Note”). This loan was non-interest bearing and payable upon the completion of the Initial Public Offering. As of June 30, 2020, the Company borrowed approximately $63,000 under the Note. Subsequent to June 30, 2020, the Company received the remaining balance of the loan proceeds under the Note of approximately $137,000, for a total of $200,000 balance under the Note. Upon the completion of the Initial Public Offering on August 11, 2020, the Note was fully repaid.</w:t>
      </w:r>
    </w:p>
    <w:p>
      <w:pPr>
        <w:spacing w:after="0" w:line="2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the Company had no outstanding borrowings under the Working Capital Loans.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Administrative Support Agreement</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Commencing on the effective date of the registration statement on Form S-1 related to the Initial Public Offering through the earlier of consummation of the initial Business Combination or the Company’s liquidation, the Company will reimburse the Sponsor for office space, secretarial and administrative services provided to the Company in the amount of $10,000 per month.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Forward Purchase Arrangement</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Sponsor has indicated an interest to purchase up to an aggregate of $25 million of the Company’s ordinary shares in a private placement that would occur concurrently with the consummation of the initial Business Combination. However, because indications of interest are not binding agreements or commitments to purchase, the Sponsor may determine not to purchase any such shares, or to purchase fewer shares than it has indicated an interest in purchasing. Furthermore, the Company is not under any obligation to sell any such shares.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 Commitments &amp; Contingencies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Registration Rights</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holders of Founder Shares and Private Placement Shares that may be issued upon conversion of working capital loans, are entitled to registration rights pursuant to a registration and shareholder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Company’s Business Combination. The Company will bear the expenses incurred in connection with the filing of any such registration statements.</w:t>
      </w:r>
    </w:p>
    <w:p>
      <w:pPr>
        <w:sectPr>
          <w:pgSz w:w="11900" w:h="16838" w:orient="portrait"/>
          <w:cols w:equalWidth="0" w:num="1">
            <w:col w:w="11240"/>
          </w:cols>
          <w:pgMar w:left="320" w:top="116"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ARYA SCIENCES ACQUISITION CORP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CONDENSED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Underwriting Agreement</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granted the underwriters a 45-day option from the final prospectus relating to the Initial Public Offering to purchase up to 1,950,000 additional Public Shares to cover over-allotments, if any, at the Initial Public Offering price less the underwriting discounts and commissions. The underwriters fully exercised their over-allotment option on August 11, 2020.</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underwriters were paid a cash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 Shareholders’ Equity</w:t>
      </w: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Class A Ordinary Shares - </w:t>
      </w:r>
      <w:r>
        <w:rPr>
          <w:rFonts w:ascii="Times New Roman" w:cs="Times New Roman" w:eastAsia="Times New Roman" w:hAnsi="Times New Roman"/>
          <w:sz w:val="22"/>
          <w:szCs w:val="22"/>
          <w:color w:val="auto"/>
        </w:rPr>
        <w:t>The Company is authorized to issue 479,000,000 Class A ordinary shares with a par value of $0.0001</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 share. As of June 30, 2020, there were no Class A ordinary shares issued or outstanding.</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Class B Ordinary Shares - </w:t>
      </w:r>
      <w:r>
        <w:rPr>
          <w:rFonts w:ascii="Times New Roman" w:cs="Times New Roman" w:eastAsia="Times New Roman" w:hAnsi="Times New Roman"/>
          <w:sz w:val="22"/>
          <w:szCs w:val="22"/>
          <w:color w:val="auto"/>
        </w:rPr>
        <w:t>The Company is authorized to issue 20,000,000 Class B ordinary shares with a par value of $0.0001</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 share. On April 2, 2020, the Company issued 3,593,750 Class B ordinary shares. On August 6, 2020, the Company effected a share capitalization resulting in the initial shareholders holding 3,737,500 Founder Shares, of which up to 487,500 shares are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and assuming the initial shareholders do not purchase any shares in the Initial Public Offering) (See Note 4). All shares and the associated amounts have been retroactively restated to reflect the share capitalization.</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2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20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Preference Shares - </w:t>
      </w:r>
      <w:r>
        <w:rPr>
          <w:rFonts w:ascii="Times New Roman" w:cs="Times New Roman" w:eastAsia="Times New Roman" w:hAnsi="Times New Roman"/>
          <w:sz w:val="22"/>
          <w:szCs w:val="22"/>
          <w:color w:val="auto"/>
        </w:rPr>
        <w:t>The Company is authorized to issue 1,000,000 preference shares with a par value of $0.0001 per share,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 such designations, voting and other rights and preferences as may be determined from time to time by the Company’s board of directors. As of June 30, 2020, there were no preference shares issued or outstanding.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 Subsequent Events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evaluated subsequent events and transactions that occurred up to the date unaudited condensed financial statements were available to be issued. Other than as described in Note 1, 3 and 4, the Company did not identify any subsequent events that would have required adjustment or disclosure in the unaudited condensed financial statements.</w:t>
      </w:r>
    </w:p>
    <w:p>
      <w:pPr>
        <w:sectPr>
          <w:pgSz w:w="11900" w:h="16838" w:orient="portrait"/>
          <w:cols w:equalWidth="0" w:num="1">
            <w:col w:w="11240"/>
          </w:cols>
          <w:pgMar w:left="320" w:top="116"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References to the “Company,” “ARYA Sciences Acquisition Corp III,” “our,” “us” or “we” refer to ARYA Sciences Acquisition Corp III. The following discussion and analysis of the Company’s financial condition and results of operations should be read in conjunction with the unaudited interim condensed financial statements and the notes thereto contained elsewhere in this report. Certain information contained in the discussion and analysis set forth below includes forward-looking statements that involve risks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This Quarterly Report on Form 10-Q includes forward-looking statements within the meaning of Section 27A of the Securities Act of 1933, as amended,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are a blank check company incorporated on March 27, 2020 as a Cayman Islands exempted company for the purpose of effecting a merger, share exchange, asset acquisition, share purchase, reorganization or similar business combination with one or more businesses. We intend to effectuate our initial business combination using cash from the proceeds of this offering and the sale of the private placement shares, our shares, debt or a combination of cash, equity and debt.</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Our sponsor is ARYA Sciences Holdings III, a Cayman Islands exempted limited company (the “Sponsor”). Our registration statement for the initial public offering (the “Initial Public Offering”) was declared effective on August 6, 2020. On August 11, 2020, we consummated an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Simultaneously with the closing of the Initial Public Offering, we consummated a private placement (“Private Placement”) of 499,000 Class A ordinary shares (the “Private Placement Shares”), at a price of $10.00 per Private Placement Share to our Sponsor, generating gross proceeds of approximately $5.0 million.</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Upon the closing of the Initial Public Offering and the Private Placement, $149.5 million ($10.00 per Class A ordinary share) of the net proceeds of the Initial Public Offering and certain of the proceeds of the Private Placement were placed in a trust account (“Trust Account”), located in the United States at J.P. Morgan Chase Bank, N.A., with Continental Stock Transfer &amp; Trust Company acting as trustee, and was invested only in U.S. government securities, within the meaning set forth in Section 2(a)(16) of the Investment Company Act, with a maturity of 185 days or less or in money market fund meeting the conditions of paragraphs (d)(1), (d)(2), (d)(3) and (d)(4) of Rule 2a-7 of the Investment Company Act, as determined by us, until the earlier of: (i) the completion of a Business Combination and (ii) the distribution of the Trust Account as described below.</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Our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we will be able to complete a Business Combination successfully. We must complete one or more initial Business Combinations having an aggregate fair market value of at least 80% of the net assets held in the Trust Account (excluding the amount of deferred underwriting commissions and taxes payable on the interest earned on the Trust Account) at the time of the signing of the agreement to enter into the initial Business Combination. However, we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w:t>
      </w:r>
    </w:p>
    <w:p>
      <w:pPr>
        <w:sectPr>
          <w:pgSz w:w="11900" w:h="16838" w:orient="portrait"/>
          <w:cols w:equalWidth="0" w:num="1">
            <w:col w:w="11240"/>
          </w:cols>
          <w:pgMar w:left="320" w:top="116"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will provide the holders (the “Public Shareholders”) of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we will seek shareholder approval of a Business Combination or conduct a tender offer will be made by us, solely at our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us to pay income taxes). The per-share amount to be distributed to Public Shareholders who redeem their Public Shares will not be reduced by the deferred underwriting commissions we will pay to the underwriters.</w:t>
      </w:r>
    </w:p>
    <w:p>
      <w:pPr>
        <w:spacing w:after="0" w:line="20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We will proceed with a Business Combination if we have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we will, pursuant to the amended and restated memorandum and articles of association which we will adopt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we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we seek shareholder approval in connection with a Business Combination, the initial shareholders (as defined below) have agreed to vote their Founder Shares and any Public Shares purchased during or after the Initial Public Offering in favor of a Business Combination. Subsequent to the consummation of the Initial Public Offering, we will adopt an insider trading policy which will require insiders to: (i) refrain from purchasing shares during certain blackout periods and when they are in possession of any material non-public information and (ii) to clear all trades with our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21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the foregoing, if we seek shareholder approval of a Business Combination and do not conduct redemptions in connection with the Business Combination pursuant to the tender offer rules,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our prior consent.</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Sponsor, officers and directors (the “initial shareholders”) have agreed not to propose an amendment to the Amended and Restated Memorandum and Articles of Association (a) that would modify the substance or timing of our obligation to provide holders of our Public Shares the right to have their shares redeemed in connection with a Business Combination or to redeem 100% of our Public Shares if we do not complete our Business Combination within 24 months from the closing of the Initial Public Offering, or August 11, 2022 (the “Combination Period”) or with respect to any other provision relating to the rights of Public Shareholders, unless we provide the Public Shareholders with the opportunity to redeem their Class A ordinary shares in conjunction with any such amendment.</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If we have not completed a Business Combination within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its board of directors, liquidate and dissolve, subject in the case of clauses (ii) and (iii) to our obligations under Cayman Islands law to provide for claims of creditors and the requirements of other applicable law.</w:t>
      </w:r>
    </w:p>
    <w:p>
      <w:pPr>
        <w:sectPr>
          <w:pgSz w:w="11900" w:h="16838" w:orient="portrait"/>
          <w:cols w:equalWidth="0" w:num="1">
            <w:col w:w="11240"/>
          </w:cols>
          <w:pgMar w:left="320" w:top="116"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initial shareholders have agreed to waive their liquidation rights with respect to the Founder Shares and Private Placement Shares held by them if we fail to complete a Business Combination within the Combination Period. However, if the initial shareholders acquire Public Shares in or after the Initial Public Offering, they will be entitled to liquidating distributions from the Trust Account with respect to such Public Shares if we fail to complete a Business Combination within the Combination Period. The underwriters have agreed to waive their rights to their deferred underwriting commission held in the Trust Account in the event we do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our Sponsor has agreed to be liable to us if and to the extent any claims by a third party for services rendered or products sold to us, or a prospective target business with which we have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our indemnity of the underwriters of the Initial Public Offering against certain liabilities, including liabilities under the Securities Act of 1933, as amended (the “Securities Act”).</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Moreover, in the event that an executed waiver is deemed to be unenforceable against a third party, our Sponsor will not be responsible to the extent of any liability for such third-party claims. We will seek to reduce the possibility that our Sponsor will have to indemnify the Trust Account due to claims of creditors by endeavoring to have all vendors, service providers (excluding our independent registered public accounting firm), prospective target businesses or other entities with which we do business, execute agreements with us waiving any right, title, interest or claim of any kind in or to monies held in the Trust Account.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Liquidity and Capital Resources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June 30, 2020, we had no cash and working capital deficit of approximately $198,000.</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liquidity needs up to June 30, 2020 had been satisfied through the receipt of $25,000 from our Sponsor to cover certain expenses of our behalf in exchange for the issuance of the Founder Shares, and a loan of approximately $63,000 pursuant to a note issued to our Sponsor. Subsequent to June 30, 2020, our liquidity needs had been satisfied with the remaining balance of the loan proceeds under the Note of approximately $137,000, and the proceeds from the consummation of the Private Placement not held in the Trust Account. We repaid the loan of $200,000 under the Note in full on August 11, 2020. In addition, in order to finance transaction costs in connection with a Business Combination, our Sponsor may, but is not obligated to, provide us working capital loans.</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Based on the foregoing, our management believes that we will have sufficient working capital and borrowing capacity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management continues to evaluate the impact of the COVID-19 pandemic and has concluded that the specific impact is not readily determinable as of the date of the balance sheet. The unaudited condensed financial statements do not include any adjustments that might result from the outcome of this uncertainty.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Our entire activity since inception up to June 30, 2020 was in preparation for our formation and the Initial Public Offering. We will not be generating any operating revenues until the closing and completion of our initial Business Combination.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period from March 27, 2020 (inception) through June 30, 2020, we had net loss of approximately $11,700, which consisted solely of general and administrative expenses.</w:t>
      </w:r>
    </w:p>
    <w:p>
      <w:pPr>
        <w:sectPr>
          <w:pgSz w:w="11900" w:h="16838" w:orient="portrait"/>
          <w:cols w:equalWidth="0" w:num="1">
            <w:col w:w="11240"/>
          </w:cols>
          <w:pgMar w:left="320" w:top="116"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Contractual Obligations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Registration Rights</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holders of Founder Shares and Private Placement Shares that may be issued upon conversion of Working Capital Loans, are entitled to registration rights pursuant to a registration and shareholder rights agreement.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in accordance with the letter agreement our initial shareholders entered into and (ii) in the case of the Private Placement Shares, 30 days after the completion of our Business Combination. We will bear the expenses incurred in connection with the filing of any such registration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Underwriting Agreement</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granted the underwriters a 45-day option from the final prospectus relating to the Initial Public Offering to purchase up to 1,950,000 additional Public Shares to cover over-allotments, if any, at the Initial Public Offering price less the underwriting discounts and commissions. The underwriters fully exercised their over-allotment option on August 11, 2020.</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underwriters were paid a cash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Administrative Support Agreement</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Commencing on the effective date of the registration statement on Form S-1 related to the Initial Public Offering through the earlier of consummation of the initial Business Combination or our liquidation, we will reimburse the Sponsor for office space, secretarial and administrative services provided to us in the amount of $10,000 per month.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Forward Purchase Arrangement</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Sponsor has indicated an interest to purchase up to an aggregate of $25 million of our ordinary shares in a private placement that would occur concurrently with the consummation of the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Deferred Offering Costs Associated with the Initial Public Offering</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comply with the requirements of the ASC 340-10-S99-1. Offering costs consist of legal, accounting, underwriting fees and other costs incurred through the balance sheet date that were directly related to the Initial Public Offering and that were charged to shareholder’s equity upon the completion of the Initial Public Offering in August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Net Loss Per Ordinary Share</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comply with accounting and disclosure requirements of FASB ASC Topic 260, “Earnings Per Share.” Net loss per share is computed by dividing net loss by the weighted average number of ordinary shares outstanding during the period. At June 30, 2020, we did not have any dilutive securities and other contracts that could, potentially, be exercised or converted into ordinary shares and then share in the earnings of our company. As a result, diluted loss per share is the same as basic loss per share for the period presented.</w:t>
      </w:r>
    </w:p>
    <w:p>
      <w:pPr>
        <w:sectPr>
          <w:pgSz w:w="11900" w:h="16838" w:orient="portrait"/>
          <w:cols w:equalWidth="0" w:num="1">
            <w:col w:w="11240"/>
          </w:cols>
          <w:pgMar w:left="320" w:top="116"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Recent Accounting Pronouncements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Our management does not believe that there are any other recently issued, but not yet effective, accounting pronouncements, if currently adopted, that would have a material effect on our unaudited condensed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June 30, 2020, we did not have any off-balance sheet arrangements as defined in Item 303(a)(4)(ii) of Regulation 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JOBS Act</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2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are a smaller reporting company as defined by Rule 12b-2 of the Exchange Act and are not required to provide the information otherwise required under this item. As of June 30, 2020, we were not subject to any market or interest rate risk. The net proceeds of the Initial Public Offering, including amounts in the Trust Account, will be invested in U.S. government securities with a maturity of 185 days or less or in money market funds that meet certain conditions under Rule 2a-7 under the Investment Company Act of 1940, as amended, that invest only in direct U.S. government treasury obligations. Due to the short-term nature of these investments, we believe there will be no associated material exposure to interest rate risk.</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have not engaged in any hedging activities since our inception and we do not expect to engage in any hedging activities with respect to the market risk to which we are exposed.</w:t>
      </w:r>
    </w:p>
    <w:p>
      <w:pPr>
        <w:spacing w:after="0" w:line="19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Evaluation of Disclosure Controls and Procedures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June 30, 2020, as such term is defined in Rules 13a-15(e) and 15d-15(e) under the Exchange Act. Based on this evaluation, our principal executive officer and principal financial officer has concluded that during the period covered by this report, our disclosure controls and procedures were effective.</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ectPr>
          <w:pgSz w:w="11900" w:h="16838" w:orient="portrait"/>
          <w:cols w:equalWidth="0" w:num="1">
            <w:col w:w="11240"/>
          </w:cols>
          <w:pgMar w:left="320" w:top="116"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Changes in Internal Control over Financial Reporting</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There was no change in our internal control over financial reporting that occurred during the fiscal quarter ended June 30, 2020 covered by this Quarterly Report on Form 10-Q that has materially affected, or is reasonably likely to materially affect, our internal control over financial reporting.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II—OTHER INFORMATION</w:t>
      </w:r>
    </w:p>
    <w:p>
      <w:pPr>
        <w:spacing w:after="0" w:line="24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the date of this Quarterly Report on Form 10-Q, there have been no material changes to the risk factors disclosed in our final prospectus filed with the SEC on August 6, 2020. We may disclose changes to such factors or disclose additional factors from time to time in our future filings with the SEC.</w:t>
      </w:r>
    </w:p>
    <w:p>
      <w:pPr>
        <w:spacing w:after="0" w:line="20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Simultaneously with the consummation of the Initial Public Offering and the exercise of the over-allotment option by the underwriters in full, our sponsor purchased 499,000 Private Placement Shares at a price of $10.00 per Private Placement Share, in a private placement that closed simultaneously with the closing of the Initial Public Offering. This issuance was made pursuant to the exemption from registration contained in Section 4(a)(2) of the Securities Act and no underwriting discounts or commissions were paid with respect to such sale.</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In connection with the Initial Public Offering, our sponsor had agreed to loan us an aggregate of up to $300,000 pursuant to the Note. This loan is non-interest bearing and payable on the earlier of December 31, 2020 or the consummation of the Initial Public Offering. As of June 30, 2020, the Company borrowed approximately $63,000 under the Note. Subsequent to June 30, 2020, the Company received the remaining balance of the loan proceeds under the Note of approximately $137,000, for a total of $200,000 balance under the Note. Upon the completion of the Initial Public Offering on August 11, 2020, the Note was fully repaid.</w:t>
      </w:r>
    </w:p>
    <w:p>
      <w:pPr>
        <w:spacing w:after="0" w:line="1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Of the gross proceeds received from the Initial Public Offering and the full exercise of the option to purchase additional ordinary shares, $149,500,000 was placed in the Trust Account. The net proceeds of the Initial Public Offering and certain proceeds from the sale of the Private Placement Shares are invested in U.S. government treasury bills with a maturity of 180 days or less and in money market funds meeting certain conditions under Rule 2a-7 under the Investment Company Act which invest only in direct U.S. government treasury obligations.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paid a total of $2,990,000 in underwriting discounts and commissions and approximately $533,000 for other costs and expenses related to the Initial Public Offering. In addition, the underwriters agreed to defer $5,232,500 in underwriting discounts and commissions.</w:t>
      </w:r>
    </w:p>
    <w:p>
      <w:pPr>
        <w:spacing w:after="0" w:line="20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90"/>
        </w:trPr>
        <w:tc>
          <w:tcPr>
            <w:tcW w:w="1360" w:type="dxa"/>
            <w:vAlign w:val="bottom"/>
            <w:gridSpan w:val="2"/>
          </w:tcPr>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tc>
        <w:tc>
          <w:tcPr>
            <w:tcW w:w="704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35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5"/>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40" w:type="dxa"/>
            <w:vAlign w:val="bottom"/>
          </w:tcPr>
          <w:p>
            <w:pPr>
              <w:spacing w:after="0"/>
              <w:rPr>
                <w:sz w:val="21"/>
                <w:szCs w:val="21"/>
                <w:color w:val="auto"/>
              </w:rPr>
            </w:pPr>
          </w:p>
        </w:tc>
      </w:tr>
      <w:tr>
        <w:trPr>
          <w:trHeight w:val="216"/>
        </w:trPr>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r>
      <w:tr>
        <w:trPr>
          <w:trHeight w:val="198"/>
        </w:trPr>
        <w:tc>
          <w:tcPr>
            <w:tcW w:w="920" w:type="dxa"/>
            <w:vAlign w:val="bottom"/>
            <w:shd w:val="clear" w:color="auto" w:fill="CCEEFF"/>
          </w:tcPr>
          <w:p>
            <w:pPr>
              <w:spacing w:after="0" w:line="198" w:lineRule="exact"/>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31.1</w:t>
              </w:r>
            </w:hyperlink>
          </w:p>
        </w:tc>
        <w:tc>
          <w:tcPr>
            <w:tcW w:w="440" w:type="dxa"/>
            <w:vAlign w:val="bottom"/>
            <w:shd w:val="clear" w:color="auto" w:fill="CCEEFF"/>
          </w:tcPr>
          <w:p>
            <w:pPr>
              <w:spacing w:after="0"/>
              <w:rPr>
                <w:sz w:val="17"/>
                <w:szCs w:val="17"/>
                <w:color w:val="auto"/>
              </w:rPr>
            </w:pPr>
          </w:p>
        </w:tc>
        <w:tc>
          <w:tcPr>
            <w:tcW w:w="7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Certification of the Principal Executive Officer pursuant to Rule 13a-14(a) and Rule 15d-14(a)</w:t>
            </w:r>
          </w:p>
        </w:tc>
        <w:tc>
          <w:tcPr>
            <w:tcW w:w="28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under the Securities Exchange Act of</w:t>
            </w:r>
          </w:p>
        </w:tc>
      </w:tr>
      <w:tr>
        <w:trPr>
          <w:trHeight w:val="234"/>
        </w:trPr>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1934, as amended, as adopted pursuant to Section 302 of the Sarbanes Oxley Act of 2002.</w:t>
            </w:r>
          </w:p>
        </w:tc>
        <w:tc>
          <w:tcPr>
            <w:tcW w:w="284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198"/>
        </w:trPr>
        <w:tc>
          <w:tcPr>
            <w:tcW w:w="920" w:type="dxa"/>
            <w:vAlign w:val="bottom"/>
            <w:shd w:val="clear" w:color="auto" w:fill="CCEEFF"/>
          </w:tcPr>
          <w:p>
            <w:pPr>
              <w:spacing w:after="0" w:line="198" w:lineRule="exact"/>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31.2</w:t>
              </w:r>
            </w:hyperlink>
          </w:p>
        </w:tc>
        <w:tc>
          <w:tcPr>
            <w:tcW w:w="440" w:type="dxa"/>
            <w:vAlign w:val="bottom"/>
            <w:shd w:val="clear" w:color="auto" w:fill="CCEEFF"/>
          </w:tcPr>
          <w:p>
            <w:pPr>
              <w:spacing w:after="0"/>
              <w:rPr>
                <w:sz w:val="17"/>
                <w:szCs w:val="17"/>
                <w:color w:val="auto"/>
              </w:rPr>
            </w:pPr>
          </w:p>
        </w:tc>
        <w:tc>
          <w:tcPr>
            <w:tcW w:w="7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Certification of the Principal Financial Officer pursuant to Rule 13a-14(a) and Rule 15d-14(a)</w:t>
            </w:r>
          </w:p>
        </w:tc>
        <w:tc>
          <w:tcPr>
            <w:tcW w:w="284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under the Securities Exchange Act of</w:t>
            </w:r>
          </w:p>
        </w:tc>
      </w:tr>
      <w:tr>
        <w:trPr>
          <w:trHeight w:val="234"/>
        </w:trPr>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1934, as amended, as adopted pursuant to Section 302 of the Sarbanes Oxley Act of 2002.</w:t>
            </w:r>
          </w:p>
        </w:tc>
        <w:tc>
          <w:tcPr>
            <w:tcW w:w="284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80" w:type="dxa"/>
            <w:vAlign w:val="bottom"/>
            <w:gridSpan w:val="2"/>
          </w:tcPr>
          <w:p>
            <w:pPr>
              <w:spacing w:after="0"/>
              <w:rPr>
                <w:sz w:val="18"/>
                <w:szCs w:val="18"/>
                <w:color w:val="auto"/>
              </w:rPr>
            </w:pPr>
          </w:p>
        </w:tc>
      </w:tr>
      <w:tr>
        <w:trPr>
          <w:trHeight w:val="198"/>
        </w:trPr>
        <w:tc>
          <w:tcPr>
            <w:tcW w:w="920" w:type="dxa"/>
            <w:vAlign w:val="bottom"/>
            <w:shd w:val="clear" w:color="auto" w:fill="CCEEFF"/>
          </w:tcPr>
          <w:p>
            <w:pPr>
              <w:spacing w:after="0" w:line="198" w:lineRule="exact"/>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32.1*</w:t>
              </w:r>
            </w:hyperlink>
          </w:p>
        </w:tc>
        <w:tc>
          <w:tcPr>
            <w:tcW w:w="440" w:type="dxa"/>
            <w:vAlign w:val="bottom"/>
            <w:shd w:val="clear" w:color="auto" w:fill="CCEEFF"/>
          </w:tcPr>
          <w:p>
            <w:pPr>
              <w:spacing w:after="0"/>
              <w:rPr>
                <w:sz w:val="17"/>
                <w:szCs w:val="17"/>
                <w:color w:val="auto"/>
              </w:rPr>
            </w:pPr>
          </w:p>
        </w:tc>
        <w:tc>
          <w:tcPr>
            <w:tcW w:w="9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Certification of the Principal Executive Officer pursuant to 18 U.S.C. Section 1350, as adopted pursuant to Section 906 of the Sarbanes</w:t>
            </w:r>
          </w:p>
        </w:tc>
      </w:tr>
      <w:tr>
        <w:trPr>
          <w:trHeight w:val="234"/>
        </w:trPr>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284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80" w:type="dxa"/>
            <w:vAlign w:val="bottom"/>
            <w:gridSpan w:val="2"/>
          </w:tcPr>
          <w:p>
            <w:pPr>
              <w:spacing w:after="0"/>
              <w:rPr>
                <w:sz w:val="18"/>
                <w:szCs w:val="18"/>
                <w:color w:val="auto"/>
              </w:rPr>
            </w:pPr>
          </w:p>
        </w:tc>
      </w:tr>
      <w:tr>
        <w:trPr>
          <w:trHeight w:val="198"/>
        </w:trPr>
        <w:tc>
          <w:tcPr>
            <w:tcW w:w="920" w:type="dxa"/>
            <w:vAlign w:val="bottom"/>
            <w:shd w:val="clear" w:color="auto" w:fill="CCEEFF"/>
          </w:tcPr>
          <w:p>
            <w:pPr>
              <w:spacing w:after="0" w:line="198" w:lineRule="exact"/>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32.2*</w:t>
              </w:r>
            </w:hyperlink>
          </w:p>
        </w:tc>
        <w:tc>
          <w:tcPr>
            <w:tcW w:w="440" w:type="dxa"/>
            <w:vAlign w:val="bottom"/>
            <w:shd w:val="clear" w:color="auto" w:fill="CCEEFF"/>
          </w:tcPr>
          <w:p>
            <w:pPr>
              <w:spacing w:after="0"/>
              <w:rPr>
                <w:sz w:val="17"/>
                <w:szCs w:val="17"/>
                <w:color w:val="auto"/>
              </w:rPr>
            </w:pPr>
          </w:p>
        </w:tc>
        <w:tc>
          <w:tcPr>
            <w:tcW w:w="9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Certification of the Principal Financial Officer pursuant to 18 U.S.C. Section 1350, as adopted pursuant to Section 906 of the Sarbanes</w:t>
            </w:r>
          </w:p>
        </w:tc>
      </w:tr>
      <w:tr>
        <w:trPr>
          <w:trHeight w:val="234"/>
        </w:trPr>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284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8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8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8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8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8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84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180" w:right="20" w:hanging="172"/>
        <w:spacing w:after="0" w:line="266"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 on this 18th day of September, 2020.</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ARYA SCIENCES ACQUISITION CORP III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Adam Stone</w:t>
      </w:r>
    </w:p>
    <w:p>
      <w:pPr>
        <w:spacing w:after="0" w:line="36" w:lineRule="exact"/>
        <w:rPr>
          <w:sz w:val="20"/>
          <w:szCs w:val="20"/>
          <w:color w:val="auto"/>
        </w:rPr>
      </w:pPr>
    </w:p>
    <w:p>
      <w:pPr>
        <w:jc w:val="center"/>
        <w:ind w:left="324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9"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Altman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RULES 13a-14(a) AND 15d-14(a)</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Adam Stone, certify that:</w:t>
      </w:r>
    </w:p>
    <w:p>
      <w:pPr>
        <w:spacing w:after="0" w:line="242"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2020 of ARYA Sciences Acquisition Corp III;</w:t>
      </w:r>
    </w:p>
    <w:p>
      <w:pPr>
        <w:spacing w:after="0" w:line="252"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5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89"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September 18, 2020</w:t>
      </w:r>
      <w:r>
        <w:rPr>
          <w:sz w:val="20"/>
          <w:szCs w:val="20"/>
          <w:color w:val="auto"/>
        </w:rPr>
        <w:tab/>
      </w:r>
      <w:r>
        <w:rPr>
          <w:rFonts w:ascii="Times New Roman" w:cs="Times New Roman" w:eastAsia="Times New Roman" w:hAnsi="Times New Roman"/>
          <w:sz w:val="18"/>
          <w:szCs w:val="18"/>
          <w:color w:val="auto"/>
        </w:rPr>
        <w:t>By:</w:t>
        <w:tab/>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Adam Stone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RULES 13a-14(a) AND 15d-14(a)</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Michael Altman, certify that:</w:t>
      </w:r>
    </w:p>
    <w:p>
      <w:pPr>
        <w:spacing w:after="0" w:line="242"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2020 of ARYA Sciences Acquisition Corp III;</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56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5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89"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September 18, 2020</w:t>
      </w:r>
      <w:r>
        <w:rPr>
          <w:sz w:val="20"/>
          <w:szCs w:val="20"/>
          <w:color w:val="auto"/>
        </w:rPr>
        <w:tab/>
      </w:r>
      <w:r>
        <w:rPr>
          <w:rFonts w:ascii="Times New Roman" w:cs="Times New Roman" w:eastAsia="Times New Roman" w:hAnsi="Times New Roman"/>
          <w:sz w:val="18"/>
          <w:szCs w:val="18"/>
          <w:color w:val="auto"/>
        </w:rPr>
        <w:t>By:</w:t>
        <w:tab/>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Michael Altman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 and Director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ind w:left="282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ARYA Sciences Acquisition Corp III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quarter ended June 30, 2020,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Adam Stone, Chief Executive Officer and Director of the Company, certify, pursuant to 18 U.S.C. Section 1350, as adopted pursuant to Section 906 of the Sarbanes-Oxley Act of 2002, that, to my knowledge:</w:t>
      </w:r>
    </w:p>
    <w:p>
      <w:pPr>
        <w:spacing w:after="0" w:line="21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520" w:firstLine="8"/>
        <w:spacing w:after="0" w:line="516"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18, 2020</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Adam Stone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4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Adam Stone</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01"/>
        </w:trPr>
        <w:tc>
          <w:tcPr>
            <w:tcW w:w="5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ind w:left="282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ARYA Sciences Acquisition Corp III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quarter ended June 30, 2020,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Michael Altman, Chief Financial Officer and Director of the Company, certify, pursuant to 18 U.S.C. Section 1350, as adopted pursuant to Section 906 of the Sarbanes-Oxley Act of 2002, that, to my knowledge:</w:t>
      </w:r>
    </w:p>
    <w:p>
      <w:pPr>
        <w:spacing w:after="0" w:line="216"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520" w:firstLine="8"/>
        <w:spacing w:after="0" w:line="516"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18, 2020</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Michael Altman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4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Altman</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34"/>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01"/>
        </w:trPr>
        <w:tc>
          <w:tcPr>
            <w:tcW w:w="5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2020-09-18T15:33:40Z</dcterms:created>
  <dcterms:modified xsi:type="dcterms:W3CDTF">2020-09-18T15:33:40Z</dcterms:modified>
</cp:coreProperties>
</file>