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7, 2021</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No. 333-254796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56515</wp:posOffset>
            </wp:positionV>
            <wp:extent cx="12255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58420</wp:posOffset>
            </wp:positionV>
            <wp:extent cx="1225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ARYA SCIENCES ACQUISITION CORP III*</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0" w:lineRule="exact"/>
        <w:rPr>
          <w:sz w:val="24"/>
          <w:szCs w:val="24"/>
          <w:color w:val="auto"/>
        </w:rPr>
      </w:pPr>
    </w:p>
    <w:tbl>
      <w:tblPr>
        <w:tblLayout w:type="fixed"/>
        <w:tblInd w:w="640" w:type="dxa"/>
        <w:tblCellMar>
          <w:top w:w="0" w:type="dxa"/>
          <w:left w:w="0" w:type="dxa"/>
          <w:bottom w:w="0" w:type="dxa"/>
          <w:right w:w="0" w:type="dxa"/>
        </w:tblCellMar>
      </w:tblPr>
      <w:tr>
        <w:trPr>
          <w:trHeight w:val="229"/>
        </w:trPr>
        <w:tc>
          <w:tcPr>
            <w:tcW w:w="3300" w:type="dxa"/>
            <w:vAlign w:val="bottom"/>
          </w:tcPr>
          <w:p>
            <w:pPr>
              <w:jc w:val="center"/>
              <w:ind w:right="762"/>
              <w:spacing w:after="0"/>
              <w:rPr>
                <w:sz w:val="20"/>
                <w:szCs w:val="20"/>
                <w:color w:val="auto"/>
              </w:rPr>
            </w:pPr>
            <w:r>
              <w:rPr>
                <w:rFonts w:ascii="Arial" w:cs="Arial" w:eastAsia="Arial" w:hAnsi="Arial"/>
                <w:sz w:val="18"/>
                <w:szCs w:val="18"/>
                <w:b w:val="1"/>
                <w:bCs w:val="1"/>
                <w:color w:val="auto"/>
                <w:w w:val="92"/>
              </w:rPr>
              <w:t>Cayman Islands*</w:t>
            </w:r>
          </w:p>
        </w:tc>
        <w:tc>
          <w:tcPr>
            <w:tcW w:w="3440" w:type="dxa"/>
            <w:vAlign w:val="bottom"/>
          </w:tcPr>
          <w:p>
            <w:pPr>
              <w:jc w:val="center"/>
              <w:ind w:right="2"/>
              <w:spacing w:after="0"/>
              <w:rPr>
                <w:sz w:val="20"/>
                <w:szCs w:val="20"/>
                <w:color w:val="auto"/>
              </w:rPr>
            </w:pPr>
            <w:r>
              <w:rPr>
                <w:rFonts w:ascii="Arial" w:cs="Arial" w:eastAsia="Arial" w:hAnsi="Arial"/>
                <w:sz w:val="18"/>
                <w:szCs w:val="18"/>
                <w:b w:val="1"/>
                <w:bCs w:val="1"/>
                <w:color w:val="auto"/>
                <w:w w:val="89"/>
              </w:rPr>
              <w:t>6770</w:t>
            </w:r>
          </w:p>
        </w:tc>
        <w:tc>
          <w:tcPr>
            <w:tcW w:w="3020" w:type="dxa"/>
            <w:vAlign w:val="bottom"/>
          </w:tcPr>
          <w:p>
            <w:pPr>
              <w:jc w:val="right"/>
              <w:ind w:right="519"/>
              <w:spacing w:after="0"/>
              <w:rPr>
                <w:sz w:val="20"/>
                <w:szCs w:val="20"/>
                <w:color w:val="auto"/>
              </w:rPr>
            </w:pPr>
            <w:r>
              <w:rPr>
                <w:rFonts w:ascii="Arial" w:cs="Arial" w:eastAsia="Arial" w:hAnsi="Arial"/>
                <w:sz w:val="18"/>
                <w:szCs w:val="18"/>
                <w:b w:val="1"/>
                <w:bCs w:val="1"/>
                <w:color w:val="auto"/>
              </w:rPr>
              <w:t>98-1541723</w:t>
            </w:r>
          </w:p>
        </w:tc>
      </w:tr>
      <w:tr>
        <w:trPr>
          <w:trHeight w:val="140"/>
        </w:trPr>
        <w:tc>
          <w:tcPr>
            <w:tcW w:w="3300" w:type="dxa"/>
            <w:vAlign w:val="bottom"/>
          </w:tcPr>
          <w:p>
            <w:pPr>
              <w:jc w:val="center"/>
              <w:ind w:right="742"/>
              <w:spacing w:after="0" w:line="141" w:lineRule="exact"/>
              <w:rPr>
                <w:sz w:val="20"/>
                <w:szCs w:val="20"/>
                <w:color w:val="auto"/>
              </w:rPr>
            </w:pPr>
            <w:r>
              <w:rPr>
                <w:rFonts w:ascii="Arial" w:cs="Arial" w:eastAsia="Arial" w:hAnsi="Arial"/>
                <w:sz w:val="14"/>
                <w:szCs w:val="14"/>
                <w:color w:val="auto"/>
                <w:w w:val="95"/>
              </w:rPr>
              <w:t>(State or other jurisdiction of incorporation</w:t>
            </w:r>
          </w:p>
        </w:tc>
        <w:tc>
          <w:tcPr>
            <w:tcW w:w="3440" w:type="dxa"/>
            <w:vAlign w:val="bottom"/>
          </w:tcPr>
          <w:p>
            <w:pPr>
              <w:jc w:val="center"/>
              <w:ind w:right="22"/>
              <w:spacing w:after="0" w:line="141" w:lineRule="exact"/>
              <w:rPr>
                <w:sz w:val="20"/>
                <w:szCs w:val="20"/>
                <w:color w:val="auto"/>
              </w:rPr>
            </w:pPr>
            <w:r>
              <w:rPr>
                <w:rFonts w:ascii="Arial" w:cs="Arial" w:eastAsia="Arial" w:hAnsi="Arial"/>
                <w:sz w:val="14"/>
                <w:szCs w:val="14"/>
                <w:color w:val="auto"/>
                <w:w w:val="95"/>
              </w:rPr>
              <w:t>(Primary Standard Industrial</w:t>
            </w:r>
          </w:p>
        </w:tc>
        <w:tc>
          <w:tcPr>
            <w:tcW w:w="3020" w:type="dxa"/>
            <w:vAlign w:val="bottom"/>
          </w:tcPr>
          <w:p>
            <w:pPr>
              <w:jc w:val="center"/>
              <w:ind w:left="859"/>
              <w:spacing w:after="0" w:line="141" w:lineRule="exact"/>
              <w:rPr>
                <w:sz w:val="20"/>
                <w:szCs w:val="20"/>
                <w:color w:val="auto"/>
              </w:rPr>
            </w:pPr>
            <w:r>
              <w:rPr>
                <w:rFonts w:ascii="Arial" w:cs="Arial" w:eastAsia="Arial" w:hAnsi="Arial"/>
                <w:sz w:val="14"/>
                <w:szCs w:val="14"/>
                <w:color w:val="auto"/>
                <w:w w:val="96"/>
              </w:rPr>
              <w:t>(I.R.S. Employer Identification No.)</w:t>
            </w:r>
          </w:p>
        </w:tc>
      </w:tr>
      <w:tr>
        <w:trPr>
          <w:trHeight w:val="182"/>
        </w:trPr>
        <w:tc>
          <w:tcPr>
            <w:tcW w:w="3300" w:type="dxa"/>
            <w:vAlign w:val="bottom"/>
          </w:tcPr>
          <w:p>
            <w:pPr>
              <w:jc w:val="center"/>
              <w:ind w:right="742"/>
              <w:spacing w:after="0"/>
              <w:rPr>
                <w:sz w:val="20"/>
                <w:szCs w:val="20"/>
                <w:color w:val="auto"/>
              </w:rPr>
            </w:pPr>
            <w:r>
              <w:rPr>
                <w:rFonts w:ascii="Arial" w:cs="Arial" w:eastAsia="Arial" w:hAnsi="Arial"/>
                <w:sz w:val="14"/>
                <w:szCs w:val="14"/>
                <w:color w:val="auto"/>
                <w:w w:val="94"/>
              </w:rPr>
              <w:t>or organization)</w:t>
            </w:r>
          </w:p>
        </w:tc>
        <w:tc>
          <w:tcPr>
            <w:tcW w:w="3440" w:type="dxa"/>
            <w:vAlign w:val="bottom"/>
          </w:tcPr>
          <w:p>
            <w:pPr>
              <w:jc w:val="center"/>
              <w:ind w:right="22"/>
              <w:spacing w:after="0"/>
              <w:rPr>
                <w:sz w:val="20"/>
                <w:szCs w:val="20"/>
                <w:color w:val="auto"/>
              </w:rPr>
            </w:pPr>
            <w:r>
              <w:rPr>
                <w:rFonts w:ascii="Arial" w:cs="Arial" w:eastAsia="Arial" w:hAnsi="Arial"/>
                <w:sz w:val="14"/>
                <w:szCs w:val="14"/>
                <w:color w:val="auto"/>
                <w:w w:val="95"/>
              </w:rPr>
              <w:t>Classification Code Number)</w:t>
            </w:r>
          </w:p>
        </w:tc>
        <w:tc>
          <w:tcPr>
            <w:tcW w:w="3020" w:type="dxa"/>
            <w:vAlign w:val="bottom"/>
          </w:tcPr>
          <w:p>
            <w:pPr>
              <w:spacing w:after="0"/>
              <w:rPr>
                <w:sz w:val="15"/>
                <w:szCs w:val="15"/>
                <w:color w:val="auto"/>
              </w:rPr>
            </w:pPr>
          </w:p>
        </w:tc>
      </w:tr>
    </w:tbl>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51 Astor Place, 10th Floor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NY 10003</w:t>
      </w:r>
    </w:p>
    <w:p>
      <w:pPr>
        <w:jc w:val="center"/>
        <w:spacing w:after="0"/>
        <w:rPr>
          <w:sz w:val="20"/>
          <w:szCs w:val="20"/>
          <w:color w:val="auto"/>
        </w:rPr>
      </w:pPr>
      <w:r>
        <w:rPr>
          <w:rFonts w:ascii="Arial" w:cs="Arial" w:eastAsia="Arial" w:hAnsi="Arial"/>
          <w:sz w:val="16"/>
          <w:szCs w:val="16"/>
          <w:b w:val="1"/>
          <w:bCs w:val="1"/>
          <w:color w:val="auto"/>
        </w:rPr>
        <w:t>Tel.: (212) 284-2300</w:t>
      </w: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56515</wp:posOffset>
            </wp:positionV>
            <wp:extent cx="1225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Adam Stone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51 Astor Place, 10th Floor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10003</w:t>
      </w:r>
    </w:p>
    <w:p>
      <w:pPr>
        <w:jc w:val="center"/>
        <w:spacing w:after="0"/>
        <w:rPr>
          <w:sz w:val="20"/>
          <w:szCs w:val="20"/>
          <w:color w:val="auto"/>
        </w:rPr>
      </w:pPr>
      <w:r>
        <w:rPr>
          <w:rFonts w:ascii="Arial" w:cs="Arial" w:eastAsia="Arial" w:hAnsi="Arial"/>
          <w:sz w:val="16"/>
          <w:szCs w:val="16"/>
          <w:b w:val="1"/>
          <w:bCs w:val="1"/>
          <w:color w:val="auto"/>
        </w:rPr>
        <w:t>Tel.: (212) 284-2300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56515</wp:posOffset>
            </wp:positionV>
            <wp:extent cx="122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Copies of all communications, including communications sent to agent for service, should be sent to:</w:t>
      </w:r>
    </w:p>
    <w:p>
      <w:pPr>
        <w:spacing w:after="0" w:line="178" w:lineRule="exact"/>
        <w:rPr>
          <w:sz w:val="24"/>
          <w:szCs w:val="24"/>
          <w:color w:val="auto"/>
        </w:rPr>
      </w:pPr>
    </w:p>
    <w:tbl>
      <w:tblPr>
        <w:tblLayout w:type="fixed"/>
        <w:tblInd w:w="1980" w:type="dxa"/>
        <w:tblCellMar>
          <w:top w:w="0" w:type="dxa"/>
          <w:left w:w="0" w:type="dxa"/>
          <w:bottom w:w="0" w:type="dxa"/>
          <w:right w:w="0" w:type="dxa"/>
        </w:tblCellMar>
      </w:tblPr>
      <w:tr>
        <w:trPr>
          <w:trHeight w:val="161"/>
        </w:trPr>
        <w:tc>
          <w:tcPr>
            <w:tcW w:w="3460" w:type="dxa"/>
            <w:vAlign w:val="bottom"/>
          </w:tcPr>
          <w:p>
            <w:pPr>
              <w:jc w:val="center"/>
              <w:ind w:right="1728"/>
              <w:spacing w:after="0"/>
              <w:rPr>
                <w:sz w:val="20"/>
                <w:szCs w:val="20"/>
                <w:color w:val="auto"/>
              </w:rPr>
            </w:pPr>
            <w:r>
              <w:rPr>
                <w:rFonts w:ascii="Arial" w:cs="Arial" w:eastAsia="Arial" w:hAnsi="Arial"/>
                <w:sz w:val="14"/>
                <w:szCs w:val="14"/>
                <w:b w:val="1"/>
                <w:bCs w:val="1"/>
                <w:color w:val="auto"/>
                <w:w w:val="93"/>
              </w:rPr>
              <w:t>Christian O. Nagler, Esq.</w:t>
            </w:r>
          </w:p>
        </w:tc>
        <w:tc>
          <w:tcPr>
            <w:tcW w:w="4220" w:type="dxa"/>
            <w:vAlign w:val="bottom"/>
          </w:tcPr>
          <w:p>
            <w:pPr>
              <w:jc w:val="center"/>
              <w:ind w:left="1688"/>
              <w:spacing w:after="0"/>
              <w:rPr>
                <w:sz w:val="20"/>
                <w:szCs w:val="20"/>
                <w:color w:val="auto"/>
              </w:rPr>
            </w:pPr>
            <w:r>
              <w:rPr>
                <w:rFonts w:ascii="Arial" w:cs="Arial" w:eastAsia="Arial" w:hAnsi="Arial"/>
                <w:sz w:val="14"/>
                <w:szCs w:val="14"/>
                <w:b w:val="1"/>
                <w:bCs w:val="1"/>
                <w:color w:val="auto"/>
                <w:w w:val="93"/>
              </w:rPr>
              <w:t>Robert F. Kornegay</w:t>
            </w:r>
          </w:p>
        </w:tc>
      </w:tr>
      <w:tr>
        <w:trPr>
          <w:trHeight w:val="135"/>
        </w:trPr>
        <w:tc>
          <w:tcPr>
            <w:tcW w:w="3460" w:type="dxa"/>
            <w:vAlign w:val="bottom"/>
          </w:tcPr>
          <w:p>
            <w:pPr>
              <w:jc w:val="center"/>
              <w:ind w:right="1708"/>
              <w:spacing w:after="0" w:line="135" w:lineRule="exact"/>
              <w:rPr>
                <w:sz w:val="20"/>
                <w:szCs w:val="20"/>
                <w:color w:val="auto"/>
              </w:rPr>
            </w:pPr>
            <w:r>
              <w:rPr>
                <w:rFonts w:ascii="Arial" w:cs="Arial" w:eastAsia="Arial" w:hAnsi="Arial"/>
                <w:sz w:val="14"/>
                <w:szCs w:val="14"/>
                <w:b w:val="1"/>
                <w:bCs w:val="1"/>
                <w:color w:val="auto"/>
                <w:w w:val="89"/>
              </w:rPr>
              <w:t>Peter Seligson, Esq.</w:t>
            </w:r>
          </w:p>
        </w:tc>
        <w:tc>
          <w:tcPr>
            <w:tcW w:w="4220" w:type="dxa"/>
            <w:vAlign w:val="bottom"/>
          </w:tcPr>
          <w:p>
            <w:pPr>
              <w:jc w:val="center"/>
              <w:ind w:left="1708"/>
              <w:spacing w:after="0" w:line="135" w:lineRule="exact"/>
              <w:rPr>
                <w:sz w:val="20"/>
                <w:szCs w:val="20"/>
                <w:color w:val="auto"/>
              </w:rPr>
            </w:pPr>
            <w:r>
              <w:rPr>
                <w:rFonts w:ascii="Arial" w:cs="Arial" w:eastAsia="Arial" w:hAnsi="Arial"/>
                <w:sz w:val="14"/>
                <w:szCs w:val="14"/>
                <w:b w:val="1"/>
                <w:bCs w:val="1"/>
                <w:color w:val="auto"/>
                <w:w w:val="95"/>
              </w:rPr>
              <w:t>Michael Nordtvedt</w:t>
            </w:r>
          </w:p>
        </w:tc>
      </w:tr>
      <w:tr>
        <w:trPr>
          <w:trHeight w:val="135"/>
        </w:trPr>
        <w:tc>
          <w:tcPr>
            <w:tcW w:w="3460" w:type="dxa"/>
            <w:vAlign w:val="bottom"/>
          </w:tcPr>
          <w:p>
            <w:pPr>
              <w:jc w:val="center"/>
              <w:ind w:right="1728"/>
              <w:spacing w:after="0" w:line="135" w:lineRule="exact"/>
              <w:rPr>
                <w:sz w:val="20"/>
                <w:szCs w:val="20"/>
                <w:color w:val="auto"/>
              </w:rPr>
            </w:pPr>
            <w:r>
              <w:rPr>
                <w:rFonts w:ascii="Arial" w:cs="Arial" w:eastAsia="Arial" w:hAnsi="Arial"/>
                <w:sz w:val="14"/>
                <w:szCs w:val="14"/>
                <w:b w:val="1"/>
                <w:bCs w:val="1"/>
                <w:color w:val="auto"/>
              </w:rPr>
              <w:t>Kirkland &amp; Ellis LLP</w:t>
            </w:r>
          </w:p>
        </w:tc>
        <w:tc>
          <w:tcPr>
            <w:tcW w:w="4220" w:type="dxa"/>
            <w:vAlign w:val="bottom"/>
          </w:tcPr>
          <w:p>
            <w:pPr>
              <w:jc w:val="center"/>
              <w:ind w:left="1688"/>
              <w:spacing w:after="0" w:line="135" w:lineRule="exact"/>
              <w:rPr>
                <w:sz w:val="20"/>
                <w:szCs w:val="20"/>
                <w:color w:val="auto"/>
              </w:rPr>
            </w:pPr>
            <w:r>
              <w:rPr>
                <w:rFonts w:ascii="Arial" w:cs="Arial" w:eastAsia="Arial" w:hAnsi="Arial"/>
                <w:sz w:val="14"/>
                <w:szCs w:val="14"/>
                <w:b w:val="1"/>
                <w:bCs w:val="1"/>
                <w:color w:val="auto"/>
                <w:w w:val="91"/>
              </w:rPr>
              <w:t>Brian Keyes</w:t>
            </w:r>
          </w:p>
        </w:tc>
      </w:tr>
      <w:tr>
        <w:trPr>
          <w:trHeight w:val="135"/>
        </w:trPr>
        <w:tc>
          <w:tcPr>
            <w:tcW w:w="3460" w:type="dxa"/>
            <w:vAlign w:val="bottom"/>
          </w:tcPr>
          <w:p>
            <w:pPr>
              <w:jc w:val="center"/>
              <w:ind w:right="1708"/>
              <w:spacing w:after="0" w:line="135" w:lineRule="exact"/>
              <w:rPr>
                <w:sz w:val="20"/>
                <w:szCs w:val="20"/>
                <w:color w:val="auto"/>
              </w:rPr>
            </w:pPr>
            <w:r>
              <w:rPr>
                <w:rFonts w:ascii="Arial" w:cs="Arial" w:eastAsia="Arial" w:hAnsi="Arial"/>
                <w:sz w:val="14"/>
                <w:szCs w:val="14"/>
                <w:b w:val="1"/>
                <w:bCs w:val="1"/>
                <w:color w:val="auto"/>
                <w:w w:val="91"/>
              </w:rPr>
              <w:t>601 Lexington Avenue</w:t>
            </w:r>
          </w:p>
        </w:tc>
        <w:tc>
          <w:tcPr>
            <w:tcW w:w="4220" w:type="dxa"/>
            <w:vAlign w:val="bottom"/>
          </w:tcPr>
          <w:p>
            <w:pPr>
              <w:jc w:val="center"/>
              <w:ind w:left="1688"/>
              <w:spacing w:after="0" w:line="135" w:lineRule="exact"/>
              <w:rPr>
                <w:sz w:val="20"/>
                <w:szCs w:val="20"/>
                <w:color w:val="auto"/>
              </w:rPr>
            </w:pPr>
            <w:r>
              <w:rPr>
                <w:rFonts w:ascii="Arial" w:cs="Arial" w:eastAsia="Arial" w:hAnsi="Arial"/>
                <w:sz w:val="14"/>
                <w:szCs w:val="14"/>
                <w:b w:val="1"/>
                <w:bCs w:val="1"/>
                <w:color w:val="auto"/>
                <w:w w:val="94"/>
              </w:rPr>
              <w:t>Zachary B. Myers</w:t>
            </w:r>
          </w:p>
        </w:tc>
      </w:tr>
      <w:tr>
        <w:trPr>
          <w:trHeight w:val="135"/>
        </w:trPr>
        <w:tc>
          <w:tcPr>
            <w:tcW w:w="3460" w:type="dxa"/>
            <w:vAlign w:val="bottom"/>
          </w:tcPr>
          <w:p>
            <w:pPr>
              <w:jc w:val="center"/>
              <w:ind w:right="1708"/>
              <w:spacing w:after="0" w:line="135" w:lineRule="exact"/>
              <w:rPr>
                <w:sz w:val="20"/>
                <w:szCs w:val="20"/>
                <w:color w:val="auto"/>
              </w:rPr>
            </w:pPr>
            <w:r>
              <w:rPr>
                <w:rFonts w:ascii="Arial" w:cs="Arial" w:eastAsia="Arial" w:hAnsi="Arial"/>
                <w:sz w:val="14"/>
                <w:szCs w:val="14"/>
                <w:b w:val="1"/>
                <w:bCs w:val="1"/>
                <w:color w:val="auto"/>
                <w:w w:val="94"/>
              </w:rPr>
              <w:t>New York, New York 10022</w:t>
            </w:r>
          </w:p>
        </w:tc>
        <w:tc>
          <w:tcPr>
            <w:tcW w:w="4220" w:type="dxa"/>
            <w:vAlign w:val="bottom"/>
          </w:tcPr>
          <w:p>
            <w:pPr>
              <w:jc w:val="center"/>
              <w:ind w:left="1708"/>
              <w:spacing w:after="0" w:line="135" w:lineRule="exact"/>
              <w:rPr>
                <w:sz w:val="20"/>
                <w:szCs w:val="20"/>
                <w:color w:val="auto"/>
              </w:rPr>
            </w:pPr>
            <w:r>
              <w:rPr>
                <w:rFonts w:ascii="Arial" w:cs="Arial" w:eastAsia="Arial" w:hAnsi="Arial"/>
                <w:sz w:val="14"/>
                <w:szCs w:val="14"/>
                <w:b w:val="1"/>
                <w:bCs w:val="1"/>
                <w:color w:val="auto"/>
                <w:w w:val="93"/>
              </w:rPr>
              <w:t>Wilson Sonsini Goodrich &amp; Rosati, P.C.</w:t>
            </w:r>
          </w:p>
        </w:tc>
      </w:tr>
      <w:tr>
        <w:trPr>
          <w:trHeight w:val="135"/>
        </w:trPr>
        <w:tc>
          <w:tcPr>
            <w:tcW w:w="3460" w:type="dxa"/>
            <w:vAlign w:val="bottom"/>
          </w:tcPr>
          <w:p>
            <w:pPr>
              <w:jc w:val="center"/>
              <w:ind w:right="1708"/>
              <w:spacing w:after="0" w:line="135" w:lineRule="exact"/>
              <w:rPr>
                <w:sz w:val="20"/>
                <w:szCs w:val="20"/>
                <w:color w:val="auto"/>
              </w:rPr>
            </w:pPr>
            <w:r>
              <w:rPr>
                <w:rFonts w:ascii="Arial" w:cs="Arial" w:eastAsia="Arial" w:hAnsi="Arial"/>
                <w:sz w:val="14"/>
                <w:szCs w:val="14"/>
                <w:b w:val="1"/>
                <w:bCs w:val="1"/>
                <w:color w:val="auto"/>
                <w:w w:val="93"/>
              </w:rPr>
              <w:t>Tel: (212) 446-4800</w:t>
            </w:r>
          </w:p>
        </w:tc>
        <w:tc>
          <w:tcPr>
            <w:tcW w:w="4220" w:type="dxa"/>
            <w:vAlign w:val="bottom"/>
          </w:tcPr>
          <w:p>
            <w:pPr>
              <w:jc w:val="center"/>
              <w:ind w:left="1708"/>
              <w:spacing w:after="0" w:line="135" w:lineRule="exact"/>
              <w:rPr>
                <w:sz w:val="20"/>
                <w:szCs w:val="20"/>
                <w:color w:val="auto"/>
              </w:rPr>
            </w:pPr>
            <w:r>
              <w:rPr>
                <w:rFonts w:ascii="Arial" w:cs="Arial" w:eastAsia="Arial" w:hAnsi="Arial"/>
                <w:sz w:val="14"/>
                <w:szCs w:val="14"/>
                <w:b w:val="1"/>
                <w:bCs w:val="1"/>
                <w:color w:val="auto"/>
                <w:w w:val="94"/>
              </w:rPr>
              <w:t>650 Page Mill Road</w:t>
            </w:r>
          </w:p>
        </w:tc>
      </w:tr>
      <w:tr>
        <w:trPr>
          <w:trHeight w:val="135"/>
        </w:trPr>
        <w:tc>
          <w:tcPr>
            <w:tcW w:w="3460" w:type="dxa"/>
            <w:vAlign w:val="bottom"/>
          </w:tcPr>
          <w:p>
            <w:pPr>
              <w:jc w:val="center"/>
              <w:ind w:right="1728"/>
              <w:spacing w:after="0" w:line="135" w:lineRule="exact"/>
              <w:rPr>
                <w:sz w:val="20"/>
                <w:szCs w:val="20"/>
                <w:color w:val="auto"/>
              </w:rPr>
            </w:pPr>
            <w:r>
              <w:rPr>
                <w:rFonts w:ascii="Arial" w:cs="Arial" w:eastAsia="Arial" w:hAnsi="Arial"/>
                <w:sz w:val="14"/>
                <w:szCs w:val="14"/>
                <w:b w:val="1"/>
                <w:bCs w:val="1"/>
                <w:color w:val="auto"/>
                <w:w w:val="94"/>
              </w:rPr>
              <w:t>Fax: (212) 446-4900</w:t>
            </w:r>
          </w:p>
        </w:tc>
        <w:tc>
          <w:tcPr>
            <w:tcW w:w="4220" w:type="dxa"/>
            <w:vAlign w:val="bottom"/>
          </w:tcPr>
          <w:p>
            <w:pPr>
              <w:jc w:val="center"/>
              <w:ind w:left="1688"/>
              <w:spacing w:after="0" w:line="135" w:lineRule="exact"/>
              <w:rPr>
                <w:sz w:val="20"/>
                <w:szCs w:val="20"/>
                <w:color w:val="auto"/>
              </w:rPr>
            </w:pPr>
            <w:r>
              <w:rPr>
                <w:rFonts w:ascii="Arial" w:cs="Arial" w:eastAsia="Arial" w:hAnsi="Arial"/>
                <w:sz w:val="14"/>
                <w:szCs w:val="14"/>
                <w:b w:val="1"/>
                <w:bCs w:val="1"/>
                <w:color w:val="auto"/>
                <w:w w:val="94"/>
              </w:rPr>
              <w:t>Palo Alto, California 94304</w:t>
            </w:r>
          </w:p>
        </w:tc>
      </w:tr>
      <w:tr>
        <w:trPr>
          <w:trHeight w:val="135"/>
        </w:trPr>
        <w:tc>
          <w:tcPr>
            <w:tcW w:w="3460" w:type="dxa"/>
            <w:vAlign w:val="bottom"/>
          </w:tcPr>
          <w:p>
            <w:pPr>
              <w:spacing w:after="0"/>
              <w:rPr>
                <w:sz w:val="11"/>
                <w:szCs w:val="11"/>
                <w:color w:val="auto"/>
              </w:rPr>
            </w:pPr>
          </w:p>
        </w:tc>
        <w:tc>
          <w:tcPr>
            <w:tcW w:w="4220" w:type="dxa"/>
            <w:vAlign w:val="bottom"/>
          </w:tcPr>
          <w:p>
            <w:pPr>
              <w:jc w:val="center"/>
              <w:ind w:left="1688"/>
              <w:spacing w:after="0" w:line="135" w:lineRule="exact"/>
              <w:rPr>
                <w:sz w:val="20"/>
                <w:szCs w:val="20"/>
                <w:color w:val="auto"/>
              </w:rPr>
            </w:pPr>
            <w:r>
              <w:rPr>
                <w:rFonts w:ascii="Arial" w:cs="Arial" w:eastAsia="Arial" w:hAnsi="Arial"/>
                <w:sz w:val="14"/>
                <w:szCs w:val="14"/>
                <w:b w:val="1"/>
                <w:bCs w:val="1"/>
                <w:color w:val="auto"/>
                <w:w w:val="94"/>
              </w:rPr>
              <w:t>Tel: (650) 493-9300</w:t>
            </w:r>
          </w:p>
        </w:tc>
      </w:tr>
      <w:tr>
        <w:trPr>
          <w:trHeight w:val="186"/>
        </w:trPr>
        <w:tc>
          <w:tcPr>
            <w:tcW w:w="3460" w:type="dxa"/>
            <w:vAlign w:val="bottom"/>
          </w:tcPr>
          <w:p>
            <w:pPr>
              <w:spacing w:after="0"/>
              <w:rPr>
                <w:sz w:val="16"/>
                <w:szCs w:val="16"/>
                <w:color w:val="auto"/>
              </w:rPr>
            </w:pPr>
          </w:p>
        </w:tc>
        <w:tc>
          <w:tcPr>
            <w:tcW w:w="4220" w:type="dxa"/>
            <w:vAlign w:val="bottom"/>
          </w:tcPr>
          <w:p>
            <w:pPr>
              <w:jc w:val="center"/>
              <w:ind w:left="1688"/>
              <w:spacing w:after="0"/>
              <w:rPr>
                <w:sz w:val="20"/>
                <w:szCs w:val="20"/>
                <w:color w:val="auto"/>
              </w:rPr>
            </w:pPr>
            <w:r>
              <w:rPr>
                <w:rFonts w:ascii="Arial" w:cs="Arial" w:eastAsia="Arial" w:hAnsi="Arial"/>
                <w:sz w:val="14"/>
                <w:szCs w:val="14"/>
                <w:b w:val="1"/>
                <w:bCs w:val="1"/>
                <w:color w:val="auto"/>
                <w:w w:val="94"/>
              </w:rPr>
              <w:t>Fax: (650) 493-6811</w:t>
            </w:r>
          </w:p>
        </w:tc>
      </w:tr>
    </w:tbl>
    <w:p>
      <w:pPr>
        <w:spacing w:after="0" w:line="24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 xml:space="preserve">Approximate date of commencement of proposed sale of the securities to the public: </w:t>
      </w:r>
      <w:r>
        <w:rPr>
          <w:rFonts w:ascii="Arial" w:cs="Arial" w:eastAsia="Arial" w:hAnsi="Arial"/>
          <w:sz w:val="13"/>
          <w:szCs w:val="13"/>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62230</wp:posOffset>
            </wp:positionV>
            <wp:extent cx="122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54"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60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20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20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080" w:type="dxa"/>
            <w:vAlign w:val="bottom"/>
          </w:tcPr>
          <w:p>
            <w:pPr>
              <w:ind w:left="320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jc w:val="both"/>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3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Exchange Act Rule 14d-l(d) (Cross-Border Third-Party Tender Offer) </w:t>
      </w:r>
      <w:r>
        <w:rPr>
          <w:rFonts w:ascii="MS PGothic" w:cs="MS PGothic" w:eastAsia="MS PGothic" w:hAnsi="MS PGothic"/>
          <w:sz w:val="14"/>
          <w:szCs w:val="14"/>
          <w:color w:val="auto"/>
        </w:rPr>
        <w:t>☐</w:t>
      </w:r>
    </w:p>
    <w:p>
      <w:pPr>
        <w:sectPr>
          <w:pgSz w:w="11900" w:h="16838" w:orient="portrait"/>
          <w:cols w:equalWidth="0" w:num="1">
            <w:col w:w="11240"/>
          </w:cols>
          <w:pgMar w:left="320" w:top="225"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5100" w:type="dxa"/>
            <w:vAlign w:val="bottom"/>
            <w:tcBorders>
              <w:top w:val="single" w:sz="8" w:color="auto"/>
              <w:left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Amount</w:t>
            </w:r>
          </w:p>
        </w:tc>
        <w:tc>
          <w:tcPr>
            <w:tcW w:w="14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6"/>
              </w:rPr>
              <w:t>Proposed</w:t>
            </w: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right w:val="single" w:sz="8" w:color="auto"/>
            </w:tcBorders>
            <w:vMerge w:val="restart"/>
          </w:tcPr>
          <w:p>
            <w:pPr>
              <w:jc w:val="center"/>
              <w:ind w:right="128"/>
              <w:spacing w:after="0"/>
              <w:rPr>
                <w:sz w:val="20"/>
                <w:szCs w:val="20"/>
                <w:color w:val="auto"/>
              </w:rPr>
            </w:pPr>
            <w:r>
              <w:rPr>
                <w:rFonts w:ascii="Arial" w:cs="Arial" w:eastAsia="Arial" w:hAnsi="Arial"/>
                <w:sz w:val="14"/>
                <w:szCs w:val="14"/>
                <w:color w:val="auto"/>
                <w:w w:val="93"/>
              </w:rPr>
              <w:t>Proposed Maximum</w:t>
            </w:r>
          </w:p>
        </w:tc>
        <w:tc>
          <w:tcPr>
            <w:tcW w:w="15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Title of Each Class of Securities</w:t>
            </w:r>
          </w:p>
        </w:tc>
        <w:tc>
          <w:tcPr>
            <w:tcW w:w="1460" w:type="dxa"/>
            <w:vAlign w:val="bottom"/>
            <w:tcBorders>
              <w:right w:val="single" w:sz="8" w:color="auto"/>
            </w:tcBorders>
            <w:vMerge w:val="continue"/>
          </w:tcPr>
          <w:p>
            <w:pPr>
              <w:spacing w:after="0"/>
              <w:rPr>
                <w:sz w:val="11"/>
                <w:szCs w:val="11"/>
                <w:color w:val="auto"/>
              </w:rPr>
            </w:pP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Maximum</w:t>
            </w:r>
          </w:p>
        </w:tc>
        <w:tc>
          <w:tcPr>
            <w:tcW w:w="160" w:type="dxa"/>
            <w:vAlign w:val="bottom"/>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56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9"/>
              </w:rPr>
              <w:t>Amount of Registration</w:t>
            </w:r>
          </w:p>
        </w:tc>
        <w:tc>
          <w:tcPr>
            <w:tcW w:w="0" w:type="dxa"/>
            <w:vAlign w:val="bottom"/>
          </w:tcPr>
          <w:p>
            <w:pPr>
              <w:spacing w:after="0"/>
              <w:rPr>
                <w:sz w:val="1"/>
                <w:szCs w:val="1"/>
                <w:color w:val="auto"/>
              </w:rPr>
            </w:pPr>
          </w:p>
        </w:tc>
      </w:tr>
      <w:tr>
        <w:trPr>
          <w:trHeight w:val="135"/>
        </w:trPr>
        <w:tc>
          <w:tcPr>
            <w:tcW w:w="5100" w:type="dxa"/>
            <w:vAlign w:val="bottom"/>
            <w:tcBorders>
              <w:left w:val="single" w:sz="8" w:color="auto"/>
              <w:right w:val="single" w:sz="8" w:color="auto"/>
            </w:tcBorders>
            <w:vMerge w:val="continue"/>
          </w:tcPr>
          <w:p>
            <w:pPr>
              <w:spacing w:after="0"/>
              <w:rPr>
                <w:sz w:val="11"/>
                <w:szCs w:val="11"/>
                <w:color w:val="auto"/>
              </w:rPr>
            </w:pP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9"/>
              </w:rPr>
              <w:t>to be</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Offering Price</w:t>
            </w:r>
          </w:p>
        </w:tc>
        <w:tc>
          <w:tcPr>
            <w:tcW w:w="160" w:type="dxa"/>
            <w:vAlign w:val="bottom"/>
          </w:tcPr>
          <w:p>
            <w:pPr>
              <w:spacing w:after="0"/>
              <w:rPr>
                <w:sz w:val="11"/>
                <w:szCs w:val="11"/>
                <w:color w:val="auto"/>
              </w:rPr>
            </w:pPr>
          </w:p>
        </w:tc>
        <w:tc>
          <w:tcPr>
            <w:tcW w:w="1520" w:type="dxa"/>
            <w:vAlign w:val="bottom"/>
            <w:tcBorders>
              <w:right w:val="single" w:sz="8" w:color="auto"/>
            </w:tcBorders>
          </w:tcPr>
          <w:p>
            <w:pPr>
              <w:jc w:val="center"/>
              <w:ind w:right="128"/>
              <w:spacing w:after="0" w:line="135" w:lineRule="exact"/>
              <w:rPr>
                <w:sz w:val="20"/>
                <w:szCs w:val="20"/>
                <w:color w:val="auto"/>
              </w:rPr>
            </w:pPr>
            <w:r>
              <w:rPr>
                <w:rFonts w:ascii="Arial" w:cs="Arial" w:eastAsia="Arial" w:hAnsi="Arial"/>
                <w:sz w:val="14"/>
                <w:szCs w:val="14"/>
                <w:color w:val="auto"/>
                <w:w w:val="92"/>
              </w:rPr>
              <w:t>Aggregate</w:t>
            </w:r>
          </w:p>
        </w:tc>
        <w:tc>
          <w:tcPr>
            <w:tcW w:w="15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 be Registered</w:t>
            </w:r>
          </w:p>
        </w:tc>
        <w:tc>
          <w:tcPr>
            <w:tcW w:w="14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4"/>
                <w:szCs w:val="14"/>
                <w:color w:val="auto"/>
                <w:w w:val="87"/>
              </w:rPr>
              <w:t>Registered</w:t>
            </w:r>
            <w:r>
              <w:rPr>
                <w:rFonts w:ascii="Arial" w:cs="Arial" w:eastAsia="Arial" w:hAnsi="Arial"/>
                <w:sz w:val="18"/>
                <w:szCs w:val="18"/>
                <w:color w:val="auto"/>
                <w:w w:val="87"/>
                <w:vertAlign w:val="superscript"/>
              </w:rPr>
              <w:t>(2)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Per Share</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jc w:val="center"/>
              <w:ind w:right="108"/>
              <w:spacing w:after="0" w:line="189" w:lineRule="exact"/>
              <w:rPr>
                <w:sz w:val="20"/>
                <w:szCs w:val="20"/>
                <w:color w:val="auto"/>
              </w:rPr>
            </w:pPr>
            <w:r>
              <w:rPr>
                <w:rFonts w:ascii="Arial" w:cs="Arial" w:eastAsia="Arial" w:hAnsi="Arial"/>
                <w:sz w:val="14"/>
                <w:szCs w:val="14"/>
                <w:color w:val="auto"/>
                <w:w w:val="93"/>
              </w:rPr>
              <w:t>Offering Price</w:t>
            </w:r>
            <w:r>
              <w:rPr>
                <w:rFonts w:ascii="Arial" w:cs="Arial" w:eastAsia="Arial" w:hAnsi="Arial"/>
                <w:sz w:val="18"/>
                <w:szCs w:val="18"/>
                <w:color w:val="auto"/>
                <w:w w:val="93"/>
                <w:vertAlign w:val="superscript"/>
              </w:rPr>
              <w:t>(1)</w:t>
            </w:r>
          </w:p>
        </w:tc>
        <w:tc>
          <w:tcPr>
            <w:tcW w:w="1560" w:type="dxa"/>
            <w:vAlign w:val="bottom"/>
            <w:tcBorders>
              <w:bottom w:val="single" w:sz="8" w:color="auto"/>
              <w:right w:val="single" w:sz="8" w:color="auto"/>
            </w:tcBorders>
          </w:tcPr>
          <w:p>
            <w:pPr>
              <w:jc w:val="right"/>
              <w:ind w:right="628"/>
              <w:spacing w:after="0"/>
              <w:rPr>
                <w:sz w:val="20"/>
                <w:szCs w:val="20"/>
                <w:color w:val="auto"/>
              </w:rPr>
            </w:pPr>
            <w:r>
              <w:rPr>
                <w:rFonts w:ascii="Arial" w:cs="Arial" w:eastAsia="Arial" w:hAnsi="Arial"/>
                <w:sz w:val="14"/>
                <w:szCs w:val="14"/>
                <w:color w:val="auto"/>
              </w:rPr>
              <w:t>Fee</w:t>
            </w:r>
          </w:p>
        </w:tc>
        <w:tc>
          <w:tcPr>
            <w:tcW w:w="0" w:type="dxa"/>
            <w:vAlign w:val="bottom"/>
          </w:tcPr>
          <w:p>
            <w:pPr>
              <w:spacing w:after="0"/>
              <w:rPr>
                <w:sz w:val="1"/>
                <w:szCs w:val="1"/>
                <w:color w:val="auto"/>
              </w:rPr>
            </w:pPr>
          </w:p>
        </w:tc>
      </w:tr>
      <w:tr>
        <w:trPr>
          <w:trHeight w:val="183"/>
        </w:trPr>
        <w:tc>
          <w:tcPr>
            <w:tcW w:w="5100" w:type="dxa"/>
            <w:vAlign w:val="bottom"/>
            <w:tcBorders>
              <w:left w:val="single" w:sz="8" w:color="auto"/>
              <w:bottom w:val="single" w:sz="8" w:color="auto"/>
              <w:right w:val="single" w:sz="8" w:color="auto"/>
            </w:tcBorders>
          </w:tcPr>
          <w:p>
            <w:pPr>
              <w:ind w:left="40"/>
              <w:spacing w:after="0" w:line="182" w:lineRule="exact"/>
              <w:rPr>
                <w:sz w:val="20"/>
                <w:szCs w:val="20"/>
                <w:color w:val="auto"/>
              </w:rPr>
            </w:pPr>
            <w:r>
              <w:rPr>
                <w:rFonts w:ascii="Arial" w:cs="Arial" w:eastAsia="Arial" w:hAnsi="Arial"/>
                <w:sz w:val="14"/>
                <w:szCs w:val="14"/>
                <w:color w:val="auto"/>
              </w:rPr>
              <w:t>New Nautilus Common Stock</w:t>
            </w:r>
            <w:r>
              <w:rPr>
                <w:rFonts w:ascii="Arial" w:cs="Arial" w:eastAsia="Arial" w:hAnsi="Arial"/>
                <w:sz w:val="18"/>
                <w:szCs w:val="18"/>
                <w:color w:val="auto"/>
                <w:vertAlign w:val="superscript"/>
              </w:rPr>
              <w:t>(1)</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111,674,810</w:t>
            </w:r>
          </w:p>
        </w:tc>
        <w:tc>
          <w:tcPr>
            <w:tcW w:w="1460" w:type="dxa"/>
            <w:vAlign w:val="bottom"/>
            <w:tcBorders>
              <w:bottom w:val="single" w:sz="8" w:color="auto"/>
              <w:right w:val="single" w:sz="8" w:color="auto"/>
            </w:tcBorders>
          </w:tcPr>
          <w:p>
            <w:pPr>
              <w:jc w:val="right"/>
              <w:spacing w:after="0" w:line="182" w:lineRule="exact"/>
              <w:rPr>
                <w:sz w:val="20"/>
                <w:szCs w:val="20"/>
                <w:color w:val="auto"/>
              </w:rPr>
            </w:pPr>
            <w:r>
              <w:rPr>
                <w:rFonts w:ascii="Arial" w:cs="Arial" w:eastAsia="Arial" w:hAnsi="Arial"/>
                <w:sz w:val="14"/>
                <w:szCs w:val="14"/>
                <w:color w:val="auto"/>
              </w:rPr>
              <w:t xml:space="preserve">$12.02 </w:t>
            </w:r>
            <w:r>
              <w:rPr>
                <w:rFonts w:ascii="Arial" w:cs="Arial" w:eastAsia="Arial" w:hAnsi="Arial"/>
                <w:sz w:val="18"/>
                <w:szCs w:val="18"/>
                <w:color w:val="auto"/>
                <w:vertAlign w:val="superscript"/>
              </w:rPr>
              <w:t>(3)</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1,342,331,216</w:t>
            </w:r>
          </w:p>
        </w:tc>
        <w:tc>
          <w:tcPr>
            <w:tcW w:w="1560" w:type="dxa"/>
            <w:vAlign w:val="bottom"/>
            <w:tcBorders>
              <w:bottom w:val="single" w:sz="8" w:color="auto"/>
              <w:right w:val="single" w:sz="8" w:color="auto"/>
            </w:tcBorders>
          </w:tcPr>
          <w:p>
            <w:pPr>
              <w:jc w:val="right"/>
              <w:spacing w:after="0" w:line="182" w:lineRule="exact"/>
              <w:rPr>
                <w:sz w:val="20"/>
                <w:szCs w:val="20"/>
                <w:color w:val="auto"/>
              </w:rPr>
            </w:pPr>
            <w:r>
              <w:rPr>
                <w:rFonts w:ascii="Arial" w:cs="Arial" w:eastAsia="Arial" w:hAnsi="Arial"/>
                <w:sz w:val="14"/>
                <w:szCs w:val="14"/>
                <w:color w:val="auto"/>
              </w:rPr>
              <w:t xml:space="preserve">$146,449 </w:t>
            </w:r>
            <w:r>
              <w:rPr>
                <w:rFonts w:ascii="Arial" w:cs="Arial" w:eastAsia="Arial" w:hAnsi="Arial"/>
                <w:sz w:val="18"/>
                <w:szCs w:val="18"/>
                <w:color w:val="auto"/>
                <w:vertAlign w:val="superscript"/>
              </w:rPr>
              <w:t>(4)</w:t>
            </w:r>
          </w:p>
        </w:tc>
        <w:tc>
          <w:tcPr>
            <w:tcW w:w="0" w:type="dxa"/>
            <w:vAlign w:val="bottom"/>
          </w:tcPr>
          <w:p>
            <w:pPr>
              <w:spacing w:after="0"/>
              <w:rPr>
                <w:sz w:val="1"/>
                <w:szCs w:val="1"/>
                <w:color w:val="auto"/>
              </w:rPr>
            </w:pPr>
          </w:p>
        </w:tc>
      </w:tr>
      <w:tr>
        <w:trPr>
          <w:trHeight w:val="183"/>
        </w:trPr>
        <w:tc>
          <w:tcPr>
            <w:tcW w:w="5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111,674,810</w:t>
            </w:r>
          </w:p>
        </w:tc>
        <w:tc>
          <w:tcPr>
            <w:tcW w:w="146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jc w:val="right"/>
              <w:spacing w:after="0" w:line="182" w:lineRule="exact"/>
              <w:rPr>
                <w:sz w:val="20"/>
                <w:szCs w:val="20"/>
                <w:color w:val="auto"/>
              </w:rPr>
            </w:pPr>
            <w:r>
              <w:rPr>
                <w:rFonts w:ascii="Arial" w:cs="Arial" w:eastAsia="Arial" w:hAnsi="Arial"/>
                <w:sz w:val="14"/>
                <w:szCs w:val="14"/>
                <w:color w:val="auto"/>
              </w:rPr>
              <w:t xml:space="preserve">$146,449 </w:t>
            </w:r>
            <w:r>
              <w:rPr>
                <w:rFonts w:ascii="Arial" w:cs="Arial" w:eastAsia="Arial" w:hAnsi="Arial"/>
                <w:sz w:val="18"/>
                <w:szCs w:val="18"/>
                <w:color w:val="auto"/>
                <w:vertAlign w:val="superscript"/>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-264795</wp:posOffset>
            </wp:positionV>
            <wp:extent cx="25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22" w:lineRule="exact"/>
        <w:rPr>
          <w:sz w:val="20"/>
          <w:szCs w:val="20"/>
          <w:color w:val="auto"/>
        </w:rPr>
      </w:pPr>
    </w:p>
    <w:p>
      <w:pPr>
        <w:ind w:left="340" w:right="40" w:hanging="332"/>
        <w:spacing w:after="0" w:line="273" w:lineRule="auto"/>
        <w:tabs>
          <w:tab w:leader="none" w:pos="327" w:val="left"/>
        </w:tabs>
        <w:numPr>
          <w:ilvl w:val="0"/>
          <w:numId w:val="1"/>
        </w:numPr>
        <w:rPr>
          <w:rFonts w:ascii="Arial" w:cs="Arial" w:eastAsia="Arial" w:hAnsi="Arial"/>
          <w:sz w:val="14"/>
          <w:szCs w:val="14"/>
          <w:color w:val="auto"/>
          <w:vertAlign w:val="superscript"/>
        </w:rPr>
      </w:pPr>
      <w:r>
        <w:rPr>
          <w:rFonts w:ascii="Arial" w:cs="Arial" w:eastAsia="Arial" w:hAnsi="Arial"/>
          <w:sz w:val="11"/>
          <w:szCs w:val="11"/>
          <w:color w:val="auto"/>
        </w:rPr>
        <w:t>The number of shares of common stock of New Nautilus (as defined below) being registered represents (i) 14,950,000 Class A ordinary shares issued in ARYA’s initial public offering, which will be converted by operation of law into shares of common stock of New Nautilus (the “</w:t>
      </w:r>
      <w:r>
        <w:rPr>
          <w:rFonts w:ascii="Arial" w:cs="Arial" w:eastAsia="Arial" w:hAnsi="Arial"/>
          <w:sz w:val="11"/>
          <w:szCs w:val="11"/>
          <w:u w:val="single" w:color="auto"/>
          <w:color w:val="auto"/>
        </w:rPr>
        <w:t>New Nautilus Common Stock</w:t>
      </w:r>
      <w:r>
        <w:rPr>
          <w:rFonts w:ascii="Arial" w:cs="Arial" w:eastAsia="Arial" w:hAnsi="Arial"/>
          <w:sz w:val="11"/>
          <w:szCs w:val="11"/>
          <w:color w:val="auto"/>
        </w:rPr>
        <w:t>”) in the Domestication (each as defined below) (ii) 499,000 Class A ordinary shares issued in a private placement simultaneously with the closing of ARYA’s initial public offering which will be converted by operation of law into shares of New Nautilus Common Stock in the Domestication, (iii) 3,737,500 Class B ordinary shares held by ARYA’s initial shareholders which will be converted by operation of law into shares of New Nautilus Common Stock in the Domestication, (iv) up to 85,295,562 shares of New Nautilus Common Stock that will be issued to the equity holders of Nautilus Biotechnology, Inc. in connection with the Business Combination described in the proxy statement/prospectus forming part of this registration statement (the “</w:t>
      </w:r>
      <w:r>
        <w:rPr>
          <w:rFonts w:ascii="Arial" w:cs="Arial" w:eastAsia="Arial" w:hAnsi="Arial"/>
          <w:sz w:val="11"/>
          <w:szCs w:val="11"/>
          <w:u w:val="single" w:color="auto"/>
          <w:color w:val="auto"/>
        </w:rPr>
        <w:t>proxy</w:t>
      </w:r>
      <w:r>
        <w:rPr>
          <w:rFonts w:ascii="Arial" w:cs="Arial" w:eastAsia="Arial" w:hAnsi="Arial"/>
          <w:sz w:val="11"/>
          <w:szCs w:val="11"/>
          <w:color w:val="auto"/>
        </w:rPr>
        <w:t xml:space="preserve"> </w:t>
      </w:r>
      <w:r>
        <w:rPr>
          <w:rFonts w:ascii="Arial" w:cs="Arial" w:eastAsia="Arial" w:hAnsi="Arial"/>
          <w:sz w:val="11"/>
          <w:szCs w:val="11"/>
          <w:u w:val="single" w:color="auto"/>
          <w:color w:val="auto"/>
        </w:rPr>
        <w:t>statement/prospectus</w:t>
      </w:r>
      <w:r>
        <w:rPr>
          <w:rFonts w:ascii="Arial" w:cs="Arial" w:eastAsia="Arial" w:hAnsi="Arial"/>
          <w:sz w:val="11"/>
          <w:szCs w:val="11"/>
          <w:color w:val="auto"/>
        </w:rPr>
        <w:t>”), assuming an exchange ratio of 3.6275, and (v) up to 7,192,748 shares of New Nautilus Common Stock that may be issued upon the exercise of outstanding options to purchase shares of Nautilus Biotechnology, Inc. common stock being assumed in connection with the Business Combination, assuming an exchange ratio of 3.6275.</w:t>
      </w:r>
    </w:p>
    <w:p>
      <w:pPr>
        <w:spacing w:after="0" w:line="3" w:lineRule="exact"/>
        <w:rPr>
          <w:rFonts w:ascii="Arial" w:cs="Arial" w:eastAsia="Arial" w:hAnsi="Arial"/>
          <w:sz w:val="14"/>
          <w:szCs w:val="14"/>
          <w:color w:val="auto"/>
          <w:vertAlign w:val="superscript"/>
        </w:rPr>
      </w:pPr>
    </w:p>
    <w:p>
      <w:pPr>
        <w:ind w:left="340" w:right="240" w:hanging="332"/>
        <w:spacing w:after="0" w:line="213" w:lineRule="auto"/>
        <w:tabs>
          <w:tab w:leader="none" w:pos="327"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Pursuant to Rule 416(a) of Securities Act of 1933, as amended (the “</w:t>
      </w:r>
      <w:r>
        <w:rPr>
          <w:rFonts w:ascii="Arial" w:cs="Arial" w:eastAsia="Arial" w:hAnsi="Arial"/>
          <w:sz w:val="13"/>
          <w:szCs w:val="13"/>
          <w:u w:val="single" w:color="auto"/>
          <w:color w:val="auto"/>
        </w:rPr>
        <w:t>Securities Act</w:t>
      </w:r>
      <w:r>
        <w:rPr>
          <w:rFonts w:ascii="Arial" w:cs="Arial" w:eastAsia="Arial" w:hAnsi="Arial"/>
          <w:sz w:val="13"/>
          <w:szCs w:val="13"/>
          <w:color w:val="auto"/>
        </w:rPr>
        <w:t>”), there are also being registered an indeterminable number of additional securities as may be issued to prevent dilution resulting from stock splits, stock dividends or similar transactions.</w:t>
      </w:r>
    </w:p>
    <w:p>
      <w:pPr>
        <w:spacing w:after="0" w:line="1" w:lineRule="exact"/>
        <w:rPr>
          <w:rFonts w:ascii="Arial" w:cs="Arial" w:eastAsia="Arial" w:hAnsi="Arial"/>
          <w:sz w:val="16"/>
          <w:szCs w:val="16"/>
          <w:color w:val="auto"/>
          <w:vertAlign w:val="superscript"/>
        </w:rPr>
      </w:pPr>
    </w:p>
    <w:p>
      <w:pPr>
        <w:ind w:left="340" w:right="500" w:hanging="332"/>
        <w:spacing w:after="0" w:line="213" w:lineRule="auto"/>
        <w:tabs>
          <w:tab w:leader="none" w:pos="327"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Estimated solely for the purpose of calculating the registration fee, based on the average of the high and low prices of the Class A ordinary shares of ARYA on the Nasdaq Capital Market on March 25 , 2021 ($12.02 per Class A ordinary share). This calculation is in accordance with Rule 457(f)(1) of the Securities Act.</w:t>
      </w:r>
    </w:p>
    <w:p>
      <w:pPr>
        <w:spacing w:after="0" w:line="1" w:lineRule="exact"/>
        <w:rPr>
          <w:rFonts w:ascii="Arial" w:cs="Arial" w:eastAsia="Arial" w:hAnsi="Arial"/>
          <w:sz w:val="16"/>
          <w:szCs w:val="16"/>
          <w:color w:val="auto"/>
          <w:vertAlign w:val="superscript"/>
        </w:rPr>
      </w:pPr>
    </w:p>
    <w:p>
      <w:pPr>
        <w:ind w:left="320" w:hanging="312"/>
        <w:spacing w:after="0" w:line="193" w:lineRule="auto"/>
        <w:tabs>
          <w:tab w:leader="none" w:pos="320"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Calculated by multiplying the proposed maximum aggregate offering price of securities to be registered by 0.0001091.</w:t>
      </w:r>
    </w:p>
    <w:p>
      <w:pPr>
        <w:ind w:left="320" w:hanging="312"/>
        <w:spacing w:after="0" w:line="193" w:lineRule="auto"/>
        <w:tabs>
          <w:tab w:leader="none" w:pos="320"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Previously paid.</w:t>
      </w:r>
    </w:p>
    <w:p>
      <w:pPr>
        <w:spacing w:after="0" w:line="1" w:lineRule="exact"/>
        <w:rPr>
          <w:sz w:val="20"/>
          <w:szCs w:val="20"/>
          <w:color w:val="auto"/>
        </w:rPr>
      </w:pPr>
    </w:p>
    <w:p>
      <w:pPr>
        <w:ind w:left="340" w:right="100" w:hanging="332"/>
        <w:spacing w:after="0" w:line="265" w:lineRule="auto"/>
        <w:tabs>
          <w:tab w:leader="none" w:pos="335" w:val="left"/>
        </w:tabs>
        <w:numPr>
          <w:ilvl w:val="0"/>
          <w:numId w:val="2"/>
        </w:numPr>
        <w:rPr>
          <w:rFonts w:ascii="Arial" w:cs="Arial" w:eastAsia="Arial" w:hAnsi="Arial"/>
          <w:sz w:val="12"/>
          <w:szCs w:val="12"/>
          <w:color w:val="auto"/>
        </w:rPr>
      </w:pPr>
      <w:r>
        <w:rPr>
          <w:rFonts w:ascii="Arial" w:cs="Arial" w:eastAsia="Arial" w:hAnsi="Arial"/>
          <w:sz w:val="12"/>
          <w:szCs w:val="12"/>
          <w:color w:val="auto"/>
        </w:rPr>
        <w:t>Immediately prior to the consummation of the Business Combination, ARYA Sciences Acquisition Corp III, a Cayman Islands exempted company (“</w:t>
      </w:r>
      <w:r>
        <w:rPr>
          <w:rFonts w:ascii="Arial" w:cs="Arial" w:eastAsia="Arial" w:hAnsi="Arial"/>
          <w:sz w:val="12"/>
          <w:szCs w:val="12"/>
          <w:u w:val="single" w:color="auto"/>
          <w:color w:val="auto"/>
        </w:rPr>
        <w:t>ARYA</w:t>
      </w:r>
      <w:r>
        <w:rPr>
          <w:rFonts w:ascii="Arial" w:cs="Arial" w:eastAsia="Arial" w:hAnsi="Arial"/>
          <w:sz w:val="12"/>
          <w:szCs w:val="12"/>
          <w:color w:val="auto"/>
        </w:rPr>
        <w:t>”), intends to effect a deregistration under the Cayman Islands Companies Act (2021 Revision) and a domestication under Section 388 of the Delaware General Corporation Law, pursuant to which ARYA’s jurisdiction of incorporation will be changed from the Cayman Islands to the State of Delaware (the “</w:t>
      </w:r>
      <w:r>
        <w:rPr>
          <w:rFonts w:ascii="Arial" w:cs="Arial" w:eastAsia="Arial" w:hAnsi="Arial"/>
          <w:sz w:val="12"/>
          <w:szCs w:val="12"/>
          <w:u w:val="single" w:color="auto"/>
          <w:color w:val="auto"/>
        </w:rPr>
        <w:t>Domestication</w:t>
      </w:r>
      <w:r>
        <w:rPr>
          <w:rFonts w:ascii="Arial" w:cs="Arial" w:eastAsia="Arial" w:hAnsi="Arial"/>
          <w:sz w:val="12"/>
          <w:szCs w:val="12"/>
          <w:color w:val="auto"/>
        </w:rPr>
        <w:t>”). All securities being registered will be issued by the continuing entity following the Domestication, which will be renamed “Nautilus Biotechnology, Inc.” upon the consummation of the Domestication. As used herein, “New Nautilus” refers to ARYA after giving effect to the Domestication.</w:t>
      </w:r>
    </w:p>
    <w:p>
      <w:pPr>
        <w:spacing w:after="0" w:line="128" w:lineRule="exact"/>
        <w:rPr>
          <w:sz w:val="20"/>
          <w:szCs w:val="20"/>
          <w:color w:val="auto"/>
        </w:rPr>
      </w:pPr>
    </w:p>
    <w:p>
      <w:pPr>
        <w:ind w:right="380" w:firstLine="648"/>
        <w:spacing w:after="0" w:line="26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27" w:right="319" w:bottom="1440" w:gutter="0" w:footer="0" w:header="0"/>
        </w:sectPr>
      </w:pPr>
    </w:p>
    <w:bookmarkStart w:id="2" w:name="page3"/>
    <w:bookmarkEnd w:id="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ARYA Sciences Acquisition Corp III is filing this Amendment No. 1 (the “Amendment”) to its registration statement on Form S-4 (File No. 333-254796) (the “Registration Statement”) as an exhibits-only filing. Accordingly, this Amendment consists only of the facing page, this explanatory note, Item 21(a) of Part II of the Registration Statement, the signature page to the Registration Statement and the filed exhibits. The remainder of the Registration Statement is unchanged and has therefore been omitted.</w:t>
      </w:r>
    </w:p>
    <w:p>
      <w:pPr>
        <w:sectPr>
          <w:pgSz w:w="11900" w:h="16838" w:orient="portrait"/>
          <w:cols w:equalWidth="0" w:num="1">
            <w:col w:w="11240"/>
          </w:cols>
          <w:pgMar w:left="320" w:top="1440" w:right="339" w:bottom="1440" w:gutter="0" w:footer="0" w:header="0"/>
        </w:sectPr>
      </w:pPr>
    </w:p>
    <w:bookmarkStart w:id="3" w:name="page4"/>
    <w:bookmarkEnd w:id="3"/>
    <w:p>
      <w:pPr>
        <w:spacing w:after="0" w:line="14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Statements Schedules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Exhibits.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20" w:type="dxa"/>
            <w:vAlign w:val="bottom"/>
            <w:gridSpan w:val="18"/>
            <w:vMerge w:val="restart"/>
          </w:tcPr>
          <w:p>
            <w:pPr>
              <w:ind w:left="18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2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20" w:type="dxa"/>
            <w:vAlign w:val="bottom"/>
            <w:tcBorders>
              <w:top w:val="single" w:sz="8" w:color="auto"/>
            </w:tcBorders>
            <w:gridSpan w:val="23"/>
          </w:tcPr>
          <w:p>
            <w:pPr>
              <w:spacing w:after="0" w:line="184"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Business Combination Agreement, dated as of February 7, 2021, by and among ARYA Sciences Acquisition Corp III, Mako Merger Sub,</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Inc., and Nautilus Biotechnology, Inc. (included as Annex A to the proxy statement/prospectus).</w:t>
              </w:r>
            </w:hyperlink>
          </w:p>
        </w:tc>
        <w:tc>
          <w:tcPr>
            <w:tcW w:w="29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3"/>
          </w:tcPr>
          <w:p>
            <w:pPr>
              <w:spacing w:after="0"/>
              <w:rPr>
                <w:rFonts w:ascii="Arial" w:cs="Arial" w:eastAsia="Arial" w:hAnsi="Arial"/>
                <w:sz w:val="18"/>
                <w:szCs w:val="18"/>
                <w:color w:val="0000FF"/>
                <w:w w:val="93"/>
              </w:rPr>
            </w:pPr>
            <w:hyperlink r:id="rId19">
              <w:r>
                <w:rPr>
                  <w:rFonts w:ascii="Arial" w:cs="Arial" w:eastAsia="Arial" w:hAnsi="Arial"/>
                  <w:sz w:val="18"/>
                  <w:szCs w:val="18"/>
                  <w:color w:val="0000FF"/>
                  <w:w w:val="93"/>
                </w:rPr>
                <w:t>Amended and Restated Memorandum and Articles of Association of ARYA (included as Annex B to the proxy statement/prospectus).</w:t>
              </w:r>
            </w:hyperlink>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top w:val="single" w:sz="8" w:color="0000FF"/>
            </w:tcBorders>
            <w:gridSpan w:val="19"/>
          </w:tcPr>
          <w:p>
            <w:pPr>
              <w:spacing w:after="0"/>
              <w:rPr>
                <w:rFonts w:ascii="Arial" w:cs="Arial" w:eastAsia="Arial" w:hAnsi="Arial"/>
                <w:sz w:val="18"/>
                <w:szCs w:val="18"/>
                <w:color w:val="0000FF"/>
                <w:w w:val="94"/>
              </w:rPr>
            </w:pPr>
            <w:hyperlink r:id="rId20">
              <w:r>
                <w:rPr>
                  <w:rFonts w:ascii="Arial" w:cs="Arial" w:eastAsia="Arial" w:hAnsi="Arial"/>
                  <w:sz w:val="18"/>
                  <w:szCs w:val="18"/>
                  <w:color w:val="0000FF"/>
                  <w:w w:val="94"/>
                </w:rPr>
                <w:t>Form of Certificate of Incorporation of New Nautilus, to become effective upon Domestication (included as Annex C to the proxy</w:t>
              </w:r>
            </w:hyperlink>
          </w:p>
        </w:tc>
        <w:tc>
          <w:tcPr>
            <w:tcW w:w="2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20">
              <w:r>
                <w:rPr>
                  <w:rFonts w:ascii="Arial" w:cs="Arial" w:eastAsia="Arial" w:hAnsi="Arial"/>
                  <w:sz w:val="18"/>
                  <w:szCs w:val="18"/>
                  <w:color w:val="0000FF"/>
                  <w:w w:val="87"/>
                </w:rPr>
                <w:t>statement/prospectus).</w:t>
              </w:r>
            </w:hyperlink>
          </w:p>
        </w:tc>
        <w:tc>
          <w:tcPr>
            <w:tcW w:w="7760" w:type="dxa"/>
            <w:vAlign w:val="bottom"/>
            <w:tcBorders>
              <w:top w:val="single" w:sz="8" w:color="0000FF"/>
            </w:tcBorders>
            <w:gridSpan w:val="15"/>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3"/>
          </w:tcPr>
          <w:p>
            <w:pPr>
              <w:spacing w:after="0"/>
              <w:rPr>
                <w:rFonts w:ascii="Arial" w:cs="Arial" w:eastAsia="Arial" w:hAnsi="Arial"/>
                <w:sz w:val="18"/>
                <w:szCs w:val="18"/>
                <w:color w:val="0000FF"/>
                <w:w w:val="94"/>
              </w:rPr>
            </w:pPr>
            <w:hyperlink r:id="rId21">
              <w:r>
                <w:rPr>
                  <w:rFonts w:ascii="Arial" w:cs="Arial" w:eastAsia="Arial" w:hAnsi="Arial"/>
                  <w:sz w:val="18"/>
                  <w:szCs w:val="18"/>
                  <w:color w:val="0000FF"/>
                  <w:w w:val="94"/>
                </w:rPr>
                <w:t>Form of Bylaws of New Nautilus, to become effective upon Domestication (included as Annex D to the proxy statement/prospectus).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3"/>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Specimen Ordinary Share Certificate (incorporated by reference to Exhibit 4.1 to the Registration Statement on Form S-1 filed by the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Registrant on July 30, 2020).</w:t>
              </w:r>
            </w:hyperlink>
          </w:p>
        </w:tc>
        <w:tc>
          <w:tcPr>
            <w:tcW w:w="7480" w:type="dxa"/>
            <w:vAlign w:val="bottom"/>
            <w:tcBorders>
              <w:top w:val="single" w:sz="8" w:color="0000FF"/>
            </w:tcBorders>
            <w:gridSpan w:val="15"/>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20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rPr>
              <w:t>Form of Certificate of Corporate Domestication of ARYA, to be filed with the Secretary of the State of Delaware.</w:t>
            </w:r>
          </w:p>
        </w:tc>
        <w:tc>
          <w:tcPr>
            <w:tcW w:w="0" w:type="dxa"/>
            <w:vAlign w:val="bottom"/>
          </w:tcPr>
          <w:p>
            <w:pPr>
              <w:spacing w:after="0"/>
              <w:rPr>
                <w:sz w:val="1"/>
                <w:szCs w:val="1"/>
                <w:color w:val="auto"/>
              </w:rPr>
            </w:pPr>
          </w:p>
        </w:tc>
      </w:tr>
      <w:tr>
        <w:trPr>
          <w:trHeight w:val="190"/>
        </w:trPr>
        <w:tc>
          <w:tcPr>
            <w:tcW w:w="1200" w:type="dxa"/>
            <w:vAlign w:val="bottom"/>
          </w:tcPr>
          <w:p>
            <w:pPr>
              <w:ind w:left="20"/>
              <w:spacing w:after="0" w:line="190"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20" w:type="dxa"/>
            <w:vAlign w:val="bottom"/>
            <w:gridSpan w:val="23"/>
          </w:tcPr>
          <w:p>
            <w:pPr>
              <w:spacing w:after="0" w:line="190" w:lineRule="exact"/>
              <w:rPr>
                <w:rFonts w:ascii="Arial" w:cs="Arial" w:eastAsia="Arial" w:hAnsi="Arial"/>
                <w:sz w:val="18"/>
                <w:szCs w:val="18"/>
                <w:color w:val="0000FF"/>
              </w:rPr>
            </w:pPr>
            <w:hyperlink r:id="rId23">
              <w:r>
                <w:rPr>
                  <w:rFonts w:ascii="Arial" w:cs="Arial" w:eastAsia="Arial" w:hAnsi="Arial"/>
                  <w:sz w:val="18"/>
                  <w:szCs w:val="18"/>
                  <w:color w:val="0000FF"/>
                </w:rPr>
                <w:t>Opinion of Kirkland &amp; Ellis LLP.</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tcBorders>
              <w:bottom w:val="single" w:sz="8" w:color="0000FF"/>
            </w:tcBorders>
            <w:gridSpan w:val="5"/>
          </w:tcPr>
          <w:p>
            <w:pPr>
              <w:spacing w:after="0"/>
              <w:rPr>
                <w:rFonts w:ascii="Arial" w:cs="Arial" w:eastAsia="Arial" w:hAnsi="Arial"/>
                <w:sz w:val="18"/>
                <w:szCs w:val="18"/>
                <w:color w:val="0000FF"/>
                <w:w w:val="95"/>
              </w:rPr>
            </w:pPr>
            <w:hyperlink w:anchor="page7">
              <w:r>
                <w:rPr>
                  <w:rFonts w:ascii="Arial" w:cs="Arial" w:eastAsia="Arial" w:hAnsi="Arial"/>
                  <w:sz w:val="18"/>
                  <w:szCs w:val="18"/>
                  <w:color w:val="0000FF"/>
                  <w:w w:val="95"/>
                </w:rPr>
                <w:t>Tax opinion of Kirkland &amp; Ellis LLP.</w:t>
              </w:r>
            </w:hyperlink>
          </w:p>
        </w:tc>
        <w:tc>
          <w:tcPr>
            <w:tcW w:w="722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3"/>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Sponsor Letter Agreement, dated as of February 7, 2021 by and among ARYA Sciences Holdings III, certain other holders set forth on</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0"/>
          </w:tcPr>
          <w:p>
            <w:pPr>
              <w:spacing w:after="0" w:line="156" w:lineRule="exact"/>
              <w:rPr>
                <w:rFonts w:ascii="Arial" w:cs="Arial" w:eastAsia="Arial" w:hAnsi="Arial"/>
                <w:sz w:val="18"/>
                <w:szCs w:val="18"/>
                <w:color w:val="0000FF"/>
                <w:w w:val="99"/>
              </w:rPr>
            </w:pPr>
            <w:hyperlink r:id="rId24">
              <w:r>
                <w:rPr>
                  <w:rFonts w:ascii="Arial" w:cs="Arial" w:eastAsia="Arial" w:hAnsi="Arial"/>
                  <w:sz w:val="18"/>
                  <w:szCs w:val="18"/>
                  <w:color w:val="0000FF"/>
                  <w:w w:val="99"/>
                </w:rPr>
                <w:t>Schedule I thereto, ARYA Sciences Acquisition Corp III and Nautilus Biotechnology, Inc. (included as Annex E to the proxy</w:t>
              </w:r>
            </w:hyperlink>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24">
              <w:r>
                <w:rPr>
                  <w:rFonts w:ascii="Arial" w:cs="Arial" w:eastAsia="Arial" w:hAnsi="Arial"/>
                  <w:sz w:val="18"/>
                  <w:szCs w:val="18"/>
                  <w:color w:val="0000FF"/>
                  <w:w w:val="87"/>
                </w:rPr>
                <w:t>statement/prospectus).</w:t>
              </w:r>
            </w:hyperlink>
          </w:p>
        </w:tc>
        <w:tc>
          <w:tcPr>
            <w:tcW w:w="7380" w:type="dxa"/>
            <w:vAlign w:val="bottom"/>
            <w:tcBorders>
              <w:top w:val="single" w:sz="8" w:color="0000FF"/>
            </w:tcBorders>
            <w:gridSpan w:val="13"/>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260" w:type="dxa"/>
            <w:vAlign w:val="bottom"/>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3"/>
          </w:tcPr>
          <w:p>
            <w:pPr>
              <w:spacing w:after="0"/>
              <w:rPr>
                <w:rFonts w:ascii="Arial" w:cs="Arial" w:eastAsia="Arial" w:hAnsi="Arial"/>
                <w:sz w:val="18"/>
                <w:szCs w:val="18"/>
                <w:color w:val="0000FF"/>
              </w:rPr>
            </w:pPr>
            <w:hyperlink r:id="rId25">
              <w:r>
                <w:rPr>
                  <w:rFonts w:ascii="Arial" w:cs="Arial" w:eastAsia="Arial" w:hAnsi="Arial"/>
                  <w:sz w:val="18"/>
                  <w:szCs w:val="18"/>
                  <w:color w:val="0000FF"/>
                </w:rPr>
                <w:t>Form of Subscription Agreement (included as Annex F to the proxy statement/prospectus).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tcBorders>
              <w:bottom w:val="single" w:sz="8" w:color="0000FF"/>
            </w:tcBorders>
            <w:gridSpan w:val="21"/>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Form of Amended and Restated Registration Rights and Lock-Up Agreement (included as Annex G to the proxy statement/prospectus).</w:t>
              </w:r>
            </w:hyperlink>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00" w:type="dxa"/>
            <w:vAlign w:val="bottom"/>
            <w:tcBorders>
              <w:bottom w:val="single" w:sz="8" w:color="0000FF"/>
            </w:tcBorders>
            <w:gridSpan w:val="12"/>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Form of Nautilus Shareholder Transaction Support Agreement (included as Annex H to the proxy statement/prospectus).</w:t>
              </w:r>
            </w:hyperlink>
          </w:p>
        </w:tc>
        <w:tc>
          <w:tcPr>
            <w:tcW w:w="12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tcBorders>
              <w:bottom w:val="single" w:sz="8" w:color="0000FF"/>
            </w:tcBorders>
            <w:gridSpan w:val="13"/>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Form of Nautilus Biotechnology, Inc. 2021 Equity Incentive Plan (included as Annex I to the proxy statement/prospectus).</w:t>
              </w:r>
            </w:hyperlink>
          </w:p>
        </w:tc>
        <w:tc>
          <w:tcPr>
            <w:tcW w:w="10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3"/>
          </w:tcPr>
          <w:p>
            <w:pPr>
              <w:spacing w:after="0"/>
              <w:rPr>
                <w:rFonts w:ascii="Arial" w:cs="Arial" w:eastAsia="Arial" w:hAnsi="Arial"/>
                <w:sz w:val="18"/>
                <w:szCs w:val="18"/>
                <w:color w:val="0000FF"/>
                <w:w w:val="94"/>
              </w:rPr>
            </w:pPr>
            <w:hyperlink r:id="rId29">
              <w:r>
                <w:rPr>
                  <w:rFonts w:ascii="Arial" w:cs="Arial" w:eastAsia="Arial" w:hAnsi="Arial"/>
                  <w:sz w:val="18"/>
                  <w:szCs w:val="18"/>
                  <w:color w:val="0000FF"/>
                  <w:w w:val="94"/>
                </w:rPr>
                <w:t>Form of Nautilus Biotechnology, Inc. 2021 Employee Stock Purchase Plan (included as Annex J to the proxy statement/prospectus).</w:t>
              </w:r>
            </w:hyperlink>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2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Form of Stock Option Agreement under the Nautilus Biotechnology, Inc. 2021 Equity Incentive Plan.</w:t>
              </w:r>
            </w:hyperlink>
          </w:p>
        </w:tc>
        <w:tc>
          <w:tcPr>
            <w:tcW w:w="2200" w:type="dxa"/>
            <w:vAlign w:val="bottom"/>
            <w:tcBorders>
              <w:top w:val="single" w:sz="8" w:color="0000FF"/>
            </w:tcBorders>
            <w:gridSpan w:val="8"/>
          </w:tcPr>
          <w:p>
            <w:pPr>
              <w:spacing w:after="0"/>
              <w:rPr>
                <w:sz w:val="18"/>
                <w:szCs w:val="18"/>
                <w:color w:val="auto"/>
              </w:rPr>
            </w:pPr>
          </w:p>
        </w:tc>
        <w:tc>
          <w:tcPr>
            <w:tcW w:w="4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tcBorders>
              <w:bottom w:val="single" w:sz="8" w:color="0000FF"/>
            </w:tcBorders>
            <w:gridSpan w:val="10"/>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Form of Restricted Stock Unit Agreement under the Nautilus Biotechnology, Inc. 2021 Equity Incentive Plan.</w:t>
              </w:r>
            </w:hyperlink>
          </w:p>
        </w:tc>
        <w:tc>
          <w:tcPr>
            <w:tcW w:w="200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3"/>
          </w:tcPr>
          <w:p>
            <w:pPr>
              <w:spacing w:after="0"/>
              <w:rPr>
                <w:rFonts w:ascii="Arial" w:cs="Arial" w:eastAsia="Arial" w:hAnsi="Arial"/>
                <w:sz w:val="18"/>
                <w:szCs w:val="18"/>
                <w:color w:val="0000FF"/>
              </w:rPr>
            </w:pPr>
            <w:hyperlink r:id="rId32">
              <w:r>
                <w:rPr>
                  <w:rFonts w:ascii="Arial" w:cs="Arial" w:eastAsia="Arial" w:hAnsi="Arial"/>
                  <w:sz w:val="18"/>
                  <w:szCs w:val="18"/>
                  <w:color w:val="0000FF"/>
                </w:rPr>
                <w:t>Form of Restricted Stock Award Agreement under the Nautilus Biotechnology, Inc. 2021 Equity Incentive Plan.</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66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23"/>
          </w:tcPr>
          <w:p>
            <w:pPr>
              <w:spacing w:after="0"/>
              <w:rPr>
                <w:rFonts w:ascii="Arial" w:cs="Arial" w:eastAsia="Arial" w:hAnsi="Arial"/>
                <w:sz w:val="18"/>
                <w:szCs w:val="18"/>
                <w:color w:val="0000FF"/>
                <w:w w:val="98"/>
              </w:rPr>
            </w:pPr>
            <w:hyperlink r:id="rId33">
              <w:r>
                <w:rPr>
                  <w:rFonts w:ascii="Arial" w:cs="Arial" w:eastAsia="Arial" w:hAnsi="Arial"/>
                  <w:sz w:val="18"/>
                  <w:szCs w:val="18"/>
                  <w:color w:val="0000FF"/>
                  <w:w w:val="98"/>
                </w:rPr>
                <w:t>Form of Indemnity Agreement (incorporated by reference to Exhibit 10.4 to the Registration Statement on Form S-1 filed by the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Registrant on July 30, 2020).</w:t>
              </w:r>
            </w:hyperlink>
          </w:p>
        </w:tc>
        <w:tc>
          <w:tcPr>
            <w:tcW w:w="7140" w:type="dxa"/>
            <w:vAlign w:val="bottom"/>
            <w:tcBorders>
              <w:top w:val="single" w:sz="8" w:color="0000FF"/>
            </w:tcBorders>
            <w:gridSpan w:val="13"/>
          </w:tcPr>
          <w:p>
            <w:pPr>
              <w:spacing w:after="0"/>
              <w:rPr>
                <w:sz w:val="13"/>
                <w:szCs w:val="13"/>
                <w:color w:val="auto"/>
              </w:rPr>
            </w:pPr>
          </w:p>
        </w:tc>
        <w:tc>
          <w:tcPr>
            <w:tcW w:w="6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60" w:type="dxa"/>
            <w:vAlign w:val="bottom"/>
            <w:tcBorders>
              <w:bottom w:val="single" w:sz="8" w:color="0000FF"/>
            </w:tcBorders>
            <w:gridSpan w:val="7"/>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Nautilus Biotechnology, Inc. 2017 Equity Incentive Plan and forms of agreements thereunder.</w:t>
              </w:r>
            </w:hyperlink>
          </w:p>
        </w:tc>
        <w:tc>
          <w:tcPr>
            <w:tcW w:w="316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20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rPr>
              <w:t>Confirmatory Employment Letter between Nautilus Biotechnology, Inc. and Sujal Patel.</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rPr>
              <w:t>Confirmatory Employment Letter between Nautilus Biotechnology, Inc. and Anna Mowry.</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rPr>
              <w:t>Confirmatory Employment Letter between Nautilus Biotechnology, Inc. and Nick Nelson.</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rPr>
              <w:t>Confirmatory Employment Letter between Nautilus Biotechnology, Inc. and Subra Sankar.</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rPr>
              <w:t>Confirmatory Employment Letter between Nautilus Biotechnology, Inc. and Parag Mallick.</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rPr>
              <w:t>Change in Control and Severance Agreement between Nautilus Biotechnology, Inc. and Sujal Patel</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rPr>
              <w:t>Change in Control and Severance Agreement between Nautilus Biotechnology, Inc. and Anna Mowry</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rPr>
              <w:t>Change in Control and Severance Agreement between Nautilus Biotechnology, Inc. and Nick Nelson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4" w:name="page5"/>
    <w:bookmarkEnd w:id="4"/>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20" w:type="dxa"/>
            <w:vAlign w:val="bottom"/>
            <w:gridSpan w:val="6"/>
            <w:vMerge w:val="restart"/>
          </w:tcPr>
          <w:p>
            <w:pPr>
              <w:ind w:left="4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8"/>
        </w:trPr>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92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Change in Control and Severance Agreement between Nautilus Biotechnology, Inc. and Subra Sankar</w:t>
            </w:r>
          </w:p>
        </w:tc>
        <w:tc>
          <w:tcPr>
            <w:tcW w:w="0" w:type="dxa"/>
            <w:vAlign w:val="bottom"/>
          </w:tcPr>
          <w:p>
            <w:pPr>
              <w:spacing w:after="0"/>
              <w:rPr>
                <w:sz w:val="1"/>
                <w:szCs w:val="1"/>
                <w:color w:val="auto"/>
              </w:rPr>
            </w:pPr>
          </w:p>
        </w:tc>
      </w:tr>
      <w:tr>
        <w:trPr>
          <w:trHeight w:val="229"/>
        </w:trPr>
        <w:tc>
          <w:tcPr>
            <w:tcW w:w="1200" w:type="dxa"/>
            <w:vAlign w:val="bottom"/>
          </w:tcPr>
          <w:p>
            <w:pPr>
              <w:ind w:left="2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Change in Control and Severance Agreement between Nautilus Biotechnology, Inc. and Parag Mallick</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Form of New Nautilus Indemnification Agreement.</w:t>
            </w:r>
          </w:p>
        </w:tc>
        <w:tc>
          <w:tcPr>
            <w:tcW w:w="0" w:type="dxa"/>
            <w:vAlign w:val="bottom"/>
          </w:tcPr>
          <w:p>
            <w:pPr>
              <w:spacing w:after="0"/>
              <w:rPr>
                <w:sz w:val="1"/>
                <w:szCs w:val="1"/>
                <w:color w:val="auto"/>
              </w:rPr>
            </w:pPr>
          </w:p>
        </w:tc>
      </w:tr>
      <w:tr>
        <w:trPr>
          <w:trHeight w:val="190"/>
        </w:trPr>
        <w:tc>
          <w:tcPr>
            <w:tcW w:w="1200" w:type="dxa"/>
            <w:vAlign w:val="bottom"/>
          </w:tcPr>
          <w:p>
            <w:pPr>
              <w:ind w:left="20"/>
              <w:spacing w:after="0" w:line="190"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tcBorders>
              <w:bottom w:val="single" w:sz="8" w:color="0000FF"/>
            </w:tcBorders>
          </w:tcPr>
          <w:p>
            <w:pPr>
              <w:spacing w:after="0" w:line="190"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List of subsidiaries of ARYA.</w:t>
              </w:r>
            </w:hyperlink>
          </w:p>
        </w:tc>
        <w:tc>
          <w:tcPr>
            <w:tcW w:w="778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3"/>
          </w:tcPr>
          <w:p>
            <w:pPr>
              <w:spacing w:after="0"/>
              <w:rPr>
                <w:rFonts w:ascii="Arial" w:cs="Arial" w:eastAsia="Arial" w:hAnsi="Arial"/>
                <w:sz w:val="18"/>
                <w:szCs w:val="18"/>
                <w:color w:val="0000FF"/>
              </w:rPr>
            </w:pPr>
            <w:hyperlink r:id="rId36">
              <w:r>
                <w:rPr>
                  <w:rFonts w:ascii="Arial" w:cs="Arial" w:eastAsia="Arial" w:hAnsi="Arial"/>
                  <w:sz w:val="18"/>
                  <w:szCs w:val="18"/>
                  <w:color w:val="0000FF"/>
                </w:rPr>
                <w:t>Consent of WithumSmith+Brown, PC, independent registered accounting firm for ARYA.</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3"/>
          </w:tcPr>
          <w:p>
            <w:pPr>
              <w:spacing w:after="0"/>
              <w:rPr>
                <w:rFonts w:ascii="Arial" w:cs="Arial" w:eastAsia="Arial" w:hAnsi="Arial"/>
                <w:sz w:val="18"/>
                <w:szCs w:val="18"/>
                <w:color w:val="0000FF"/>
              </w:rPr>
            </w:pPr>
            <w:hyperlink r:id="rId37">
              <w:r>
                <w:rPr>
                  <w:rFonts w:ascii="Arial" w:cs="Arial" w:eastAsia="Arial" w:hAnsi="Arial"/>
                  <w:sz w:val="18"/>
                  <w:szCs w:val="18"/>
                  <w:color w:val="0000FF"/>
                </w:rPr>
                <w:t>Consent of PricewaterhouseCoopers LLP, independent registered public accounting firm for Nautilus.</w:t>
              </w:r>
            </w:hyperlink>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4"/>
              </w:rPr>
            </w:pPr>
            <w:hyperlink r:id="rId23">
              <w:r>
                <w:rPr>
                  <w:rFonts w:ascii="Arial" w:cs="Arial" w:eastAsia="Arial" w:hAnsi="Arial"/>
                  <w:sz w:val="18"/>
                  <w:szCs w:val="18"/>
                  <w:color w:val="0000FF"/>
                  <w:w w:val="94"/>
                </w:rPr>
                <w:t>Consent of Kirkland &amp; Ellis LLP (included as part of Exhibit 5.1).</w:t>
              </w:r>
            </w:hyperlink>
          </w:p>
        </w:tc>
        <w:tc>
          <w:tcPr>
            <w:tcW w:w="2520" w:type="dxa"/>
            <w:vAlign w:val="bottom"/>
            <w:tcBorders>
              <w:top w:val="single" w:sz="8" w:color="0000FF"/>
            </w:tcBorders>
            <w:gridSpan w:val="2"/>
          </w:tcPr>
          <w:p>
            <w:pPr>
              <w:spacing w:after="0"/>
              <w:rPr>
                <w:sz w:val="18"/>
                <w:szCs w:val="18"/>
                <w:color w:val="auto"/>
              </w:rPr>
            </w:pPr>
          </w:p>
        </w:tc>
        <w:tc>
          <w:tcPr>
            <w:tcW w:w="2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Consent of Kirkland &amp; Ellis LLP (included as part of Exhibit 8.1).</w:t>
              </w:r>
            </w:hyperlink>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top w:val="single" w:sz="8" w:color="0000FF"/>
            </w:tcBorders>
            <w:gridSpan w:val="8"/>
          </w:tcPr>
          <w:p>
            <w:pPr>
              <w:spacing w:after="0"/>
              <w:rPr>
                <w:rFonts w:ascii="Arial" w:cs="Arial" w:eastAsia="Arial" w:hAnsi="Arial"/>
                <w:sz w:val="18"/>
                <w:szCs w:val="18"/>
                <w:color w:val="0000FF"/>
              </w:rPr>
            </w:pPr>
            <w:hyperlink r:id="rId38">
              <w:r>
                <w:rPr>
                  <w:rFonts w:ascii="Arial" w:cs="Arial" w:eastAsia="Arial" w:hAnsi="Arial"/>
                  <w:sz w:val="18"/>
                  <w:szCs w:val="18"/>
                  <w:color w:val="0000FF"/>
                </w:rPr>
                <w:t>Power of Attorney (included on signature page).</w:t>
              </w:r>
            </w:hyperlink>
          </w:p>
        </w:tc>
        <w:tc>
          <w:tcPr>
            <w:tcW w:w="5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3"/>
          </w:tcPr>
          <w:p>
            <w:pPr>
              <w:spacing w:after="0"/>
              <w:rPr>
                <w:rFonts w:ascii="Arial" w:cs="Arial" w:eastAsia="Arial" w:hAnsi="Arial"/>
                <w:sz w:val="18"/>
                <w:szCs w:val="18"/>
                <w:color w:val="0000FF"/>
              </w:rPr>
            </w:pPr>
            <w:hyperlink r:id="rId39">
              <w:r>
                <w:rPr>
                  <w:rFonts w:ascii="Arial" w:cs="Arial" w:eastAsia="Arial" w:hAnsi="Arial"/>
                  <w:sz w:val="18"/>
                  <w:szCs w:val="18"/>
                  <w:color w:val="0000FF"/>
                </w:rPr>
                <w:t>Consent of Sujal Patel to be named as a director.</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3"/>
          </w:tcPr>
          <w:p>
            <w:pPr>
              <w:spacing w:after="0"/>
              <w:rPr>
                <w:rFonts w:ascii="Arial" w:cs="Arial" w:eastAsia="Arial" w:hAnsi="Arial"/>
                <w:sz w:val="18"/>
                <w:szCs w:val="18"/>
                <w:color w:val="0000FF"/>
              </w:rPr>
            </w:pPr>
            <w:hyperlink r:id="rId40">
              <w:r>
                <w:rPr>
                  <w:rFonts w:ascii="Arial" w:cs="Arial" w:eastAsia="Arial" w:hAnsi="Arial"/>
                  <w:sz w:val="18"/>
                  <w:szCs w:val="18"/>
                  <w:color w:val="0000FF"/>
                </w:rPr>
                <w:t>Consent of Parag Mallick to be named as a director.</w:t>
              </w:r>
            </w:hyperlink>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Borders>
              <w:top w:val="single" w:sz="8" w:color="0000FF"/>
            </w:tcBorders>
            <w:gridSpan w:val="4"/>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Consent of Vijay Pande to be named as a director.</w:t>
              </w:r>
            </w:hyperlink>
          </w:p>
        </w:tc>
        <w:tc>
          <w:tcPr>
            <w:tcW w:w="62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60" w:type="dxa"/>
            <w:vAlign w:val="bottom"/>
            <w:tcBorders>
              <w:bottom w:val="single" w:sz="8" w:color="0000FF"/>
            </w:tcBorders>
            <w:gridSpan w:val="5"/>
          </w:tcPr>
          <w:p>
            <w:pPr>
              <w:spacing w:after="0"/>
              <w:rPr>
                <w:rFonts w:ascii="Arial" w:cs="Arial" w:eastAsia="Arial" w:hAnsi="Arial"/>
                <w:sz w:val="18"/>
                <w:szCs w:val="18"/>
                <w:color w:val="0000FF"/>
                <w:w w:val="88"/>
              </w:rPr>
            </w:pPr>
            <w:hyperlink r:id="rId42">
              <w:r>
                <w:rPr>
                  <w:rFonts w:ascii="Arial" w:cs="Arial" w:eastAsia="Arial" w:hAnsi="Arial"/>
                  <w:sz w:val="18"/>
                  <w:szCs w:val="18"/>
                  <w:color w:val="0000FF"/>
                  <w:w w:val="88"/>
                </w:rPr>
                <w:t>Consent of Farzad Nazem to be named as a director.</w:t>
              </w:r>
            </w:hyperlink>
          </w:p>
        </w:tc>
        <w:tc>
          <w:tcPr>
            <w:tcW w:w="61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3"/>
          </w:tcPr>
          <w:p>
            <w:pPr>
              <w:spacing w:after="0"/>
              <w:rPr>
                <w:rFonts w:ascii="Arial" w:cs="Arial" w:eastAsia="Arial" w:hAnsi="Arial"/>
                <w:sz w:val="18"/>
                <w:szCs w:val="18"/>
                <w:color w:val="0000FF"/>
              </w:rPr>
            </w:pPr>
            <w:hyperlink r:id="rId43">
              <w:r>
                <w:rPr>
                  <w:rFonts w:ascii="Arial" w:cs="Arial" w:eastAsia="Arial" w:hAnsi="Arial"/>
                  <w:sz w:val="18"/>
                  <w:szCs w:val="18"/>
                  <w:color w:val="0000FF"/>
                </w:rPr>
                <w:t>Consent of Melissa Epperly to be named as a director.</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3"/>
          </w:tcPr>
          <w:p>
            <w:pPr>
              <w:spacing w:after="0"/>
              <w:rPr>
                <w:rFonts w:ascii="Arial" w:cs="Arial" w:eastAsia="Arial" w:hAnsi="Arial"/>
                <w:sz w:val="18"/>
                <w:szCs w:val="18"/>
                <w:color w:val="0000FF"/>
              </w:rPr>
            </w:pPr>
            <w:hyperlink r:id="rId44">
              <w:r>
                <w:rPr>
                  <w:rFonts w:ascii="Arial" w:cs="Arial" w:eastAsia="Arial" w:hAnsi="Arial"/>
                  <w:sz w:val="18"/>
                  <w:szCs w:val="18"/>
                  <w:color w:val="0000FF"/>
                </w:rPr>
                <w:t>Consent of Matthew Posard to be named as a director.</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Borders>
              <w:bottom w:val="single" w:sz="8" w:color="0000FF"/>
            </w:tcBorders>
            <w:gridSpan w:val="7"/>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Consent of Matthew McIlwain to be named as a director.</w:t>
              </w:r>
            </w:hyperlink>
          </w:p>
        </w:tc>
        <w:tc>
          <w:tcPr>
            <w:tcW w:w="58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80" w:type="dxa"/>
            <w:vAlign w:val="bottom"/>
            <w:tcBorders>
              <w:bottom w:val="single" w:sz="8" w:color="0000FF"/>
            </w:tcBorders>
            <w:gridSpan w:val="12"/>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Form of Proxy for the Extraordinary General Meeting (included as Annex K to the proxy statement/prospectus).</w:t>
              </w:r>
            </w:hyperlink>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Previously filed.</w:t>
      </w:r>
    </w:p>
    <w:p>
      <w:pPr>
        <w:spacing w:after="0" w:line="1"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To be filed by amendment.</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management contract or compensatory plan.</w:t>
      </w:r>
    </w:p>
    <w:p>
      <w:pPr>
        <w:spacing w:after="0" w:line="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Certain confidential portions (indicated by brackets and asterisks) have been omitted from this exhibit.</w:t>
      </w:r>
    </w:p>
    <w:p>
      <w:pPr>
        <w:spacing w:after="0" w:line="1" w:lineRule="exact"/>
        <w:rPr>
          <w:sz w:val="20"/>
          <w:szCs w:val="20"/>
          <w:color w:val="auto"/>
        </w:rPr>
      </w:pPr>
    </w:p>
    <w:p>
      <w:pPr>
        <w:ind w:left="340" w:right="180" w:hanging="332"/>
        <w:spacing w:after="0" w:line="255" w:lineRule="auto"/>
        <w:tabs>
          <w:tab w:leader="none" w:pos="304" w:val="left"/>
        </w:tabs>
        <w:numPr>
          <w:ilvl w:val="0"/>
          <w:numId w:val="3"/>
        </w:numPr>
        <w:rPr>
          <w:rFonts w:ascii="Arial" w:cs="Arial" w:eastAsia="Arial" w:hAnsi="Arial"/>
          <w:sz w:val="14"/>
          <w:szCs w:val="14"/>
          <w:color w:val="auto"/>
        </w:rPr>
      </w:pPr>
      <w:r>
        <w:rPr>
          <w:rFonts w:ascii="Arial" w:cs="Arial" w:eastAsia="Arial" w:hAnsi="Arial"/>
          <w:sz w:val="14"/>
          <w:szCs w:val="14"/>
          <w:color w:val="auto"/>
        </w:rPr>
        <w:t>Schedules and exhibits to this Exhibit omitted pursuant to Regulation S-K Item 601(b)(2). The Registrant agrees to furnish supplementally a copy of any omitted schedule of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New York, State of New York on the 7th of April, 2021.</w:t>
      </w:r>
    </w:p>
    <w:p>
      <w:pPr>
        <w:spacing w:after="0" w:line="166"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ARYA SCIENCES ACQUISITION CORP III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31750</wp:posOffset>
            </wp:positionV>
            <wp:extent cx="2743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Adam Stone</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Chief Executive Officer</w:t>
      </w:r>
    </w:p>
    <w:p>
      <w:pPr>
        <w:spacing w:after="0" w:line="293" w:lineRule="exact"/>
        <w:rPr>
          <w:sz w:val="20"/>
          <w:szCs w:val="20"/>
          <w:color w:val="auto"/>
        </w:rPr>
      </w:pPr>
    </w:p>
    <w:p>
      <w:pPr>
        <w:jc w:val="center"/>
        <w:ind w:left="340" w:right="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jc w:val="center"/>
              <w:ind w:right="951"/>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13"/>
        </w:trPr>
        <w:tc>
          <w:tcPr>
            <w:tcW w:w="10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9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2"/>
            <w:vMerge w:val="restart"/>
          </w:tcPr>
          <w:p>
            <w:pPr>
              <w:jc w:val="center"/>
              <w:ind w:right="420"/>
              <w:spacing w:after="0"/>
              <w:rPr>
                <w:sz w:val="20"/>
                <w:szCs w:val="20"/>
                <w:color w:val="auto"/>
              </w:rPr>
            </w:pPr>
            <w:r>
              <w:rPr>
                <w:rFonts w:ascii="Arial" w:cs="Arial" w:eastAsia="Arial" w:hAnsi="Arial"/>
                <w:sz w:val="18"/>
                <w:szCs w:val="18"/>
                <w:color w:val="auto"/>
                <w:w w:val="92"/>
              </w:rPr>
              <w:t>Chairman of the Board of Directors</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4"/>
              </w:rPr>
              <w:t>April 7, 2021</w:t>
            </w:r>
          </w:p>
        </w:tc>
        <w:tc>
          <w:tcPr>
            <w:tcW w:w="0" w:type="dxa"/>
            <w:vAlign w:val="bottom"/>
          </w:tcPr>
          <w:p>
            <w:pPr>
              <w:spacing w:after="0"/>
              <w:rPr>
                <w:sz w:val="1"/>
                <w:szCs w:val="1"/>
                <w:color w:val="auto"/>
              </w:rPr>
            </w:pPr>
          </w:p>
        </w:tc>
      </w:tr>
      <w:tr>
        <w:trPr>
          <w:trHeight w:val="88"/>
        </w:trPr>
        <w:tc>
          <w:tcPr>
            <w:tcW w:w="1060" w:type="dxa"/>
            <w:vAlign w:val="bottom"/>
          </w:tcPr>
          <w:p>
            <w:pPr>
              <w:spacing w:after="0"/>
              <w:rPr>
                <w:sz w:val="7"/>
                <w:szCs w:val="7"/>
                <w:color w:val="auto"/>
              </w:rPr>
            </w:pPr>
          </w:p>
        </w:tc>
        <w:tc>
          <w:tcPr>
            <w:tcW w:w="2800" w:type="dxa"/>
            <w:vAlign w:val="bottom"/>
            <w:vMerge w:val="restart"/>
          </w:tcPr>
          <w:p>
            <w:pPr>
              <w:jc w:val="center"/>
              <w:ind w:right="951"/>
              <w:spacing w:after="0"/>
              <w:rPr>
                <w:sz w:val="20"/>
                <w:szCs w:val="20"/>
                <w:color w:val="auto"/>
              </w:rPr>
            </w:pPr>
            <w:r>
              <w:rPr>
                <w:rFonts w:ascii="Arial" w:cs="Arial" w:eastAsia="Arial" w:hAnsi="Arial"/>
                <w:sz w:val="18"/>
                <w:szCs w:val="18"/>
                <w:color w:val="auto"/>
                <w:w w:val="86"/>
              </w:rPr>
              <w:t>Joseph Edelman</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06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2800" w:type="dxa"/>
            <w:vAlign w:val="bottom"/>
          </w:tcPr>
          <w:p>
            <w:pPr>
              <w:jc w:val="center"/>
              <w:ind w:right="951"/>
              <w:spacing w:after="0"/>
              <w:rPr>
                <w:sz w:val="20"/>
                <w:szCs w:val="20"/>
                <w:color w:val="auto"/>
              </w:rPr>
            </w:pPr>
            <w:r>
              <w:rPr>
                <w:rFonts w:ascii="Arial" w:cs="Arial" w:eastAsia="Arial" w:hAnsi="Arial"/>
                <w:sz w:val="18"/>
                <w:szCs w:val="18"/>
                <w:color w:val="auto"/>
                <w:w w:val="90"/>
              </w:rPr>
              <w:t>/s/ Adam Stone</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Chief Executive Officer and 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4"/>
              </w:rPr>
              <w:t>April 7, 2021</w:t>
            </w:r>
          </w:p>
        </w:tc>
        <w:tc>
          <w:tcPr>
            <w:tcW w:w="0" w:type="dxa"/>
            <w:vAlign w:val="bottom"/>
          </w:tcPr>
          <w:p>
            <w:pPr>
              <w:spacing w:after="0"/>
              <w:rPr>
                <w:sz w:val="1"/>
                <w:szCs w:val="1"/>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4"/>
              </w:rPr>
              <w:t>(Principal Executive Officer)</w:t>
            </w: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060" w:type="dxa"/>
            <w:vAlign w:val="bottom"/>
          </w:tcPr>
          <w:p>
            <w:pPr>
              <w:spacing w:after="0"/>
              <w:rPr>
                <w:sz w:val="7"/>
                <w:szCs w:val="7"/>
                <w:color w:val="auto"/>
              </w:rPr>
            </w:pPr>
          </w:p>
        </w:tc>
        <w:tc>
          <w:tcPr>
            <w:tcW w:w="2800" w:type="dxa"/>
            <w:vAlign w:val="bottom"/>
            <w:vMerge w:val="restart"/>
          </w:tcPr>
          <w:p>
            <w:pPr>
              <w:jc w:val="center"/>
              <w:ind w:right="951"/>
              <w:spacing w:after="0"/>
              <w:rPr>
                <w:sz w:val="20"/>
                <w:szCs w:val="20"/>
                <w:color w:val="auto"/>
              </w:rPr>
            </w:pPr>
            <w:r>
              <w:rPr>
                <w:rFonts w:ascii="Arial" w:cs="Arial" w:eastAsia="Arial" w:hAnsi="Arial"/>
                <w:sz w:val="18"/>
                <w:szCs w:val="18"/>
                <w:color w:val="auto"/>
                <w:w w:val="88"/>
              </w:rPr>
              <w:t>Adam Stone</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06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40" w:type="dxa"/>
            <w:vAlign w:val="bottom"/>
            <w:gridSpan w:val="2"/>
            <w:vMerge w:val="continue"/>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2800" w:type="dxa"/>
            <w:vAlign w:val="bottom"/>
          </w:tcPr>
          <w:p>
            <w:pPr>
              <w:jc w:val="center"/>
              <w:ind w:right="9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Chief Financial Officer and 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4"/>
              </w:rPr>
              <w:t>April 7, 2021</w:t>
            </w:r>
          </w:p>
        </w:tc>
        <w:tc>
          <w:tcPr>
            <w:tcW w:w="0" w:type="dxa"/>
            <w:vAlign w:val="bottom"/>
          </w:tcPr>
          <w:p>
            <w:pPr>
              <w:spacing w:after="0"/>
              <w:rPr>
                <w:sz w:val="1"/>
                <w:szCs w:val="1"/>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gridSpan w:val="2"/>
            <w:vMerge w:val="restart"/>
          </w:tcPr>
          <w:p>
            <w:pPr>
              <w:jc w:val="center"/>
              <w:ind w:right="420"/>
              <w:spacing w:after="0"/>
              <w:rPr>
                <w:sz w:val="20"/>
                <w:szCs w:val="20"/>
                <w:color w:val="auto"/>
              </w:rPr>
            </w:pPr>
            <w:r>
              <w:rPr>
                <w:rFonts w:ascii="Arial" w:cs="Arial" w:eastAsia="Arial" w:hAnsi="Arial"/>
                <w:sz w:val="18"/>
                <w:szCs w:val="18"/>
                <w:color w:val="auto"/>
                <w:w w:val="93"/>
              </w:rPr>
              <w:t>(Principal Financial and Accounting Officer)</w:t>
            </w: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060" w:type="dxa"/>
            <w:vAlign w:val="bottom"/>
          </w:tcPr>
          <w:p>
            <w:pPr>
              <w:spacing w:after="0"/>
              <w:rPr>
                <w:sz w:val="7"/>
                <w:szCs w:val="7"/>
                <w:color w:val="auto"/>
              </w:rPr>
            </w:pPr>
          </w:p>
        </w:tc>
        <w:tc>
          <w:tcPr>
            <w:tcW w:w="2800" w:type="dxa"/>
            <w:vAlign w:val="bottom"/>
            <w:vMerge w:val="restart"/>
          </w:tcPr>
          <w:p>
            <w:pPr>
              <w:jc w:val="center"/>
              <w:ind w:right="951"/>
              <w:spacing w:after="0"/>
              <w:rPr>
                <w:sz w:val="20"/>
                <w:szCs w:val="20"/>
                <w:color w:val="auto"/>
              </w:rPr>
            </w:pPr>
            <w:r>
              <w:rPr>
                <w:rFonts w:ascii="Arial" w:cs="Arial" w:eastAsia="Arial" w:hAnsi="Arial"/>
                <w:sz w:val="18"/>
                <w:szCs w:val="18"/>
                <w:color w:val="auto"/>
                <w:w w:val="94"/>
              </w:rPr>
              <w:t>Michael Altman</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06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540" w:type="dxa"/>
            <w:vAlign w:val="bottom"/>
            <w:gridSpan w:val="2"/>
            <w:vMerge w:val="continue"/>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10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9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2"/>
            <w:vMerge w:val="restart"/>
          </w:tcPr>
          <w:p>
            <w:pPr>
              <w:jc w:val="center"/>
              <w:ind w:right="42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4"/>
              </w:rPr>
              <w:t>April 7, 2021</w:t>
            </w:r>
          </w:p>
        </w:tc>
        <w:tc>
          <w:tcPr>
            <w:tcW w:w="0" w:type="dxa"/>
            <w:vAlign w:val="bottom"/>
          </w:tcPr>
          <w:p>
            <w:pPr>
              <w:spacing w:after="0"/>
              <w:rPr>
                <w:sz w:val="1"/>
                <w:szCs w:val="1"/>
                <w:color w:val="auto"/>
              </w:rPr>
            </w:pPr>
          </w:p>
        </w:tc>
      </w:tr>
      <w:tr>
        <w:trPr>
          <w:trHeight w:val="88"/>
        </w:trPr>
        <w:tc>
          <w:tcPr>
            <w:tcW w:w="1060" w:type="dxa"/>
            <w:vAlign w:val="bottom"/>
          </w:tcPr>
          <w:p>
            <w:pPr>
              <w:spacing w:after="0"/>
              <w:rPr>
                <w:sz w:val="7"/>
                <w:szCs w:val="7"/>
                <w:color w:val="auto"/>
              </w:rPr>
            </w:pPr>
          </w:p>
        </w:tc>
        <w:tc>
          <w:tcPr>
            <w:tcW w:w="2800" w:type="dxa"/>
            <w:vAlign w:val="bottom"/>
            <w:vMerge w:val="restart"/>
          </w:tcPr>
          <w:p>
            <w:pPr>
              <w:jc w:val="center"/>
              <w:ind w:right="951"/>
              <w:spacing w:after="0"/>
              <w:rPr>
                <w:sz w:val="20"/>
                <w:szCs w:val="20"/>
                <w:color w:val="auto"/>
              </w:rPr>
            </w:pPr>
            <w:r>
              <w:rPr>
                <w:rFonts w:ascii="Arial" w:cs="Arial" w:eastAsia="Arial" w:hAnsi="Arial"/>
                <w:sz w:val="18"/>
                <w:szCs w:val="18"/>
                <w:color w:val="auto"/>
                <w:w w:val="90"/>
              </w:rPr>
              <w:t>Todd Wider</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06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10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9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2"/>
            <w:vMerge w:val="restart"/>
          </w:tcPr>
          <w:p>
            <w:pPr>
              <w:jc w:val="center"/>
              <w:ind w:right="42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4"/>
              </w:rPr>
              <w:t>April 7, 2021</w:t>
            </w:r>
          </w:p>
        </w:tc>
        <w:tc>
          <w:tcPr>
            <w:tcW w:w="0" w:type="dxa"/>
            <w:vAlign w:val="bottom"/>
          </w:tcPr>
          <w:p>
            <w:pPr>
              <w:spacing w:after="0"/>
              <w:rPr>
                <w:sz w:val="1"/>
                <w:szCs w:val="1"/>
                <w:color w:val="auto"/>
              </w:rPr>
            </w:pPr>
          </w:p>
        </w:tc>
      </w:tr>
      <w:tr>
        <w:trPr>
          <w:trHeight w:val="88"/>
        </w:trPr>
        <w:tc>
          <w:tcPr>
            <w:tcW w:w="1060" w:type="dxa"/>
            <w:vAlign w:val="bottom"/>
          </w:tcPr>
          <w:p>
            <w:pPr>
              <w:spacing w:after="0"/>
              <w:rPr>
                <w:sz w:val="7"/>
                <w:szCs w:val="7"/>
                <w:color w:val="auto"/>
              </w:rPr>
            </w:pPr>
          </w:p>
        </w:tc>
        <w:tc>
          <w:tcPr>
            <w:tcW w:w="2800" w:type="dxa"/>
            <w:vAlign w:val="bottom"/>
            <w:vMerge w:val="restart"/>
          </w:tcPr>
          <w:p>
            <w:pPr>
              <w:jc w:val="center"/>
              <w:ind w:right="951"/>
              <w:spacing w:after="0"/>
              <w:rPr>
                <w:sz w:val="20"/>
                <w:szCs w:val="20"/>
                <w:color w:val="auto"/>
              </w:rPr>
            </w:pPr>
            <w:r>
              <w:rPr>
                <w:rFonts w:ascii="Arial" w:cs="Arial" w:eastAsia="Arial" w:hAnsi="Arial"/>
                <w:sz w:val="18"/>
                <w:szCs w:val="18"/>
                <w:color w:val="auto"/>
                <w:w w:val="93"/>
              </w:rPr>
              <w:t>Bradley L. Campbell</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06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10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9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2"/>
            <w:vMerge w:val="restart"/>
          </w:tcPr>
          <w:p>
            <w:pPr>
              <w:jc w:val="center"/>
              <w:ind w:right="42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94"/>
              </w:rPr>
              <w:t>April 7, 2021</w:t>
            </w:r>
          </w:p>
        </w:tc>
        <w:tc>
          <w:tcPr>
            <w:tcW w:w="0" w:type="dxa"/>
            <w:vAlign w:val="bottom"/>
          </w:tcPr>
          <w:p>
            <w:pPr>
              <w:spacing w:after="0"/>
              <w:rPr>
                <w:sz w:val="1"/>
                <w:szCs w:val="1"/>
                <w:color w:val="auto"/>
              </w:rPr>
            </w:pPr>
          </w:p>
        </w:tc>
      </w:tr>
      <w:tr>
        <w:trPr>
          <w:trHeight w:val="88"/>
        </w:trPr>
        <w:tc>
          <w:tcPr>
            <w:tcW w:w="1060" w:type="dxa"/>
            <w:vAlign w:val="bottom"/>
          </w:tcPr>
          <w:p>
            <w:pPr>
              <w:spacing w:after="0"/>
              <w:rPr>
                <w:sz w:val="7"/>
                <w:szCs w:val="7"/>
                <w:color w:val="auto"/>
              </w:rPr>
            </w:pPr>
          </w:p>
        </w:tc>
        <w:tc>
          <w:tcPr>
            <w:tcW w:w="2800" w:type="dxa"/>
            <w:vAlign w:val="bottom"/>
            <w:vMerge w:val="restart"/>
          </w:tcPr>
          <w:p>
            <w:pPr>
              <w:jc w:val="center"/>
              <w:ind w:right="951"/>
              <w:spacing w:after="0"/>
              <w:rPr>
                <w:sz w:val="20"/>
                <w:szCs w:val="20"/>
                <w:color w:val="auto"/>
              </w:rPr>
            </w:pPr>
            <w:r>
              <w:rPr>
                <w:rFonts w:ascii="Arial" w:cs="Arial" w:eastAsia="Arial" w:hAnsi="Arial"/>
                <w:sz w:val="18"/>
                <w:szCs w:val="18"/>
                <w:color w:val="auto"/>
                <w:w w:val="89"/>
              </w:rPr>
              <w:t>Saqib Islam</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06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2"/>
        </w:trPr>
        <w:tc>
          <w:tcPr>
            <w:tcW w:w="1060" w:type="dxa"/>
            <w:vAlign w:val="bottom"/>
          </w:tcPr>
          <w:p>
            <w:pPr>
              <w:ind w:left="680"/>
              <w:spacing w:after="0"/>
              <w:rPr>
                <w:sz w:val="20"/>
                <w:szCs w:val="20"/>
                <w:color w:val="auto"/>
              </w:rPr>
            </w:pPr>
            <w:r>
              <w:rPr>
                <w:rFonts w:ascii="Arial" w:cs="Arial" w:eastAsia="Arial" w:hAnsi="Arial"/>
                <w:sz w:val="18"/>
                <w:szCs w:val="18"/>
                <w:color w:val="auto"/>
              </w:rPr>
              <w:t>*By:</w:t>
            </w:r>
          </w:p>
        </w:tc>
        <w:tc>
          <w:tcPr>
            <w:tcW w:w="2800" w:type="dxa"/>
            <w:vAlign w:val="bottom"/>
            <w:tcBorders>
              <w:bottom w:val="single" w:sz="8" w:color="auto"/>
            </w:tcBorders>
          </w:tcPr>
          <w:p>
            <w:pPr>
              <w:jc w:val="center"/>
              <w:ind w:right="911"/>
              <w:spacing w:after="0"/>
              <w:rPr>
                <w:sz w:val="20"/>
                <w:szCs w:val="20"/>
                <w:color w:val="auto"/>
              </w:rPr>
            </w:pPr>
            <w:r>
              <w:rPr>
                <w:rFonts w:ascii="Arial" w:cs="Arial" w:eastAsia="Arial" w:hAnsi="Arial"/>
                <w:sz w:val="18"/>
                <w:szCs w:val="18"/>
                <w:color w:val="auto"/>
                <w:w w:val="90"/>
              </w:rPr>
              <w:t>/s/ Adam Stone</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800" w:type="dxa"/>
            <w:vAlign w:val="bottom"/>
          </w:tcPr>
          <w:p>
            <w:pPr>
              <w:ind w:left="340"/>
              <w:spacing w:after="0" w:line="169" w:lineRule="exact"/>
              <w:rPr>
                <w:sz w:val="20"/>
                <w:szCs w:val="20"/>
                <w:color w:val="auto"/>
              </w:rPr>
            </w:pPr>
            <w:r>
              <w:rPr>
                <w:rFonts w:ascii="Arial" w:cs="Arial" w:eastAsia="Arial" w:hAnsi="Arial"/>
                <w:sz w:val="18"/>
                <w:szCs w:val="18"/>
                <w:color w:val="auto"/>
              </w:rPr>
              <w:t>Adam Stone</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214630</wp:posOffset>
            </wp:positionV>
            <wp:extent cx="204025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extLst>
                    </a:blip>
                    <a:srcRect/>
                    <a:stretch>
                      <a:fillRect/>
                    </a:stretch>
                  </pic:blipFill>
                  <pic:spPr bwMode="auto">
                    <a:xfrm>
                      <a:off x="0" y="0"/>
                      <a:ext cx="204025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601 Lexington Avenue</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New York, NY 10022</w:t>
      </w:r>
    </w:p>
    <w:p>
      <w:pPr>
        <w:ind w:left="5080"/>
        <w:spacing w:after="0" w:line="212" w:lineRule="auto"/>
        <w:tabs>
          <w:tab w:leader="none" w:pos="8560" w:val="left"/>
        </w:tabs>
        <w:rPr>
          <w:sz w:val="20"/>
          <w:szCs w:val="20"/>
          <w:color w:val="auto"/>
        </w:rPr>
      </w:pPr>
      <w:r>
        <w:rPr>
          <w:rFonts w:ascii="Arial" w:cs="Arial" w:eastAsia="Arial" w:hAnsi="Arial"/>
          <w:sz w:val="14"/>
          <w:szCs w:val="14"/>
          <w:color w:val="auto"/>
        </w:rPr>
        <w:t>United States</w:t>
      </w:r>
      <w:r>
        <w:rPr>
          <w:sz w:val="20"/>
          <w:szCs w:val="20"/>
          <w:color w:val="auto"/>
        </w:rPr>
        <w:tab/>
      </w:r>
      <w:r>
        <w:rPr>
          <w:rFonts w:ascii="Arial" w:cs="Arial" w:eastAsia="Arial" w:hAnsi="Arial"/>
          <w:sz w:val="21"/>
          <w:szCs w:val="21"/>
          <w:color w:val="auto"/>
          <w:vertAlign w:val="subscript"/>
        </w:rPr>
        <w:t>Facsimile:</w:t>
      </w:r>
    </w:p>
    <w:p>
      <w:pPr>
        <w:ind w:left="8360"/>
        <w:spacing w:after="0" w:line="194" w:lineRule="auto"/>
        <w:rPr>
          <w:sz w:val="20"/>
          <w:szCs w:val="20"/>
          <w:color w:val="auto"/>
        </w:rPr>
      </w:pPr>
      <w:r>
        <w:rPr>
          <w:rFonts w:ascii="Arial" w:cs="Arial" w:eastAsia="Arial" w:hAnsi="Arial"/>
          <w:sz w:val="12"/>
          <w:szCs w:val="12"/>
          <w:color w:val="auto"/>
        </w:rPr>
        <w:t>+1 212 446 4900</w:t>
      </w:r>
    </w:p>
    <w:p>
      <w:pPr>
        <w:jc w:val="center"/>
        <w:ind w:right="240"/>
        <w:spacing w:after="0"/>
        <w:rPr>
          <w:sz w:val="20"/>
          <w:szCs w:val="20"/>
          <w:color w:val="auto"/>
        </w:rPr>
      </w:pPr>
      <w:r>
        <w:rPr>
          <w:rFonts w:ascii="Arial" w:cs="Arial" w:eastAsia="Arial" w:hAnsi="Arial"/>
          <w:sz w:val="14"/>
          <w:szCs w:val="14"/>
          <w:color w:val="auto"/>
        </w:rPr>
        <w:t>+1 212 446 4800</w:t>
      </w:r>
    </w:p>
    <w:p>
      <w:pPr>
        <w:spacing w:after="0" w:line="204"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www.kirkland.com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7, 2021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ARYA Sciences Acquisition Corp III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51 Astor Place, 10th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10003</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We are United States tax counsel to ARYA Sciences Acquisition Corp III, a Cayman Islands exempted company (“ARYA”), in connection with the preparation of the registration statement on Form S-4 (as amended, and together with the Proxy Statement/Prospectus filed therewith, the “Registration Statement”) (Registration No. 333-254796) originally filed with the Securities and Exchange Commission (the “Commission”) on March 26, 2021, under the Securities Act of 1933, as amended (the “Securities Act”), by ARYA. The Registration Statement relates to the registration of 111,674,810 shares of common stock of Nautilus Biotechnology, Inc., a Delaware corporation (“New Nautilus”).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Registration Statement is being filed in connection with the transactions contemplated by the Business Combination Agreement, dated as of February 7, 2021 (the “Business Combination Agreement”), by and among ARYA, Mako Merger Sub, Inc., a Delaware corporation and Nautilus Biotechnology, Inc., a Delaware corporation (“</w:t>
      </w:r>
      <w:r>
        <w:rPr>
          <w:rFonts w:ascii="Arial" w:cs="Arial" w:eastAsia="Arial" w:hAnsi="Arial"/>
          <w:sz w:val="22"/>
          <w:szCs w:val="22"/>
          <w:u w:val="single" w:color="auto"/>
          <w:color w:val="auto"/>
        </w:rPr>
        <w:t>Nautilus</w:t>
      </w:r>
      <w:r>
        <w:rPr>
          <w:rFonts w:ascii="Arial" w:cs="Arial" w:eastAsia="Arial" w:hAnsi="Arial"/>
          <w:sz w:val="22"/>
          <w:szCs w:val="22"/>
          <w:color w:val="auto"/>
        </w:rPr>
        <w:t>”) (such transactions, including the Domestication, the “Business Combination”).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Capitalized terms not otherwise defined herein shall have the same meanings attributed to such terms in the Registration Statement.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You have requested our opinion concerning the discussion of the Domestication set forth in the section entitled “Material U.S. Federal Income Tax Consequences—U.S. Holders—Effect of the Domestication on U.S. Holders” in the Registration Statement (the “Tax Disclosure”). In providing this opinion, we have assumed (without any independent investigation or review thereof) that:</w:t>
      </w:r>
    </w:p>
    <w:p>
      <w:pPr>
        <w:spacing w:after="0" w:line="188" w:lineRule="exact"/>
        <w:rPr>
          <w:sz w:val="20"/>
          <w:szCs w:val="20"/>
          <w:color w:val="auto"/>
        </w:rPr>
      </w:pPr>
    </w:p>
    <w:p>
      <w:pPr>
        <w:jc w:val="both"/>
        <w:ind w:firstLine="656"/>
        <w:spacing w:after="0" w:line="248" w:lineRule="auto"/>
        <w:tabs>
          <w:tab w:leader="none" w:pos="1284" w:val="left"/>
        </w:tabs>
        <w:numPr>
          <w:ilvl w:val="0"/>
          <w:numId w:val="4"/>
        </w:numPr>
        <w:rPr>
          <w:rFonts w:ascii="Arial" w:cs="Arial" w:eastAsia="Arial" w:hAnsi="Arial"/>
          <w:sz w:val="22"/>
          <w:szCs w:val="22"/>
          <w:color w:val="auto"/>
        </w:rPr>
      </w:pPr>
      <w:r>
        <w:rPr>
          <w:rFonts w:ascii="Arial" w:cs="Arial" w:eastAsia="Arial" w:hAnsi="Arial"/>
          <w:sz w:val="22"/>
          <w:szCs w:val="22"/>
          <w:color w:val="auto"/>
        </w:rPr>
        <w:t>All original documents submitted to us (including signatures thereto) are authentic, all documents submitted to us as copies conform to the original documents, all such documents have been duly and validly executed and delivered where due execution and delivery are a prerequisite to the effectiveness thereof, and all parties to such documents had or will have, as applicable, the requisite corporate powers and authority to enter into such documents and to undertake and consummate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tabs>
          <w:tab w:leader="none" w:pos="80" w:val="left"/>
          <w:tab w:leader="none" w:pos="80" w:val="left"/>
          <w:tab w:leader="none" w:pos="80" w:val="left"/>
          <w:tab w:leader="none" w:pos="80" w:val="left"/>
          <w:tab w:leader="none" w:pos="80" w:val="left"/>
          <w:tab w:leader="none" w:pos="80" w:val="left"/>
          <w:tab w:leader="none" w:pos="80" w:val="left"/>
          <w:tab w:leader="none" w:pos="80" w:val="left"/>
          <w:tab w:leader="none" w:pos="80" w:val="left"/>
          <w:tab w:leader="none" w:pos="80" w:val="left"/>
          <w:tab w:leader="none" w:pos="80" w:val="left"/>
          <w:tab w:leader="none" w:pos="80" w:val="left"/>
          <w:tab w:leader="none" w:pos="80" w:val="left"/>
        </w:tabs>
        <w:rPr>
          <w:sz w:val="20"/>
          <w:szCs w:val="20"/>
          <w:color w:val="auto"/>
        </w:rPr>
      </w:pPr>
      <w:r>
        <w:rPr>
          <w:rFonts w:ascii="Arial" w:cs="Arial" w:eastAsia="Arial" w:hAnsi="Arial"/>
          <w:sz w:val="12"/>
          <w:szCs w:val="12"/>
          <w:color w:val="auto"/>
        </w:rPr>
        <w:t>Beijing</w:t>
        <w:tab/>
        <w:t>Boston</w:t>
        <w:tab/>
        <w:t>Chicago</w:t>
        <w:tab/>
        <w:t>Dallas</w:t>
        <w:tab/>
        <w:t>Hong Kong</w:t>
        <w:tab/>
        <w:t>Houston</w:t>
        <w:tab/>
        <w:t>London</w:t>
        <w:tab/>
        <w:t>Los Angeles</w:t>
        <w:tab/>
        <w:t>Munich</w:t>
        <w:tab/>
        <w:t>Palo Alto</w:t>
        <w:tab/>
        <w:t>Paris</w:t>
        <w:tab/>
        <w:t>San Francisco</w:t>
        <w:tab/>
        <w:t>Shanghai</w:t>
      </w:r>
      <w:r>
        <w:rPr>
          <w:sz w:val="20"/>
          <w:szCs w:val="20"/>
          <w:color w:val="auto"/>
        </w:rPr>
        <w:tab/>
      </w:r>
      <w:r>
        <w:rPr>
          <w:rFonts w:ascii="Arial" w:cs="Arial" w:eastAsia="Arial" w:hAnsi="Arial"/>
          <w:sz w:val="11"/>
          <w:szCs w:val="11"/>
          <w:color w:val="auto"/>
        </w:rPr>
        <w:t>Washington, D.C.</w:t>
      </w:r>
    </w:p>
    <w:p>
      <w:pPr>
        <w:sectPr>
          <w:pgSz w:w="11900" w:h="16838" w:orient="portrait"/>
          <w:cols w:equalWidth="0" w:num="1">
            <w:col w:w="11240"/>
          </w:cols>
          <w:pgMar w:left="320" w:top="121"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2874010</wp:posOffset>
            </wp:positionH>
            <wp:positionV relativeFrom="page">
              <wp:posOffset>217170</wp:posOffset>
            </wp:positionV>
            <wp:extent cx="16541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ARYA Sciences Acquisition Corp III</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April 7, 2021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58" w:lineRule="exact"/>
        <w:rPr>
          <w:sz w:val="20"/>
          <w:szCs w:val="20"/>
          <w:color w:val="auto"/>
        </w:rPr>
      </w:pPr>
    </w:p>
    <w:p>
      <w:pPr>
        <w:jc w:val="both"/>
        <w:ind w:firstLine="656"/>
        <w:spacing w:after="0" w:line="247" w:lineRule="auto"/>
        <w:tabs>
          <w:tab w:leader="none" w:pos="1296" w:val="left"/>
        </w:tabs>
        <w:numPr>
          <w:ilvl w:val="0"/>
          <w:numId w:val="5"/>
        </w:numPr>
        <w:rPr>
          <w:rFonts w:ascii="Arial" w:cs="Arial" w:eastAsia="Arial" w:hAnsi="Arial"/>
          <w:sz w:val="22"/>
          <w:szCs w:val="22"/>
          <w:color w:val="auto"/>
        </w:rPr>
      </w:pPr>
      <w:r>
        <w:rPr>
          <w:rFonts w:ascii="Arial" w:cs="Arial" w:eastAsia="Arial" w:hAnsi="Arial"/>
          <w:sz w:val="22"/>
          <w:szCs w:val="22"/>
          <w:color w:val="auto"/>
        </w:rPr>
        <w:t>All factual representations, warranties and statements made or agreed to by the parties to the Business Combination Agreement, the Sponsor Letter Agreement, and the other agreements referred to in each of the foregoing (collectively, the “Agreements” and, together with the Registration Statement, the “Documents”), and in the representation letter provided to us by ARYA, are true, correct and complete as of the date hereof and will remain true, correct and complete through the consummation of Transactions (as defined below), in each case without regard to any qualification as to knowledge, belief, materiality, or otherwise;</w:t>
      </w:r>
    </w:p>
    <w:p>
      <w:pPr>
        <w:spacing w:after="0" w:line="192" w:lineRule="exact"/>
        <w:rPr>
          <w:rFonts w:ascii="Arial" w:cs="Arial" w:eastAsia="Arial" w:hAnsi="Arial"/>
          <w:sz w:val="22"/>
          <w:szCs w:val="22"/>
          <w:color w:val="auto"/>
        </w:rPr>
      </w:pPr>
    </w:p>
    <w:p>
      <w:pPr>
        <w:ind w:firstLine="656"/>
        <w:spacing w:after="0" w:line="263" w:lineRule="auto"/>
        <w:tabs>
          <w:tab w:leader="none" w:pos="1284"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descriptions of ARYA in the Registration Statement, the registration statement filed in connection with ARYA’s initial public offering, and ARYA’s other public filings are true, accurate and complete;</w:t>
      </w:r>
    </w:p>
    <w:p>
      <w:pPr>
        <w:spacing w:after="0" w:line="174" w:lineRule="exact"/>
        <w:rPr>
          <w:rFonts w:ascii="Arial" w:cs="Arial" w:eastAsia="Arial" w:hAnsi="Arial"/>
          <w:sz w:val="22"/>
          <w:szCs w:val="22"/>
          <w:color w:val="auto"/>
        </w:rPr>
      </w:pPr>
    </w:p>
    <w:p>
      <w:pPr>
        <w:jc w:val="both"/>
        <w:ind w:firstLine="656"/>
        <w:spacing w:after="0" w:line="297" w:lineRule="auto"/>
        <w:tabs>
          <w:tab w:leader="none" w:pos="1296"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description of the Business Combination and other transactions related to the Business Combination (together, the “Transactions”) in the Registration Statement is and will remain true, accurate and complete, the Business Combination will be consummated in accordance with such description and with the Business Combination Agreement and the other Agreements, without any waiver or breach of any material provision thereof, and the Business Combination will be effective under applicable corporate law as described in the Business Combination Agreement and the other Agreements; and</w:t>
      </w:r>
    </w:p>
    <w:p>
      <w:pPr>
        <w:spacing w:after="0" w:line="146" w:lineRule="exact"/>
        <w:rPr>
          <w:rFonts w:ascii="Arial" w:cs="Arial" w:eastAsia="Arial" w:hAnsi="Arial"/>
          <w:sz w:val="19"/>
          <w:szCs w:val="19"/>
          <w:color w:val="auto"/>
        </w:rPr>
      </w:pPr>
    </w:p>
    <w:p>
      <w:pPr>
        <w:jc w:val="both"/>
        <w:ind w:firstLine="656"/>
        <w:spacing w:after="0" w:line="271" w:lineRule="auto"/>
        <w:tabs>
          <w:tab w:leader="none" w:pos="1284"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Documents represent the entire understanding of the parties with respect to the Business Combination and other Transactions, there are no other written or oral agreements regarding the Transactions other than the Agreements, and none of the material terms and conditions thereof have been or will be waived or modified.</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opinion is based on current provisions of the U.S. Internal Revenue Code of 1986, as amended (the “Code”), the U.S. Treasury Regulations promulgated thereunder, and the interpretation of the Code and such regulations by the courts and the U.S. Internal Revenue Service, in each case, as they are in effect and exist at the date of this opinion. It should be noted that statutes, regulations, judicial decisions and administrative interpretations are subject to change at any time and, in some circumstances, with retroactive effect. Any change that is made after the date hereof in any of the foregoing bases for our opinion, or any inaccuracy in the facts or assumptions on which we have relied in issuing our opinion, could adversely affect our conclusion. We assume no responsibility to inform you of any such change or inaccuracy that may occur or come to our attention or to supplement or revise our opinion to reflect any legal developments or factual matters arising subsequent to the date hereof. No opinion is expressed as to any transactions other than the Domestication in connection with the Business Combination, or any matter other than those specifically covered by this opinion. In particular, this opinion is limited to the matters discussed in the Tax Disclosure, and does not address (i) the U.S. federal income tax treatment of any shareholder subject to special rules under the Code or the Treasury Regulations, as further described in the Tax Disclosure, (ii) any matter arising in connection with</w:t>
      </w:r>
    </w:p>
    <w:p>
      <w:pPr>
        <w:sectPr>
          <w:pgSz w:w="11900" w:h="16838" w:orient="portrait"/>
          <w:cols w:equalWidth="0" w:num="1">
            <w:col w:w="11240"/>
          </w:cols>
          <w:pgMar w:left="320" w:top="1252"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2874010</wp:posOffset>
            </wp:positionH>
            <wp:positionV relativeFrom="page">
              <wp:posOffset>217170</wp:posOffset>
            </wp:positionV>
            <wp:extent cx="1654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ARYA Sciences Acquisition Corp III</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April 7, 2021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Section 367 of the Code, or (iii) any matter arising in connection with the “passive foreign investment company” rules of Sections 1291-1297 of the Code.</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U.S. federal income tax consequences of the transactions described in the Registration Statement are complex and are subject to varying interpretations. Our opinion is not binding on the U.S. Internal Revenue Service or any court, and there can be no assurance or guarantee that either will agree with our conclusions. Indeed, the U.S. Internal Revenue Service may challenge one or more of the conclusions contained herein and the U.S. Internal Revenue Service may take a position that is inconsistent with the views expressed herein. There can be no assurance or guarantee that a court would, if presented with the issues addressed herein, reach the same or similar conclusions as we have reached.</w:t>
      </w:r>
    </w:p>
    <w:p>
      <w:pPr>
        <w:spacing w:after="0" w:line="149" w:lineRule="exact"/>
        <w:rPr>
          <w:sz w:val="20"/>
          <w:szCs w:val="20"/>
          <w:color w:val="auto"/>
        </w:rPr>
      </w:pPr>
    </w:p>
    <w:p>
      <w:pPr>
        <w:ind w:right="120" w:firstLine="648"/>
        <w:spacing w:after="0" w:line="247" w:lineRule="auto"/>
        <w:rPr>
          <w:sz w:val="20"/>
          <w:szCs w:val="20"/>
          <w:color w:val="auto"/>
        </w:rPr>
      </w:pPr>
      <w:r>
        <w:rPr>
          <w:rFonts w:ascii="Arial" w:cs="Arial" w:eastAsia="Arial" w:hAnsi="Arial"/>
          <w:sz w:val="22"/>
          <w:szCs w:val="22"/>
          <w:color w:val="auto"/>
        </w:rPr>
        <w:t>Based upon and subject to the foregoing, we confirm that the statements set forth in the Registration Statement under the heading “Material U.S. Federal Income Tax Consequences—U.S. Holders—Effect of the Domestication on U.S. Holders,” insofar as they address the material U.S. federal income tax considerations for beneficial owners of ARYA Class A Shares of the Domestication, and discuss matters of U.S. federal income tax law and regulations or legal conclusions with respect thereto, and except to the extent stated otherwise therein, are our opinion, subject to the assumptions, qualifications and limitations stated herein and therein.</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opinion is furnished to you solely for use in connection with the Registration Statement. This opinion is based on facts and circumstances existing on the date hereof. We hereby consent to the filing of this opinion as an exhibit to the Registration Statement. In giving such consent, we do not thereby concede that we are within the category of persons whose consent is required under Section 7 of the Securities Act or the rules and regulations of the Commission thereunder.</w:t>
      </w:r>
    </w:p>
    <w:p>
      <w:pPr>
        <w:spacing w:after="0" w:line="201" w:lineRule="exact"/>
        <w:rPr>
          <w:sz w:val="20"/>
          <w:szCs w:val="20"/>
          <w:color w:val="auto"/>
        </w:rPr>
      </w:pPr>
    </w:p>
    <w:p>
      <w:pPr>
        <w:ind w:left="746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60"/>
        <w:spacing w:after="0"/>
        <w:rPr>
          <w:sz w:val="20"/>
          <w:szCs w:val="20"/>
          <w:color w:val="auto"/>
        </w:rPr>
      </w:pPr>
      <w:r>
        <w:rPr>
          <w:rFonts w:ascii="Arial" w:cs="Arial" w:eastAsia="Arial" w:hAnsi="Arial"/>
          <w:sz w:val="20"/>
          <w:szCs w:val="20"/>
          <w:color w:val="auto"/>
        </w:rPr>
        <w:t>/s/ 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27305</wp:posOffset>
            </wp:positionV>
            <wp:extent cx="2417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61" w:lineRule="exact"/>
        <w:rPr>
          <w:sz w:val="20"/>
          <w:szCs w:val="20"/>
          <w:color w:val="auto"/>
        </w:rPr>
      </w:pPr>
    </w:p>
    <w:p>
      <w:pPr>
        <w:ind w:left="7460"/>
        <w:spacing w:after="0"/>
        <w:rPr>
          <w:sz w:val="20"/>
          <w:szCs w:val="20"/>
          <w:color w:val="auto"/>
        </w:rPr>
      </w:pPr>
      <w:r>
        <w:rPr>
          <w:rFonts w:ascii="Arial" w:cs="Arial" w:eastAsia="Arial" w:hAnsi="Arial"/>
          <w:sz w:val="20"/>
          <w:szCs w:val="20"/>
          <w:color w:val="auto"/>
        </w:rPr>
        <w:t>Kirkland &amp; Ellis LLP</w:t>
      </w:r>
    </w:p>
    <w:sectPr>
      <w:pgSz w:w="11900" w:h="16838" w:orient="portrait"/>
      <w:cols w:equalWidth="0" w:num="1">
        <w:col w:w="11240"/>
      </w:cols>
      <w:pgMar w:left="320" w:top="12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47" Type="http://schemas.openxmlformats.org/officeDocument/2006/relationships/image" Target="media/image11.png"/><Relationship Id="rId48" Type="http://schemas.openxmlformats.org/officeDocument/2006/relationships/image" Target="media/image12.jpeg"/><Relationship Id="rId49" Type="http://schemas.openxmlformats.org/officeDocument/2006/relationships/image" Target="media/image13.jpeg"/><Relationship Id="rId50" Type="http://schemas.openxmlformats.org/officeDocument/2006/relationships/image" Target="media/image14.jpeg"/><Relationship Id="rId51" Type="http://schemas.openxmlformats.org/officeDocument/2006/relationships/image" Target="media/image15.png"/><Relationship Id="rId18" Type="http://schemas.openxmlformats.org/officeDocument/2006/relationships/hyperlink" Target="https://www.sec.gov/ix?doc=/Archives/edgar/data/1808805/000162828021005786/arya-20210326.htm#if2baefd677284383b89cb6f605e45e0e_1373" TargetMode="External"/><Relationship Id="rId19" Type="http://schemas.openxmlformats.org/officeDocument/2006/relationships/hyperlink" Target="https://www.sec.gov/ix?doc=/Archives/edgar/data/1808805/000162828021005786/arya-20210326.htm#if2baefd677284383b89cb6f605e45e0e_1604" TargetMode="External"/><Relationship Id="rId20" Type="http://schemas.openxmlformats.org/officeDocument/2006/relationships/hyperlink" Target="https://www.sec.gov/ix?doc=/Archives/edgar/data/1808805/000162828021005786/arya-20210326.htm#if2baefd677284383b89cb6f605e45e0e_1381" TargetMode="External"/><Relationship Id="rId21" Type="http://schemas.openxmlformats.org/officeDocument/2006/relationships/hyperlink" Target="https://www.sec.gov/ix?doc=/Archives/edgar/data/1808805/000162828021005786/arya-20210326.htm#if2baefd677284383b89cb6f605e45e0e_1450" TargetMode="External"/><Relationship Id="rId22" Type="http://schemas.openxmlformats.org/officeDocument/2006/relationships/hyperlink" Target="https://www.sec.gov/Archives/edgar/data/1808805/000114036120016987/nt10013610x3_ex4-1.htm" TargetMode="External"/><Relationship Id="rId23" Type="http://schemas.openxmlformats.org/officeDocument/2006/relationships/hyperlink" Target="https://www.sec.gov/Archives/edgar/data/1808805/000162828021005786/exhibit51-sx4.htm" TargetMode="External"/><Relationship Id="rId24" Type="http://schemas.openxmlformats.org/officeDocument/2006/relationships/hyperlink" Target="https://www.sec.gov/ix?doc=/Archives/edgar/data/1808805/000162828021005786/arya-20210326.htm#if2baefd677284383b89cb6f605e45e0e_1445" TargetMode="External"/><Relationship Id="rId25" Type="http://schemas.openxmlformats.org/officeDocument/2006/relationships/hyperlink" Target="https://www.sec.gov/ix?doc=/Archives/edgar/data/1808805/000162828021005786/arya-20210326.htm#if2baefd677284383b89cb6f605e45e0e_1388" TargetMode="External"/><Relationship Id="rId26" Type="http://schemas.openxmlformats.org/officeDocument/2006/relationships/hyperlink" Target="https://www.sec.gov/ix?doc=/Archives/edgar/data/1808805/000162828021005786/arya-20210326.htm#if2baefd677284383b89cb6f605e45e0e_1457" TargetMode="External"/><Relationship Id="rId27" Type="http://schemas.openxmlformats.org/officeDocument/2006/relationships/hyperlink" Target="https://www.sec.gov/ix?doc=/Archives/edgar/data/1808805/000162828021005786/arya-20210326.htm#if2baefd677284383b89cb6f605e45e0e_1405" TargetMode="External"/><Relationship Id="rId28" Type="http://schemas.openxmlformats.org/officeDocument/2006/relationships/hyperlink" Target="https://www.sec.gov/ix?doc=/Archives/edgar/data/1808805/000162828021005786/arya-20210326.htm#if2baefd677284383b89cb6f605e45e0e_1422" TargetMode="External"/><Relationship Id="rId29" Type="http://schemas.openxmlformats.org/officeDocument/2006/relationships/hyperlink" Target="https://www.sec.gov/ix?doc=/Archives/edgar/data/1808805/000162828021005786/arya-20210326.htm#if2baefd677284383b89cb6f605e45e0e_1429" TargetMode="External"/><Relationship Id="rId30" Type="http://schemas.openxmlformats.org/officeDocument/2006/relationships/hyperlink" Target="https://www.sec.gov/Archives/edgar/data/1808805/000162828021005786/exhibit107-sx4.htm" TargetMode="External"/><Relationship Id="rId31" Type="http://schemas.openxmlformats.org/officeDocument/2006/relationships/hyperlink" Target="https://www.sec.gov/Archives/edgar/data/1808805/000162828021005786/exhibit108-sx4.htm" TargetMode="External"/><Relationship Id="rId32" Type="http://schemas.openxmlformats.org/officeDocument/2006/relationships/hyperlink" Target="https://www.sec.gov/Archives/edgar/data/1808805/000162828021005786/exhibit109-sx4.htm" TargetMode="External"/><Relationship Id="rId33" Type="http://schemas.openxmlformats.org/officeDocument/2006/relationships/hyperlink" Target="https://www.sec.gov/Archives/edgar/data/1808805/000114036120016987/nt10013610x3_ex10-4.htm" TargetMode="External"/><Relationship Id="rId34" Type="http://schemas.openxmlformats.org/officeDocument/2006/relationships/hyperlink" Target="https://www.sec.gov/Archives/edgar/data/1808805/000162828021005786/exhibit1011-sx4.htm" TargetMode="External"/><Relationship Id="rId35" Type="http://schemas.openxmlformats.org/officeDocument/2006/relationships/hyperlink" Target="https://www.sec.gov/Archives/edgar/data/1808805/000162828021005786/exhibit211.htm" TargetMode="External"/><Relationship Id="rId36" Type="http://schemas.openxmlformats.org/officeDocument/2006/relationships/hyperlink" Target="https://www.sec.gov/Archives/edgar/data/1808805/000162828021005786/exhibit231-sx4.htm" TargetMode="External"/><Relationship Id="rId37" Type="http://schemas.openxmlformats.org/officeDocument/2006/relationships/hyperlink" Target="https://www.sec.gov/Archives/edgar/data/1808805/000162828021005786/exhibit232-sx4.htm" TargetMode="External"/><Relationship Id="rId38" Type="http://schemas.openxmlformats.org/officeDocument/2006/relationships/hyperlink" Target="https://www.sec.gov/ix?doc=/Archives/edgar/data/1808805/000162828021005786/arya-20210326.htm#if2baefd677284383b89cb6f605e45e0e_1082" TargetMode="External"/><Relationship Id="rId39" Type="http://schemas.openxmlformats.org/officeDocument/2006/relationships/hyperlink" Target="https://www.sec.gov/Archives/edgar/data/1808805/000162828021005786/exhibit991-drsxconsenttore.htm" TargetMode="External"/><Relationship Id="rId40" Type="http://schemas.openxmlformats.org/officeDocument/2006/relationships/hyperlink" Target="https://www.sec.gov/Archives/edgar/data/1808805/000162828021005786/exhibit992-drsxconsentofpa.htm" TargetMode="External"/><Relationship Id="rId41" Type="http://schemas.openxmlformats.org/officeDocument/2006/relationships/hyperlink" Target="https://www.sec.gov/Archives/edgar/data/1808805/000162828021005786/exhibit993-drsxregistratio.htm" TargetMode="External"/><Relationship Id="rId42" Type="http://schemas.openxmlformats.org/officeDocument/2006/relationships/hyperlink" Target="https://www.sec.gov/Archives/edgar/data/1808805/000162828021005786/exhibit994-drsxconsentoffa.htm" TargetMode="External"/><Relationship Id="rId43" Type="http://schemas.openxmlformats.org/officeDocument/2006/relationships/hyperlink" Target="https://www.sec.gov/Archives/edgar/data/1808805/000162828021005786/exhibit995-drsxregistratio.htm" TargetMode="External"/><Relationship Id="rId44" Type="http://schemas.openxmlformats.org/officeDocument/2006/relationships/hyperlink" Target="https://www.sec.gov/Archives/edgar/data/1808805/000162828021005786/exhibit996-drsxregistratio.htm" TargetMode="External"/><Relationship Id="rId45" Type="http://schemas.openxmlformats.org/officeDocument/2006/relationships/hyperlink" Target="https://www.sec.gov/Archives/edgar/data/1808805/000162828021005786/exhibit997-drsxconsentofma.htm" TargetMode="External"/><Relationship Id="rId46" Type="http://schemas.openxmlformats.org/officeDocument/2006/relationships/hyperlink" Target="https://www.sec.gov/ix?doc=/Archives/edgar/data/1808805/000162828021005786/arya-20210326.htm#if2baefd677284383b89cb6f605e45e0e_20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2021-04-07T15:43:21Z</dcterms:created>
  <dcterms:modified xsi:type="dcterms:W3CDTF">2021-04-07T15:43:21Z</dcterms:modified>
</cp:coreProperties>
</file>