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333-258100</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95,645,056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127000</wp:posOffset>
            </wp:positionV>
            <wp:extent cx="2143125"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7152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1078230</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This prospectus relates to (i) the resale of 4,286,500 shares of common stock, par value $0.0001 per share (the “Common Stock”) issued in connection with the Domestication by certain of the selling securityholders named in this prospectus (each a “selling securityholder” and, collectively, the “selling securityholders”), (ii) the resale of 69,655,827 shares of Common Stock issued in connection with the Business Combination by certain of the selling securityholders, (iii) the resale of 20,000,000 shares of common stock issued in the PIPE Financing by certain of the selling securityholders, and (iv) the issuance by us and resale of 1,702,729 shares of Common Stock reserved for issuance upon the exercise of certain outstanding options to purchase Common Stock. This prospectus also covers any additional securities that may become issuable by reason of stock splits, stock dividends or other similar transactions.</w:t>
      </w:r>
    </w:p>
    <w:p>
      <w:pPr>
        <w:spacing w:after="0" w:line="141"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We are registering the offer and sale of these securities to satisfy certain registration rights we have granted. We will not receive any of the proceeds from the sale of the securities by the selling securityholders. We will pay the expenses associated with registering the sales by the selling securityholders, as described in more detail in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appearing elsewhere in this prospectus.</w:t>
      </w:r>
    </w:p>
    <w:p>
      <w:pPr>
        <w:spacing w:after="0" w:line="130" w:lineRule="exact"/>
        <w:rPr>
          <w:sz w:val="24"/>
          <w:szCs w:val="24"/>
          <w:color w:val="auto"/>
        </w:rPr>
      </w:pPr>
    </w:p>
    <w:p>
      <w:pPr>
        <w:ind w:right="540"/>
        <w:spacing w:after="0" w:line="263" w:lineRule="auto"/>
        <w:rPr>
          <w:sz w:val="20"/>
          <w:szCs w:val="20"/>
          <w:color w:val="auto"/>
        </w:rPr>
      </w:pPr>
      <w:r>
        <w:rPr>
          <w:rFonts w:ascii="Arial" w:cs="Arial" w:eastAsia="Arial" w:hAnsi="Arial"/>
          <w:sz w:val="18"/>
          <w:szCs w:val="18"/>
          <w:color w:val="auto"/>
        </w:rPr>
        <w:t>The selling securityholders may sell the securities described in this prospectus in a number of different ways and at varying prices. We provide more information about how the selling securityholders may sell their securities in the section 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appearing elsewhere in this prospectus.</w:t>
      </w:r>
    </w:p>
    <w:p>
      <w:pPr>
        <w:spacing w:after="0" w:line="130"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selling securityholders may sell any, all or none of the securities and we do not know when or in what amount the selling securityholders may sell their securities hereunder following the effective date of this registration statement.</w:t>
      </w:r>
    </w:p>
    <w:p>
      <w:pPr>
        <w:spacing w:after="0" w:line="11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“NAUT.” On March 1, 2022, the last quoted sale price for our Common Stock as reported on Nasdaq was $3.91.</w:t>
      </w:r>
    </w:p>
    <w:p>
      <w:pPr>
        <w:spacing w:after="0" w:line="112"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08" w:lineRule="exact"/>
        <w:rPr>
          <w:sz w:val="24"/>
          <w:szCs w:val="24"/>
          <w:color w:val="auto"/>
        </w:rPr>
      </w:pPr>
    </w:p>
    <w:p>
      <w:pPr>
        <w:ind w:right="480"/>
        <w:spacing w:after="0" w:line="312"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the section titled “</w:t>
      </w:r>
      <w:hyperlink w:anchor="page8">
        <w:r>
          <w:rPr>
            <w:rFonts w:ascii="Arial" w:cs="Arial" w:eastAsia="Arial" w:hAnsi="Arial"/>
            <w:sz w:val="17"/>
            <w:szCs w:val="17"/>
            <w:b w:val="1"/>
            <w:bCs w:val="1"/>
            <w:i w:val="1"/>
            <w:iCs w:val="1"/>
            <w:u w:val="single" w:color="auto"/>
            <w:color w:val="0000FF"/>
          </w:rPr>
          <w:t xml:space="preserve">Risk </w:t>
        </w:r>
      </w:hyperlink>
      <w:r>
        <w:rPr>
          <w:rFonts w:ascii="Arial" w:cs="Arial" w:eastAsia="Arial" w:hAnsi="Arial"/>
          <w:sz w:val="17"/>
          <w:szCs w:val="17"/>
          <w:b w:val="1"/>
          <w:bCs w:val="1"/>
          <w:color w:val="auto"/>
        </w:rPr>
        <w:t xml:space="preserve">Factors” beginning on page </w:t>
      </w:r>
      <w:hyperlink w:anchor="page8">
        <w:r>
          <w:rPr>
            <w:rFonts w:ascii="Arial" w:cs="Arial" w:eastAsia="Arial" w:hAnsi="Arial"/>
            <w:sz w:val="17"/>
            <w:szCs w:val="17"/>
            <w:b w:val="1"/>
            <w:bCs w:val="1"/>
            <w:color w:val="auto"/>
          </w:rPr>
          <w:t xml:space="preserve">6 </w:t>
        </w:r>
      </w:hyperlink>
      <w:r>
        <w:rPr>
          <w:rFonts w:ascii="Arial" w:cs="Arial" w:eastAsia="Arial" w:hAnsi="Arial"/>
          <w:sz w:val="17"/>
          <w:szCs w:val="17"/>
          <w:b w:val="1"/>
          <w:bCs w:val="1"/>
          <w:color w:val="auto"/>
        </w:rPr>
        <w:t>of this prospectus.</w:t>
      </w:r>
    </w:p>
    <w:p>
      <w:pPr>
        <w:spacing w:after="0" w:line="8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this prospectus or any prospectus supplement or amendment hereto. We have not authorized anyone to provide you with different information.</w:t>
      </w:r>
    </w:p>
    <w:p>
      <w:pPr>
        <w:spacing w:after="0" w:line="10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97155</wp:posOffset>
            </wp:positionV>
            <wp:extent cx="151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date of this prospectus is March 1, 2022.</w:t>
      </w:r>
    </w:p>
    <w:p>
      <w:pPr>
        <w:sectPr>
          <w:pgSz w:w="11900" w:h="16838" w:orient="portrait"/>
          <w:cols w:equalWidth="0" w:num="1">
            <w:col w:w="11240"/>
          </w:cols>
          <w:pgMar w:left="320" w:top="1201" w:right="339" w:bottom="1440" w:gutter="0" w:footer="0" w:header="0"/>
        </w:sectPr>
      </w:pPr>
    </w:p>
    <w:bookmarkStart w:id="1" w:name="page2"/>
    <w:bookmarkEnd w:id="1"/>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3"/>
        </w:trPr>
        <w:tc>
          <w:tcPr>
            <w:tcW w:w="10900" w:type="dxa"/>
            <w:vAlign w:val="bottom"/>
            <w:gridSpan w:val="1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About This Prospectus</w:t>
              </w:r>
            </w:hyperlink>
          </w:p>
        </w:tc>
        <w:tc>
          <w:tcPr>
            <w:tcW w:w="120" w:type="dxa"/>
            <w:vAlign w:val="bottom"/>
          </w:tcPr>
          <w:p>
            <w:pPr>
              <w:spacing w:after="0"/>
              <w:rPr>
                <w:sz w:val="22"/>
                <w:szCs w:val="22"/>
                <w:color w:val="auto"/>
              </w:rPr>
            </w:pPr>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86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Market and Industry Data</w:t>
              </w:r>
            </w:hyperlink>
          </w:p>
        </w:tc>
        <w:tc>
          <w:tcPr>
            <w:tcW w:w="90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3">
              <w:r>
                <w:rPr>
                  <w:rFonts w:ascii="Arial" w:cs="Arial" w:eastAsia="Arial" w:hAnsi="Arial"/>
                  <w:sz w:val="18"/>
                  <w:szCs w:val="18"/>
                  <w:color w:val="0000FF"/>
                  <w:w w:val="74"/>
                </w:rPr>
                <w:t>ii</w:t>
              </w:r>
            </w:hyperlink>
          </w:p>
        </w:tc>
      </w:tr>
      <w:tr>
        <w:trPr>
          <w:trHeight w:val="209"/>
        </w:trPr>
        <w:tc>
          <w:tcPr>
            <w:tcW w:w="86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Trademarks</w:t>
              </w:r>
            </w:hyperlink>
          </w:p>
        </w:tc>
        <w:tc>
          <w:tcPr>
            <w:tcW w:w="10040" w:type="dxa"/>
            <w:vAlign w:val="bottom"/>
            <w:gridSpan w:val="16"/>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3">
              <w:r>
                <w:rPr>
                  <w:rFonts w:ascii="Arial" w:cs="Arial" w:eastAsia="Arial" w:hAnsi="Arial"/>
                  <w:sz w:val="18"/>
                  <w:szCs w:val="18"/>
                  <w:color w:val="0000FF"/>
                  <w:w w:val="74"/>
                </w:rPr>
                <w:t>ii</w:t>
              </w:r>
            </w:hyperlink>
          </w:p>
        </w:tc>
      </w:tr>
      <w:tr>
        <w:trPr>
          <w:trHeight w:val="209"/>
        </w:trPr>
        <w:tc>
          <w:tcPr>
            <w:tcW w:w="1540" w:type="dxa"/>
            <w:vAlign w:val="bottom"/>
            <w:gridSpan w:val="8"/>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Prospectus Summary</w:t>
              </w:r>
            </w:hyperlink>
          </w:p>
        </w:tc>
        <w:tc>
          <w:tcPr>
            <w:tcW w:w="9360" w:type="dxa"/>
            <w:vAlign w:val="bottom"/>
            <w:gridSpan w:val="11"/>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20" w:type="dxa"/>
            <w:vAlign w:val="bottom"/>
            <w:gridSpan w:val="4"/>
          </w:tcPr>
          <w:p>
            <w:pPr>
              <w:spacing w:after="0"/>
              <w:rPr>
                <w:rFonts w:ascii="Arial" w:cs="Arial" w:eastAsia="Arial" w:hAnsi="Arial"/>
                <w:sz w:val="18"/>
                <w:szCs w:val="18"/>
                <w:color w:val="0000FF"/>
                <w:w w:val="87"/>
              </w:rPr>
            </w:pPr>
            <w:hyperlink w:anchor="page8">
              <w:r>
                <w:rPr>
                  <w:rFonts w:ascii="Arial" w:cs="Arial" w:eastAsia="Arial" w:hAnsi="Arial"/>
                  <w:sz w:val="18"/>
                  <w:szCs w:val="18"/>
                  <w:color w:val="0000FF"/>
                  <w:w w:val="87"/>
                </w:rPr>
                <w:t>Risk Factors</w:t>
              </w:r>
            </w:hyperlink>
          </w:p>
        </w:tc>
        <w:tc>
          <w:tcPr>
            <w:tcW w:w="620" w:type="dxa"/>
            <w:vAlign w:val="bottom"/>
            <w:gridSpan w:val="4"/>
          </w:tcPr>
          <w:p>
            <w:pPr>
              <w:spacing w:after="0"/>
              <w:rPr>
                <w:sz w:val="18"/>
                <w:szCs w:val="18"/>
                <w:color w:val="auto"/>
              </w:rPr>
            </w:pPr>
          </w:p>
        </w:tc>
        <w:tc>
          <w:tcPr>
            <w:tcW w:w="9360" w:type="dxa"/>
            <w:vAlign w:val="bottom"/>
            <w:gridSpan w:val="11"/>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16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Cautionary Note Regarding Forward-Looking Statements</w:t>
              </w:r>
            </w:hyperlink>
          </w:p>
        </w:tc>
        <w:tc>
          <w:tcPr>
            <w:tcW w:w="67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47</w:t>
              </w:r>
            </w:hyperlink>
          </w:p>
        </w:tc>
      </w:tr>
      <w:tr>
        <w:trPr>
          <w:trHeight w:val="210"/>
        </w:trPr>
        <w:tc>
          <w:tcPr>
            <w:tcW w:w="118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51">
              <w:r>
                <w:rPr>
                  <w:rFonts w:ascii="Arial" w:cs="Arial" w:eastAsia="Arial" w:hAnsi="Arial"/>
                  <w:sz w:val="18"/>
                  <w:szCs w:val="18"/>
                  <w:color w:val="0000FF"/>
                  <w:w w:val="87"/>
                </w:rPr>
                <w:t>Use of Proceeds</w:t>
              </w:r>
            </w:hyperlink>
          </w:p>
        </w:tc>
        <w:tc>
          <w:tcPr>
            <w:tcW w:w="972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49</w:t>
              </w:r>
            </w:hyperlink>
          </w:p>
        </w:tc>
      </w:tr>
      <w:tr>
        <w:trPr>
          <w:trHeight w:val="210"/>
        </w:trPr>
        <w:tc>
          <w:tcPr>
            <w:tcW w:w="10900" w:type="dxa"/>
            <w:vAlign w:val="bottom"/>
            <w:gridSpan w:val="1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Market Price of and Dividends on the Registrant’s Common Equity and Related Stockholder Matters</w:t>
              </w:r>
            </w:hyperlink>
          </w:p>
        </w:tc>
        <w:tc>
          <w:tcPr>
            <w:tcW w:w="30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r>
      <w:tr>
        <w:trPr>
          <w:trHeight w:val="209"/>
        </w:trPr>
        <w:tc>
          <w:tcPr>
            <w:tcW w:w="7260" w:type="dxa"/>
            <w:vAlign w:val="bottom"/>
            <w:tcBorders>
              <w:top w:val="single" w:sz="8" w:color="0000FF"/>
            </w:tcBorders>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Management’s Discussion and Analysis of Financial Condition and Results of Operations</w:t>
              </w:r>
            </w:hyperlink>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51</w:t>
              </w:r>
            </w:hyperlink>
          </w:p>
        </w:tc>
      </w:tr>
      <w:tr>
        <w:trPr>
          <w:trHeight w:val="210"/>
        </w:trPr>
        <w:tc>
          <w:tcPr>
            <w:tcW w:w="6460" w:type="dxa"/>
            <w:vAlign w:val="bottom"/>
            <w:tcBorders>
              <w:top w:val="single" w:sz="8" w:color="0000FF"/>
            </w:tcBorders>
            <w:gridSpan w:val="17"/>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Business</w:t>
              </w:r>
            </w:hyperlink>
          </w:p>
        </w:tc>
        <w:tc>
          <w:tcPr>
            <w:tcW w:w="4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900" w:type="dxa"/>
            <w:vAlign w:val="bottom"/>
            <w:gridSpan w:val="19"/>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Management</w:t>
              </w:r>
            </w:hyperlink>
          </w:p>
        </w:tc>
        <w:tc>
          <w:tcPr>
            <w:tcW w:w="300" w:type="dxa"/>
            <w:vAlign w:val="bottom"/>
            <w:gridSpan w:val="3"/>
          </w:tcPr>
          <w:p>
            <w:pPr>
              <w:jc w:val="right"/>
              <w:spacing w:after="0"/>
              <w:rPr>
                <w:rFonts w:ascii="Arial" w:cs="Arial" w:eastAsia="Arial" w:hAnsi="Arial"/>
                <w:sz w:val="18"/>
                <w:szCs w:val="18"/>
                <w:color w:val="0000FF"/>
                <w:w w:val="93"/>
              </w:rPr>
            </w:pPr>
            <w:hyperlink w:anchor="page102">
              <w:r>
                <w:rPr>
                  <w:rFonts w:ascii="Arial" w:cs="Arial" w:eastAsia="Arial" w:hAnsi="Arial"/>
                  <w:sz w:val="18"/>
                  <w:szCs w:val="18"/>
                  <w:color w:val="0000FF"/>
                  <w:w w:val="93"/>
                </w:rPr>
                <w:t>100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900" w:type="dxa"/>
            <w:vAlign w:val="bottom"/>
            <w:gridSpan w:val="19"/>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Executive Compensation</w:t>
              </w:r>
            </w:hyperlink>
          </w:p>
        </w:tc>
        <w:tc>
          <w:tcPr>
            <w:tcW w:w="300" w:type="dxa"/>
            <w:vAlign w:val="bottom"/>
            <w:gridSpan w:val="3"/>
          </w:tcPr>
          <w:p>
            <w:pPr>
              <w:jc w:val="right"/>
              <w:spacing w:after="0"/>
              <w:rPr>
                <w:rFonts w:ascii="Arial" w:cs="Arial" w:eastAsia="Arial" w:hAnsi="Arial"/>
                <w:sz w:val="18"/>
                <w:szCs w:val="18"/>
                <w:color w:val="0000FF"/>
                <w:w w:val="93"/>
              </w:rPr>
            </w:pPr>
            <w:hyperlink w:anchor="page109">
              <w:r>
                <w:rPr>
                  <w:rFonts w:ascii="Arial" w:cs="Arial" w:eastAsia="Arial" w:hAnsi="Arial"/>
                  <w:sz w:val="18"/>
                  <w:szCs w:val="18"/>
                  <w:color w:val="0000FF"/>
                  <w:w w:val="93"/>
                </w:rPr>
                <w:t>107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900" w:type="dxa"/>
            <w:vAlign w:val="bottom"/>
            <w:gridSpan w:val="19"/>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Certain Relationships, Related Party and Other Transactions</w:t>
              </w:r>
            </w:hyperlink>
          </w:p>
        </w:tc>
        <w:tc>
          <w:tcPr>
            <w:tcW w:w="300" w:type="dxa"/>
            <w:vAlign w:val="bottom"/>
            <w:gridSpan w:val="3"/>
          </w:tcPr>
          <w:p>
            <w:pPr>
              <w:jc w:val="right"/>
              <w:spacing w:after="0"/>
              <w:rPr>
                <w:rFonts w:ascii="Arial" w:cs="Arial" w:eastAsia="Arial" w:hAnsi="Arial"/>
                <w:sz w:val="18"/>
                <w:szCs w:val="18"/>
                <w:color w:val="0000FF"/>
                <w:w w:val="93"/>
              </w:rPr>
            </w:pPr>
            <w:hyperlink w:anchor="page127">
              <w:r>
                <w:rPr>
                  <w:rFonts w:ascii="Arial" w:cs="Arial" w:eastAsia="Arial" w:hAnsi="Arial"/>
                  <w:sz w:val="18"/>
                  <w:szCs w:val="18"/>
                  <w:color w:val="0000FF"/>
                  <w:w w:val="93"/>
                </w:rPr>
                <w:t>125</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340" w:type="dxa"/>
            <w:vAlign w:val="bottom"/>
            <w:gridSpan w:val="16"/>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Principal Securityholders</w:t>
              </w:r>
            </w:hyperlink>
          </w:p>
        </w:tc>
        <w:tc>
          <w:tcPr>
            <w:tcW w:w="6560" w:type="dxa"/>
            <w:vAlign w:val="bottom"/>
            <w:gridSpan w:val="3"/>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34">
              <w:r>
                <w:rPr>
                  <w:rFonts w:ascii="Arial" w:cs="Arial" w:eastAsia="Arial" w:hAnsi="Arial"/>
                  <w:sz w:val="18"/>
                  <w:szCs w:val="18"/>
                  <w:color w:val="0000FF"/>
                  <w:w w:val="93"/>
                </w:rPr>
                <w:t>132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700" w:type="dxa"/>
            <w:vAlign w:val="bottom"/>
            <w:gridSpan w:val="10"/>
          </w:tcPr>
          <w:p>
            <w:pPr>
              <w:spacing w:after="0"/>
              <w:rPr>
                <w:rFonts w:ascii="Arial" w:cs="Arial" w:eastAsia="Arial" w:hAnsi="Arial"/>
                <w:sz w:val="18"/>
                <w:szCs w:val="18"/>
                <w:color w:val="0000FF"/>
                <w:w w:val="91"/>
              </w:rPr>
            </w:pPr>
            <w:hyperlink w:anchor="page136">
              <w:r>
                <w:rPr>
                  <w:rFonts w:ascii="Arial" w:cs="Arial" w:eastAsia="Arial" w:hAnsi="Arial"/>
                  <w:sz w:val="18"/>
                  <w:szCs w:val="18"/>
                  <w:color w:val="0000FF"/>
                  <w:w w:val="91"/>
                </w:rPr>
                <w:t>Selling Securityholders</w:t>
              </w:r>
            </w:hyperlink>
          </w:p>
        </w:tc>
        <w:tc>
          <w:tcPr>
            <w:tcW w:w="100" w:type="dxa"/>
            <w:vAlign w:val="bottom"/>
          </w:tcPr>
          <w:p>
            <w:pPr>
              <w:spacing w:after="0"/>
              <w:rPr>
                <w:sz w:val="18"/>
                <w:szCs w:val="18"/>
                <w:color w:val="auto"/>
              </w:rPr>
            </w:pPr>
          </w:p>
        </w:tc>
        <w:tc>
          <w:tcPr>
            <w:tcW w:w="9100" w:type="dxa"/>
            <w:vAlign w:val="bottom"/>
            <w:gridSpan w:val="8"/>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36">
              <w:r>
                <w:rPr>
                  <w:rFonts w:ascii="Arial" w:cs="Arial" w:eastAsia="Arial" w:hAnsi="Arial"/>
                  <w:sz w:val="18"/>
                  <w:szCs w:val="18"/>
                  <w:color w:val="0000FF"/>
                  <w:w w:val="93"/>
                </w:rPr>
                <w:t>134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800" w:type="dxa"/>
            <w:vAlign w:val="bottom"/>
            <w:gridSpan w:val="11"/>
          </w:tcPr>
          <w:p>
            <w:pPr>
              <w:spacing w:after="0"/>
              <w:rPr>
                <w:rFonts w:ascii="Arial" w:cs="Arial" w:eastAsia="Arial" w:hAnsi="Arial"/>
                <w:sz w:val="18"/>
                <w:szCs w:val="18"/>
                <w:color w:val="0000FF"/>
                <w:w w:val="90"/>
              </w:rPr>
            </w:pPr>
            <w:hyperlink w:anchor="page141">
              <w:r>
                <w:rPr>
                  <w:rFonts w:ascii="Arial" w:cs="Arial" w:eastAsia="Arial" w:hAnsi="Arial"/>
                  <w:sz w:val="18"/>
                  <w:szCs w:val="18"/>
                  <w:color w:val="0000FF"/>
                  <w:w w:val="90"/>
                </w:rPr>
                <w:t>Description of Securities</w:t>
              </w:r>
            </w:hyperlink>
          </w:p>
        </w:tc>
        <w:tc>
          <w:tcPr>
            <w:tcW w:w="9100" w:type="dxa"/>
            <w:vAlign w:val="bottom"/>
            <w:gridSpan w:val="8"/>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41">
              <w:r>
                <w:rPr>
                  <w:rFonts w:ascii="Arial" w:cs="Arial" w:eastAsia="Arial" w:hAnsi="Arial"/>
                  <w:sz w:val="18"/>
                  <w:szCs w:val="18"/>
                  <w:color w:val="0000FF"/>
                  <w:w w:val="93"/>
                </w:rPr>
                <w:t>139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440" w:type="dxa"/>
            <w:vAlign w:val="bottom"/>
            <w:gridSpan w:val="7"/>
          </w:tcPr>
          <w:p>
            <w:pPr>
              <w:spacing w:after="0"/>
              <w:rPr>
                <w:rFonts w:ascii="Arial" w:cs="Arial" w:eastAsia="Arial" w:hAnsi="Arial"/>
                <w:sz w:val="18"/>
                <w:szCs w:val="18"/>
                <w:color w:val="0000FF"/>
                <w:w w:val="93"/>
              </w:rPr>
            </w:pPr>
            <w:hyperlink w:anchor="page146">
              <w:r>
                <w:rPr>
                  <w:rFonts w:ascii="Arial" w:cs="Arial" w:eastAsia="Arial" w:hAnsi="Arial"/>
                  <w:sz w:val="18"/>
                  <w:szCs w:val="18"/>
                  <w:color w:val="0000FF"/>
                  <w:w w:val="93"/>
                </w:rPr>
                <w:t>Plan of Distribution</w:t>
              </w:r>
            </w:hyperlink>
          </w:p>
        </w:tc>
        <w:tc>
          <w:tcPr>
            <w:tcW w:w="360" w:type="dxa"/>
            <w:vAlign w:val="bottom"/>
            <w:gridSpan w:val="4"/>
          </w:tcPr>
          <w:p>
            <w:pPr>
              <w:spacing w:after="0"/>
              <w:rPr>
                <w:sz w:val="18"/>
                <w:szCs w:val="18"/>
                <w:color w:val="auto"/>
              </w:rPr>
            </w:pPr>
          </w:p>
        </w:tc>
        <w:tc>
          <w:tcPr>
            <w:tcW w:w="9100" w:type="dxa"/>
            <w:vAlign w:val="bottom"/>
            <w:gridSpan w:val="8"/>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46">
              <w:r>
                <w:rPr>
                  <w:rFonts w:ascii="Arial" w:cs="Arial" w:eastAsia="Arial" w:hAnsi="Arial"/>
                  <w:sz w:val="18"/>
                  <w:szCs w:val="18"/>
                  <w:color w:val="0000FF"/>
                  <w:w w:val="93"/>
                </w:rPr>
                <w:t>144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440" w:type="dxa"/>
            <w:vAlign w:val="bottom"/>
            <w:gridSpan w:val="7"/>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Legal Matters</w:t>
              </w:r>
            </w:hyperlink>
          </w:p>
        </w:tc>
        <w:tc>
          <w:tcPr>
            <w:tcW w:w="9460" w:type="dxa"/>
            <w:vAlign w:val="bottom"/>
            <w:gridSpan w:val="1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49">
              <w:r>
                <w:rPr>
                  <w:rFonts w:ascii="Arial" w:cs="Arial" w:eastAsia="Arial" w:hAnsi="Arial"/>
                  <w:sz w:val="18"/>
                  <w:szCs w:val="18"/>
                  <w:color w:val="0000FF"/>
                  <w:w w:val="93"/>
                </w:rPr>
                <w:t>147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60" w:type="dxa"/>
            <w:vAlign w:val="bottom"/>
          </w:tcPr>
          <w:p>
            <w:pPr>
              <w:spacing w:after="0"/>
              <w:rPr>
                <w:rFonts w:ascii="Arial" w:cs="Arial" w:eastAsia="Arial" w:hAnsi="Arial"/>
                <w:sz w:val="18"/>
                <w:szCs w:val="18"/>
                <w:color w:val="0000FF"/>
                <w:w w:val="88"/>
              </w:rPr>
            </w:pPr>
            <w:hyperlink w:anchor="page150">
              <w:r>
                <w:rPr>
                  <w:rFonts w:ascii="Arial" w:cs="Arial" w:eastAsia="Arial" w:hAnsi="Arial"/>
                  <w:sz w:val="18"/>
                  <w:szCs w:val="18"/>
                  <w:color w:val="0000FF"/>
                  <w:w w:val="88"/>
                </w:rPr>
                <w:t>Experts</w:t>
              </w:r>
            </w:hyperlink>
          </w:p>
        </w:tc>
        <w:tc>
          <w:tcPr>
            <w:tcW w:w="440" w:type="dxa"/>
            <w:vAlign w:val="bottom"/>
            <w:gridSpan w:val="4"/>
          </w:tcPr>
          <w:p>
            <w:pPr>
              <w:spacing w:after="0"/>
              <w:rPr>
                <w:sz w:val="18"/>
                <w:szCs w:val="18"/>
                <w:color w:val="auto"/>
              </w:rPr>
            </w:pPr>
          </w:p>
        </w:tc>
        <w:tc>
          <w:tcPr>
            <w:tcW w:w="9900" w:type="dxa"/>
            <w:vAlign w:val="bottom"/>
            <w:gridSpan w:val="14"/>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50">
              <w:r>
                <w:rPr>
                  <w:rFonts w:ascii="Arial" w:cs="Arial" w:eastAsia="Arial" w:hAnsi="Arial"/>
                  <w:sz w:val="18"/>
                  <w:szCs w:val="18"/>
                  <w:color w:val="0000FF"/>
                  <w:w w:val="93"/>
                </w:rPr>
                <w:t>147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260" w:type="dxa"/>
            <w:vAlign w:val="bottom"/>
            <w:gridSpan w:val="14"/>
          </w:tcPr>
          <w:p>
            <w:pPr>
              <w:spacing w:after="0"/>
              <w:rPr>
                <w:rFonts w:ascii="Arial" w:cs="Arial" w:eastAsia="Arial" w:hAnsi="Arial"/>
                <w:sz w:val="18"/>
                <w:szCs w:val="18"/>
                <w:color w:val="0000FF"/>
                <w:w w:val="93"/>
              </w:rPr>
            </w:pPr>
            <w:hyperlink w:anchor="page150">
              <w:r>
                <w:rPr>
                  <w:rFonts w:ascii="Arial" w:cs="Arial" w:eastAsia="Arial" w:hAnsi="Arial"/>
                  <w:sz w:val="18"/>
                  <w:szCs w:val="18"/>
                  <w:color w:val="0000FF"/>
                  <w:w w:val="93"/>
                </w:rPr>
                <w:t>Where You Can Find Additional Information</w:t>
              </w:r>
            </w:hyperlink>
          </w:p>
        </w:tc>
        <w:tc>
          <w:tcPr>
            <w:tcW w:w="7640" w:type="dxa"/>
            <w:vAlign w:val="bottom"/>
            <w:gridSpan w:val="5"/>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50">
              <w:r>
                <w:rPr>
                  <w:rFonts w:ascii="Arial" w:cs="Arial" w:eastAsia="Arial" w:hAnsi="Arial"/>
                  <w:sz w:val="18"/>
                  <w:szCs w:val="18"/>
                  <w:color w:val="0000FF"/>
                  <w:w w:val="93"/>
                </w:rPr>
                <w:t>148</w:t>
              </w:r>
            </w:hyperlink>
          </w:p>
        </w:tc>
      </w:tr>
      <w:tr>
        <w:trPr>
          <w:trHeight w:val="210"/>
        </w:trPr>
        <w:tc>
          <w:tcPr>
            <w:tcW w:w="3260" w:type="dxa"/>
            <w:vAlign w:val="bottom"/>
            <w:tcBorders>
              <w:top w:val="single" w:sz="8" w:color="0000FF"/>
            </w:tcBorders>
            <w:gridSpan w:val="14"/>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Index to Financial Statements</w:t>
              </w:r>
            </w:hyperlink>
          </w:p>
        </w:tc>
        <w:tc>
          <w:tcPr>
            <w:tcW w:w="76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5"/>
                <w:szCs w:val="15"/>
                <w:color w:val="0000FF"/>
                <w:w w:val="70"/>
              </w:rPr>
            </w:pPr>
            <w:hyperlink w:anchor="page151">
              <w:r>
                <w:rPr>
                  <w:rFonts w:ascii="Arial" w:cs="Arial" w:eastAsia="Arial" w:hAnsi="Arial"/>
                  <w:sz w:val="15"/>
                  <w:szCs w:val="15"/>
                  <w:color w:val="0000FF"/>
                  <w:w w:val="70"/>
                </w:rPr>
                <w:t>F-1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6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prepared by us or on our behalf.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3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Additional Information.</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These and other factors could cause results to differ materially from those expressed in the estimates made by the independent parties or by 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“Business,” and “Management’s Discussion and Analysis of Financial Condition and Results of Operations” included elsewhere in this prospectus.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proteome analysis platform of extreme sensitivity and scale. To accomplish this, we have built a prototype of our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4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80"/>
          </w:cols>
          <w:pgMar w:left="1000" w:top="1440" w:right="101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complexity of the human proteome were as simple and easy as detecting an entire human genome, we believe a new set of questions could be asked:</w:t>
      </w:r>
    </w:p>
    <w:p>
      <w:pPr>
        <w:spacing w:after="0" w:line="117"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specific patterns of protein modifications are present in disease, and why?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2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prospectus, we have partnerships with Genentech, Amgen, and The University of Texas MD Anderson Cancer Research Center.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2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December 31, 2021, we were comprised of approximately 113 employees, with 36 of such employees holding a Ph.D. Our organization is driven by the pursuit of deep, hard science, and our Scientific Advisory Board is comprised of world-renowned scientific leaders that support our vision.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80"/>
          </w:cols>
          <w:pgMar w:left="1000" w:top="1440" w:right="101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investor relations website is located at http://www.nautilus.bio/investors/. We use our investor relations website to post important information for investors, including news releases, analyst presentations, and supplemental financial information, and as a means of disclosing material non-public information and for complying with its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June 9, 2021 (the “Closing Date”), Nautilus Biotechnology, Inc., a Delaware corporation (f/k/a ARYA Sciences Acquisition Corp III, a Cayman Islands exempted company and our predecessor company (“ARYA”)) (the “Company”), consummated the previously announced merger pursuant to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Pursuant to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subsidiaries, “New Nautilus” or “Nautilus”) and (ii) Mako Merger Sub merged with and into Legacy Nautilus (the “Merger” and collectively, with the other transactions described in the Business Combination Agreement, the “Business Combination”), with Legacy Nautilus as the surviving company in the Merger and, after giving effect to such Merger, Legacy Nautilus becoming a wholly-owned subsidiary of New Nautilus. As of the open of trading on June 10, 2021, the Common Stock of the Company, formerly those of ARYA, began trading on The Nasdaq Global Select Market (“Nasdaq”) under the symbol “NAUT.”</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principal executive offices are located at 2701 Eastlake Avenue East, Seattle, WA 98102, and our telephone number is (206) 333-2001.</w:t>
      </w:r>
    </w:p>
    <w:p>
      <w:pPr>
        <w:spacing w:after="0" w:line="11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website address is http://www.nautilus.bio. The information on, or that can be accessed through, our website is not part of this prospectus, and you should not consider information contained on our website in deciding whether to purchase shares of our Common Stock. We have included our website address in this prospectus solely as an inactive textual reference.</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use the Nautilus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1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earliest to occur of: the last day of the fiscal year in which we have more than $1.07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ARYA’s initial public offering.</w:t>
      </w:r>
    </w:p>
    <w:p>
      <w:pPr>
        <w:spacing w:after="0" w:line="1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440" w:right="101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081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later of the last day of the fiscal year in which (i) the market value of our ordinary shares held by non-affiliates exceeds $250 million as of the prior June 30, or (ii) our annual revenue exceeded $100 million during such completed fiscal year and the market value of our ordinary shares held by non-affiliates exceeds $700 million as of the prior June 30.</w:t>
      </w:r>
    </w:p>
    <w:p>
      <w:pPr>
        <w:spacing w:after="0" w:line="13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Unless expressly indicated or the context requires otherwise, the terms “Nautilus,” “New Nautilus,” the “Company,” the “Registrant,” “we,” “us” and “our” in this prospectus refer to Nautilus Biotechnology, Inc., the parent entity formerly named ARYA Sciences Acquisition Corp III, after giving effect to the Domestication and the Business Combination, and as renamed Nautilus Biotechnology, Inc., and where appropriate, our wholly-owned subsidiaries (including Legacy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40"/>
          </w:cols>
          <w:pgMar w:left="1000" w:top="1440" w:right="10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90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09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840"/>
          </w:cols>
          <w:pgMar w:left="1000" w:top="1440" w:right="1059" w:bottom="1440" w:gutter="0" w:footer="0" w:header="0"/>
        </w:sectPr>
      </w:pPr>
    </w:p>
    <w:p>
      <w:pPr>
        <w:spacing w:after="0" w:line="239"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Shares of Common Stock Offered Hereunder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We are registering the resale by the selling securityholders named in this prospectus, or their permitted transferees, an aggregate of 95,645,056 shares of Common Stock consisting of (a) 20,000,000 shares of Common Stock issued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w:t>
      </w:r>
    </w:p>
    <w:p>
      <w:pPr>
        <w:spacing w:after="0" w:line="200" w:lineRule="exact"/>
        <w:rPr>
          <w:sz w:val="20"/>
          <w:szCs w:val="20"/>
          <w:color w:val="auto"/>
        </w:rPr>
      </w:pPr>
    </w:p>
    <w:p>
      <w:pPr>
        <w:sectPr>
          <w:pgSz w:w="11900" w:h="16838" w:orient="portrait"/>
          <w:cols w:equalWidth="0" w:num="2">
            <w:col w:w="2460" w:space="580"/>
            <w:col w:w="6800"/>
          </w:cols>
          <w:pgMar w:left="1000" w:top="1440" w:right="1059" w:bottom="1440" w:gutter="0" w:footer="0" w:header="0"/>
          <w:type w:val="continuous"/>
        </w:sectPr>
      </w:pP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120"/>
        <w:spacing w:after="0" w:line="237" w:lineRule="auto"/>
        <w:rPr>
          <w:sz w:val="20"/>
          <w:szCs w:val="20"/>
          <w:color w:val="auto"/>
        </w:rPr>
      </w:pPr>
      <w:r>
        <w:rPr>
          <w:rFonts w:ascii="Arial" w:cs="Arial" w:eastAsia="Arial" w:hAnsi="Arial"/>
          <w:sz w:val="17"/>
          <w:szCs w:val="17"/>
          <w:color w:val="auto"/>
        </w:rPr>
        <w:t>We will not receive any proceeds from the sale of our shares of common stock offered by the selling securityholders under this prospectus (the “Securities”). See the section titled “</w:t>
      </w:r>
      <w:r>
        <w:rPr>
          <w:rFonts w:ascii="Arial" w:cs="Arial" w:eastAsia="Arial" w:hAnsi="Arial"/>
          <w:sz w:val="17"/>
          <w:szCs w:val="17"/>
          <w:i w:val="1"/>
          <w:iCs w:val="1"/>
          <w:color w:val="auto"/>
        </w:rPr>
        <w:t>Use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w:t>
      </w:r>
      <w:r>
        <w:rPr>
          <w:rFonts w:ascii="Arial" w:cs="Arial" w:eastAsia="Arial" w:hAnsi="Arial"/>
          <w:sz w:val="17"/>
          <w:szCs w:val="17"/>
          <w:color w:val="auto"/>
        </w:rPr>
        <w:t>” appearing elsewhere in this prospectus for more information.</w:t>
      </w:r>
    </w:p>
    <w:p>
      <w:pPr>
        <w:spacing w:after="0" w:line="200" w:lineRule="exact"/>
        <w:rPr>
          <w:sz w:val="20"/>
          <w:szCs w:val="20"/>
          <w:color w:val="auto"/>
        </w:rPr>
      </w:pPr>
    </w:p>
    <w:p>
      <w:pPr>
        <w:sectPr>
          <w:pgSz w:w="11900" w:h="16838" w:orient="portrait"/>
          <w:cols w:equalWidth="0" w:num="2">
            <w:col w:w="2320" w:space="720"/>
            <w:col w:w="6800"/>
          </w:cols>
          <w:pgMar w:left="1000" w:top="1440" w:right="1059" w:bottom="1440" w:gutter="0" w:footer="0" w:header="0"/>
          <w:type w:val="continuous"/>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Common Stock Outstanding</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124,425,923 shares of Common Stock as of January 31, 2022.</w:t>
      </w:r>
    </w:p>
    <w:p>
      <w:pPr>
        <w:spacing w:after="0" w:line="200" w:lineRule="exact"/>
        <w:rPr>
          <w:sz w:val="20"/>
          <w:szCs w:val="20"/>
          <w:color w:val="auto"/>
        </w:rPr>
      </w:pPr>
    </w:p>
    <w:p>
      <w:pPr>
        <w:sectPr>
          <w:pgSz w:w="11900" w:h="16838" w:orient="portrait"/>
          <w:cols w:equalWidth="0" w:num="2">
            <w:col w:w="2320" w:space="720"/>
            <w:col w:w="6800"/>
          </w:cols>
          <w:pgMar w:left="1000" w:top="1440" w:right="1059" w:bottom="1440" w:gutter="0" w:footer="0" w:header="0"/>
          <w:type w:val="continuous"/>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other information included in this prospectus for a discussion of factors that you should consider carefully before deciding to invest in our Common Stock.</w:t>
      </w:r>
    </w:p>
    <w:p>
      <w:pPr>
        <w:spacing w:after="0" w:line="200" w:lineRule="exact"/>
        <w:rPr>
          <w:sz w:val="20"/>
          <w:szCs w:val="20"/>
          <w:color w:val="auto"/>
        </w:rPr>
      </w:pPr>
    </w:p>
    <w:p>
      <w:pPr>
        <w:sectPr>
          <w:pgSz w:w="11900" w:h="16838" w:orient="portrait"/>
          <w:cols w:equalWidth="0" w:num="2">
            <w:col w:w="2320" w:space="720"/>
            <w:col w:w="6800"/>
          </w:cols>
          <w:pgMar w:left="1000" w:top="1440" w:right="1059" w:bottom="1440" w:gutter="0" w:footer="0" w:header="0"/>
          <w:type w:val="continuous"/>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Nasdaq symbol</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“NAUT” for our Common Stock.</w:t>
      </w:r>
    </w:p>
    <w:p>
      <w:pPr>
        <w:spacing w:after="0" w:line="200" w:lineRule="exact"/>
        <w:rPr>
          <w:sz w:val="20"/>
          <w:szCs w:val="20"/>
          <w:color w:val="auto"/>
        </w:rPr>
      </w:pPr>
    </w:p>
    <w:p>
      <w:pPr>
        <w:sectPr>
          <w:pgSz w:w="11900" w:h="16838" w:orient="portrait"/>
          <w:cols w:equalWidth="0" w:num="2">
            <w:col w:w="2320" w:space="720"/>
            <w:col w:w="6800"/>
          </w:cols>
          <w:pgMar w:left="1000" w:top="1440" w:right="1059" w:bottom="1440" w:gutter="0" w:footer="0" w:header="0"/>
          <w:type w:val="continuous"/>
        </w:sectPr>
      </w:pPr>
    </w:p>
    <w:p>
      <w:pPr>
        <w:spacing w:after="0" w:line="3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number of shares of Common Stock outstanding is based on 124,425,923 shares of Common Stock as of January 31, 2022 and excludes the following, in each case as of January 31, 2022:</w:t>
      </w:r>
    </w:p>
    <w:p>
      <w:pPr>
        <w:spacing w:after="0" w:line="116" w:lineRule="exact"/>
        <w:rPr>
          <w:sz w:val="20"/>
          <w:szCs w:val="20"/>
          <w:color w:val="auto"/>
        </w:rPr>
      </w:pPr>
    </w:p>
    <w:p>
      <w:pPr>
        <w:ind w:left="640" w:right="220" w:hanging="322"/>
        <w:spacing w:after="0" w:line="286" w:lineRule="auto"/>
        <w:tabs>
          <w:tab w:leader="none" w:pos="635" w:val="left"/>
        </w:tabs>
        <w:numPr>
          <w:ilvl w:val="0"/>
          <w:numId w:val="2"/>
        </w:numPr>
        <w:rPr>
          <w:rFonts w:ascii="Arial" w:cs="Arial" w:eastAsia="Arial" w:hAnsi="Arial"/>
          <w:sz w:val="17"/>
          <w:szCs w:val="17"/>
          <w:color w:val="auto"/>
        </w:rPr>
      </w:pPr>
      <w:r>
        <w:rPr>
          <w:rFonts w:ascii="Arial" w:cs="Arial" w:eastAsia="Arial" w:hAnsi="Arial"/>
          <w:sz w:val="17"/>
          <w:szCs w:val="17"/>
          <w:color w:val="auto"/>
        </w:rPr>
        <w:t>6,394,518 shares of our Common Stock issuable upon the exercise of outstanding options under the Nautilus Subsidiary, Inc. 2017 Equity Incentive Plan (the “2017 Plan”) as of such date, which were assumed by the Company in connection with the Business Combination, with a weighted average exercise price of $3.54 per share;</w:t>
      </w:r>
    </w:p>
    <w:p>
      <w:pPr>
        <w:spacing w:after="0" w:line="111" w:lineRule="exact"/>
        <w:rPr>
          <w:rFonts w:ascii="Arial" w:cs="Arial" w:eastAsia="Arial" w:hAnsi="Arial"/>
          <w:sz w:val="17"/>
          <w:szCs w:val="17"/>
          <w:color w:val="auto"/>
        </w:rPr>
      </w:pPr>
    </w:p>
    <w:p>
      <w:pPr>
        <w:ind w:left="64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2,028,517 shares of our Common Stock issuable upon the exercise of outstanding options under our 2021 Equity Incentive Plan (the “2021 Plan”), with a weighted average exercise price of $8.18 per share;</w:t>
      </w:r>
    </w:p>
    <w:p>
      <w:pPr>
        <w:spacing w:after="0" w:line="116" w:lineRule="exact"/>
        <w:rPr>
          <w:rFonts w:ascii="Arial" w:cs="Arial" w:eastAsia="Arial" w:hAnsi="Arial"/>
          <w:sz w:val="18"/>
          <w:szCs w:val="18"/>
          <w:color w:val="auto"/>
        </w:rPr>
      </w:pPr>
    </w:p>
    <w:p>
      <w:pPr>
        <w:ind w:left="640" w:right="10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20,700,818 shares of our Common Stock reserved for future issuance under our 2021 Equity Incentive Plan (the “2021 Plan”); and</w:t>
      </w:r>
    </w:p>
    <w:p>
      <w:pPr>
        <w:spacing w:after="0" w:line="116" w:lineRule="exact"/>
        <w:rPr>
          <w:rFonts w:ascii="Arial" w:cs="Arial" w:eastAsia="Arial" w:hAnsi="Arial"/>
          <w:sz w:val="18"/>
          <w:szCs w:val="18"/>
          <w:color w:val="auto"/>
        </w:rPr>
      </w:pPr>
    </w:p>
    <w:p>
      <w:pPr>
        <w:ind w:left="640" w:right="54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2,487,930 shares of our Common Stock reserved for future issuance under our 2021 Employee Stock Purchase Plan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40"/>
          </w:cols>
          <w:pgMar w:left="1000" w:top="1440" w:right="1059" w:bottom="1440" w:gutter="0" w:footer="0" w:header="0"/>
          <w:type w:val="continuous"/>
        </w:sectPr>
      </w:pPr>
    </w:p>
    <w:bookmarkStart w:id="8" w:name="page9"/>
    <w:bookmarkEnd w:id="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An investment in our Common Stock involves a high degree of risk. In addition to the risk and uncertainties described under the section titled “Cautionary Note Regarding Forward-Looking Statements,” you should consider carefully the risks and uncertainties described below, together with all of the other information contained in this prospectus, including our consolidated financial statements and related notes, before deciding to invest in our Common Stock. If any of the following events occur, our business, financial condition and operating results may be materially adversely affected. In that event, the trading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left="660" w:right="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16" w:lineRule="exact"/>
        <w:rPr>
          <w:rFonts w:ascii="Arial" w:cs="Arial" w:eastAsia="Arial" w:hAnsi="Arial"/>
          <w:sz w:val="18"/>
          <w:szCs w:val="18"/>
          <w:color w:val="auto"/>
        </w:rPr>
      </w:pPr>
    </w:p>
    <w:p>
      <w:pPr>
        <w:ind w:left="660" w:right="28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16"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left="660" w:right="28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w:t>
      </w:r>
    </w:p>
    <w:p>
      <w:pPr>
        <w:spacing w:after="0" w:line="175" w:lineRule="exact"/>
        <w:rPr>
          <w:sz w:val="20"/>
          <w:szCs w:val="20"/>
          <w:color w:val="auto"/>
        </w:rPr>
      </w:pPr>
    </w:p>
    <w:p>
      <w:pPr>
        <w:ind w:left="660" w:right="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may, in the future, be subject to regulation by the FDA or other regulatory authorities.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processes personal information.</w:t>
      </w:r>
    </w:p>
    <w:p>
      <w:pPr>
        <w:spacing w:after="0" w:line="116" w:lineRule="exact"/>
        <w:rPr>
          <w:rFonts w:ascii="Arial" w:cs="Arial" w:eastAsia="Arial" w:hAnsi="Arial"/>
          <w:sz w:val="18"/>
          <w:szCs w:val="18"/>
          <w:color w:val="auto"/>
        </w:rPr>
      </w:pPr>
    </w:p>
    <w:p>
      <w:pPr>
        <w:ind w:left="660" w:right="66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92"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660" w:right="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incur significant increased costs and management resources as a result of operating as a public company.</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$50.3 million, $15.6 million and $9.6 million during the years ended December 31, 2021, 2020 and 2019, respectively. As of December 31, 2021, we had an accumulated deficit of $80.6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prospectus.</w:t>
      </w:r>
    </w:p>
    <w:p>
      <w:pPr>
        <w:spacing w:after="0" w:line="12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may rely on co-development partners to assist us in the development of certain component technologies in our platform. These partners may not be successful in delivering these component technologies on time, to our specifications, or at all,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92"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 We do not expect to realize any material revenue prior to the second half of 2023.</w:t>
      </w:r>
    </w:p>
    <w:p>
      <w:pPr>
        <w:spacing w:after="0" w:line="13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2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right="760" w:hanging="328"/>
        <w:spacing w:after="0" w:line="31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4"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40" w:right="379" w:bottom="1440" w:gutter="0" w:footer="0" w:header="0"/>
        </w:sectPr>
      </w:pPr>
    </w:p>
    <w:bookmarkStart w:id="12" w:name="page13"/>
    <w:bookmarkEnd w:id="12"/>
    <w:p>
      <w:pPr>
        <w:spacing w:after="0" w:line="144" w:lineRule="exact"/>
        <w:rPr>
          <w:sz w:val="20"/>
          <w:szCs w:val="20"/>
          <w:color w:val="auto"/>
        </w:rPr>
      </w:pPr>
    </w:p>
    <w:p>
      <w:pPr>
        <w:ind w:left="660" w:right="2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rFonts w:ascii="Arial" w:cs="Arial" w:eastAsia="Arial" w:hAnsi="Arial"/>
          <w:sz w:val="18"/>
          <w:szCs w:val="18"/>
          <w:color w:val="auto"/>
        </w:rPr>
      </w:pPr>
    </w:p>
    <w:p>
      <w:pPr>
        <w:jc w:val="both"/>
        <w:ind w:left="660" w:right="1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9"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are able to complete development of our Nautilus platform, we may not achieve or maintain significant commercial market acceptance.</w:t>
      </w:r>
    </w:p>
    <w:p>
      <w:pPr>
        <w:spacing w:after="0" w:line="19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40" w:right="359" w:bottom="1440" w:gutter="0" w:footer="0" w:header="0"/>
        </w:sectPr>
      </w:pPr>
    </w:p>
    <w:bookmarkStart w:id="13" w:name="page14"/>
    <w:bookmarkEnd w:id="13"/>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71" w:lineRule="exact"/>
        <w:rPr>
          <w:sz w:val="20"/>
          <w:szCs w:val="20"/>
          <w:color w:val="auto"/>
        </w:rPr>
      </w:pPr>
    </w:p>
    <w:p>
      <w:pPr>
        <w:ind w:left="660" w:right="8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2"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engaged with a number of third party collaborators who assist us in co-development of certain aspects of the Nautilus platform, including, for example, certain affinity reagents and array chip substrates. Our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1440" w:right="399" w:bottom="1440" w:gutter="0" w:footer="0" w:header="0"/>
        </w:sectPr>
      </w:pPr>
    </w:p>
    <w:bookmarkStart w:id="17" w:name="page18"/>
    <w:bookmarkEnd w:id="17"/>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1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our Nautilus platform;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16" w:lineRule="exact"/>
        <w:rPr>
          <w:sz w:val="20"/>
          <w:szCs w:val="20"/>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that economic inflation may have on our costs for manufacturing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 life sciences technology company with a limited operating history. We have not completed development of our Nautilus platform or any other products and have not generated any revenue to date.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our current plans, we believe that our available resources and existing cash, cash equivalents and short-term investments will be sufficient to meet our anticipated cash requirements for at least 12 months from the date of this prospectus. If our available resources and existing cash and cash equivalents and short-term investments are insufficient to satisfy our liquidity requirements, including because of the realization of other risks described in this prospectus, we may be required to raise additional capital prior to such time through issuances of equity or convertible debt securities, enter into a credit facility or another form of third-party funding or seek other debt financing.</w:t>
      </w:r>
    </w:p>
    <w:p>
      <w:pPr>
        <w:spacing w:after="0" w:line="13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increasing our sales and marketing and other commercialization efforts to drive market adoption of our Nautilus platform, once commercialized;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future licensing arrangements with third parties, these patents and applications may not be prosecuted and enforced by such third parties in a manner consistent with the best interests of our business.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expensive, time consuming and unsuccessful, and may prevent or delay our development and commercialization efforts.</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1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1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w:t>
      </w:r>
    </w:p>
    <w:p>
      <w:pPr>
        <w:spacing w:after="0" w:line="286" w:lineRule="auto"/>
        <w:rPr>
          <w:sz w:val="20"/>
          <w:szCs w:val="20"/>
          <w:color w:val="auto"/>
        </w:rPr>
      </w:pPr>
      <w:r>
        <w:rPr>
          <w:rFonts w:ascii="Arial" w:cs="Arial" w:eastAsia="Arial" w:hAnsi="Arial"/>
          <w:sz w:val="16"/>
          <w:szCs w:val="16"/>
          <w:color w:val="auto"/>
        </w:rPr>
        <w:t>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outcome would be unpredictable. In addition, courts outside the United States may be less willing to protect trade secrets.</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1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44"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1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660" w:right="2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ind w:left="660" w:right="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right="1040"/>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Litigation</w:t>
      </w:r>
    </w:p>
    <w:p>
      <w:pPr>
        <w:spacing w:after="0" w:line="1"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1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0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4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right="100" w:firstLine="332"/>
        <w:spacing w:after="0" w:line="464" w:lineRule="auto"/>
        <w:tabs>
          <w:tab w:leader="none" w:pos="6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27"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August 2020 announcement, this 2020 policy statement is no longer posted on the HHS website. Legislative and administrative proposals to amend the FDA’s oversight of LDTs have been introduced in recent years, including the Verifying Accurate Leading-edge IVCT Development Act of 2021 (VALID Act).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2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ind w:left="660" w:hanging="328"/>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1" w:lineRule="exact"/>
        <w:rPr>
          <w:sz w:val="20"/>
          <w:szCs w:val="20"/>
          <w:color w:val="auto"/>
        </w:rPr>
      </w:pPr>
    </w:p>
    <w:p>
      <w:pPr>
        <w:jc w:val="both"/>
        <w:ind w:right="360"/>
        <w:spacing w:after="0" w:line="34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7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1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Demand for our technology could be reduced by legal, social and ethical concerns surrounding the use of genetic information and biological materials.</w:t>
      </w: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4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2021, we had 113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3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71" w:lineRule="exact"/>
        <w:rPr>
          <w:rFonts w:ascii="Arial" w:cs="Arial" w:eastAsia="Arial" w:hAnsi="Arial"/>
          <w:sz w:val="18"/>
          <w:szCs w:val="18"/>
          <w:color w:val="auto"/>
        </w:rPr>
      </w:pPr>
    </w:p>
    <w:p>
      <w:pPr>
        <w:ind w:left="660" w:right="120" w:hanging="328"/>
        <w:spacing w:after="0" w:line="286"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supply chain interruptions could adversely affect our ability to develop and commercialize our products.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be subject to supply chain interruptions. Current or future supply chain interruptions that could be exacerbated by global political tensions, such as the situation in Ukraine, could negatively impact our ability to further develop our products or to manufacture and deliver our products or services, which could negatively impact our timelines and business results.</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1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1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71" w:lineRule="exact"/>
        <w:rPr>
          <w:sz w:val="20"/>
          <w:szCs w:val="20"/>
          <w:color w:val="auto"/>
        </w:rPr>
      </w:pPr>
    </w:p>
    <w:p>
      <w:pPr>
        <w:ind w:left="660" w:right="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1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1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December 31, 2021, our directors, executive officers, holders of more than 5% of our outstanding shares of Common Stock and their respective affiliates beneficially owned, collectively, approximately 68.2% of the outstanding shares of Common Stock. As a result, these stockholders, if they act together, may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3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were initially restricted from immediate resale in connection with the closing of the Business Combination but the restrictions have expired and such shares may now be sold into the market. This could cause the market price of our Common Stock to drop significantly, even if our business is doing well.</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3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were restricted from selling or transferring any shares of our Common Stock for a period of 180 days from the closing of the Business Combination. However, such restrictions expired on December 6, 2021, and these shares of Common Stock may now be sold into the market. Pursuant to the Registration Rights and Lock-Up Agreement and the Subscription Agreements entered into in connection with the PIPE Financing, we filed resale registration statements to provide for the resale of the shares issued in the PIPE Financing and the shares of our Common Stock held by the parties to the Registration Rights and Lock-Up Agreement. The market price of our Common Stock could decline if the holders of previously restricted shares and/or holders whose shares are registered under such registration statements sell their shares or are perceived by the market as intending to sell their shares.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4" w:lineRule="exact"/>
        <w:rPr>
          <w:sz w:val="20"/>
          <w:szCs w:val="20"/>
          <w:color w:val="auto"/>
        </w:rPr>
      </w:pPr>
    </w:p>
    <w:p>
      <w:pPr>
        <w:ind w:left="660" w:right="260" w:hanging="328"/>
        <w:spacing w:after="0" w:line="34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69" w:lineRule="exact"/>
        <w:rPr>
          <w:rFonts w:ascii="Arial" w:cs="Arial" w:eastAsia="Arial" w:hAnsi="Arial"/>
          <w:sz w:val="16"/>
          <w:szCs w:val="16"/>
          <w:color w:val="auto"/>
        </w:rPr>
      </w:pPr>
    </w:p>
    <w:p>
      <w:pPr>
        <w:ind w:left="660" w:right="3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71"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10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the Business Combination and the PIPE Financing and may not use them effectively.</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December 31, 2021, we had U.S. federal and state net operating loss carryforwards, or NOLs, of $0.5 million for federal and $9.1 million for state, which if not utilized will expire in 2037. Federal net operating loss carryforwards of $31.6 million that arose after the 2017 tax year will carryforward indefinitely.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An independent assessment of the effectiveness of our internal controls could detect problems that our management’s assessment might not identify.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1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1440" w:right="499" w:bottom="1440" w:gutter="0" w:footer="0" w:header="0"/>
        </w:sectPr>
      </w:pPr>
    </w:p>
    <w:bookmarkStart w:id="49" w:name="page50"/>
    <w:bookmarkEnd w:id="4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and its expected benefits; our performance following the Business Combination; the success, cost, timing and progress of development of our proteomics platform (the “Nautilus platform”); the potential attributes and benefits of the Nautilus platform; our ability to successfully implement our three phase commercial launch plan; and our ability to obtain funding for our operations. Forward-looking statements include statements relating to our management team’s expectations, hopes, beliefs, intentions or strategies regarding the future, including those relating to the Business Combination and related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As a result of a number of known and unknown risks and uncertainties, our actual results or performance may be materially different from those expressed or implied by these forward-looking statements. Some factors that could cause actual results to differ include, but are not limited to, the following:</w:t>
      </w:r>
    </w:p>
    <w:p>
      <w:pPr>
        <w:spacing w:after="0" w:line="138" w:lineRule="exact"/>
        <w:rPr>
          <w:sz w:val="20"/>
          <w:szCs w:val="20"/>
          <w:color w:val="auto"/>
        </w:rPr>
      </w:pPr>
    </w:p>
    <w:p>
      <w:pPr>
        <w:ind w:left="660" w:right="4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our ability to grow and manage future growth effectively, and our ability to retain our key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4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320" w:top="1440" w:right="399" w:bottom="1440" w:gutter="0" w:footer="0" w:header="0"/>
        </w:sectPr>
      </w:pPr>
    </w:p>
    <w:bookmarkStart w:id="51" w:name="page52"/>
    <w:bookmarkEnd w:id="5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registration of shares of our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ind w:right="200" w:firstLine="255"/>
        <w:spacing w:after="0" w:line="440" w:lineRule="auto"/>
        <w:rPr>
          <w:sz w:val="20"/>
          <w:szCs w:val="20"/>
          <w:color w:val="auto"/>
        </w:rPr>
      </w:pPr>
      <w:r>
        <w:rPr>
          <w:rFonts w:ascii="Arial" w:cs="Arial" w:eastAsia="Arial" w:hAnsi="Arial"/>
          <w:sz w:val="18"/>
          <w:szCs w:val="18"/>
          <w:b w:val="1"/>
          <w:bCs w:val="1"/>
          <w:color w:val="auto"/>
        </w:rPr>
        <w:t xml:space="preserve">MARKET PRICE OF AND DIVIDENDS ON THE REGISTRANT’S COMMON EQUITY AND RELATED STOCKHOLDER MATTERS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Common Stock is currently listed on The Nasdaq Global Select Market (“Nasdaq”) under the symbol “NAUT.” Prior to the consummation of the Business Consummation, our Common Stock was historically quoted on The Nasdaq Capital Market under the symbol “ARYA.”</w:t>
      </w:r>
    </w:p>
    <w:p>
      <w:pPr>
        <w:spacing w:after="0" w:line="92" w:lineRule="exact"/>
        <w:rPr>
          <w:sz w:val="20"/>
          <w:szCs w:val="20"/>
          <w:color w:val="auto"/>
        </w:rPr>
      </w:pPr>
    </w:p>
    <w:p>
      <w:pPr>
        <w:ind w:right="960"/>
        <w:spacing w:after="0" w:line="438" w:lineRule="auto"/>
        <w:rPr>
          <w:sz w:val="20"/>
          <w:szCs w:val="20"/>
          <w:color w:val="auto"/>
        </w:rPr>
      </w:pPr>
      <w:r>
        <w:rPr>
          <w:rFonts w:ascii="Arial" w:cs="Arial" w:eastAsia="Arial" w:hAnsi="Arial"/>
          <w:sz w:val="18"/>
          <w:szCs w:val="18"/>
          <w:color w:val="auto"/>
        </w:rPr>
        <w:t xml:space="preserve">As of January 31, 2022, there were 124,425,923 shares of Common Stock issued and outstanding held of record by approximately 44 holders. </w:t>
      </w:r>
      <w:r>
        <w:rPr>
          <w:rFonts w:ascii="Arial" w:cs="Arial" w:eastAsia="Arial" w:hAnsi="Arial"/>
          <w:sz w:val="18"/>
          <w:szCs w:val="18"/>
          <w:b w:val="1"/>
          <w:bCs w:val="1"/>
          <w:i w:val="1"/>
          <w:iCs w:val="1"/>
          <w:color w:val="auto"/>
        </w:rPr>
        <w:t>Dividend Policy</w:t>
      </w:r>
    </w:p>
    <w:p>
      <w:pPr>
        <w:spacing w:after="0" w:line="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1440" w:right="399" w:bottom="1440" w:gutter="0" w:footer="0" w:header="0"/>
        </w:sectPr>
      </w:pPr>
    </w:p>
    <w:bookmarkStart w:id="53" w:name="page54"/>
    <w:bookmarkEnd w:id="5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financial statements and related notes appearing elsewhere in this prospectus.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prospectus. Please also see the section entitled “Cautionary Note Regarding Forward-Looking Statements.”</w:t>
      </w:r>
    </w:p>
    <w:p>
      <w:pPr>
        <w:spacing w:after="0" w:line="1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early access program partners with broad-scale analysis and profiling of 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 We do not expect to realize any material revenue prior to the second half of 2023.</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0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2021, we had cash, cash equivalents and short-term investments of $345.7 million. Based on this, we believe that our existing cash, cash equivalents, and short-term investments will enable us to fund our planned operating expenses and capital expenditures through at least the next 12 months.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incurred significant losses since the commencement of our operations. Our net loss was $50.3 million during the year ended December 31, 2021, and we expect to continue to incur significant losses for the foreseeable future as we continue our research and development activities and planned commercialization of our proteomics platform. As of December 31, 2021, we had an accumulated deficit of $80.6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4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continued with staggered lab employee work shifts to minimize risk of exposure to COVID-19, which disrupted and delayed our ability to conduct development activities. While we were broadly able to resume normal operations in August 2021, if any resurgence or worsening of the COVID-19 pandemic causes us to reinstitute these measures we may experience additional disruption and/or delays in our ability to conduct development activities.</w:t>
      </w:r>
    </w:p>
    <w:p>
      <w:pPr>
        <w:spacing w:after="0" w:line="12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fully or intermittently as able from March 2020 until August 2021.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56" w:name="page57"/>
    <w:bookmarkEnd w:id="5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13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expect that our general and administrative expenses will increase substantially over the next several years as we hire additional personnel to support the continued research and development of our products and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nonrecurring expenses such as loss on disposal of property and equipment.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2021 to Fiscal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Arial" w:cs="Arial" w:eastAsia="Arial" w:hAnsi="Arial"/>
                <w:sz w:val="14"/>
                <w:szCs w:val="14"/>
                <w:b w:val="1"/>
                <w:bCs w:val="1"/>
                <w:color w:val="auto"/>
                <w:w w:val="96"/>
              </w:rPr>
              <w:t>2021 to 2020</w:t>
            </w:r>
          </w:p>
        </w:tc>
        <w:tc>
          <w:tcPr>
            <w:tcW w:w="1100" w:type="dxa"/>
            <w:vAlign w:val="bottom"/>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70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r>
      <w:tr>
        <w:trPr>
          <w:trHeight w:val="201"/>
        </w:trPr>
        <w:tc>
          <w:tcPr>
            <w:tcW w:w="5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r>
      <w:tr>
        <w:trPr>
          <w:trHeight w:val="21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5120" w:type="dxa"/>
            <w:vAlign w:val="bottom"/>
            <w:shd w:val="clear" w:color="auto" w:fill="CCEEFF"/>
          </w:tcPr>
          <w:p>
            <w:pPr>
              <w:jc w:val="right"/>
              <w:ind w:right="2890"/>
              <w:spacing w:after="0"/>
              <w:rPr>
                <w:sz w:val="20"/>
                <w:szCs w:val="20"/>
                <w:color w:val="auto"/>
              </w:rPr>
            </w:pPr>
            <w:r>
              <w:rPr>
                <w:rFonts w:ascii="Arial" w:cs="Arial" w:eastAsia="Arial" w:hAnsi="Arial"/>
                <w:sz w:val="18"/>
                <w:szCs w:val="18"/>
                <w:color w:val="auto"/>
                <w:w w:val="98"/>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538 %</w:t>
            </w:r>
          </w:p>
        </w:tc>
      </w:tr>
      <w:tr>
        <w:trPr>
          <w:trHeight w:val="223"/>
        </w:trPr>
        <w:tc>
          <w:tcPr>
            <w:tcW w:w="5120" w:type="dxa"/>
            <w:vAlign w:val="bottom"/>
            <w:tcBorders>
              <w:bottom w:val="single" w:sz="8" w:color="CCEEFF"/>
            </w:tcBorders>
          </w:tcPr>
          <w:p>
            <w:pPr>
              <w:jc w:val="right"/>
              <w:ind w:right="289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221 %</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222 %</w:t>
            </w: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Research and development expenses were $29.4 million for the year ended December 31, 2021, compared to $12.4 million for the year ended December 31, 2020, an increase of $16.9 million, or 136%. The increase was primarily due to a $8.4 million increase in salaries, related benefits, and stock-based compensation due to an increase in headcount to support on-going development of our products, a $4.2 million increase in laboratory supplies and equipment expense, a $2.2 million increase in costs for development services and a $1.4 million increase in facilities cost.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were $21.1 million for the year ended December 31, 2021, compared to $3.3 million for the year ended December 31, 2020, an increase of $17.8 million, or 538%. The increase was primarily due to a $9.1 million increase in salaries, related benefits, and stock-based compensation, a $4.1 million increase in professional services, primarily related to audit, legal, and accounting service expenses, a $1.8 million increase in insurance costs and a $0.8 million increase in facilities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Other income (expense), net for the year ended December 31, 2021 as compared to the year ended December 31, 2020 changed primarily due to net investment accretion offset by loss on disposal of assets incurred in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our operations. Our net loss was $50.3 million for the year ended December 31, 2021. As of December 31, 2021, we had an accumulated deficit of $80.6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2021, we had cash, cash equivalents and short-term investments of $345.7 million.</w:t>
      </w:r>
    </w:p>
    <w:p>
      <w:pPr>
        <w:spacing w:after="0" w:line="112"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9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Fiscal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183"/>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2"/>
              </w:rPr>
              <w:t>(13,996)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(138,964)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center"/>
              <w:ind w:left="294"/>
              <w:spacing w:after="0"/>
              <w:rPr>
                <w:sz w:val="20"/>
                <w:szCs w:val="20"/>
                <w:color w:val="auto"/>
              </w:rPr>
            </w:pPr>
            <w:r>
              <w:rPr>
                <w:rFonts w:ascii="Arial" w:cs="Arial" w:eastAsia="Arial" w:hAnsi="Arial"/>
                <w:sz w:val="18"/>
                <w:szCs w:val="18"/>
                <w:color w:val="auto"/>
                <w:w w:val="92"/>
              </w:rPr>
              <w:t>(25,279)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327,447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87"/>
              </w:rPr>
              <w:t>75,899</w:t>
            </w: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149,242</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87"/>
              </w:rPr>
              <w:t>36,624</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During the year ended December 31, 2021, net cash used in operating activities was $39.2 million, primarily resulting from our operating loss of $50.3 million and a $2.8 million increase in prepaid expenses and other assets, partially offset by a $7.9 million of stock-based compensation, a $2.3 million increase in accrued expenses and other liabilities, $1.8 million amortization of operating lease right-of-use assets, a $1.3 million increase in accounts payable and a $1.0 million in depreciation.</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ended December 31, 2020, net cash used in operating activities was $14.0 million, primarily resulting from our operating loss of $15.6 million, $1.6 million decrease in operating lease liability, $0.6 million increase in prepaid expenses and other assets, partially offset by $1.6 million amortization of operating lease right-of-use assets, $0.7 million in depreciation, $0.7 million increase in accrued expenses and other liabilities, $0.3 million amortization of premiums on securities and $0.4 million of stock-based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During the year ended December 31, 2021, net cash used in investing activities was $139.0 million, resulting from $221.8 million in purchases of securities and $2.3 million in purchases of property and equipment, partially offset by $85.1 million in proceeds from sale and maturities of securities.</w:t>
      </w:r>
    </w:p>
    <w:p>
      <w:pPr>
        <w:spacing w:after="0" w:line="9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During the year ended December 31, 2020, net cash used in investing activities was $25.3 million, primarily resulting from $68.4 million in purchases of securities and $0.9 million in purchases of property and equipment, offset by $44.0 million in proceeds from maturities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year ended December 31, 2021, net cash provided by financing activities was $327.4, primarily from $335.4 million in proceeds from reverse recapitalization and PIPE financing, partially offset by $8.1 million in payments of offering costs.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$75.9 million, primarily from proceeds from issuance of convertible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 discussion of our contractual obligations and commitments, refer to Part II, Item 8, Note 10, “Commitments and Contingencies” to the consolidated financial statements in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9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7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 Our stock-based compensation programs include shares issued under our 2021 Equity Incentive Plan and 2021 Employee Stock Purchase Plan.</w:t>
      </w:r>
    </w:p>
    <w:p>
      <w:pPr>
        <w:spacing w:after="0" w:line="1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achievement of any such performance-based milestone is probable based on the relative satisfaction of the performance conditions as of the reporting date.</w:t>
      </w:r>
    </w:p>
    <w:p>
      <w:pPr>
        <w:spacing w:after="0" w:line="1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1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the subsection titled “Common Stock Valuations” below.</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16" w:lineRule="exact"/>
        <w:rPr>
          <w:rFonts w:ascii="Arial" w:cs="Arial" w:eastAsia="Arial" w:hAnsi="Arial"/>
          <w:sz w:val="18"/>
          <w:szCs w:val="18"/>
          <w:color w:val="auto"/>
        </w:rPr>
      </w:pPr>
    </w:p>
    <w:p>
      <w:pPr>
        <w:ind w:left="660" w:right="280" w:hanging="328"/>
        <w:spacing w:after="0" w:line="301"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Historically, we have been a private company and lacked company-specific historical and implied volatility information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Therefore, the expected volatility of our common stock was determined by using an average of historical volatilities of selected industry peers deemed to be comparable to our business corresponding to the expected term of the equity awards and we expect to continue to do so until such time we have adequate historical data regarding the volatility of our traded common stock price.</w:t>
      </w:r>
    </w:p>
    <w:p>
      <w:pPr>
        <w:spacing w:after="0" w:line="103" w:lineRule="exact"/>
        <w:rPr>
          <w:rFonts w:ascii="Arial" w:cs="Arial" w:eastAsia="Arial" w:hAnsi="Arial"/>
          <w:sz w:val="16"/>
          <w:szCs w:val="16"/>
          <w:color w:val="auto"/>
        </w:rPr>
      </w:pPr>
    </w:p>
    <w:p>
      <w:pPr>
        <w:ind w:left="660" w:hanging="328"/>
        <w:spacing w:after="0" w:line="259"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weighted-average period that the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 The expected dividend rate is zero as we have no history or expectation of declaring dividends on our common stock.</w:t>
      </w:r>
    </w:p>
    <w:p>
      <w:pPr>
        <w:spacing w:after="0" w:line="19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Prior to the closing of the Business Combination, there had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12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71" w:lineRule="exact"/>
        <w:rPr>
          <w:rFonts w:ascii="Arial" w:cs="Arial" w:eastAsia="Arial" w:hAnsi="Arial"/>
          <w:sz w:val="18"/>
          <w:szCs w:val="18"/>
          <w:color w:val="auto"/>
        </w:rPr>
      </w:pPr>
    </w:p>
    <w:p>
      <w:pPr>
        <w:ind w:left="660" w:right="100" w:hanging="328"/>
        <w:spacing w:after="0" w:line="311"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trends and developments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applicable, the implied equity value of Legacy Nautilus as contemplated by the Business Combination Agreement.</w:t>
      </w:r>
    </w:p>
    <w:p>
      <w:pPr>
        <w:spacing w:after="0" w:line="17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Probability-Weighted Expected Return Method. 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spacing w:after="0" w:line="10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For the valuations performed in December 2020, we used a hybrid method utilizing a combination of the OPM and the PWERM. We utilized two different scenarios: (a) a transaction with a SPAC and (b) an acquisition by 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 the shares of our redeemable convertible preferred stock are ignored. The liquidation method presumes payment of proceeds in accordance with the liquidation terms of each class of stock.</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awards granted in late January 2021, these were granted at the grant date fair value on the date of grant. Our board of directors made a determination of the fair market value of our common stock which contemplated the implied equity value of the Legacy Nautilus per the Business Combination agreement that was executed on February 7, 2021.</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1440" w:right="379" w:bottom="1440" w:gutter="0" w:footer="0" w:header="0"/>
        </w:sectPr>
      </w:pPr>
    </w:p>
    <w:bookmarkStart w:id="63" w:name="page64"/>
    <w:bookmarkEnd w:id="63"/>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average expected time to liquidity. The estimated fair value of our common stock at each grant date reflected a non-marketability discount partially based on the anticipated likelihood and timing of a future liquidity event.</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Following the closing of the Business Combination, our board of directors determine the fair market value of our common stock based on its closing price as reported on the date of grant on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a description of recent accounting pronouncements, including the expected dates of adoption and estimated effects, if any, on our consolidated financial statements, see Part II, Item 8, Note 2, “Significant Accounting Policies” to the consolidated financial statements in this prospectus.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BUSINESS COMBINATION</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Upon the Domestication, all of the outstanding Class A and Class B ordinary shares of ARYA were exchanged for an equivalent number of shares of common stock of New Nautilus, par value $0.0001 per share (“Common Stock”). 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and (ii) all vested and unvested options to purchase shares of Legacy Nautilus were exchanged for comparable options to purchase shares of Common Stock of New Nautilus.</w:t>
      </w:r>
    </w:p>
    <w:p>
      <w:pPr>
        <w:spacing w:after="0" w:line="1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immediately prior to the Effective Time, an aggregate of 20,000,000 shares of New Nautilus Common Stock at a price of $10.00 per share (the “PIPE Shares”), for aggregate gross proceeds of $200,000,000 (the “PIPE Financing”). ARYA granted the PIPE Investors certain registration rights in connection with the PIPE Financing. Also concurrently with the execution of the Business Combination Agreement, ARYA entered into the Amended and Restated Registration Rights and Lock-Up Agreement with certain stockholders of ARYA and Legacy Nautilus, which obligated the Company to register the resale of certain shares of our Common Stock issued in connection with the Domestication and the Business Combination.</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began trading on the Nasdaq Global Select Market (“Nasdaq”) under the symbol “NAUT.”</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Unless expressly indicated or the context requires otherwise, the terms “Nautilus,” “New Nautilus,” the “Company,” the “Registrant,” “we,” “us” and “our” in this prospectus refer to Nautilus Biotechnology, Inc., the parent entity formerly named ARYA Sciences Acquisition Corp III, after giving effect to the Domestication and the Business Combination, and as renamed Nautilus Biotechnology, Inc., and where appropriate, our wholly-owned subsidiaries (including Legacy Nautilus).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commercialize a proteome analysis platform of extreme sensitivity and scale. To accomplish this, we have built a prototype of our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By leveraging our novel design coupled with advanced machine learning software, we believe our Nautilus platform, which includes our end-to-end solution comprised of the proteome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0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complexity of the human proteome were as simple and easy as detecting an entire human genome, we believe a new set of questions could be asked:</w:t>
      </w:r>
    </w:p>
    <w:p>
      <w:pPr>
        <w:spacing w:after="0" w:line="13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What specific patterns of protein modifications are present in disease, and why?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320" w:top="1440" w:right="399" w:bottom="1440" w:gutter="0" w:footer="0" w:header="0"/>
        </w:sectPr>
      </w:pPr>
    </w:p>
    <w:bookmarkStart w:id="66" w:name="page67"/>
    <w:bookmarkEnd w:id="66"/>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prospectus, we have partnerships with Genentech, Amgen, and The University of Texas MD Anderson Cancer Research Center.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proteome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December 31, 2021 we were comprised of approximately 113 employees, with 36 of such employees holding a Ph.D. Our organization is driven by the pursuit of deep, hard science, and our Scientific Advisory Board is comprised of world-renowned scientific leaders that support our vision.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5" w:lineRule="exact"/>
        <w:rPr>
          <w:sz w:val="20"/>
          <w:szCs w:val="20"/>
          <w:color w:val="auto"/>
        </w:rPr>
      </w:pPr>
    </w:p>
    <w:p>
      <w:pPr>
        <w:ind w:left="660" w:right="20" w:hanging="328"/>
        <w:spacing w:after="0" w:line="290"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disruptive proteomics technology. </w:t>
      </w:r>
      <w:r>
        <w:rPr>
          <w:rFonts w:ascii="Arial" w:cs="Arial" w:eastAsia="Arial" w:hAnsi="Arial"/>
          <w:sz w:val="16"/>
          <w:szCs w:val="16"/>
          <w:color w:val="auto"/>
        </w:rPr>
        <w:t>Our Nautilus proteome analysis platform is designed to be a disruptive, single protein molecule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 extreme sensitivity, scale, and ease-of-use. Leveraging a novel system architecture, advanced machine learning and algorithms, we believe our Nautilus platform has the potential to identify substantially all proteins in a sample from almost any organism. We have designed our Nautilus platform technology by substantially reimagining methods of protein analysis, rather than an incremental or evolutionary advancement. We refer to Nautilus’ framework for what we believe to be a fundamentally different approach to protein analysis as Protein Identification by Short-epitope Mapping (PrISM). We believe that the prototype of our Nautilus proteome analysis system has also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11" w:lineRule="exact"/>
        <w:rPr>
          <w:rFonts w:ascii="Arial" w:cs="Arial" w:eastAsia="Arial" w:hAnsi="Arial"/>
          <w:sz w:val="16"/>
          <w:szCs w:val="16"/>
          <w:color w:val="auto"/>
        </w:rPr>
      </w:pPr>
    </w:p>
    <w:p>
      <w:pPr>
        <w:ind w:left="660" w:right="200" w:hanging="328"/>
        <w:spacing w:after="0" w:line="25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Novel end-to-end proteomics detection platform of extreme sensitivity. </w:t>
      </w:r>
      <w:r>
        <w:rPr>
          <w:rFonts w:ascii="Arial" w:cs="Arial" w:eastAsia="Arial" w:hAnsi="Arial"/>
          <w:sz w:val="18"/>
          <w:szCs w:val="18"/>
          <w:color w:val="auto"/>
        </w:rPr>
        <w:t>We aim to be the first commercially available proteomics detection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technology and end-to-end solution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left="328" w:right="560"/>
        <w:spacing w:after="0" w:line="263" w:lineRule="auto"/>
        <w:rPr>
          <w:sz w:val="20"/>
          <w:szCs w:val="20"/>
          <w:color w:val="auto"/>
        </w:rPr>
      </w:pPr>
      <w:r>
        <w:rPr>
          <w:rFonts w:ascii="Arial" w:cs="Arial" w:eastAsia="Arial" w:hAnsi="Arial"/>
          <w:sz w:val="18"/>
          <w:szCs w:val="18"/>
          <w:color w:val="auto"/>
        </w:rPr>
        <w:t>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spacing w:after="0" w:line="130" w:lineRule="exact"/>
        <w:rPr>
          <w:sz w:val="20"/>
          <w:szCs w:val="20"/>
          <w:color w:val="auto"/>
        </w:rPr>
      </w:pPr>
    </w:p>
    <w:p>
      <w:pPr>
        <w:ind w:left="328" w:hanging="328"/>
        <w:spacing w:after="0" w:line="272" w:lineRule="auto"/>
        <w:tabs>
          <w:tab w:leader="none" w:pos="323"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Open and customizable technology platform. </w:t>
      </w:r>
      <w:r>
        <w:rPr>
          <w:rFonts w:ascii="Arial" w:cs="Arial" w:eastAsia="Arial" w:hAnsi="Arial"/>
          <w:sz w:val="17"/>
          <w:szCs w:val="17"/>
          <w:color w:val="auto"/>
        </w:rPr>
        <w:t>Our Nautilus platform is designed to be compatible with a wide variety of affinity binding reagents.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this flexibility allows the system to be ‘tuned’ in response to the profile of binding reagents introduced. With a labeling kit, our system is designed to be able to use a wide range of reagents that have been created by biopharma, academia, or leading commercial affinity reagent manufacturers. It also creates the opportunity to partner with third-parties on the development and supply of affinity reagents. To that end, in the fourth quarter of 2021 we initiated a strategic partnership with Abcam, a world leader in the design and production of assay kits, reagents, and antibodies. This type of development and supply agreement is expected to provide Nautilus with antibodies additive to the affinity reagents we are creating internally and serves to highlight the flexible nature of our technology.</w:t>
      </w:r>
    </w:p>
    <w:p>
      <w:pPr>
        <w:spacing w:after="0" w:line="123" w:lineRule="exact"/>
        <w:rPr>
          <w:rFonts w:ascii="Arial" w:cs="Arial" w:eastAsia="Arial" w:hAnsi="Arial"/>
          <w:sz w:val="17"/>
          <w:szCs w:val="17"/>
          <w:color w:val="auto"/>
        </w:rPr>
      </w:pPr>
    </w:p>
    <w:p>
      <w:pPr>
        <w:ind w:left="328" w:right="80" w:hanging="328"/>
        <w:spacing w:after="0" w:line="291" w:lineRule="auto"/>
        <w:tabs>
          <w:tab w:leader="none" w:pos="323"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Immense data production capacity coupled with machine learning can unlock new proteomic insights. </w:t>
      </w:r>
      <w:r>
        <w:rPr>
          <w:rFonts w:ascii="Arial" w:cs="Arial" w:eastAsia="Arial" w:hAnsi="Arial"/>
          <w:sz w:val="16"/>
          <w:szCs w:val="16"/>
          <w:color w:val="auto"/>
        </w:rPr>
        <w:t>We have designed the Nautilus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12" w:lineRule="exact"/>
        <w:rPr>
          <w:rFonts w:ascii="Arial" w:cs="Arial" w:eastAsia="Arial" w:hAnsi="Arial"/>
          <w:sz w:val="16"/>
          <w:szCs w:val="16"/>
          <w:color w:val="auto"/>
        </w:rPr>
      </w:pPr>
    </w:p>
    <w:p>
      <w:pPr>
        <w:ind w:left="328" w:right="40" w:hanging="328"/>
        <w:spacing w:after="0" w:line="270" w:lineRule="auto"/>
        <w:tabs>
          <w:tab w:leader="none" w:pos="323"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Commercial model with clear market entry point, designed to support a wide variety of customers and applications. </w:t>
      </w:r>
      <w:r>
        <w:rPr>
          <w:rFonts w:ascii="Arial" w:cs="Arial" w:eastAsia="Arial" w:hAnsi="Arial"/>
          <w:sz w:val="17"/>
          <w:szCs w:val="17"/>
          <w:color w:val="auto"/>
        </w:rPr>
        <w:t>Many successful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These customer segments were estimated to spend approximately $195 billion in 2021 in R&amp;D activities across a variety of settings, from basic sciences to translational and clinical research.</w:t>
      </w:r>
    </w:p>
    <w:p>
      <w:pPr>
        <w:spacing w:after="0" w:line="126" w:lineRule="exact"/>
        <w:rPr>
          <w:rFonts w:ascii="Arial" w:cs="Arial" w:eastAsia="Arial" w:hAnsi="Arial"/>
          <w:sz w:val="17"/>
          <w:szCs w:val="17"/>
          <w:color w:val="auto"/>
        </w:rPr>
      </w:pPr>
    </w:p>
    <w:p>
      <w:pPr>
        <w:ind w:left="328" w:right="20" w:hanging="328"/>
        <w:spacing w:after="0" w:line="254" w:lineRule="auto"/>
        <w:tabs>
          <w:tab w:leader="none" w:pos="323"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Nautilus platform technology could position us as a leader in a large initial life sciences research market and provide a path to the clinical diagnostics. </w:t>
      </w:r>
      <w:r>
        <w:rPr>
          <w:rFonts w:ascii="Arial" w:cs="Arial" w:eastAsia="Arial" w:hAnsi="Arial"/>
          <w:sz w:val="18"/>
          <w:szCs w:val="18"/>
          <w:color w:val="auto"/>
        </w:rPr>
        <w:t>The global proteomics market is estimated to be approximately $25 billion annually as of 2021 and is expected to grow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37" w:lineRule="exact"/>
        <w:rPr>
          <w:rFonts w:ascii="Arial" w:cs="Arial" w:eastAsia="Arial" w:hAnsi="Arial"/>
          <w:sz w:val="18"/>
          <w:szCs w:val="18"/>
          <w:color w:val="auto"/>
        </w:rPr>
      </w:pPr>
    </w:p>
    <w:p>
      <w:pPr>
        <w:ind w:left="328" w:right="160" w:hanging="328"/>
        <w:spacing w:after="0" w:line="340" w:lineRule="auto"/>
        <w:tabs>
          <w:tab w:leader="none" w:pos="323" w:val="left"/>
        </w:tabs>
        <w:numPr>
          <w:ilvl w:val="0"/>
          <w:numId w:val="4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experienced, multidisciplinary team brings together a group of individuals with diverse backgrounds to disrupt the field of proteomics. </w:t>
      </w:r>
      <w:r>
        <w:rPr>
          <w:rFonts w:ascii="Arial" w:cs="Arial" w:eastAsia="Arial" w:hAnsi="Arial"/>
          <w:sz w:val="15"/>
          <w:szCs w:val="15"/>
          <w:color w:val="auto"/>
        </w:rPr>
        <w:t>Nautilus’ leadership team represents a unique and valuable hybrid of technology and biotech experience. Several members of the executive team and board of directors held leadership roles at Illumina and Isilon, and helped to guide strategy and manage execution both before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08"/>
          </w:cols>
          <w:pgMar w:left="652" w:top="1440" w:right="339" w:bottom="1440" w:gutter="0" w:footer="0" w:header="0"/>
        </w:sectPr>
      </w:pPr>
    </w:p>
    <w:bookmarkStart w:id="68" w:name="page69"/>
    <w:bookmarkEnd w:id="68"/>
    <w:p>
      <w:pPr>
        <w:spacing w:after="0" w:line="144"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left="660" w:hanging="328"/>
        <w:spacing w:after="0" w:line="271"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adoption of our Nautilus platform by providing the life sciences industry with access to the proteome. </w:t>
      </w:r>
      <w:r>
        <w:rPr>
          <w:rFonts w:ascii="Arial" w:cs="Arial" w:eastAsia="Arial" w:hAnsi="Arial"/>
          <w:sz w:val="17"/>
          <w:szCs w:val="17"/>
          <w:color w:val="auto"/>
        </w:rPr>
        <w:t>We believe our Nautilus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relationships with Genentech and Amgen), academic institutions (such as our existing relationship with The University of Texas MD Anderson Cancer Center and others) and research organizations where we aim to jointly publish data and validate our Nautilus platform, followed by a pre-sales or early access program to drive awareness and demand, and finally culminating in a full commercial launch.</w:t>
      </w:r>
    </w:p>
    <w:p>
      <w:pPr>
        <w:spacing w:after="0" w:line="124" w:lineRule="exact"/>
        <w:rPr>
          <w:rFonts w:ascii="Arial" w:cs="Arial" w:eastAsia="Arial" w:hAnsi="Arial"/>
          <w:sz w:val="17"/>
          <w:szCs w:val="17"/>
          <w:color w:val="auto"/>
        </w:rPr>
      </w:pPr>
    </w:p>
    <w:p>
      <w:pPr>
        <w:ind w:left="660" w:right="160" w:hanging="328"/>
        <w:spacing w:after="0" w:line="255"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Continuously innovate and scale our Nautilus platform’s capabilities to enable further advancement of proteomic research. </w:t>
      </w:r>
      <w:r>
        <w:rPr>
          <w:rFonts w:ascii="Arial" w:cs="Arial" w:eastAsia="Arial" w:hAnsi="Arial"/>
          <w:sz w:val="18"/>
          <w:szCs w:val="18"/>
          <w:color w:val="auto"/>
        </w:rPr>
        <w:t>Through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38"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Multiple pathways to build and expand our manufacturing capacity to support our commercial launch and the sustained growth of our business</w:t>
      </w:r>
      <w:r>
        <w:rPr>
          <w:rFonts w:ascii="Arial" w:cs="Arial" w:eastAsia="Arial" w:hAnsi="Arial"/>
          <w:sz w:val="18"/>
          <w:szCs w:val="18"/>
          <w:color w:val="auto"/>
        </w:rPr>
        <w:t>. Our technology is comprised of many off the shelf component parts that help to create efficient sourcing and manufacturing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140" w:lineRule="exact"/>
        <w:rPr>
          <w:rFonts w:ascii="Arial" w:cs="Arial" w:eastAsia="Arial" w:hAnsi="Arial"/>
          <w:sz w:val="18"/>
          <w:szCs w:val="18"/>
          <w:color w:val="auto"/>
        </w:rPr>
      </w:pPr>
    </w:p>
    <w:p>
      <w:pPr>
        <w:ind w:left="660" w:right="120" w:hanging="328"/>
        <w:spacing w:after="0" w:line="293"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long-term value by leveraging the open design of our Nautilus platform to create an ecosystem of products and services based on our core technology. </w:t>
      </w:r>
      <w:r>
        <w:rPr>
          <w:rFonts w:ascii="Arial" w:cs="Arial" w:eastAsia="Arial" w:hAnsi="Arial"/>
          <w:sz w:val="16"/>
          <w:szCs w:val="16"/>
          <w:color w:val="auto"/>
        </w:rPr>
        <w:t>Our Nautilus platform is compatible with a wide variety of protein affinity binding reagents, which we believe will allow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110"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adoption of our Nautilus platform into new markets. </w:t>
      </w:r>
      <w:r>
        <w:rPr>
          <w:rFonts w:ascii="Arial" w:cs="Arial" w:eastAsia="Arial" w:hAnsi="Arial"/>
          <w:sz w:val="17"/>
          <w:szCs w:val="17"/>
          <w:color w:val="auto"/>
        </w:rPr>
        <w:t>Our market entry strategy involves identifying markets that are constrained by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inability to access comprehensive proteomic information, which we believe can be addressed by our Nautilus platform. We recognize that these opportunities extend into ancillary markets across life sciences, including clinical and translational research, and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44"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PRIMER ON PROTEOMICS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1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spacing w:after="0" w:line="122" w:lineRule="exact"/>
        <w:rPr>
          <w:sz w:val="20"/>
          <w:szCs w:val="20"/>
          <w:color w:val="auto"/>
        </w:rPr>
      </w:pPr>
    </w:p>
    <w:p>
      <w:pPr>
        <w:ind w:left="660" w:right="1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Better understanding of biology</w:t>
      </w:r>
      <w:r>
        <w:rPr>
          <w:rFonts w:ascii="Arial" w:cs="Arial" w:eastAsia="Arial" w:hAnsi="Arial"/>
          <w:sz w:val="18"/>
          <w:szCs w:val="18"/>
          <w:color w:val="auto"/>
        </w:rPr>
        <w:t>. Protein research contributes to a better understanding of how molecular information controls and influences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physiology.</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 of novel drug targets. </w:t>
      </w:r>
      <w:r>
        <w:rPr>
          <w:rFonts w:ascii="Arial" w:cs="Arial" w:eastAsia="Arial" w:hAnsi="Arial"/>
          <w:sz w:val="18"/>
          <w:szCs w:val="18"/>
          <w:color w:val="auto"/>
        </w:rPr>
        <w:t>Cellular function and dysfunction is driven by our proteins; increasing our ability to directly measure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rarest proteins involved in disease may increase the likelihood of identifying new drug targets.</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Patient stratification</w:t>
      </w:r>
      <w:r>
        <w:rPr>
          <w:rFonts w:ascii="Arial" w:cs="Arial" w:eastAsia="Arial" w:hAnsi="Arial"/>
          <w:sz w:val="18"/>
          <w:szCs w:val="18"/>
          <w:color w:val="auto"/>
        </w:rPr>
        <w:t>. The separation of patients into groups with similar molecular features that may be more likely to respond to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treatments.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Prediction of disease and treatment outcome. </w:t>
      </w:r>
      <w:r>
        <w:rPr>
          <w:rFonts w:ascii="Arial" w:cs="Arial" w:eastAsia="Arial" w:hAnsi="Arial"/>
          <w:sz w:val="18"/>
          <w:szCs w:val="18"/>
          <w:color w:val="auto"/>
        </w:rPr>
        <w:t>The identification of biomarkers that can assist in the early diagnosis of diseases, inform prognosis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monitor the efficacy and safety of ongoing treatments.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Wellness: from health to disease. </w:t>
      </w:r>
      <w:r>
        <w:rPr>
          <w:rFonts w:ascii="Arial" w:cs="Arial" w:eastAsia="Arial" w:hAnsi="Arial"/>
          <w:sz w:val="18"/>
          <w:szCs w:val="18"/>
          <w:color w:val="auto"/>
        </w:rPr>
        <w:t>Biomarkers can monitor and guide individuals to tailor lifestyle choices to maximize health and avoid the onset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diseases before they develop.</w:t>
      </w:r>
    </w:p>
    <w:p>
      <w:pPr>
        <w:spacing w:after="0" w:line="11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believe that our Nautilus platform has the potential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Nautilus, we recognize the need for a radical breakthrough in proteomics.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440" w:right="379" w:bottom="1440" w:gutter="0" w:footer="0" w:header="0"/>
        </w:sectPr>
      </w:pPr>
    </w:p>
    <w:bookmarkStart w:id="70" w:name="page71"/>
    <w:bookmarkEnd w:id="70"/>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Since 2002, global R&amp;D expenditure has increased close to three-fold and is expected to reach approximately $230 billion by 2026 according to EvaluatePharma’s 2020 report.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2020 report by the Deloitte Center for Health Solutions.</w:t>
      </w:r>
    </w:p>
    <w:p>
      <w:pPr>
        <w:spacing w:after="0" w:line="10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spacing w:after="0" w:line="131"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Missing Piece: The Proteome</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3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846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growth phase. We are of the firm belief that every scientist should have access to the proteome, including proteoforms, in the same way that access to the genome has been made broadly available over recent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417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1440" w:right="45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1014730</wp:posOffset>
            </wp:positionV>
            <wp:extent cx="5340350" cy="2751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4035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Proteomics Technologies and Shortfalls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 Spectrometry-based Approaches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its importance in biology and drug development, and the proteomics research marketplace is estimated to have over 16,000 installed mass spectrometry systems today.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with Affinity-based Approaches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 protein molecule level today.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NAUTILUS APPROACH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Guiding Principles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 protein 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w:t>
      </w:r>
    </w:p>
    <w:p>
      <w:pPr>
        <w:spacing w:after="0" w:line="1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Nautilus Platform Design Criteria</w:t>
      </w:r>
    </w:p>
    <w:p>
      <w:pPr>
        <w:spacing w:after="0" w:line="17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proteoforms. As such, we designed the Nautilus platform – from the ground up – to accomplish the following objectives: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Nautilus Platform Attribute:</w:t>
            </w:r>
          </w:p>
        </w:tc>
        <w:tc>
          <w:tcPr>
            <w:tcW w:w="2120" w:type="dxa"/>
            <w:vAlign w:val="bottom"/>
          </w:tcPr>
          <w:p>
            <w:pPr>
              <w:spacing w:after="0"/>
              <w:rPr>
                <w:sz w:val="20"/>
                <w:szCs w:val="20"/>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Nautilus Platform Benefit:</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Easy-to-Use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Any Lab Can Run It</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Sensitivity and Dynamic Range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Comprehensive Measurement</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Rapid Run Time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Days Not Weeks</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Reproducible and Robust</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Path to the Clinic</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Scalable and Flexible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Accommodates Low &amp; High Throughput</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Complete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 Missing Data</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core design criterion was that the Nautilus platform needed to be sufficiently easy-to-use so that virtually any lab could benefit from using it, not just labs that are explicitly focused on proteomics or analytical chemistry.</w:t>
      </w:r>
    </w:p>
    <w:p>
      <w:pPr>
        <w:spacing w:after="0" w:line="116"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the process needed to be reproducible and robust, maximizing the chance that the results derived in one experiment are the same as the results derived in subsequent experiments.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It must also be complete. One of the largest challenges with existing “shotgun” proteomics technologies is that replicate analyses are likely to sample different subsets of the proteome.</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order to fully support the wide-ranging needs of our future customers, the platform can also support multiple run configurations. Our design accommodates both low throughput and high throughput run configurations, and will also employ in-lane sample multiplexing to enable our customers to meet the high-volume data production needs of large-scale studies or core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Importantly, the Nautilus platform needed to be fast and able to analyze tens of thousands of samples in a reasonable time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 also needed to be integrated, allowing a biologist to put a sample in the instrument and get data out without additional intervention.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Single Protein Molecule Flow Cell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Proteome Analysis System: An Integrated Multi-cycle Optical and Fluidics Instrument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Learning Protein Decoding Analytics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Innovations</w:t>
      </w:r>
    </w:p>
    <w:p>
      <w:pPr>
        <w:spacing w:after="0" w:line="17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Single Protein Molecule Flow Cell</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vast majority of protein analysis tools, such as affinity-based methods like an ELISA (Enzyme-Linked Immunosorbent Assay), typically measure proteins in bulk. This approach works well for measuring small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2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 protein molecule counters are by definition the most sensitive detection modalities available.</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break through these barriers, we have designed our Nautilus platform to measure billions of individual protein molecules at a time, in a massively parallel and efficient workflow. We refer to Nautilus’ framework for what we believe to be a fundamentally different approach to protein analysis as Protein Identification by Short-epitope Mapping (PrISM). Our internal testing has demonstrated that our hyper-dense single 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80645</wp:posOffset>
            </wp:positionV>
            <wp:extent cx="5323205" cy="2040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320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below illustration). The attachment between the scaffold and the nanoarray surface is extremely robust, enabling scaffolds to persist through extensive reagent washing across many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Nautilus Single Protein 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117475</wp:posOffset>
            </wp:positionV>
            <wp:extent cx="5340350" cy="2537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03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above, our flow cell is designed with the capability to capture up to tens of billions of individual, intact protein molecules. The single protein 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proteome analysis system for the analysis and quantitation of the captured protein library.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Nautilus Single Protein Molecule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82550</wp:posOffset>
            </wp:positionV>
            <wp:extent cx="3857625" cy="3008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5762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Proteome Analysis System: An Integrated Multi-cycle Optical and Fluidics Instrument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1440" w:right="459" w:bottom="1440" w:gutter="0" w:footer="0" w:header="0"/>
        </w:sectPr>
      </w:pPr>
    </w:p>
    <w:bookmarkStart w:id="79" w:name="page80"/>
    <w:bookmarkEnd w:id="7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Nautilus Platform Multi-Cycle Affinity Reagent Probing, Imaging, Washing, and Re-Probing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117475</wp:posOffset>
            </wp:positionV>
            <wp:extent cx="5254625" cy="3043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54625"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achieve extreme sensitivity and scale, we have designed a novel instrument that integrates reagent fluidics with a sensitive high-resolution optical imaging system to cyclically measure all single protein molecules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full scale proteome run will generate approximately 20 terabytes of data, which is then compressed to a digital binding matrix for downstream analysis by our cloud-based software-as-a-service, SaaS, analytics suite.</w:t>
      </w:r>
    </w:p>
    <w:p>
      <w:pPr>
        <w:spacing w:after="0" w:line="13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320" w:top="1440" w:right="399" w:bottom="1440" w:gutter="0" w:footer="0" w:header="0"/>
        </w:sectPr>
      </w:pPr>
    </w:p>
    <w:bookmarkStart w:id="80" w:name="page81"/>
    <w:bookmarkEnd w:id="80"/>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Using reagents that target very specific locations and features of proteins will allow the Nautilus platform to detect and quantify the different patterns and varieties of post-translational modifications (i.e. the proteoforms).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 highly innovative and counterintuitive way, our Nautilus platform has also been designed to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reagent binds many proteins that contain the short linear epitope target, each a “multi-affinity reagent”. While the binding of a single multi-affinity reagent is not sufficient to identify a given protein, sequential binding events using a series of multi-affinity reagents can create enough information that it is sufficiently powerful to accurately identify an exceptionally broad number of proteins present in a sample. In this approach, each new affinity reagent that is introduced in a cycle of binding and imaging provides additional evidence and gradually narrows the list of possible protein identities. Hereafter, we refer to our proposed approach as Protein Identification by Short-epitope Mapping (PrISM). Our Nautilus platform technology is estimated to achieve the detection of the vast majority of proteins in the proteome using a combination of approximately 300 unique multi-affinity reagents.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Nautilus Platform Technology Protein Identification with Increasing Multi-Affinity Reagent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451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 A theoretical framework for proteome-scale single-molecule protein identification using multi-affinity protein binding reagents. Jarrett 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Egertson, Dan DiPasquo, Alana Killeen, Vadim Lobanov, Sujal Patel, Parag Mallick bioRxiv 2021.10.11.463967.</w:t>
      </w:r>
    </w:p>
    <w:p>
      <w:pPr>
        <w:spacing w:after="0" w:line="157"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Machine Learning Protein Identification Software</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proprietary algorithm is thereby trained using experimental data from our probe development process that provides a baseline estimate of how likely each probe is to bind to each protein in a reference proteome database.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Nautilus Platform Technology Can Identify a Protein by Analyzing Data from Multiple Cycles of Multi-Affinity Reagent Probing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125095</wp:posOffset>
            </wp:positionV>
            <wp:extent cx="5357495" cy="2837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5749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Internal Data</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Workflow</w:t>
      </w:r>
    </w:p>
    <w:p>
      <w:pPr>
        <w:spacing w:after="0" w:line="17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60"/>
          </w:cols>
          <w:pgMar w:left="320" w:top="1440" w:right="419" w:bottom="1440" w:gutter="0" w:footer="0" w:header="0"/>
        </w:sectPr>
      </w:pPr>
    </w:p>
    <w:bookmarkStart w:id="82" w:name="page83"/>
    <w:bookmarkEnd w:id="82"/>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58130" cy="72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5813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1 – Sample Preparation</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Nautilus sample preparation process attaches a label to extracted proteins and then attaches them to a proprietary scaffold to isolate them individually, thereby creating a library of single protein molecules. This process was designed to be simple, robust, and rapid. Internal tests demonstrate that substantially all of the proteins are attached to the scaffold within two hours, creating the prepared protein library.</w:t>
      </w:r>
    </w:p>
    <w:p>
      <w:pPr>
        <w:spacing w:after="0" w:line="13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2 – Sample Deposition onto the Flow Cell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11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3 – Integrated Imaging and Fluidics System using Multi-Cycle Affinity Reagents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Once the proteins are deposited onto the flow cell, it is then loaded into the proteome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spacing w:after="0" w:line="11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4 – Processing of Digitalized Proteomic Data</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spacing w:after="0" w:line="13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5 – Machine Learning Analytics - Decoding, Protein Identification, and Quantity</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Platform Technology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 and Robust Sample Handling</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440" w:right="359" w:bottom="1440" w:gutter="0" w:footer="0" w:header="0"/>
        </w:sectPr>
      </w:pPr>
    </w:p>
    <w:bookmarkStart w:id="83" w:name="page84"/>
    <w:bookmarkEnd w:id="8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result is a process that is expected to effectively prepare a sample into a library ready to load on the flow cell in approximately 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117475</wp:posOffset>
            </wp:positionV>
            <wp:extent cx="2571750" cy="257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117475</wp:posOffset>
            </wp:positionV>
            <wp:extent cx="4714875" cy="2974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14875" cy="297434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00"/>
          </w:cols>
          <w:pgMar w:left="320" w:top="1440" w:right="479" w:bottom="1440" w:gutter="0" w:footer="0" w:header="0"/>
          <w:type w:val="continuous"/>
        </w:sectPr>
      </w:pPr>
    </w:p>
    <w:bookmarkStart w:id="84" w:name="page85"/>
    <w:bookmarkEnd w:id="8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Platform Stability in Multi-Cycle Experiments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proteome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 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117475</wp:posOffset>
            </wp:positionV>
            <wp:extent cx="5486400" cy="2322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640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Platform Sensitivity</w:t>
      </w:r>
    </w:p>
    <w:p>
      <w:pPr>
        <w:spacing w:after="0" w:line="17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Nautilus platform is designed both to be extremely sensitive (by virtue of being a single protein molecule platform) and to have an extremely wide dynamic range of detection (by virtue of measuring a very large number of molecules). In single protein 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Arial" w:cs="Arial" w:eastAsia="Arial" w:hAnsi="Arial"/>
          <w:sz w:val="23"/>
          <w:szCs w:val="23"/>
          <w:color w:val="auto"/>
          <w:vertAlign w:val="superscript"/>
        </w:rPr>
        <w:t>16</w:t>
      </w:r>
      <w:r>
        <w:rPr>
          <w:rFonts w:ascii="Arial" w:cs="Arial" w:eastAsia="Arial" w:hAnsi="Arial"/>
          <w:sz w:val="18"/>
          <w:szCs w:val="18"/>
          <w:color w:val="auto"/>
        </w:rPr>
        <w:t>).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proteome analysis system run.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1440" w:right="379" w:bottom="1440" w:gutter="0" w:footer="0" w:header="0"/>
        </w:sectPr>
      </w:pPr>
    </w:p>
    <w:bookmarkStart w:id="85" w:name="page86"/>
    <w:bookmarkEnd w:id="85"/>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Extreme Sensitivity Quantified by 10</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84455</wp:posOffset>
            </wp:positionV>
            <wp:extent cx="2743200" cy="2486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32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Mapping Proteoforms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 protein 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57495" cy="2211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5749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our Nautilus platform, we are able to use existing commercially available affinity reagents to perform detailed mapping of proteoform patterns at the single protein molecule level. We do this by measuring individual proteins at each specific post-translational modification site over multiple cycles, each cycle targeting a different</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00"/>
          </w:cols>
          <w:pgMar w:left="320" w:top="1440" w:right="479" w:bottom="1440" w:gutter="0" w:footer="0" w:header="0"/>
          <w:type w:val="continuous"/>
        </w:sectPr>
      </w:pPr>
    </w:p>
    <w:bookmarkStart w:id="86" w:name="page87"/>
    <w:bookmarkEnd w:id="86"/>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specific site or 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 cycles, our technology is potentially able to distinguish up to 16 different proteoforms (in this case, different phosphorylated patterns) of the same EGFR protein and the quantity of each proteoform in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-170815</wp:posOffset>
            </wp:positionV>
            <wp:extent cx="28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93980</wp:posOffset>
            </wp:positionV>
            <wp:extent cx="5357495" cy="1345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5749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Nautilus Platform Proteoform Pattern Detection and Quantitation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117475</wp:posOffset>
            </wp:positionV>
            <wp:extent cx="3429000" cy="2400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Platform Development Plan Key Areas of Focus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order to achieve our goal of broad commercialization by the end of 2023 or beginning of 2024, we plan to advance the development of our Nautilus platform across all components including chemistries, reagents, consumables, instrumentation and analysis software. The prototype of our proteome analysis system has generated all of our internal data to date, and we are continuing the development process to optimize, improve upon, and validate the final designs, formulations, protocols, manufacturing processes, and software code comprising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1440" w:right="439" w:bottom="1440" w:gutter="0" w:footer="0" w:header="0"/>
        </w:sectPr>
      </w:pPr>
    </w:p>
    <w:bookmarkStart w:id="87" w:name="page88"/>
    <w:bookmarkEnd w:id="87"/>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 protein molecule landing pads, we plan to further optimize the landing pad spacing, density, manufacturing process and chemistries of the first commercially available flow cells. We also intend to focus on the completion of the final engineering design of our proteome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proteome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proteome analysis system performance.</w:t>
      </w:r>
    </w:p>
    <w:p>
      <w:pPr>
        <w:spacing w:after="0" w:line="1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Assuming the completion of our development across these focal areas on our currently anticipated timeline, as well as additional related development activities, we believe we will be in position to achieve our goal of broad commercialization by the end of 2023 or beginning of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OF OUR TECHNOLOGY</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our Nautilus platform technology is designed to represent one of the first truly novel technologies for the detection and quantitation of proteins and proteoforms by leveraging the creation of our single protein 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57495" cy="2314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5749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320" w:top="1440" w:right="379" w:bottom="1440" w:gutter="0" w:footer="0" w:header="0"/>
        </w:sectPr>
      </w:pPr>
    </w:p>
    <w:bookmarkStart w:id="88" w:name="page89"/>
    <w:bookmarkEnd w:id="88"/>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open nature of the Nautilus platform creates the opportunity to partner with third-parties on the development and supply of affinity reagents. To that end, in the fourth quarter of 2021, we initiated a strategic partnership with Abcam, a world leader in the design and production of assay kits, reagents, and antibodies. This type of development and supply agreement is expected to provide us with antibodies additive to the affinity reagents we are creating internally and serves to highlight the flexible nature of our technology.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Discovery Potential of Our Nautilus Platform</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Multi-Omic Systems Biology and Proteogenomics</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Translational Research and Discovery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has been published that approximately 95% of FDA-approved drug targets are proteins. Currently, FDA-approved drugs are targeting 812 separate human proteins and there are 4,514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Proteoform Patterns as Biomarkers and Mechanism of Action Studies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Longitudinal Monitoring of Proteome Dynamics</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4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Diagnostics, Clinical Research and Drug Development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Transitioning from Discovery into Clinical Application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Medicine Development &amp; Clinical Trial Support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3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3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primary business model is anticipated to be focused on the commercialization of our Nautilus platform through the sale of instrumentation, consumables, and software. Our proteome analysis system is our detection instrument at the center of our product suite, supported by reagent consumables for the preparation and analysis of proteins, and followed by sophisticated machine learning software architecture for the analysis of our data in the cloud.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Proteome Analysis System &amp; Reagent Kits</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proteome analysis system is a high-resolution optical imaging sub-system coupled with an integrated fluidics sub-system in order to process multi-cycle labeled affinity reagent binding and imaging runs. System run reagent kits are comprised of two main components: the flow cell(s), and the affinity binding reagents used to perform multi-cycle analysis runs.</w:t>
      </w:r>
    </w:p>
    <w:p>
      <w:pPr>
        <w:spacing w:after="0" w:line="13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initial flow cell design includes 4 physically separated and independent fluid channels, or “lanes”, such that a customer can introduce a unique biological sample in to each lane for multi-cycle analysis. Our proteome analysis system is designed to hold and concurrently analyze up to three flow cells in a single system run, for a total of 12 lanes. Additional sample throughput may also be achieved by the use of a molecular barcode in our reagent kits that will enable the multiplexing of more than one barcoded sample library together within a single lane for analysis. Our high-throughput multiplexed reagent kits are expected to support up to 24 samples per run, and may be further scaled in the future.</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Affinity binding reagents will also be included within each system run reagent kit. Reagent kits will be offered in configurations that cover a catalog of proteomic content desired by our customers by supplying different combinations of reagents together within a given kit. We intend to supply a standardized set of affinity binding reagents for the broad-scale detection of proteins, or “proteome kits”, as well as protein-specific or proteoform-specific reagent content sets, or “targeted proteoform kits”, focused on high interest areas of disease research. Additionally, custom affinity reagent labeling kits are expected to be supplied to enable customers to label their own in-house developed affinity reagents to be compatible with Nautilus chemistry for use on the system.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Sample Preparation Kits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proteome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&amp; Analysis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machine learning protein identification analysis software suite also is expected to be utilized as the secondary analysis engine to decode the proteome analysis system raw data. Our software is expected to be a SaaS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4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and our software has demonstrated this potential ability in our internal tests. We expect our software enhancements in performance will also be accessible to customers who wish to re-analyze prior run data with later versions to deliver new insight and discovery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primary business model we intend to implement is to directly commercialize our entire end-to-end Nautilus platform technology solution through the sale and installation of our proteome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 protein molecule quantitation, sensitivity, and reproducibility.</w:t>
      </w:r>
    </w:p>
    <w:p>
      <w:pPr>
        <w:spacing w:after="0" w:line="13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proteome analysis system is expected to be priced in-line with mass spectrometry peptide detection equipment, or high-throughput NGS equipment, making the capital expense for our system within the budget for our initial customers. Our consumables are expected be priced at a level that provides comparable market value for full proteome analysis. The use of multiplexed run configurations will continue to grow over time, which we believe will help to reduce our costs and the price-per-sample of our reagent kits such that we are able to support customers with very high-throughput applications of our systems. We expect these high-throughput run configurations and economics to accelerate the initiation of large-scale proteomics and multi-omics research projects, and also to be much more compatible with centralized core lab facility operations with requirements for proteomic data generation that can support an entire organization or user base.</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proteome analysis system. We further believe that once our proteome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pre-and post- proteome analysis system launch.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Go-To-Market Strategy</w:t>
      </w:r>
    </w:p>
    <w:p>
      <w:pPr>
        <w:spacing w:after="0" w:line="17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expect our proteome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that engaging with the market early is a critically important activity in building confidence and awareness of our technology and its capabilities.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planned go-to-market strategy is organized into 3 phases:</w:t>
      </w:r>
    </w:p>
    <w:p>
      <w:pPr>
        <w:spacing w:after="0" w:line="171"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Collaborations &amp; Partnerships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Early Access Program</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Proteome Analysis System Launch &amp; Commercial Scale Up</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Aligning Go-to-Market Strategy with Research and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734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Collaborations &amp; Partnerships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have launched a formal partnering program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1440" w:right="359" w:bottom="1440" w:gutter="0" w:footer="0" w:header="0"/>
        </w:sectPr>
      </w:pPr>
    </w:p>
    <w:bookmarkStart w:id="94" w:name="page95"/>
    <w:bookmarkEnd w:id="94"/>
    <w:p>
      <w:pPr>
        <w:spacing w:after="0" w:line="144" w:lineRule="exact"/>
        <w:rPr>
          <w:sz w:val="20"/>
          <w:szCs w:val="20"/>
          <w:color w:val="auto"/>
        </w:rPr>
      </w:pPr>
    </w:p>
    <w:p>
      <w:pPr>
        <w:ind w:right="1240"/>
        <w:spacing w:after="0" w:line="438" w:lineRule="auto"/>
        <w:rPr>
          <w:sz w:val="20"/>
          <w:szCs w:val="20"/>
          <w:color w:val="auto"/>
        </w:rPr>
      </w:pPr>
      <w:r>
        <w:rPr>
          <w:rFonts w:ascii="Arial" w:cs="Arial" w:eastAsia="Arial" w:hAnsi="Arial"/>
          <w:sz w:val="18"/>
          <w:szCs w:val="18"/>
          <w:color w:val="auto"/>
        </w:rPr>
        <w:t xml:space="preserve">product applications, which we expect will further aid in the rapid adoption of such applications once directly commercialized as products. </w:t>
      </w:r>
      <w:r>
        <w:rPr>
          <w:rFonts w:ascii="Arial" w:cs="Arial" w:eastAsia="Arial" w:hAnsi="Arial"/>
          <w:sz w:val="18"/>
          <w:szCs w:val="18"/>
          <w:i w:val="1"/>
          <w:iCs w:val="1"/>
          <w:color w:val="auto"/>
        </w:rPr>
        <w:t>Early Access Program</w:t>
      </w:r>
    </w:p>
    <w:p>
      <w:pPr>
        <w:spacing w:after="0" w:line="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Following the important Collaboration and Partnership work necessary to lay a foundation of publications describing our technology and the initial product applications, we believe we will have a body of scientific evidence sufficient to start building demand for our technology and the single-molecule proteomic data it generates. We then intend to initiate our pre-sales activities, which include the launch of an Early Access Program comprised of a service offering that will generate data on customer biological samples using our prototype systems run by Nautilus staff in our facilities. Using this Early Access Program, we intend to begin building a pipeline of customer engagements, supporting their evaluations of our technology through proof of concept and pilot studies, and giving them access to our data to begin establishing interest in our proteome analysis system leading up to launch.</w:t>
      </w:r>
    </w:p>
    <w:p>
      <w:pPr>
        <w:spacing w:after="0" w:line="11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further intend to build on the momentum of our Early Access Program by expanding it to include a small group of target customers for the sales and subsequent testing of our first generation proteome analysis system on site at their facilities. Our goal in the planned proteome analysis system Early Access Program is to establish this influential group of customers as reference sites ahead of our broader commercial launch, and to integrate the learnings from our system performance outside of our own laboratories to improve the performance and robustness of our system and process design.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Proteome Analysis System Launch and Commercial Scale Up</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full commercial proteome analysis system launch, we expect to continue offering our Proteomic Data Early Access Program, and to maintain the laboratory services to continue supporting POC and pilot projects for an extended period of time to continue building our sales funnel. Our proteome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proteome analysis system commercial launch, we expect future system upgrades and enhancements periodically over time that will further drive discovery potential and our business with each incremental advancement.</w:t>
      </w:r>
    </w:p>
    <w:p>
      <w:pPr>
        <w:spacing w:after="0" w:line="11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9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Being first to market with a novel protein and proteoform detection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Demonstrating the ability to unlock new sources of primary biological information with proteoform mapping and rare protein detection;</w:t>
      </w:r>
    </w:p>
    <w:p>
      <w:pPr>
        <w:spacing w:after="0" w:line="182" w:lineRule="exact"/>
        <w:rPr>
          <w:rFonts w:ascii="Arial" w:cs="Arial" w:eastAsia="Arial" w:hAnsi="Arial"/>
          <w:sz w:val="17"/>
          <w:szCs w:val="17"/>
          <w:color w:val="auto"/>
        </w:rPr>
      </w:pPr>
    </w:p>
    <w:p>
      <w:pPr>
        <w:ind w:left="660" w:right="32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Providing immense data production capacity, driving discovery by enabling large scale studies and building our database to become a strategic asset;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Implementing a proven commercial model with an efficient direct salesforce;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Expanding our impact into clinical applications, precision medicine and diagnostics.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w:t>
      </w:r>
    </w:p>
    <w:p>
      <w:pPr>
        <w:spacing w:after="0" w:line="171"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Genentech using our proteome analysis system to analyze and map the proteoform landscape of a Genentech protein target of interest. We aim to submit results for publication in early 2022.</w:t>
      </w:r>
    </w:p>
    <w:p>
      <w:pPr>
        <w:spacing w:after="0" w:line="1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October 2021, we entered into a research collaboration agreement with Amgen in which the Nautilus platform will be used across a number of projects to investigate proteins and proteoforms of interest to the Company. Also in October 2021, we signed a research agreement with The University of Texas MD Anderson Cancer Center. The Nautilus platform will be applied in measuring the quantity and patterns of post-translational modifications on specific oncology protein targets of interest across different settings, such as pre- and post treatment.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Reagent and Flow Cell Consumables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Arial" w:cs="Arial" w:eastAsia="Arial" w:hAnsi="Arial"/>
          <w:sz w:val="17"/>
          <w:szCs w:val="17"/>
          <w:i w:val="1"/>
          <w:iCs w:val="1"/>
          <w:color w:val="auto"/>
        </w:rPr>
        <w:t>Risk Factors— Risks Related to our Business.</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Instrumentation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proteome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developing their technologies for the life sciences market which may lead to products that rival or replace our products.</w:t>
      </w:r>
    </w:p>
    <w:p>
      <w:pPr>
        <w:spacing w:after="0" w:line="17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2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1440" w:right="379" w:bottom="1440" w:gutter="0" w:footer="0" w:header="0"/>
        </w:sectPr>
      </w:pPr>
    </w:p>
    <w:bookmarkStart w:id="98" w:name="page99"/>
    <w:bookmarkEnd w:id="98"/>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part of the Trump Administration’s efforts to combat COVID-19 and consistent with President Trump’s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announcement issued by the previous administration, this 2020 HHS policy statement is no longer posted on the HHS website. Further, Congress has recently proposed legislation to create a new LDT and in vitro diagnostic regulatory framework for all in vitro clinical tests that would be separate and distinct from the existing medical device regulatory framework. In June 2021, members of the U.S. House of Representatives formally introduced the VALID Act (Verifying Accurate Leading-edge IVCT Development Act of 2021) and an identical version of the bill was introduced in the U.S. Senate. If passed, the VALID Act would create a new category of medical products separate from medical devices called “in vitro clinical tests,” or IVCTs, and bring all such products within the scope of FDA’s oversight. It is unclear whether the VALID Act or any other legislative proposals would be passed by Congress or signed into law by the President.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2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3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2021, we owned four issued U.S. patents, approximately twenty pending U.S. non-provisional patent applications, approximately fourteen pending U.S. provisional patent applications, and approximately forty-two pending foreign patent applications, including four international patent applications filed under the Patent Cooperation Treaty (PCT application). Our owned patents and patent applications, if issued, are expected to expire between 2037 and 2042, in each case absent any patent term adjustments or extensions and assuming payment of all appropriate maintenance, renewal, annuity, or other governmental fees.</w:t>
      </w:r>
    </w:p>
    <w:p>
      <w:pPr>
        <w:spacing w:after="0" w:line="13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2021, we owned approximately six registered trademarks in China, the United Kingdom, and Europe. In addition, we have three pending trademark applications in the U.S., China and Canada.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7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have entered into research collaboration agreements with Genentech in December 2020, with Amgen in October 2021, and with The University of Texas MD Anderson Cancer Center in October 2021. Under each of these agreements, respective research collaboration teams are using the Nautilus platform to analyze and map proteoforms of interest to the specific collaborator. These agreements are for research only and we will not generate any revenue under the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320" w:top="1440" w:right="379" w:bottom="1440" w:gutter="0" w:footer="0" w:header="0"/>
        </w:sectPr>
      </w:pPr>
    </w:p>
    <w:bookmarkStart w:id="101" w:name="page102"/>
    <w:bookmarkEnd w:id="101"/>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Ruedi Aebersold, Ph.D.</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Lee Hartwell, Ph.D.</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Joshua LaBaer, MD, Ph.D.</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Emma Lundberg, Ph.D.</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December 31, 2021, we had 113 employees, all based in the United States, many of whom hold doctorate degrees. Of these employees, 83 were engaged in research and development activities, and 30 were engaged in general and administrative activities. None of our employees are represented by a labor union or covered under a collective bargaining agreement.</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7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principal executive offices are located at 2701 Eastlake Avenue East Seattle, Washington, 98102, and our telephone number is (206) 333-2001. Our investor relations website is located at http://www.nautilus.bio/investors/. Information contained on the website is not incorporated by reference into this prospectus or any other filings we make with the SEC.</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January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040" w:type="dxa"/>
            <w:vAlign w:val="bottom"/>
          </w:tcPr>
          <w:p>
            <w:pPr>
              <w:ind w:left="276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auto"/>
            </w:tcBorders>
            <w:shd w:val="clear" w:color="auto" w:fill="CCEEFF"/>
          </w:tcPr>
          <w:p>
            <w:pPr>
              <w:spacing w:after="0"/>
              <w:rPr>
                <w:sz w:val="19"/>
                <w:szCs w:val="19"/>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Sujal Patel</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Executive Officer, President, Secretary, and Director</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Parag Mallick</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45</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Scientist, Director</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Anna Mowry</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Nick Nelson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39</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 Senior Vice President, Business Development</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Subra Sankar</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62</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Senior Vice President, Product Development</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Murphy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57</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29"/>
        </w:trPr>
        <w:tc>
          <w:tcPr>
            <w:tcW w:w="4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40</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(1)</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(1)(3)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56</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(2)</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60</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51</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04"/>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Matthew L. Posard</w:t>
            </w:r>
            <w:r>
              <w:rPr>
                <w:rFonts w:ascii="Arial" w:cs="Arial" w:eastAsia="Arial" w:hAnsi="Arial"/>
                <w:sz w:val="23"/>
                <w:szCs w:val="23"/>
                <w:color w:val="auto"/>
                <w:vertAlign w:val="superscript"/>
              </w:rPr>
              <w:t>(1)(2)</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54</w:t>
            </w:r>
          </w:p>
        </w:tc>
        <w:tc>
          <w:tcPr>
            <w:tcW w:w="1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i w:val="1"/>
          <w:iCs w:val="1"/>
          <w:color w:val="auto"/>
        </w:rPr>
        <w:t xml:space="preserve">Sujal Patel </w:t>
      </w:r>
      <w:r>
        <w:rPr>
          <w:rFonts w:ascii="Arial" w:cs="Arial" w:eastAsia="Arial" w:hAnsi="Arial"/>
          <w:sz w:val="16"/>
          <w:szCs w:val="16"/>
          <w:color w:val="auto"/>
        </w:rPr>
        <w:t>has served as our Chief Executive Officer, President, Secretary and a member of our board of directors since June 2021. Mr. Patel co-founded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Nautilus and served as 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Mr. Patel is qualified to serve on our board of directors because of his deep knowledge of our business, and strategy, and his extensive executive leadership and operational experience.</w:t>
      </w:r>
    </w:p>
    <w:p>
      <w:pPr>
        <w:spacing w:after="0" w:line="116" w:lineRule="exact"/>
        <w:rPr>
          <w:sz w:val="20"/>
          <w:szCs w:val="20"/>
          <w:color w:val="auto"/>
        </w:rPr>
      </w:pPr>
    </w:p>
    <w:p>
      <w:pPr>
        <w:jc w:val="both"/>
        <w:ind w:right="380"/>
        <w:spacing w:after="0" w:line="287" w:lineRule="auto"/>
        <w:rPr>
          <w:sz w:val="20"/>
          <w:szCs w:val="20"/>
          <w:color w:val="auto"/>
        </w:rPr>
      </w:pPr>
      <w:r>
        <w:rPr>
          <w:rFonts w:ascii="Arial" w:cs="Arial" w:eastAsia="Arial" w:hAnsi="Arial"/>
          <w:sz w:val="16"/>
          <w:szCs w:val="16"/>
          <w:b w:val="1"/>
          <w:bCs w:val="1"/>
          <w:i w:val="1"/>
          <w:iCs w:val="1"/>
          <w:color w:val="auto"/>
        </w:rPr>
        <w:t xml:space="preserve">Parag Mallick </w:t>
      </w:r>
      <w:r>
        <w:rPr>
          <w:rFonts w:ascii="Arial" w:cs="Arial" w:eastAsia="Arial" w:hAnsi="Arial"/>
          <w:sz w:val="16"/>
          <w:szCs w:val="16"/>
          <w:color w:val="auto"/>
        </w:rPr>
        <w:t>has served as our Chief Scientist and a member of our board of directors since June 2021. Dr, Mallick co-founded Legacy Nautilus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its Chief Scientist and a member of its board of directors from December 2016 through the closing of the Business Combination. Dr. Mallick served as Assistant Professor at Stanford University from 2011 to 2017 and as Associate Professor at Stanford University from 2017 to the present.</w:t>
      </w:r>
    </w:p>
    <w:p>
      <w:pPr>
        <w:spacing w:after="0" w:line="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believe Dr. Mallick is qualified to serve on our board of directors because of his scientific expertise and his deep understanding of our business, operations and strategy.</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Anna Mowry </w:t>
      </w:r>
      <w:r>
        <w:rPr>
          <w:rFonts w:ascii="Arial" w:cs="Arial" w:eastAsia="Arial" w:hAnsi="Arial"/>
          <w:sz w:val="17"/>
          <w:szCs w:val="17"/>
          <w:color w:val="auto"/>
        </w:rPr>
        <w:t>has served as our Chief Financial Officer and Treasurer since June 2021. Ms. Mowry served as Legacy Nautilus’ Chief Financial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Treasurer from January 2021 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1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Nick Nelson </w:t>
      </w:r>
      <w:r>
        <w:rPr>
          <w:rFonts w:ascii="Arial" w:cs="Arial" w:eastAsia="Arial" w:hAnsi="Arial"/>
          <w:sz w:val="16"/>
          <w:szCs w:val="16"/>
          <w:color w:val="auto"/>
        </w:rPr>
        <w:t>has served as our Chief Business Officer and Senior Vice President, Business Development since June 2021. Mr Nelson served as Legacy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Nautilus’ Chief Business Officer 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Subra Sankar </w:t>
      </w:r>
      <w:r>
        <w:rPr>
          <w:rFonts w:ascii="Arial" w:cs="Arial" w:eastAsia="Arial" w:hAnsi="Arial"/>
          <w:sz w:val="17"/>
          <w:szCs w:val="17"/>
          <w:color w:val="auto"/>
        </w:rPr>
        <w:t>has served as our Senior Vice President, Product Development since June 2021. Dr. Sankar served as Legacy Nautilus’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Product Development from 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Matt Murphy </w:t>
      </w:r>
      <w:r>
        <w:rPr>
          <w:rFonts w:ascii="Arial" w:cs="Arial" w:eastAsia="Arial" w:hAnsi="Arial"/>
          <w:sz w:val="16"/>
          <w:szCs w:val="16"/>
          <w:color w:val="auto"/>
        </w:rPr>
        <w:t>has served as our General Counsel since June 2021. Mr. Murphy served as Legacy Nautilus’ General Counsel from April 2021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of the Business Combination. Prior to joining us, from August 2020 to March 2021, Mr. Murphy 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Matthew L. Posard </w:t>
      </w:r>
      <w:r>
        <w:rPr>
          <w:rFonts w:ascii="Arial" w:cs="Arial" w:eastAsia="Arial" w:hAnsi="Arial"/>
          <w:sz w:val="18"/>
          <w:szCs w:val="18"/>
          <w:color w:val="auto"/>
        </w:rPr>
        <w:t>has served on our board of directors and as Chairperson since June 2021 and served on the Legacy Nautilus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2019 through the closing of the Business Combination.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DermTech (NASDAQ CM: DMTK), GALT Inc., Stemson Therapeutics, Geneyx Inc. and Vizgen Corp. Mr. Posard holds a B.A. in Management Science from the University of California, San Diego.</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Mr. Posard is qualified to serve on our board of directors because of his extensive experience as an executive and serving on various boards of directors of companies in the life sciences industry.</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Michael Altman, CFA</w:t>
      </w:r>
      <w:r>
        <w:rPr>
          <w:rFonts w:ascii="Arial" w:cs="Arial" w:eastAsia="Arial" w:hAnsi="Arial"/>
          <w:sz w:val="16"/>
          <w:szCs w:val="16"/>
          <w:color w:val="auto"/>
        </w:rPr>
        <w:t>, has served on our board of directors since June 2021 and served on the ARYA board of directors from inception until the closing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Business 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graduated from the University of Vermont with a BS in Business Administration.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believe Mr. Altman is qualified to serve on our board of directors because of his broad operational and transactional experience.</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Melissa Epperly </w:t>
      </w:r>
      <w:r>
        <w:rPr>
          <w:rFonts w:ascii="Arial" w:cs="Arial" w:eastAsia="Arial" w:hAnsi="Arial"/>
          <w:sz w:val="16"/>
          <w:szCs w:val="16"/>
          <w:color w:val="auto"/>
        </w:rPr>
        <w:t>has served on our board of directors since June 2021 and served on the Legacy Nautilus board of directors from January 2021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of the Business Combination. Ms. Epperly currently serves as Chief Financial Officer of Zentalis Pharmaceuticals, Inc. (NASDAQ: ZNTL), a clinical-stage cancer company, a position she has held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Ms. Epperly holds a B.A. in Biochemisty and Economics from the University of Virginia and an M.B.A from Harvard Business School.</w:t>
      </w:r>
    </w:p>
    <w:p>
      <w:pPr>
        <w:spacing w:after="0" w:line="1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believe Ms. Epperly is qualified to serve on our board of directors because of her extensive experience as a senior financing executive in the life sciences industry.</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Matthew McIlwain </w:t>
      </w:r>
      <w:r>
        <w:rPr>
          <w:rFonts w:ascii="Arial" w:cs="Arial" w:eastAsia="Arial" w:hAnsi="Arial"/>
          <w:sz w:val="17"/>
          <w:szCs w:val="17"/>
          <w:color w:val="auto"/>
        </w:rPr>
        <w:t>has served on our board of directors since June 2021 and served on the Legacy Nautilus board of directors from January 2021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closing of the 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Operations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(NYSE: SMAR), Fred Hutchinson Cancer Research Center (past Chair), and the Washington Policy Center. Mr. McIlwain holds a B.A. in Government and Economics from Dartmouth College, an M.P.P. in Public Policy from Harvard University’s Kennedy School of Government,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4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believe Mr. McIlwain is qualified to serve on our board of directors due to his extensive industry background and experience investing in the technology and life sciences industry.</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Farzad Nazem </w:t>
      </w:r>
      <w:r>
        <w:rPr>
          <w:rFonts w:ascii="Arial" w:cs="Arial" w:eastAsia="Arial" w:hAnsi="Arial"/>
          <w:sz w:val="18"/>
          <w:szCs w:val="18"/>
          <w:color w:val="auto"/>
        </w:rPr>
        <w:t>has served on our board of directors since June 2021 and served on the Legacy Nautilus board of directors from June 2017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of the Business Combination. Mr. Nazem spent over 11 years at Yahoo! Inc., a web services provider, 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Mr. Nazem is qualified to serve on our board of directors because of his technical expertise, extensive industry background and management experience.</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Vijay Pande </w:t>
      </w:r>
      <w:r>
        <w:rPr>
          <w:rFonts w:ascii="Arial" w:cs="Arial" w:eastAsia="Arial" w:hAnsi="Arial"/>
          <w:sz w:val="18"/>
          <w:szCs w:val="18"/>
          <w:color w:val="auto"/>
        </w:rPr>
        <w:t>has served on our board of directors since June 2021, and served on the Legacy Nautilus board of directors from May 2018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of the Business Combination.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believe Dr. Pande is qualified to serve on our board of directors because of his extensive industry experience and board experience with healthcare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and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business and affairs are organized under the direction of the board of directors. Our board of directors currently consists of eight (8) members. Mr. Posard serves as Chairperson of our board of directors. The primary responsibilities of the board of directors are to provide oversight, strategic guidance, counseling and direction to our management. The board of directors will meet on a regular basis and additionally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terms of our Certificate of Incorporation and our Bylaws, our board of directors is divided into three staggered classes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Class I, Class II and Class III, with members of each class serving staggered three-year terms. Our board of directors is divided into the following classes:</w:t>
      </w:r>
    </w:p>
    <w:p>
      <w:pPr>
        <w:spacing w:after="0" w:line="18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Class I, which consists of Sujal Patel, Vijay Pande and Michael Altman, whose terms expire at our annual meeting of stockholders in 2022;</w:t>
      </w:r>
    </w:p>
    <w:p>
      <w:pPr>
        <w:spacing w:after="0" w:line="182" w:lineRule="exact"/>
        <w:rPr>
          <w:rFonts w:ascii="Arial" w:cs="Arial" w:eastAsia="Arial" w:hAnsi="Arial"/>
          <w:sz w:val="17"/>
          <w:szCs w:val="17"/>
          <w:color w:val="auto"/>
        </w:rPr>
      </w:pPr>
    </w:p>
    <w:p>
      <w:pPr>
        <w:ind w:left="660" w:right="2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 II, which consists of Parag Mallick, Farzad Nazem and Matthew McIllwain, whose terms expire at our annual meeting of stockholders in 2023;</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 III, which consists of Melissa Epperly and Matthew Posard, whose terms expire at our annual meeting of stockholders in 2024;</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the board of directors may have the effect of delaying or preventing changes in our control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board of directors has determined that each of our directors other than Mr. Patel and Dr. Mallick qualify as independent directors, as defined under the rules of the Nasdaq listing standards, and our board of directors consists of a majority of “independent directors,” as defined under the rules of the SEC and Nasdaq relating to the membership, qualifications, and operations of the audit committee, as discussed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members of our audit committee are Matthew McIlwain, Matthew Posard, and Melissa Epperly, and Ms. Epperly serves as the chairperson of the audit committee. Under the Nasdaq listing rules and applicable SEC rules, we are required to have at least three members of the audit committee. The rules of Nasdaq and Rule 10A-3 of the Exchange Act require that the audit committee of a listed company be composed solely of independent directors for audit committee purposes, and each member qualifies as an independent director for audit committee purposes under applicable rules. Each of Matthew McIlwain, Matthew Posard, and Melissa Epperly is financially literate and each of Matthew McIlwain and Melissa Epperly qualifies as an “audit committee financial expert” as defined in applicable SEC rules.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our audit committee include, among other things, to:</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registered public accounting firm;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 the independence and qualifications of our independent registered public accounting firm;</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our financial statements, and discuss with management and our independent registered public accounting firm the results of the annual audit and the quarterly reviews;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quality and adequacy of our internal controls and our disclosure controls and procedures;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discuss with management our procedures regarding the presentation of our financial information, and review earnings press releases and guidance;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left="660" w:right="10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our independent registered public accounting firm and oversee compliance with such policies;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monitor compliance with our Code of Business Conduct and Ethics and consider questions of actual or possible conflicts of interest of our directors and officers;</w:t>
      </w:r>
    </w:p>
    <w:p>
      <w:pPr>
        <w:spacing w:after="0" w:line="116" w:lineRule="exact"/>
        <w:rPr>
          <w:rFonts w:ascii="Arial" w:cs="Arial" w:eastAsia="Arial" w:hAnsi="Arial"/>
          <w:sz w:val="18"/>
          <w:szCs w:val="18"/>
          <w:color w:val="auto"/>
        </w:rPr>
      </w:pPr>
    </w:p>
    <w:p>
      <w:pPr>
        <w:ind w:left="660" w:right="880" w:hanging="328"/>
        <w:spacing w:after="0" w:line="342"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69" w:lineRule="exact"/>
        <w:rPr>
          <w:rFonts w:ascii="Arial" w:cs="Arial" w:eastAsia="Arial" w:hAnsi="Arial"/>
          <w:sz w:val="16"/>
          <w:szCs w:val="16"/>
          <w:color w:val="auto"/>
        </w:rPr>
      </w:pPr>
    </w:p>
    <w:p>
      <w:pPr>
        <w:ind w:left="660" w:right="74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adequacy and effectiveness of our legal, regulatory and ethical compliance programs; and</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our guidelines and policies to identify, monitor and address enterprise risks.</w:t>
      </w:r>
    </w:p>
    <w:p>
      <w:pPr>
        <w:spacing w:after="0" w:line="116" w:lineRule="exact"/>
        <w:rPr>
          <w:sz w:val="20"/>
          <w:szCs w:val="20"/>
          <w:color w:val="auto"/>
        </w:rPr>
      </w:pPr>
    </w:p>
    <w:p>
      <w:pPr>
        <w:ind w:right="420"/>
        <w:spacing w:after="0" w:line="438" w:lineRule="auto"/>
        <w:rPr>
          <w:sz w:val="20"/>
          <w:szCs w:val="20"/>
          <w:color w:val="auto"/>
        </w:rPr>
      </w:pPr>
      <w:r>
        <w:rPr>
          <w:rFonts w:ascii="Arial" w:cs="Arial" w:eastAsia="Arial" w:hAnsi="Arial"/>
          <w:sz w:val="18"/>
          <w:szCs w:val="18"/>
          <w:color w:val="auto"/>
        </w:rPr>
        <w:t xml:space="preserve">Our audit committee operates under a written charter that satisfies the applicable rules and regulations of the SEC and the listing standards of Nasdaq. </w:t>
      </w:r>
      <w:r>
        <w:rPr>
          <w:rFonts w:ascii="Arial" w:cs="Arial" w:eastAsia="Arial" w:hAnsi="Arial"/>
          <w:sz w:val="18"/>
          <w:szCs w:val="18"/>
          <w:b w:val="1"/>
          <w:bCs w:val="1"/>
          <w:i w:val="1"/>
          <w:iCs w:val="1"/>
          <w:color w:val="auto"/>
        </w:rPr>
        <w:t>Compensation Committee</w:t>
      </w:r>
    </w:p>
    <w:p>
      <w:pPr>
        <w:spacing w:after="0" w:line="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members of our compensation committee are Michael Altman, Farzad Nazem, and Matthew Posard, and Mr. Posard serves as the chairperson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our compensation committee include, among other things, to:</w:t>
      </w:r>
    </w:p>
    <w:p>
      <w:pPr>
        <w:spacing w:after="0" w:line="171" w:lineRule="exact"/>
        <w:rPr>
          <w:sz w:val="20"/>
          <w:szCs w:val="20"/>
          <w:color w:val="auto"/>
        </w:rPr>
      </w:pPr>
    </w:p>
    <w:p>
      <w:pPr>
        <w:ind w:left="660" w:right="70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and approve or recommend to our board of directors for approval the compensation for our executive officers, including our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approve and administer our employee benefit and equity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advise our board of directors on stockholder proposals related to executive compensation matters;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and review the compensation plans and programs of our employees, and ensure that they are consistent with our general compensation strategy;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 the management of risks relating to executive compensation plans and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monitor compliance with any stock ownership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approve the creation or revision of any clawback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and approve or recommend to our board of directors for approval non-employee director compensation;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executive compensation disclosure in our SEC filings and prepare the compensation committee report required to be included in our annual proxy statement.</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compensation committee operates under a written charter that satisfies the applicable rules and regulations of the SEC and the listing standards of Nasdaq.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members of our nominating and corporate governance committee are Matthew McIlwain and Vijay Pande, and Mr. McIlwain serves as the chairperson of the nominating and corporate governance committee. Our board of</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20"/>
          </w:cols>
          <w:pgMar w:left="320" w:top="1440" w:right="359" w:bottom="1440" w:gutter="0" w:footer="0" w:header="0"/>
          <w:type w:val="continuous"/>
        </w:sectPr>
      </w:pPr>
    </w:p>
    <w:bookmarkStart w:id="108" w:name="page109"/>
    <w:bookmarkEnd w:id="108"/>
    <w:p>
      <w:pPr>
        <w:spacing w:after="0" w:line="14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directors has determined that each of the members of our nominating and corporate governance committee satisfy the independence requirements of Nasdaq.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our nominating and corporate governance committee include, among other things, to:</w:t>
      </w:r>
    </w:p>
    <w:p>
      <w:pPr>
        <w:spacing w:after="0" w:line="171" w:lineRule="exact"/>
        <w:rPr>
          <w:sz w:val="20"/>
          <w:szCs w:val="20"/>
          <w:color w:val="auto"/>
        </w:rPr>
      </w:pPr>
    </w:p>
    <w:p>
      <w:pPr>
        <w:ind w:left="660" w:right="10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assess and make recommendations to our board of directors regarding desired qualifications, expertise and characteristics sought of board members;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identify, evaluate, select or make recommendations to our board of directors regarding nominees for election to our board of directors;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 policies and procedures for considering stockholder nominees for election to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our succession planning process for our chief executive officer and any other members of our executive management team;</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and make recommendations to our board of directors regarding the composition, organization and governance of our board of directors and its committees;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 and make recommendations to our board of directors regarding our corporate governance guidelines and corporate governance framework;</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director orientation for new directors and continuing education for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our Environmental, Social and Governance (“ESG”) programs and related disclosures and communications;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the evaluation of the performance of our board of directors and its committees;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administer policies and procedures for communications with the non-management members of our board of directors.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rules and regulations of the SEC and the listing standards of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or our compensation committee determine the annual compensation to be paid to the members of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None of the members of our compensation committee has ever been an executive officer or employee of Nautilus. Mr. Altman served as ARYA’s Chief Financial Officer and director from its inception until the closing of the Business Combination.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 See the section titled “</w:t>
      </w:r>
      <w:r>
        <w:rPr>
          <w:rFonts w:ascii="Arial" w:cs="Arial" w:eastAsia="Arial" w:hAnsi="Arial"/>
          <w:sz w:val="16"/>
          <w:szCs w:val="16"/>
          <w:i w:val="1"/>
          <w:iCs w:val="1"/>
          <w:color w:val="auto"/>
        </w:rPr>
        <w:t>Certain Relationships, Related Party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for information about related party transactions involving members of our compensation committee or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9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spacing w:after="0" w:line="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This section provides an overview of our and Legacy Nautilus’ executive compensation programs, including a narrative description of the material factors necessary to understand the information disclosed in the summary compensation table below. As used in this section, “Nautilus,” the “Company,” “we,” “us” and “our” refer to Legacy Nautilus prior to the closing of the Business Combination and New Nautilus after the closing of the Business Combination. Upon the closing of the Business Combination, the executive officers of Legacy Nautilus became executive officers of New Nautilus.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board of directors, with input from its Chief Executive Officer, has historically determined the compensation for our named executive officers. For the year ended December 31, 2021, our named executive officers were:</w:t>
      </w:r>
    </w:p>
    <w:p>
      <w:pPr>
        <w:spacing w:after="0" w:line="11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Sujal Patel, Chief Executive Officer, President, and Secretary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Parag Mallick, Chief Scientist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Matt Murphy, General Counsel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the Fiscal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compensation earned by our named executive officers for the fiscal years ended December 31, 2021 and December 31,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Non-equity</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incentive</w:t>
            </w:r>
          </w:p>
        </w:tc>
        <w:tc>
          <w:tcPr>
            <w:tcW w:w="940" w:type="dxa"/>
            <w:vAlign w:val="bottom"/>
            <w:vMerge w:val="restart"/>
          </w:tcPr>
          <w:p>
            <w:pPr>
              <w:jc w:val="center"/>
              <w:ind w:left="278"/>
              <w:spacing w:after="0"/>
              <w:rPr>
                <w:sz w:val="20"/>
                <w:szCs w:val="20"/>
                <w:color w:val="auto"/>
              </w:rPr>
            </w:pPr>
            <w:r>
              <w:rPr>
                <w:rFonts w:ascii="Arial" w:cs="Arial" w:eastAsia="Arial" w:hAnsi="Arial"/>
                <w:sz w:val="14"/>
                <w:szCs w:val="14"/>
                <w:b w:val="1"/>
                <w:bCs w:val="1"/>
                <w:color w:val="auto"/>
                <w:w w:val="95"/>
              </w:rPr>
              <w:t>All other</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plan</w:t>
            </w:r>
          </w:p>
        </w:tc>
        <w:tc>
          <w:tcPr>
            <w:tcW w:w="9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awards</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6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16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100" w:type="dxa"/>
            <w:vAlign w:val="bottom"/>
          </w:tcPr>
          <w:p>
            <w:pPr>
              <w:spacing w:after="0"/>
              <w:rPr>
                <w:sz w:val="16"/>
                <w:szCs w:val="16"/>
                <w:color w:val="auto"/>
              </w:rPr>
            </w:pPr>
          </w:p>
        </w:tc>
        <w:tc>
          <w:tcPr>
            <w:tcW w:w="940" w:type="dxa"/>
            <w:vAlign w:val="bottom"/>
          </w:tcPr>
          <w:p>
            <w:pPr>
              <w:jc w:val="center"/>
              <w:ind w:left="27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Sujal Patel</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8"/>
              </w:rPr>
              <w:t>President, Chief Executive Officer and</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436,731</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5,953,337</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154,583</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60,684</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6,605,335</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Secretary</w:t>
            </w: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(3)</w:t>
            </w: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(4)</w:t>
            </w: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251,450</w:t>
            </w:r>
          </w:p>
        </w:tc>
        <w:tc>
          <w:tcPr>
            <w:tcW w:w="0" w:type="dxa"/>
            <w:vAlign w:val="bottom"/>
          </w:tcPr>
          <w:p>
            <w:pPr>
              <w:spacing w:after="0"/>
              <w:rPr>
                <w:sz w:val="1"/>
                <w:szCs w:val="1"/>
                <w:color w:val="auto"/>
              </w:rPr>
            </w:pPr>
          </w:p>
        </w:tc>
      </w:tr>
      <w:tr>
        <w:trPr>
          <w:trHeight w:val="234"/>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Parag Mallick</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240"/>
              <w:spacing w:after="0"/>
              <w:rPr>
                <w:sz w:val="20"/>
                <w:szCs w:val="20"/>
                <w:color w:val="auto"/>
              </w:rPr>
            </w:pPr>
            <w:r>
              <w:rPr>
                <w:rFonts w:ascii="Arial" w:cs="Arial" w:eastAsia="Arial" w:hAnsi="Arial"/>
                <w:sz w:val="18"/>
                <w:szCs w:val="18"/>
                <w:i w:val="1"/>
                <w:iCs w:val="1"/>
                <w:color w:val="auto"/>
              </w:rPr>
              <w:t>Chief Scientist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379,808</w:t>
            </w:r>
          </w:p>
        </w:tc>
        <w:tc>
          <w:tcPr>
            <w:tcW w:w="360" w:type="dxa"/>
            <w:vAlign w:val="bottom"/>
          </w:tcPr>
          <w:p>
            <w:pPr>
              <w:jc w:val="right"/>
              <w:ind w:right="122"/>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3,501,960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117,742</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3,999,510</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Matt Murphy</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General Counsel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231,096</w:t>
            </w:r>
          </w:p>
        </w:tc>
        <w:tc>
          <w:tcPr>
            <w:tcW w:w="3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(7)</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2,484,767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2,790,457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or 2021,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These amounts represent performance-based cash bonuses earned under the Incentive Plan (as defined below) based upon the achievement of objectives for the year ended December 31, 2021, which were paid in 2022 (other than with respect to $15,250 paid to Mr. Murphy in 2021 for individual performance objectives achieved during the year), and under the 2020 Nautilus employee bonus plan based upon the achievement of objectives for the year ended December 31, 2020, which were paid in 2021. The Incentive Plan is more fully described below under the section titled “—Non-Equity Incentive Plan Compensation.”</w:t>
      </w:r>
    </w:p>
    <w:p>
      <w:pPr>
        <w:spacing w:after="0" w:line="1" w:lineRule="exact"/>
        <w:rPr>
          <w:rFonts w:ascii="Arial" w:cs="Arial" w:eastAsia="Arial" w:hAnsi="Arial"/>
          <w:sz w:val="14"/>
          <w:szCs w:val="14"/>
          <w:color w:val="auto"/>
        </w:rPr>
      </w:pPr>
    </w:p>
    <w:p>
      <w:pPr>
        <w:ind w:left="340" w:right="80" w:hanging="332"/>
        <w:spacing w:after="0" w:line="255"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 reported reflects the total salary earned by Mr. Patel for 2021. Mr. Patel’s annual base salary was $350,000 from January 2021 until the closing of the Business Combination on June 9, 2021 and was increased to an annual base salary of $500,000, effective as of the closing of the Business Combination on June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9" w:lineRule="exact"/>
        <w:rPr>
          <w:sz w:val="20"/>
          <w:szCs w:val="20"/>
          <w:color w:val="auto"/>
        </w:rPr>
      </w:pPr>
    </w:p>
    <w:p>
      <w:pPr>
        <w:ind w:left="340" w:right="220" w:hanging="332"/>
        <w:spacing w:after="0" w:line="250" w:lineRule="auto"/>
        <w:tabs>
          <w:tab w:leader="none" w:pos="33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represent (i) $1,200 in parking benefits and (ii) $59,484 in payment of a filing fee for a notice required under the Hart-Scott-Rodino Antitrust Improvements Act of 1976, as amended, to permit Mr. Patel to acquire additional Company securities and related tax equalization payments.</w:t>
      </w: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represent (i) $1,200 in parking benefits and (ii) $250 for expenses associated with working from home.</w:t>
      </w:r>
    </w:p>
    <w:p>
      <w:pPr>
        <w:spacing w:after="0" w:line="1" w:lineRule="exact"/>
        <w:rPr>
          <w:rFonts w:ascii="Arial" w:cs="Arial" w:eastAsia="Arial" w:hAnsi="Arial"/>
          <w:sz w:val="14"/>
          <w:szCs w:val="14"/>
          <w:color w:val="auto"/>
        </w:rPr>
      </w:pPr>
    </w:p>
    <w:p>
      <w:pPr>
        <w:ind w:left="340" w:right="780" w:hanging="332"/>
        <w:spacing w:after="0" w:line="260" w:lineRule="auto"/>
        <w:tabs>
          <w:tab w:leader="none" w:pos="332"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amount reported reflects the total salary earned by Dr. Mallick for 2021. Dr. Mallick’s annual base salary was $350,000 from January 2021 until the closing of the Business Combination on June 9, 2021 and was increased to an annual base salary of $400,000, effective as of the closing of the Business Combination on June 9, 2021.</w:t>
      </w:r>
    </w:p>
    <w:p>
      <w:pPr>
        <w:ind w:left="340" w:right="140" w:hanging="332"/>
        <w:spacing w:after="0" w:line="241" w:lineRule="auto"/>
        <w:tabs>
          <w:tab w:leader="none" w:pos="332"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Murphy commenced employment with us in April 2021, and therefore the compensation set forth in the table above reflects the amount earned for the portion of 2021 in which he was employed by us.</w:t>
      </w: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 reported reflects $250 for expenses associated with working from home.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7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January 2021, Legacy Nautilus’ board of directors adopted an annual bonus program (the “Nautilus Employee Bonus Plan”) for eligible employees, including its executives, providing for cash incentive opportunities payable based on the extent of achievement of specified performance criteria for 2021. In June 2021 when our board of directors approved the adoption of the Company’s Executive Incentive Compensation Plan (the “Incentive Plan”), the Nautilus Employee Bonus Plan became subject to the additional terms and conditions of the Incentive Plan.</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performance criteria for the Nautilus Employee Bonus Plan under the Incentive Plan consisted of four financial or strategic goals with respect to Nautilus (or “corporate performance goals”) for the 2021 year, as determined by our board of directors, that applied to each of our named executive officers. Each corporate performance goal was provided a specific weighting, and the extent of achievement of each such goal (expressed as a percentage and weighted accordingly) determined the payout with respect to the portion of the bonus opportunity allocated to such goal. For Mr. Murphy, the Nautilus Employee Bonus Plan additionally provided for individual performance goals (as determined by the compensation committee of our board of directors, and which related to corporate and strategic objectives specific to Mr. Murphy) that were required to be achieved during a given fiscal quarter of the 2021 year, for the second through fourth fiscal quarters. Mr. Murphy’s total cash incentive opportunity for 2021 was based 75% on corporate performance goals (prorated for the portion of the year that Mr. Murphy was employed by the Company) and 25% on individual performance goals (for the second, third, and fourth quarters of the year, based on the portion of the year that Mr. Murphy was employed by the Company). Mr. Patel and Dr. Mallick’s cash incentive opportunities for 2021 were based 100% on the corporate performance goals. Cash bonuses under the Nautilus Employee Bonus Plan that became payable based on achievement of the corporate performance goals were paid to participants, including to each of our named executive officers, in early 2022, and any bonuses that became payable to Mr. Murphy based on achievement of his individual performance goals were paid shortly following end of the quarter to which the performance achievement related.</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amounts in the Summary Compensation Table under the column “Non-equity incentive plan compensation” for each named executive officer is based on such officer’s target bonus amount multiplied by the aggregate percentage of achievement of the corporate performance goals, provided that for Mr. Murphy, the amount also includes the cash bonuses paid to him for achievement of his individual performance goals, based on his target bonus opportunity allocated to the individual performance component, multiplied by the percentage of achievement of such goals for the applicable quarter. For 2021, the cash incentive bonus under the Nautilus Employee Bonus Plan for our named executive officers was $154,583 for Mr. Patel, $117,742 for Dr. Mallick and $74,344 for Mr. Murphy (of which $51,469 was paid out based on achievement of the corporate performance goals and $22,875 was paid out based on achievement of his individual performance goals).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December 31, 2021</w:t>
      </w:r>
    </w:p>
    <w:p>
      <w:pPr>
        <w:spacing w:after="0" w:line="17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sets forth certain information regarding equity awards granted to the named executive officers that remained outstanding as of December 31, 2021. The number of shares subject to each award and,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applicable, the exercise price per share, reflect all changes as a result of our capitalization adjustments in connection with the Business Combination.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Option Awards</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Number of</w:t>
            </w:r>
          </w:p>
        </w:tc>
        <w:tc>
          <w:tcPr>
            <w:tcW w:w="1480" w:type="dxa"/>
            <w:vAlign w:val="bottom"/>
          </w:tcPr>
          <w:p>
            <w:pPr>
              <w:jc w:val="center"/>
              <w:ind w:left="254"/>
              <w:spacing w:after="0" w:line="122" w:lineRule="exact"/>
              <w:rPr>
                <w:sz w:val="20"/>
                <w:szCs w:val="20"/>
                <w:color w:val="auto"/>
              </w:rPr>
            </w:pPr>
            <w:r>
              <w:rPr>
                <w:rFonts w:ascii="Arial" w:cs="Arial" w:eastAsia="Arial" w:hAnsi="Arial"/>
                <w:sz w:val="13"/>
                <w:szCs w:val="13"/>
                <w:b w:val="1"/>
                <w:bCs w:val="1"/>
                <w:color w:val="auto"/>
                <w:w w:val="92"/>
              </w:rPr>
              <w:t>Number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2"/>
              </w:rPr>
              <w:t>securities</w:t>
            </w:r>
          </w:p>
        </w:tc>
        <w:tc>
          <w:tcPr>
            <w:tcW w:w="1480" w:type="dxa"/>
            <w:vAlign w:val="bottom"/>
          </w:tcPr>
          <w:p>
            <w:pPr>
              <w:jc w:val="center"/>
              <w:ind w:left="234"/>
              <w:spacing w:after="0" w:line="122" w:lineRule="exact"/>
              <w:rPr>
                <w:sz w:val="20"/>
                <w:szCs w:val="20"/>
                <w:color w:val="auto"/>
              </w:rPr>
            </w:pPr>
            <w:r>
              <w:rPr>
                <w:rFonts w:ascii="Arial" w:cs="Arial" w:eastAsia="Arial" w:hAnsi="Arial"/>
                <w:sz w:val="13"/>
                <w:szCs w:val="13"/>
                <w:b w:val="1"/>
                <w:bCs w:val="1"/>
                <w:color w:val="auto"/>
                <w:w w:val="82"/>
              </w:rPr>
              <w:t>securities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0"/>
              </w:rPr>
              <w:t>underlying</w:t>
            </w:r>
          </w:p>
        </w:tc>
        <w:tc>
          <w:tcPr>
            <w:tcW w:w="1480" w:type="dxa"/>
            <w:vAlign w:val="bottom"/>
          </w:tcPr>
          <w:p>
            <w:pPr>
              <w:jc w:val="center"/>
              <w:ind w:left="254"/>
              <w:spacing w:after="0" w:line="122" w:lineRule="exact"/>
              <w:rPr>
                <w:sz w:val="20"/>
                <w:szCs w:val="20"/>
                <w:color w:val="auto"/>
              </w:rPr>
            </w:pPr>
            <w:r>
              <w:rPr>
                <w:rFonts w:ascii="Arial" w:cs="Arial" w:eastAsia="Arial" w:hAnsi="Arial"/>
                <w:sz w:val="13"/>
                <w:szCs w:val="13"/>
                <w:b w:val="1"/>
                <w:bCs w:val="1"/>
                <w:color w:val="auto"/>
                <w:w w:val="90"/>
              </w:rPr>
              <w:t>underlying</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5"/>
              </w:rPr>
              <w:t>Option</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unexercised</w:t>
            </w:r>
          </w:p>
        </w:tc>
        <w:tc>
          <w:tcPr>
            <w:tcW w:w="1480" w:type="dxa"/>
            <w:vAlign w:val="bottom"/>
          </w:tcPr>
          <w:p>
            <w:pPr>
              <w:jc w:val="center"/>
              <w:ind w:left="254"/>
              <w:spacing w:after="0" w:line="122" w:lineRule="exact"/>
              <w:rPr>
                <w:sz w:val="20"/>
                <w:szCs w:val="20"/>
                <w:color w:val="auto"/>
              </w:rPr>
            </w:pPr>
            <w:r>
              <w:rPr>
                <w:rFonts w:ascii="Arial" w:cs="Arial" w:eastAsia="Arial" w:hAnsi="Arial"/>
                <w:sz w:val="13"/>
                <w:szCs w:val="13"/>
                <w:b w:val="1"/>
                <w:bCs w:val="1"/>
                <w:color w:val="auto"/>
                <w:w w:val="84"/>
              </w:rPr>
              <w:t>unexercised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440" w:type="dxa"/>
            <w:vAlign w:val="bottom"/>
            <w:vMerge w:val="restart"/>
          </w:tcPr>
          <w:p>
            <w:pPr>
              <w:jc w:val="right"/>
              <w:ind w:right="472"/>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22"/>
        </w:trPr>
        <w:tc>
          <w:tcPr>
            <w:tcW w:w="3000" w:type="dxa"/>
            <w:vAlign w:val="bottom"/>
            <w:vMerge w:val="restart"/>
          </w:tcPr>
          <w:p>
            <w:pPr>
              <w:ind w:left="1340"/>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0"/>
                <w:szCs w:val="10"/>
                <w:color w:val="auto"/>
              </w:rPr>
            </w:pPr>
          </w:p>
        </w:tc>
        <w:tc>
          <w:tcPr>
            <w:tcW w:w="144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Grant Date</w:t>
            </w:r>
          </w:p>
        </w:tc>
        <w:tc>
          <w:tcPr>
            <w:tcW w:w="340" w:type="dxa"/>
            <w:vAlign w:val="bottom"/>
            <w:vMerge w:val="restart"/>
          </w:tcPr>
          <w:p>
            <w:pPr>
              <w:spacing w:after="0"/>
              <w:rPr>
                <w:sz w:val="10"/>
                <w:szCs w:val="10"/>
                <w:color w:val="auto"/>
              </w:rPr>
            </w:pP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options</w:t>
            </w:r>
          </w:p>
        </w:tc>
        <w:tc>
          <w:tcPr>
            <w:tcW w:w="1480" w:type="dxa"/>
            <w:vAlign w:val="bottom"/>
          </w:tcPr>
          <w:p>
            <w:pPr>
              <w:jc w:val="center"/>
              <w:ind w:left="254"/>
              <w:spacing w:after="0" w:line="122" w:lineRule="exact"/>
              <w:rPr>
                <w:sz w:val="20"/>
                <w:szCs w:val="20"/>
                <w:color w:val="auto"/>
              </w:rPr>
            </w:pPr>
            <w:r>
              <w:rPr>
                <w:rFonts w:ascii="Arial" w:cs="Arial" w:eastAsia="Arial" w:hAnsi="Arial"/>
                <w:sz w:val="13"/>
                <w:szCs w:val="13"/>
                <w:b w:val="1"/>
                <w:bCs w:val="1"/>
                <w:color w:val="auto"/>
                <w:w w:val="85"/>
              </w:rPr>
              <w:t>options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2"/>
              </w:rPr>
              <w:t>exercise price</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 exercisable</w:t>
            </w:r>
          </w:p>
        </w:tc>
        <w:tc>
          <w:tcPr>
            <w:tcW w:w="80" w:type="dxa"/>
            <w:vAlign w:val="bottom"/>
          </w:tcPr>
          <w:p>
            <w:pPr>
              <w:spacing w:after="0"/>
              <w:rPr>
                <w:sz w:val="15"/>
                <w:szCs w:val="15"/>
                <w:color w:val="auto"/>
              </w:rPr>
            </w:pPr>
          </w:p>
        </w:tc>
        <w:tc>
          <w:tcPr>
            <w:tcW w:w="1480" w:type="dxa"/>
            <w:vAlign w:val="bottom"/>
          </w:tcPr>
          <w:p>
            <w:pPr>
              <w:jc w:val="center"/>
              <w:ind w:left="254"/>
              <w:spacing w:after="0" w:line="175" w:lineRule="exact"/>
              <w:rPr>
                <w:sz w:val="20"/>
                <w:szCs w:val="20"/>
                <w:color w:val="auto"/>
              </w:rPr>
            </w:pPr>
            <w:r>
              <w:rPr>
                <w:rFonts w:ascii="Arial" w:cs="Arial" w:eastAsia="Arial" w:hAnsi="Arial"/>
                <w:sz w:val="13"/>
                <w:szCs w:val="13"/>
                <w:b w:val="1"/>
                <w:bCs w:val="1"/>
                <w:color w:val="auto"/>
                <w:w w:val="83"/>
              </w:rPr>
              <w:t>(#) unexercisable</w:t>
            </w:r>
            <w:r>
              <w:rPr>
                <w:rFonts w:ascii="Arial" w:cs="Arial" w:eastAsia="Arial" w:hAnsi="Arial"/>
                <w:sz w:val="16"/>
                <w:szCs w:val="16"/>
                <w:b w:val="1"/>
                <w:bCs w:val="1"/>
                <w:color w:val="auto"/>
                <w:w w:val="83"/>
                <w:vertAlign w:val="superscript"/>
              </w:rPr>
              <w:t>(1)</w:t>
            </w:r>
          </w:p>
        </w:tc>
        <w:tc>
          <w:tcPr>
            <w:tcW w:w="300" w:type="dxa"/>
            <w:vAlign w:val="bottom"/>
            <w:vMerge w:val="restart"/>
          </w:tcPr>
          <w:p>
            <w:pPr>
              <w:jc w:val="right"/>
              <w:ind w:right="73"/>
              <w:spacing w:after="0"/>
              <w:rPr>
                <w:sz w:val="20"/>
                <w:szCs w:val="20"/>
                <w:color w:val="auto"/>
              </w:rPr>
            </w:pPr>
            <w:r>
              <w:rPr>
                <w:rFonts w:ascii="Arial" w:cs="Arial" w:eastAsia="Arial" w:hAnsi="Arial"/>
                <w:sz w:val="9"/>
                <w:szCs w:val="9"/>
                <w:color w:val="auto"/>
              </w:rPr>
              <w:t>(4)</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w w:val="96"/>
                <w:vertAlign w:val="subscript"/>
              </w:rPr>
              <w:t>($)</w:t>
            </w:r>
            <w:r>
              <w:rPr>
                <w:rFonts w:ascii="Arial" w:cs="Arial" w:eastAsia="Arial" w:hAnsi="Arial"/>
                <w:sz w:val="7"/>
                <w:szCs w:val="7"/>
                <w:b w:val="1"/>
                <w:bCs w:val="1"/>
                <w:color w:val="auto"/>
                <w:w w:val="96"/>
              </w:rPr>
              <w:t>(2)</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expiration date</w:t>
            </w:r>
          </w:p>
        </w:tc>
        <w:tc>
          <w:tcPr>
            <w:tcW w:w="0" w:type="dxa"/>
            <w:vAlign w:val="bottom"/>
          </w:tcPr>
          <w:p>
            <w:pPr>
              <w:spacing w:after="0"/>
              <w:rPr>
                <w:sz w:val="1"/>
                <w:szCs w:val="1"/>
                <w:color w:val="auto"/>
              </w:rPr>
            </w:pPr>
          </w:p>
        </w:tc>
      </w:tr>
      <w:tr>
        <w:trPr>
          <w:trHeight w:val="49"/>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color w:val="auto"/>
              </w:rPr>
              <w:t>Sujal Patel</w:t>
            </w:r>
          </w:p>
        </w:tc>
        <w:tc>
          <w:tcPr>
            <w:tcW w:w="1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 xml:space="preserve">1/31/2021 </w:t>
            </w:r>
            <w:r>
              <w:rPr>
                <w:rFonts w:ascii="Arial" w:cs="Arial" w:eastAsia="Arial" w:hAnsi="Arial"/>
                <w:sz w:val="9"/>
                <w:szCs w:val="9"/>
                <w:color w:val="auto"/>
              </w:rPr>
              <w:t>(3)</w:t>
            </w:r>
          </w:p>
        </w:tc>
        <w:tc>
          <w:tcPr>
            <w:tcW w:w="1520" w:type="dxa"/>
            <w:vAlign w:val="bottom"/>
            <w:gridSpan w:val="2"/>
            <w:vMerge w:val="restart"/>
          </w:tcPr>
          <w:p>
            <w:pPr>
              <w:ind w:left="122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34"/>
              <w:spacing w:after="0"/>
              <w:rPr>
                <w:sz w:val="20"/>
                <w:szCs w:val="20"/>
                <w:color w:val="auto"/>
              </w:rPr>
            </w:pPr>
            <w:r>
              <w:rPr>
                <w:rFonts w:ascii="Arial" w:cs="Arial" w:eastAsia="Arial" w:hAnsi="Arial"/>
                <w:sz w:val="14"/>
                <w:szCs w:val="14"/>
                <w:color w:val="auto"/>
              </w:rPr>
              <w:t>788,833</w:t>
            </w: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1/31/2031</w:t>
            </w:r>
          </w:p>
        </w:tc>
        <w:tc>
          <w:tcPr>
            <w:tcW w:w="0" w:type="dxa"/>
            <w:vAlign w:val="bottom"/>
          </w:tcPr>
          <w:p>
            <w:pPr>
              <w:spacing w:after="0"/>
              <w:rPr>
                <w:sz w:val="1"/>
                <w:szCs w:val="1"/>
                <w:color w:val="auto"/>
              </w:rPr>
            </w:pPr>
          </w:p>
        </w:tc>
      </w:tr>
      <w:tr>
        <w:trPr>
          <w:trHeight w:val="127"/>
        </w:trPr>
        <w:tc>
          <w:tcPr>
            <w:tcW w:w="3100" w:type="dxa"/>
            <w:vAlign w:val="bottom"/>
            <w:gridSpan w:val="2"/>
            <w:vMerge w:val="continue"/>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300" w:type="dxa"/>
            <w:vAlign w:val="bottom"/>
            <w:vMerge w:val="restart"/>
          </w:tcPr>
          <w:p>
            <w:pPr>
              <w:jc w:val="right"/>
              <w:ind w:right="73"/>
              <w:spacing w:after="0"/>
              <w:rPr>
                <w:sz w:val="20"/>
                <w:szCs w:val="20"/>
                <w:color w:val="auto"/>
              </w:rPr>
            </w:pPr>
            <w:r>
              <w:rPr>
                <w:rFonts w:ascii="Arial" w:cs="Arial" w:eastAsia="Arial" w:hAnsi="Arial"/>
                <w:sz w:val="9"/>
                <w:szCs w:val="9"/>
                <w:color w:val="auto"/>
              </w:rPr>
              <w:t>(4)</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color w:val="auto"/>
              </w:rPr>
              <w:t>Parag Mallick</w:t>
            </w:r>
          </w:p>
        </w:tc>
        <w:tc>
          <w:tcPr>
            <w:tcW w:w="1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 xml:space="preserve">1/31/2021 </w:t>
            </w:r>
            <w:r>
              <w:rPr>
                <w:rFonts w:ascii="Arial" w:cs="Arial" w:eastAsia="Arial" w:hAnsi="Arial"/>
                <w:sz w:val="9"/>
                <w:szCs w:val="9"/>
                <w:color w:val="auto"/>
              </w:rPr>
              <w:t>(3)</w:t>
            </w:r>
          </w:p>
        </w:tc>
        <w:tc>
          <w:tcPr>
            <w:tcW w:w="1520" w:type="dxa"/>
            <w:vAlign w:val="bottom"/>
            <w:gridSpan w:val="2"/>
            <w:vMerge w:val="restart"/>
          </w:tcPr>
          <w:p>
            <w:pPr>
              <w:ind w:left="122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34"/>
              <w:spacing w:after="0"/>
              <w:rPr>
                <w:sz w:val="20"/>
                <w:szCs w:val="20"/>
                <w:color w:val="auto"/>
              </w:rPr>
            </w:pPr>
            <w:r>
              <w:rPr>
                <w:rFonts w:ascii="Arial" w:cs="Arial" w:eastAsia="Arial" w:hAnsi="Arial"/>
                <w:sz w:val="14"/>
                <w:szCs w:val="14"/>
                <w:color w:val="auto"/>
              </w:rPr>
              <w:t>464,019</w:t>
            </w:r>
          </w:p>
        </w:tc>
        <w:tc>
          <w:tcPr>
            <w:tcW w:w="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6"/>
                <w:szCs w:val="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1/31/2031</w:t>
            </w:r>
          </w:p>
        </w:tc>
        <w:tc>
          <w:tcPr>
            <w:tcW w:w="0" w:type="dxa"/>
            <w:vAlign w:val="bottom"/>
          </w:tcPr>
          <w:p>
            <w:pPr>
              <w:spacing w:after="0"/>
              <w:rPr>
                <w:sz w:val="1"/>
                <w:szCs w:val="1"/>
                <w:color w:val="auto"/>
              </w:rPr>
            </w:pPr>
          </w:p>
        </w:tc>
      </w:tr>
      <w:tr>
        <w:trPr>
          <w:trHeight w:val="108"/>
        </w:trPr>
        <w:tc>
          <w:tcPr>
            <w:tcW w:w="3100" w:type="dxa"/>
            <w:vAlign w:val="bottom"/>
            <w:gridSpan w:val="2"/>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300" w:type="dxa"/>
            <w:vAlign w:val="bottom"/>
            <w:vMerge w:val="restart"/>
          </w:tcPr>
          <w:p>
            <w:pPr>
              <w:jc w:val="right"/>
              <w:ind w:right="73"/>
              <w:spacing w:after="0"/>
              <w:rPr>
                <w:sz w:val="20"/>
                <w:szCs w:val="20"/>
                <w:color w:val="auto"/>
              </w:rPr>
            </w:pPr>
            <w:r>
              <w:rPr>
                <w:rFonts w:ascii="Arial" w:cs="Arial" w:eastAsia="Arial" w:hAnsi="Arial"/>
                <w:sz w:val="9"/>
                <w:szCs w:val="9"/>
                <w:color w:val="auto"/>
              </w:rPr>
              <w:t>(6)</w:t>
            </w: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color w:val="auto"/>
              </w:rPr>
              <w:t>Matt Murphy</w:t>
            </w:r>
          </w:p>
        </w:tc>
        <w:tc>
          <w:tcPr>
            <w:tcW w:w="1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 xml:space="preserve">6/14/2021 </w:t>
            </w:r>
            <w:r>
              <w:rPr>
                <w:rFonts w:ascii="Arial" w:cs="Arial" w:eastAsia="Arial" w:hAnsi="Arial"/>
                <w:sz w:val="9"/>
                <w:szCs w:val="9"/>
                <w:color w:val="auto"/>
              </w:rPr>
              <w:t>(5)</w:t>
            </w:r>
          </w:p>
        </w:tc>
        <w:tc>
          <w:tcPr>
            <w:tcW w:w="1520" w:type="dxa"/>
            <w:vAlign w:val="bottom"/>
            <w:gridSpan w:val="2"/>
            <w:vMerge w:val="restart"/>
          </w:tcPr>
          <w:p>
            <w:pPr>
              <w:ind w:left="122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34"/>
              <w:spacing w:after="0"/>
              <w:rPr>
                <w:sz w:val="20"/>
                <w:szCs w:val="20"/>
                <w:color w:val="auto"/>
              </w:rPr>
            </w:pPr>
            <w:r>
              <w:rPr>
                <w:rFonts w:ascii="Arial" w:cs="Arial" w:eastAsia="Arial" w:hAnsi="Arial"/>
                <w:sz w:val="14"/>
                <w:szCs w:val="14"/>
                <w:color w:val="auto"/>
              </w:rPr>
              <w:t>326,526</w:t>
            </w:r>
          </w:p>
        </w:tc>
        <w:tc>
          <w:tcPr>
            <w:tcW w:w="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10.10</w:t>
            </w:r>
          </w:p>
        </w:tc>
        <w:tc>
          <w:tcPr>
            <w:tcW w:w="80" w:type="dxa"/>
            <w:vAlign w:val="bottom"/>
          </w:tcPr>
          <w:p>
            <w:pPr>
              <w:spacing w:after="0"/>
              <w:rPr>
                <w:sz w:val="7"/>
                <w:szCs w:val="7"/>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6/14/2031</w:t>
            </w:r>
          </w:p>
        </w:tc>
        <w:tc>
          <w:tcPr>
            <w:tcW w:w="0" w:type="dxa"/>
            <w:vAlign w:val="bottom"/>
          </w:tcPr>
          <w:p>
            <w:pPr>
              <w:spacing w:after="0"/>
              <w:rPr>
                <w:sz w:val="1"/>
                <w:szCs w:val="1"/>
                <w:color w:val="auto"/>
              </w:rPr>
            </w:pPr>
          </w:p>
        </w:tc>
      </w:tr>
      <w:tr>
        <w:trPr>
          <w:trHeight w:val="108"/>
        </w:trPr>
        <w:tc>
          <w:tcPr>
            <w:tcW w:w="3100" w:type="dxa"/>
            <w:vAlign w:val="bottom"/>
            <w:gridSpan w:val="2"/>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4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unvested portions of these awards may be subject to vesting acceleration under certain circumstances, described below under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r>
        <w:rPr>
          <w:rFonts w:ascii="Arial" w:cs="Arial" w:eastAsia="Arial" w:hAnsi="Arial"/>
          <w:sz w:val="14"/>
          <w:szCs w:val="14"/>
          <w:color w:val="auto"/>
        </w:rPr>
        <w:t>”</w:t>
      </w:r>
    </w:p>
    <w:p>
      <w:pPr>
        <w:ind w:left="340" w:right="10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stock option awards that were granted by Legacy Nautilus to Mr. Patel and Dr. Mallick prior to the closing of the Business Combination were granted with a per share exercise price equal to the fair market value of one share of Legacy Nautilus Common Stock on the date of grant, as determined in good faith by Legacy Nautilus’ board of directors. The stock option granted to Mr. Murphy following the closing of the Business Combination was granted with a per share exercise price equal to the closing price of the Company’s common stock in trading on the Nasdaq Global Select Market on the date of grant.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Option granted under and subject to the terms of the 2017 Plan (as defined below), described below under “— </w:t>
      </w:r>
      <w:r>
        <w:rPr>
          <w:rFonts w:ascii="Arial" w:cs="Arial" w:eastAsia="Arial" w:hAnsi="Arial"/>
          <w:sz w:val="14"/>
          <w:szCs w:val="14"/>
          <w:i w:val="1"/>
          <w:iCs w:val="1"/>
          <w:color w:val="auto"/>
        </w:rPr>
        <w:t>Legacy Nautilus 2017 Equity Incentive Plan.</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Twenty-five percent of the shares subject to this option shall vest on January 31, 2022, and one thirty-sixth (1/36th) of the remaining shares subject to this option shall vest each month thereafter, subject to the optionee continuing to be a service provider to Nautilus through each such date.</w:t>
      </w: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Option granted under and subject to the terms of the 2021 Plan (as defined below), described below under “— </w:t>
      </w:r>
      <w:r>
        <w:rPr>
          <w:rFonts w:ascii="Arial" w:cs="Arial" w:eastAsia="Arial" w:hAnsi="Arial"/>
          <w:sz w:val="14"/>
          <w:szCs w:val="14"/>
          <w:i w:val="1"/>
          <w:iCs w:val="1"/>
          <w:color w:val="auto"/>
        </w:rPr>
        <w:t>2021 Equity Incentive Plan.</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right="380" w:hanging="332"/>
        <w:spacing w:after="0" w:line="255"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Twenty-five percent of the shares subject to this option shall vest on January 31, 2022, and one thirty-sixth (1/36th) of the remaining shares subject to this option shall vest each month thereafter, subject to the optionee continuing to be a service provider to Nautilus through each such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Sujal Patel</w:t>
      </w:r>
    </w:p>
    <w:p>
      <w:pPr>
        <w:spacing w:after="0" w:line="171" w:lineRule="exact"/>
        <w:rPr>
          <w:sz w:val="20"/>
          <w:szCs w:val="20"/>
          <w:color w:val="auto"/>
        </w:rPr>
      </w:pPr>
    </w:p>
    <w:p>
      <w:pPr>
        <w:ind w:right="60"/>
        <w:spacing w:after="0" w:line="220" w:lineRule="exact"/>
        <w:rPr>
          <w:sz w:val="20"/>
          <w:szCs w:val="20"/>
          <w:color w:val="auto"/>
        </w:rPr>
      </w:pPr>
      <w:r>
        <w:rPr>
          <w:rFonts w:ascii="Arial" w:cs="Arial" w:eastAsia="Arial" w:hAnsi="Arial"/>
          <w:sz w:val="16"/>
          <w:szCs w:val="16"/>
          <w:color w:val="auto"/>
        </w:rPr>
        <w:t>In connection with the Business Combination, we entered into a confirmatory employment letter with Mr. Patel, our Chief Executive Officer. The confirmatory employment letter has no specific term and provides that Mr. Patel is an at</w:t>
      </w:r>
      <w:r>
        <w:rPr>
          <w:rFonts w:ascii="MS PGothic" w:cs="MS PGothic" w:eastAsia="MS PGothic" w:hAnsi="MS PGothic"/>
          <w:sz w:val="16"/>
          <w:szCs w:val="16"/>
          <w:color w:val="auto"/>
        </w:rPr>
        <w:t>‑</w:t>
      </w:r>
      <w:r>
        <w:rPr>
          <w:rFonts w:ascii="Arial" w:cs="Arial" w:eastAsia="Arial" w:hAnsi="Arial"/>
          <w:sz w:val="16"/>
          <w:szCs w:val="16"/>
          <w:color w:val="auto"/>
        </w:rPr>
        <w:t>will employee. The confirmatory employment letter supersedes all pre-existing agreements and understandings that Mr. Patel may have entered into concerning his employment relationship with us. Mr. Patel’s current annual base salary is $500,000 and he is eligible for a target annual cash bonus opportunity equal to 50% of his annual base salary for fiscal year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 Mallick</w:t>
      </w:r>
    </w:p>
    <w:p>
      <w:pPr>
        <w:spacing w:after="0" w:line="171" w:lineRule="exact"/>
        <w:rPr>
          <w:sz w:val="20"/>
          <w:szCs w:val="20"/>
          <w:color w:val="auto"/>
        </w:rPr>
      </w:pPr>
    </w:p>
    <w:p>
      <w:pPr>
        <w:ind w:right="240"/>
        <w:spacing w:after="0" w:line="220" w:lineRule="exact"/>
        <w:rPr>
          <w:sz w:val="20"/>
          <w:szCs w:val="20"/>
          <w:color w:val="auto"/>
        </w:rPr>
      </w:pPr>
      <w:r>
        <w:rPr>
          <w:rFonts w:ascii="Arial" w:cs="Arial" w:eastAsia="Arial" w:hAnsi="Arial"/>
          <w:sz w:val="16"/>
          <w:szCs w:val="16"/>
          <w:color w:val="auto"/>
        </w:rPr>
        <w:t>In connection with the Business Combination, we entered into a confirmatory employment letter with Dr. Mallick, our Chief Scientist. The confirmatory employment letter has no specific term and provides that Dr. Mallick is an at</w:t>
      </w:r>
      <w:r>
        <w:rPr>
          <w:rFonts w:ascii="MS PGothic" w:cs="MS PGothic" w:eastAsia="MS PGothic" w:hAnsi="MS PGothic"/>
          <w:sz w:val="16"/>
          <w:szCs w:val="16"/>
          <w:color w:val="auto"/>
        </w:rPr>
        <w:t>‑</w:t>
      </w:r>
      <w:r>
        <w:rPr>
          <w:rFonts w:ascii="Arial" w:cs="Arial" w:eastAsia="Arial" w:hAnsi="Arial"/>
          <w:sz w:val="16"/>
          <w:szCs w:val="16"/>
          <w:color w:val="auto"/>
        </w:rPr>
        <w:t>will employee. The confirmatory employment letter supersedes all pre-existing agreements and understandings that Dr. Mallick may have entered into concerning his employment relationship with us. Dr. Mallick’s current annual base salary is $400,000 and he is eligible for a target annual cash bonus opportunity equal to 50% of his annual base salary for fiscal year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 Murphy</w:t>
      </w:r>
    </w:p>
    <w:p>
      <w:pPr>
        <w:spacing w:after="0" w:line="171"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In connection with the Business Combination, we entered into a confirmatory employment letter with Mr. Murphy, our General Counsel. The confirmatory employment letter has no specific term and provides that Mr. Murphy is an at</w:t>
      </w:r>
      <w:r>
        <w:rPr>
          <w:rFonts w:ascii="MS PGothic" w:cs="MS PGothic" w:eastAsia="MS PGothic" w:hAnsi="MS PGothic"/>
          <w:sz w:val="16"/>
          <w:szCs w:val="16"/>
          <w:color w:val="auto"/>
        </w:rPr>
        <w:t>‑</w:t>
      </w:r>
      <w:r>
        <w:rPr>
          <w:rFonts w:ascii="Arial" w:cs="Arial" w:eastAsia="Arial" w:hAnsi="Arial"/>
          <w:sz w:val="16"/>
          <w:szCs w:val="16"/>
          <w:color w:val="auto"/>
        </w:rPr>
        <w:t>will employee. The confirmatory employment letter supersedes all pre-existing agreements and understandings that Mr. Murphy may have entered into concerning his employment relationship with us. Mr. Murphy’s current annual base salary is $336,000 and he is eligible for a target annual cash bonus opportunity equal to 40% of his annual base salary for fiscal year 2022. In 2021, Mr. Murphy’s annual base salary was $305,000 and he was eligible for a target annual cash bonus opportunity equal to 40% of his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Incentive Awards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equity-based incentive awards are designed to more closely align our interests and those of our stockholders with those of our employees and consultants, including our named executive officers. Our board of directors is responsible for approving equity grants to our employees and consultants, including our named executive officers. In 2021, stock option awards were the only form of equity awards we granted to our named executive officers. Prior to the closing of the Business Combination, Legacy Nautilus granted equity incentive awards under the terms of its 2017 Equity Incentive Plan (the “2017 Plan”), which was terminated in connection with the Business Combination. All options under the 2017 Plan were granted with an exercise price per share that was no less than the fair market value of a share of Legacy Nautilus common stock on the date of grant of such award. The terms of the 2017 Plan are described below under “—</w:t>
      </w:r>
      <w:r>
        <w:rPr>
          <w:rFonts w:ascii="Arial" w:cs="Arial" w:eastAsia="Arial" w:hAnsi="Arial"/>
          <w:sz w:val="17"/>
          <w:szCs w:val="17"/>
          <w:i w:val="1"/>
          <w:iCs w:val="1"/>
          <w:color w:val="auto"/>
        </w:rPr>
        <w:t>Legacy Nautilus 2017 Equity Incentive Plan.</w:t>
      </w:r>
      <w:r>
        <w:rPr>
          <w:rFonts w:ascii="Arial" w:cs="Arial" w:eastAsia="Arial" w:hAnsi="Arial"/>
          <w:sz w:val="17"/>
          <w:szCs w:val="17"/>
          <w:color w:val="auto"/>
        </w:rPr>
        <w:t>” Following the closing of the Business Combination, we granted equity incentive awards under the terms of our 2021 Equity Incentive Plan (the “2021 Plan”). Options under the 2021 Plan are granted with an exercise price equal to the closing price of the Company’s common stock in trading on the Nasdaq Global Select Market on the date of grant. The terms of the 2021 Plan are described below under “—</w:t>
      </w:r>
      <w:r>
        <w:rPr>
          <w:rFonts w:ascii="Arial" w:cs="Arial" w:eastAsia="Arial" w:hAnsi="Arial"/>
          <w:sz w:val="17"/>
          <w:szCs w:val="17"/>
          <w:i w:val="1"/>
          <w:iCs w:val="1"/>
          <w:color w:val="auto"/>
        </w:rPr>
        <w:t>2021 Equity Incentive Plan.</w:t>
      </w:r>
      <w:r>
        <w:rPr>
          <w:rFonts w:ascii="Arial" w:cs="Arial" w:eastAsia="Arial" w:hAnsi="Arial"/>
          <w:sz w:val="17"/>
          <w:szCs w:val="17"/>
          <w:color w:val="auto"/>
        </w:rPr>
        <w:t>”</w:t>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stock option awards under both the 2017 Plan and the 2021 Plan generally vest over a four-year period and may be subject to acceleration of vesting and exercisability under certain termination and change in control events. See “—</w:t>
      </w:r>
      <w:r>
        <w:rPr>
          <w:rFonts w:ascii="Arial" w:cs="Arial" w:eastAsia="Arial" w:hAnsi="Arial"/>
          <w:sz w:val="18"/>
          <w:szCs w:val="18"/>
          <w:i w:val="1"/>
          <w:iCs w:val="1"/>
          <w:color w:val="auto"/>
        </w:rPr>
        <w:t>Outstanding Equity Awards at Fiscal Year-End December 31, 2021</w:t>
      </w:r>
      <w:r>
        <w:rPr>
          <w:rFonts w:ascii="Arial" w:cs="Arial" w:eastAsia="Arial" w:hAnsi="Arial"/>
          <w:sz w:val="18"/>
          <w:szCs w:val="18"/>
          <w:color w:val="auto"/>
        </w:rPr>
        <w:t>” and “—</w:t>
      </w:r>
      <w:r>
        <w:rPr>
          <w:rFonts w:ascii="Arial" w:cs="Arial" w:eastAsia="Arial" w:hAnsi="Arial"/>
          <w:sz w:val="18"/>
          <w:szCs w:val="18"/>
          <w:i w:val="1"/>
          <w:iCs w:val="1"/>
          <w:color w:val="auto"/>
        </w:rPr>
        <w:t>Potential Payments Upon Termination or Change of Control.</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of our named executive officers holds stock options granted subject to the general terms of the 2017 Plan or the 2021 Plan. A description of the termination and change in control provisions in the 2017 Plan and the 2021 Plan and applicable to the stock options granted to our named executive officers is provided below under “—</w:t>
      </w:r>
      <w:r>
        <w:rPr>
          <w:rFonts w:ascii="Arial" w:cs="Arial" w:eastAsia="Arial" w:hAnsi="Arial"/>
          <w:sz w:val="17"/>
          <w:szCs w:val="17"/>
          <w:i w:val="1"/>
          <w:iCs w:val="1"/>
          <w:color w:val="auto"/>
        </w:rPr>
        <w:t>Legacy Nautilus 2017 Equity Incentive Plan</w:t>
      </w:r>
      <w:r>
        <w:rPr>
          <w:rFonts w:ascii="Arial" w:cs="Arial" w:eastAsia="Arial" w:hAnsi="Arial"/>
          <w:sz w:val="17"/>
          <w:szCs w:val="17"/>
          <w:color w:val="auto"/>
        </w:rPr>
        <w:t>” and “—</w:t>
      </w:r>
      <w:r>
        <w:rPr>
          <w:rFonts w:ascii="Arial" w:cs="Arial" w:eastAsia="Arial" w:hAnsi="Arial"/>
          <w:sz w:val="17"/>
          <w:szCs w:val="17"/>
          <w:i w:val="1"/>
          <w:iCs w:val="1"/>
          <w:color w:val="auto"/>
        </w:rPr>
        <w:t>2021 Equity Incentive Plan.</w:t>
      </w:r>
      <w:r>
        <w:rPr>
          <w:rFonts w:ascii="Arial" w:cs="Arial" w:eastAsia="Arial" w:hAnsi="Arial"/>
          <w:sz w:val="17"/>
          <w:szCs w:val="17"/>
          <w:color w:val="auto"/>
        </w:rPr>
        <w:t>”</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Business Combination, we entered into a change in control and severance agreement (each, a “CIC Agreement”) with each of Mr. Patel, Dr. Mallick and Mr. Murphy, that our board of directors approved upon the closing of the Business Combination and that we assumed pursuant to the terms of each CIC Agreement, and which provide for certain severance and change in control benefits as summarized below.</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Each CIC Agreement supersedes any prior agreement or arrangement that the named executive officer may have had with us that provides for severance or change in control payments and benefits.</w:t>
      </w:r>
    </w:p>
    <w:p>
      <w:pPr>
        <w:spacing w:after="0" w:line="116" w:lineRule="exact"/>
        <w:rPr>
          <w:sz w:val="20"/>
          <w:szCs w:val="20"/>
          <w:color w:val="auto"/>
        </w:rPr>
      </w:pPr>
    </w:p>
    <w:p>
      <w:pPr>
        <w:jc w:val="both"/>
        <w:ind w:right="320"/>
        <w:spacing w:after="0" w:line="287" w:lineRule="auto"/>
        <w:rPr>
          <w:sz w:val="20"/>
          <w:szCs w:val="20"/>
          <w:color w:val="auto"/>
        </w:rPr>
      </w:pPr>
      <w:r>
        <w:rPr>
          <w:rFonts w:ascii="Arial" w:cs="Arial" w:eastAsia="Arial" w:hAnsi="Arial"/>
          <w:sz w:val="16"/>
          <w:szCs w:val="16"/>
          <w:color w:val="auto"/>
        </w:rPr>
        <w:t>Each CIC Agreement has an initial term of three years commencing on June 8, 2021, the business day immediately prior to the closing of the Business Combination.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13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CIC Agreements provide that if, other than during the period beginning three months before a change in control through the one-year anniversary of a change in control, or the CIC Period, the named executive officer’s employment with us is terminated either (x) by us without cause (as defined in the CIC Agreement, and excluding by reason of his or her death or disability) or (y) by the named executive officer for good reason (as defined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CIC Agreement), then the named executive officer will receive the following severance payments and benefits if he or she timely executes and does not revoke a separation agreement and release of claims in our favor:</w:t>
      </w:r>
    </w:p>
    <w:p>
      <w:pPr>
        <w:spacing w:after="0" w:line="116" w:lineRule="exact"/>
        <w:rPr>
          <w:sz w:val="20"/>
          <w:szCs w:val="20"/>
          <w:color w:val="auto"/>
        </w:rPr>
      </w:pPr>
    </w:p>
    <w:p>
      <w:pPr>
        <w:ind w:left="660" w:right="4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lump sum cash payment equal to 100% for Mr. Patel, or 50% for Dr. Mallick and Mr. Murphy, of the named executive officer’s base salary as in effect immediately before such termination; and</w:t>
      </w:r>
    </w:p>
    <w:p>
      <w:pPr>
        <w:spacing w:after="0" w:line="116"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Payment by us of the employer portion of the premiums required for continued coverage pursuant to COBRA under our group health, dental and vision care plans for the named executive officer and his or her eligible dependents for up to twelve months for Mr. Patel, or six months for Dr. Mallick and Mr. Murphy.</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during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133" w:lineRule="exact"/>
        <w:rPr>
          <w:sz w:val="20"/>
          <w:szCs w:val="20"/>
          <w:color w:val="auto"/>
        </w:rPr>
      </w:pPr>
    </w:p>
    <w:p>
      <w:pPr>
        <w:ind w:left="660" w:right="120" w:hanging="328"/>
        <w:spacing w:after="0" w:line="308"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lump sum cash payment equal to 150% for Mr. Patel, or 100% for Dr. Mallick and Mr. Murphy, of the named executive officer’s base salary as in effect immediately before such termination or if greater, the base salary in effect immediately before the change in control;</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lump sum cash payment equal to 150% for Mr. Patel, or 100% for Dr. Mallick and Mr. Murphy, of the named executive officer’s target bonus opportunity as in effect immediately before such termination or if greater, the target bonus opportunity in effect immediately before the change in control;</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 by us of the premiums required for continued coverage pursuant to COBRA under our group health, dental and vision care plans for the named executive officer and his or her eligible dependents for up to eighteen months for Mr. Patel, or twelve months for Dr. Mallick and Mr. Murphy;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 accelerated vesting and exercisability of the outstanding and unvested equity awards (other than equity awards subject to performance-based vesting criteria) granted to the named executive officer.</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7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On June 9, 2021, we adopted the Incentive Plan. The Incentive Plan is administered by the compensation committee of our board of directors. The Incentive Plan allows us to grant incentive awards, generally payable in cash, to employees selected by the administrator, including our executive officers, based upon any performance goals that may be established by the administrator. The below is a summary of the terms of the Incentive Plan.</w:t>
      </w:r>
    </w:p>
    <w:p>
      <w:pPr>
        <w:spacing w:after="0" w:line="9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the Incentive Plan, the administrator determines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2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75"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Nautilus 2017 Equity Incentive Plan</w:t>
      </w:r>
    </w:p>
    <w:p>
      <w:pPr>
        <w:spacing w:after="0" w:line="17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2017 Plan allowed Legacy Nautilus to provide incentive stock options, within the meaning of Section 422 of the Code, nonstatutory stock options, stock appreciation rights, restricted stock awards and restricted stock units (each, an “award” and the recipient of such award, a “participant”) to any of Legacy Nautilus’ eligible employees, directors, and consultants of and any parent or subsidiary of Legacy Nautilus.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2021, and after giving effect to the closing of the Business Combination, stock options covering 6,517,358 shares of Common Stock were outstanding under the 2017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Purposes of the 2017 Plan</w:t>
      </w:r>
    </w:p>
    <w:p>
      <w:pPr>
        <w:spacing w:after="0" w:line="17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The 2017 Plan provided for the grant of incentive stock options, within the meaning of Section 422 of the Code, to Legacy Nautilus’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and any of its parent and subsidiary corporations’ employees, and for the grant of nonstatutory stock options, restricted stock, restricted stock units, and stock appreciation rights to any of Legacy Nautilus’ employees, directors and consultants and any of its parents or subsidiaries.</w:t>
      </w:r>
    </w:p>
    <w:p>
      <w:pPr>
        <w:spacing w:after="0" w:line="11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2017 Plan is administered by our board of directors or one or more of its committees. Different committees may administer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3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have been granted under the 2017 Plan. The exercise price of options granted under the 2017 Plan generally must be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100% of the fair market value of a share of our Common Stock on the date of grant. The term of an option may not exceed ten years. With respect to any participant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owns more than 10% of the voting power of all classes of our (or any of its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12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Unless the administrator provides otherwise, the 2017 Plan generally will not allow for the transfer of awards other than by</w:t>
      </w:r>
      <w:r>
        <w:rPr>
          <w:rFonts w:ascii="Arial" w:cs="Arial" w:eastAsia="Arial" w:hAnsi="Arial"/>
          <w:sz w:val="18"/>
          <w:szCs w:val="18"/>
          <w:i w:val="1"/>
          <w:iCs w:val="1"/>
          <w:color w:val="auto"/>
        </w:rPr>
        <w:t xml:space="preserve"> </w:t>
      </w:r>
      <w:r>
        <w:rPr>
          <w:rFonts w:ascii="Arial" w:cs="Arial" w:eastAsia="Arial" w:hAnsi="Arial"/>
          <w:sz w:val="18"/>
          <w:szCs w:val="18"/>
          <w:color w:val="auto"/>
        </w:rPr>
        <w:t>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13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If any dividend or other distribution (whether in cash, shares, other securities, or other property), recapitalization, stock split,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reorganization, merger, consolidation, split-up, spin-off, combination, 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3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If there is a proposed liquidation or dissolution of our Company, the administrator will notify participants at such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Merger or Change or Control. </w:t>
      </w:r>
      <w:r>
        <w:rPr>
          <w:rFonts w:ascii="Arial" w:cs="Arial" w:eastAsia="Arial" w:hAnsi="Arial"/>
          <w:sz w:val="18"/>
          <w:szCs w:val="18"/>
          <w:color w:val="auto"/>
        </w:rPr>
        <w:t>The 2017 Plan provides that in the event of our merger or change in control, as defined in the 2017 Plan, each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As noted above, as of the day immediately prior to the closing of the Business Combination, the 2017 Plan terminated and we</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grant any additional awards under the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Equity Incentive Plan</w:t>
      </w:r>
    </w:p>
    <w:p>
      <w:pPr>
        <w:spacing w:after="0" w:line="17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following paragraphs provide a summary of the principal features of our 2021 Plan and its operation. However, this summary is not a complete description of all of the provisions of the 2021 Plan and is qualified in its entirety by the specific language of the 2021 Plan.</w:t>
      </w:r>
    </w:p>
    <w:p>
      <w:pPr>
        <w:spacing w:after="0" w:line="92" w:lineRule="exact"/>
        <w:rPr>
          <w:sz w:val="20"/>
          <w:szCs w:val="20"/>
          <w:color w:val="auto"/>
        </w:rPr>
      </w:pPr>
    </w:p>
    <w:p>
      <w:pPr>
        <w:ind w:right="2200"/>
        <w:spacing w:after="0" w:line="438" w:lineRule="auto"/>
        <w:rPr>
          <w:sz w:val="20"/>
          <w:szCs w:val="20"/>
          <w:color w:val="auto"/>
        </w:rPr>
      </w:pPr>
      <w:r>
        <w:rPr>
          <w:rFonts w:ascii="Arial" w:cs="Arial" w:eastAsia="Arial" w:hAnsi="Arial"/>
          <w:sz w:val="18"/>
          <w:szCs w:val="18"/>
          <w:color w:val="auto"/>
        </w:rPr>
        <w:t xml:space="preserve">As of December 31, 2021, stock options covering 2,032,718 shares of Common Stock were outstanding under the 2021 Plan. </w:t>
      </w:r>
      <w:r>
        <w:rPr>
          <w:rFonts w:ascii="Arial" w:cs="Arial" w:eastAsia="Arial" w:hAnsi="Arial"/>
          <w:sz w:val="18"/>
          <w:szCs w:val="18"/>
          <w:b w:val="1"/>
          <w:bCs w:val="1"/>
          <w:i w:val="1"/>
          <w:iCs w:val="1"/>
          <w:color w:val="auto"/>
        </w:rPr>
        <w:t>Purposes of the 2021 Plan</w:t>
      </w:r>
    </w:p>
    <w:p>
      <w:pPr>
        <w:spacing w:after="0" w:line="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purposes of the 2021 Plan are to attract and retain personnel for positions with us or any parent or subsidiary of ours; to provide additional incentive to employees, directors, and consultants; and to promote the success of our business. These incentives are provided through the grant of stock options, stock appreciation rights, restricted stock, restricted stock units, and performance awards as the administrator of the 2021 Plan may determine.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spacing w:after="0" w:line="12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18,672,200 shares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number of shares equal to 5% of the outstanding shares of our Common Stock as of the last day of the immediately preceding fiscal year; or</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number of shares as our board of directors or its designated committee may determine no later than the last day of our immediately preceding fiscal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2022, the number of shares available under the 2021 Plan increased by 6,215,154 shares pursuant to this feature.</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4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months following the cessation of service. An option, however, may not be exercised later than the expiration of its term. Subject to the provisions of the 2021 Plan, the administrator determines the terms of options.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320" w:top="1440" w:right="419" w:bottom="1440" w:gutter="0" w:footer="0" w:header="0"/>
        </w:sectPr>
      </w:pPr>
    </w:p>
    <w:bookmarkStart w:id="120" w:name="page121"/>
    <w:bookmarkEnd w:id="120"/>
    <w:p>
      <w:pPr>
        <w:spacing w:after="0" w:line="14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outside (non-employee) directors are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will not count toward this limit. This maximum limit provision does not reflect the intended size of any potential grants or a commitment to make grants to the outside directors under the 2021 Plan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2021 Plan provides that in the event of a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awards granted to a non-employee director while such individual was a non-employee director are assumed or substituted for in the merger or change in control and the service of such non-employee director is terminated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44" w:lineRule="exact"/>
        <w:rPr>
          <w:sz w:val="20"/>
          <w:szCs w:val="20"/>
          <w:color w:val="auto"/>
        </w:rPr>
      </w:pPr>
    </w:p>
    <w:p>
      <w:pPr>
        <w:ind w:right="40"/>
        <w:spacing w:after="0" w:line="220" w:lineRule="exact"/>
        <w:rPr>
          <w:sz w:val="20"/>
          <w:szCs w:val="20"/>
          <w:color w:val="auto"/>
        </w:rPr>
      </w:pPr>
      <w:r>
        <w:rPr>
          <w:rFonts w:ascii="Arial" w:cs="Arial" w:eastAsia="Arial" w:hAnsi="Arial"/>
          <w:sz w:val="17"/>
          <w:szCs w:val="17"/>
          <w:color w:val="auto"/>
        </w:rPr>
        <w:t>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w:t>
      </w:r>
      <w:r>
        <w:rPr>
          <w:rFonts w:ascii="MS PGothic" w:cs="MS PGothic" w:eastAsia="MS PGothic" w:hAnsi="MS PGothic"/>
          <w:sz w:val="17"/>
          <w:szCs w:val="17"/>
          <w:color w:val="auto"/>
        </w:rPr>
        <w:t>‑</w:t>
      </w:r>
      <w:r>
        <w:rPr>
          <w:rFonts w:ascii="Arial" w:cs="Arial" w:eastAsia="Arial" w:hAnsi="Arial"/>
          <w:sz w:val="17"/>
          <w:szCs w:val="17"/>
          <w:color w:val="auto"/>
        </w:rPr>
        <w:t>employee director.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 and Clawback</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principal features of our 2021 Employee Stock Purchase Plan (the “ESPP”) and its 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 all classes of our Common Stock on the last day of the immediately preceding fiscal year, or (c) an amount determined by the administrator. Shares issuable under the ESPP will be authorized, but unissued, or reacquired shares of our Common Stock. On January 1, 2022, the number of shares available under the ESPP increased by 1,243,030 shares pursuant to this feature.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spacing w:after="0" w:line="1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 (or our participating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Periods and Purchase Periods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3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Purchase Right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Participation</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Participation in the ESPP generally will terminate when a participating employee’s employment with us or a participating subsidiary ceases for any reason, the employee withdraws from the ESPP or we terminate or amend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Non-Transferability</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Adjustments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administrator will have the authority to modify, amend, suspend or terminate the ESPP except that, subject to certain exceptions described in the ESPP, no such action may adversely affect any outstanding rights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under the ESPP. The ESPP will terminate automatically on June 9, 2041, unless we terminate it earlier.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following table sets forth information regarding the compensation earned for service on our board of directors during the year ended December 31, 2021 by non-employee directors. Neither Mr. Patel nor Dr. Mallick received any additional compensation for their service as a director in 2021. Mr. Patel and Dr. Mallick’s compensation as a named executive officer is set forth above under “— Summary Compensation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Fees earned or paid in</w:t>
            </w:r>
          </w:p>
        </w:tc>
        <w:tc>
          <w:tcPr>
            <w:tcW w:w="1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4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6520" w:type="dxa"/>
            <w:vAlign w:val="bottom"/>
            <w:gridSpan w:val="2"/>
            <w:vMerge w:val="continue"/>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cash ($)</w:t>
            </w:r>
          </w:p>
        </w:tc>
        <w:tc>
          <w:tcPr>
            <w:tcW w:w="170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(2)</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26,333</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369,997</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396,330</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(3)</w:t>
            </w:r>
          </w:p>
        </w:tc>
        <w:tc>
          <w:tcPr>
            <w:tcW w:w="1460" w:type="dxa"/>
            <w:vAlign w:val="bottom"/>
          </w:tcPr>
          <w:p>
            <w:pPr>
              <w:jc w:val="right"/>
              <w:spacing w:after="0"/>
              <w:rPr>
                <w:sz w:val="20"/>
                <w:szCs w:val="20"/>
                <w:color w:val="auto"/>
              </w:rPr>
            </w:pPr>
            <w:r>
              <w:rPr>
                <w:rFonts w:ascii="Arial" w:cs="Arial" w:eastAsia="Arial" w:hAnsi="Arial"/>
                <w:sz w:val="18"/>
                <w:szCs w:val="18"/>
                <w:color w:val="auto"/>
              </w:rPr>
              <w:t>33,616</w:t>
            </w:r>
          </w:p>
        </w:tc>
        <w:tc>
          <w:tcPr>
            <w:tcW w:w="120" w:type="dxa"/>
            <w:vAlign w:val="bottom"/>
          </w:tcPr>
          <w:p>
            <w:pPr>
              <w:spacing w:after="0"/>
              <w:rPr>
                <w:sz w:val="19"/>
                <w:szCs w:val="19"/>
                <w:color w:val="auto"/>
              </w:rPr>
            </w:pPr>
          </w:p>
        </w:tc>
        <w:tc>
          <w:tcPr>
            <w:tcW w:w="1580" w:type="dxa"/>
            <w:vAlign w:val="bottom"/>
          </w:tcPr>
          <w:p>
            <w:pPr>
              <w:jc w:val="right"/>
              <w:ind w:right="353"/>
              <w:spacing w:after="0"/>
              <w:rPr>
                <w:sz w:val="20"/>
                <w:szCs w:val="20"/>
                <w:color w:val="auto"/>
              </w:rPr>
            </w:pPr>
            <w:r>
              <w:rPr>
                <w:rFonts w:ascii="Arial" w:cs="Arial" w:eastAsia="Arial" w:hAnsi="Arial"/>
                <w:sz w:val="18"/>
                <w:szCs w:val="18"/>
                <w:color w:val="auto"/>
              </w:rPr>
              <w:t>539,226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572,842</w:t>
            </w:r>
          </w:p>
        </w:tc>
        <w:tc>
          <w:tcPr>
            <w:tcW w:w="0" w:type="dxa"/>
            <w:vAlign w:val="bottom"/>
          </w:tcPr>
          <w:p>
            <w:pPr>
              <w:spacing w:after="0"/>
              <w:rPr>
                <w:sz w:val="1"/>
                <w:szCs w:val="1"/>
                <w:color w:val="auto"/>
              </w:rPr>
            </w:pPr>
          </w:p>
        </w:tc>
      </w:tr>
      <w:tr>
        <w:trPr>
          <w:trHeight w:val="230"/>
        </w:trPr>
        <w:tc>
          <w:tcPr>
            <w:tcW w:w="6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266,515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300,131</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(5)</w:t>
            </w:r>
          </w:p>
        </w:tc>
        <w:tc>
          <w:tcPr>
            <w:tcW w:w="1460" w:type="dxa"/>
            <w:vAlign w:val="bottom"/>
          </w:tcPr>
          <w:p>
            <w:pPr>
              <w:jc w:val="right"/>
              <w:spacing w:after="0"/>
              <w:rPr>
                <w:sz w:val="20"/>
                <w:szCs w:val="20"/>
                <w:color w:val="auto"/>
              </w:rPr>
            </w:pPr>
            <w:r>
              <w:rPr>
                <w:rFonts w:ascii="Arial" w:cs="Arial" w:eastAsia="Arial" w:hAnsi="Arial"/>
                <w:sz w:val="18"/>
                <w:szCs w:val="18"/>
                <w:color w:val="auto"/>
              </w:rPr>
              <w:t>26,333</w:t>
            </w:r>
          </w:p>
        </w:tc>
        <w:tc>
          <w:tcPr>
            <w:tcW w:w="120" w:type="dxa"/>
            <w:vAlign w:val="bottom"/>
          </w:tcPr>
          <w:p>
            <w:pPr>
              <w:spacing w:after="0"/>
              <w:rPr>
                <w:sz w:val="19"/>
                <w:szCs w:val="19"/>
                <w:color w:val="auto"/>
              </w:rPr>
            </w:pPr>
          </w:p>
        </w:tc>
        <w:tc>
          <w:tcPr>
            <w:tcW w:w="1580" w:type="dxa"/>
            <w:vAlign w:val="bottom"/>
          </w:tcPr>
          <w:p>
            <w:pPr>
              <w:jc w:val="right"/>
              <w:ind w:right="353"/>
              <w:spacing w:after="0"/>
              <w:rPr>
                <w:sz w:val="20"/>
                <w:szCs w:val="20"/>
                <w:color w:val="auto"/>
              </w:rPr>
            </w:pPr>
            <w:r>
              <w:rPr>
                <w:rFonts w:ascii="Arial" w:cs="Arial" w:eastAsia="Arial" w:hAnsi="Arial"/>
                <w:sz w:val="18"/>
                <w:szCs w:val="18"/>
                <w:color w:val="auto"/>
              </w:rPr>
              <w:t>266,515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292,848</w:t>
            </w:r>
          </w:p>
        </w:tc>
        <w:tc>
          <w:tcPr>
            <w:tcW w:w="0" w:type="dxa"/>
            <w:vAlign w:val="bottom"/>
          </w:tcPr>
          <w:p>
            <w:pPr>
              <w:spacing w:after="0"/>
              <w:rPr>
                <w:sz w:val="1"/>
                <w:szCs w:val="1"/>
                <w:color w:val="auto"/>
              </w:rPr>
            </w:pPr>
          </w:p>
        </w:tc>
      </w:tr>
      <w:tr>
        <w:trPr>
          <w:trHeight w:val="229"/>
        </w:trPr>
        <w:tc>
          <w:tcPr>
            <w:tcW w:w="6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266,515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291,727</w:t>
            </w:r>
          </w:p>
        </w:tc>
        <w:tc>
          <w:tcPr>
            <w:tcW w:w="0" w:type="dxa"/>
            <w:vAlign w:val="bottom"/>
          </w:tcPr>
          <w:p>
            <w:pPr>
              <w:spacing w:after="0"/>
              <w:rPr>
                <w:sz w:val="1"/>
                <w:szCs w:val="1"/>
                <w:color w:val="auto"/>
              </w:rPr>
            </w:pPr>
          </w:p>
        </w:tc>
      </w:tr>
      <w:tr>
        <w:trPr>
          <w:trHeight w:val="312"/>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Matthew Posard</w:t>
            </w:r>
            <w:r>
              <w:rPr>
                <w:rFonts w:ascii="Arial" w:cs="Arial" w:eastAsia="Arial" w:hAnsi="Arial"/>
                <w:sz w:val="23"/>
                <w:szCs w:val="23"/>
                <w:color w:val="auto"/>
                <w:vertAlign w:val="superscript"/>
              </w:rPr>
              <w:t>(7)</w:t>
            </w:r>
          </w:p>
        </w:tc>
        <w:tc>
          <w:tcPr>
            <w:tcW w:w="1460" w:type="dxa"/>
            <w:vAlign w:val="bottom"/>
          </w:tcPr>
          <w:p>
            <w:pPr>
              <w:jc w:val="right"/>
              <w:spacing w:after="0"/>
              <w:rPr>
                <w:sz w:val="20"/>
                <w:szCs w:val="20"/>
                <w:color w:val="auto"/>
              </w:rPr>
            </w:pPr>
            <w:r>
              <w:rPr>
                <w:rFonts w:ascii="Arial" w:cs="Arial" w:eastAsia="Arial" w:hAnsi="Arial"/>
                <w:sz w:val="18"/>
                <w:szCs w:val="18"/>
                <w:color w:val="auto"/>
              </w:rPr>
              <w:t>58,268</w:t>
            </w:r>
          </w:p>
        </w:tc>
        <w:tc>
          <w:tcPr>
            <w:tcW w:w="120" w:type="dxa"/>
            <w:vAlign w:val="bottom"/>
          </w:tcPr>
          <w:p>
            <w:pPr>
              <w:spacing w:after="0"/>
              <w:rPr>
                <w:sz w:val="24"/>
                <w:szCs w:val="24"/>
                <w:color w:val="auto"/>
              </w:rPr>
            </w:pPr>
          </w:p>
        </w:tc>
        <w:tc>
          <w:tcPr>
            <w:tcW w:w="1580" w:type="dxa"/>
            <w:vAlign w:val="bottom"/>
          </w:tcPr>
          <w:p>
            <w:pPr>
              <w:jc w:val="right"/>
              <w:ind w:right="353"/>
              <w:spacing w:after="0"/>
              <w:rPr>
                <w:sz w:val="20"/>
                <w:szCs w:val="20"/>
                <w:color w:val="auto"/>
              </w:rPr>
            </w:pPr>
            <w:r>
              <w:rPr>
                <w:rFonts w:ascii="Arial" w:cs="Arial" w:eastAsia="Arial" w:hAnsi="Arial"/>
                <w:sz w:val="18"/>
                <w:szCs w:val="18"/>
                <w:color w:val="auto"/>
              </w:rPr>
              <w:t>266,515</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324,783</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32"/>
        <w:spacing w:after="0" w:line="241" w:lineRule="auto"/>
        <w:tabs>
          <w:tab w:leader="none" w:pos="332"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2021, computed in accordance with FASB ASC 718. These amounts do not reflect the actual economic value that will be realized by the director upon the vesting of the stock options, the exercise of the stock options, or the sale of the common stock underlying such stock options.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Altman holds outstanding options to purchase 44,435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Ms. Epperly holds outstanding options to purchase 72,561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McIlwain holds outstanding options to purchase 36,280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Nazem holds outstanding options to purchase 36,280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Pande holds outstanding options to purchase 36,280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Posard holds outstanding options to purchase 268,476 shares.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January 2021, Legacy Nautilus’ board of directors granted options to purchase 36,280 shares of common stock (after giving effect to the exchange upon consummation of the Business Combination) to each of Mr. McIlwain, Mr. Nazem, Dr. Pande and Mr. Posard, and an option to purchase 72,561 shares of common stock (after giving effect to the exchange upon consummation of the Business Combination) to Ms. Epperly. Each option was granted under the 2017 Plan and the form of option agreement thereunder and has a per share exercise price of $10.00 (after giving effect to the exchange upon consummation of the Business Combination), the fair market value of one share of common stock on the date of grant, as determined in good faith by Legacy Nautilus’ board of directors. Subject to the applicable individual continuing to be a service provider to us through such date, 100% of the shares subject to each such option shall vest on the earlier of (a) January 31, 2022 and (b) the day immediately before the date of the next annual meeting of our stockholders following the closing of the Business Combination.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June 2021, Mr. Altman received an option to purchase 44,435 shares of New Nautilus common stock pursuant to the New Nautilus Outside Director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Policy. The option was granted under the 2021 Plan and the form of option agreement thereunder and has a per share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$11.16, the fair market value of one share of New Nautilus’ common stock on the date of grant. One thirty-sixth (1/36th) of the shares subject to the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vest each month beginning June 9, 2021, subject to Mr. Altman continuing to be a service provider to us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to the Business Combination</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Prior to the Business Combination, Legacy Nautilus had no formal policy under which non-employee directors received compensation for their service on the Legacy Nautilus board of directors or its committees. Legacy Nautilus’ policy was to reimburse non-employee directors for reasonable and necessary out-of-pocket expenses incurred in connection with attending board and committee meetings or performing other services in their capacities as non-employee directors, and Legacy Nautilus occasionally granted stock options to non-employee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Following the Business Combination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expects to review director compensation periodically to ensure that director compensation remains competitive such that we are able to recruit and retain qualified directors. In 2020, the compensation committee of the Legacy Nautilus board of directors retained Compensia, a third-party compensation consultant, to provide the Legacy Nautilus board of directors and its compensation committee with an analysis of publicly available market data regarding practices and compensation levels at comparable companies and assistance in determining compensation to be provided to New Nautilus’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became effective as of the day immediately prior to the closing of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w:t>
      </w:r>
    </w:p>
    <w:p>
      <w:pPr>
        <w:spacing w:after="0" w:line="17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$40,000 per year for service as non-employee chair of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$20,000 per year for service as chair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$10,000 per year for service as a member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$14,000 per year for service as chair of our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$7,000 per year for service as a member of our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$10,000 per year for service as chair of our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$5,000 per year for service as a member of our nominating and corporate governance committee.</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 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non-employee director after the effective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policy will receive, on the first trading day on or after the date that the person first becomes a non-employee director, an initial award of stock options to purchase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common stock (the “Initial Award”). The Initial Award will have an aggregate grant date fair value (determined in accordance with U.S. GAAP) of</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$370,000.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Annual Award</w:t>
      </w:r>
      <w:r>
        <w:rPr>
          <w:rFonts w:ascii="Arial" w:cs="Arial" w:eastAsia="Arial" w:hAnsi="Arial"/>
          <w:sz w:val="17"/>
          <w:szCs w:val="17"/>
          <w:color w:val="auto"/>
        </w:rPr>
        <w:t>. Each non-employee director automatically will receive, on the first trading day immediately after the date of each annual meeting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(an “Annual Meeting”) that occurs following the effective date of our Outside Director Compensation Policy, an annual award of stock options to purchase shares of our common stock (the “Annual Award”).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1/12th of the shares of our common stock subject to such award on a monthly basis following the Annual Award’s grant date, on the same day of the month as the grant date, subject to continued services to us through the applicable vesting dates.</w:t>
      </w:r>
    </w:p>
    <w:p>
      <w:pPr>
        <w:spacing w:after="0" w:line="12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the 2021 Plan, each non-employee director’s then outstanding equity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covering shares of our common stock that were granted to him or her while a non-employee director will accelerate vesting in full, provided that he or she remains a non-employee director through the date of such change in control.</w:t>
      </w:r>
    </w:p>
    <w:p>
      <w:pPr>
        <w:spacing w:after="0" w:line="130"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and Annual Award will be granted under the 2021 Plan (or its successor plan, as applicable) and form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such plan. These awards will have a maximum term to expiration of ten years from their grant and a per share exercise price equal to 100% of the fair market value of a share of our common stock on the award’s grant date.</w:t>
      </w:r>
    </w:p>
    <w:p>
      <w:pPr>
        <w:spacing w:after="0" w:line="13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non-employee director may be paid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Described below are any transactions occurring since January 1, 2020 and any currently proposed transactions to which we or either of ARYA or Legacy Nautilus was a party and in which:</w:t>
      </w:r>
    </w:p>
    <w:p>
      <w:pPr>
        <w:spacing w:after="0" w:line="116" w:lineRule="exact"/>
        <w:rPr>
          <w:sz w:val="20"/>
          <w:szCs w:val="20"/>
          <w:color w:val="auto"/>
        </w:rPr>
      </w:pPr>
    </w:p>
    <w:p>
      <w:pPr>
        <w:ind w:left="660" w:right="48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or 1% of the average of our, ARYA or Legacy Nautilus’ total assets, as applicable, at year-end for the last two completed fiscal years; and</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director, executive officer, holder of more than 5% of the outstanding capital stock of us, ARYA or Legacy Nautilus, or any member of such person’s immediate family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Transactions—ARYA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Ordinary Shares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2, 2020, ARYA Sciences Holdings III, a Cayman Islands exempted limited company and ARYA’s sponsor (the “Sponsor”) paid $25,000 to cover certain offering costs of ARYA in consideration of 3,593,750 of ARYA’s Class B ordinary shares. On August 6, 2020, ARYA effected a share capitalization resulting in the Sponsor and Todd Wider, Bradley L. Campbell and Saqib Islam, each of whom were on ARYA’s board of directors (together with Sponsor, the “initial shareholders”) holding 3,737,500 of ARYA’s Class B ordinary shares. All ARYA share numbers and the associated amounts referenced herein have been retroactively restated to reflect the share capitalization. The Sponsor agreed to forfeit up to 487,500 of ARYA’s Class B ordinary shares to the extent that the over-allotment option was not exercised in full by the underwriters in the initial public offering. The forfeiture would have been adjusted to the extent that the over-allotment option was not exercised in full by the underwriters in the initial public offering so that the ARYA Class B ordinary shares would represent 20.0% of ARYA’s issued and outstanding ordinary shares (excluding the private placement shares and assuming the initial shareholders did not purchase any units in the initial public offering) after the initial public offering. On August 11, 2020, the underwriters in the initial public offering exercised their over-allotment option in full; thus, these ARYA Class B ordinary shares were no longer subject to forfeiture. Upon the Domestication, all of the Class B ordinary shares were exchanged for shares of Common Stock of Nautilus.</w:t>
      </w:r>
    </w:p>
    <w:p>
      <w:pPr>
        <w:spacing w:after="0" w:line="11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ARYA Class B ordinary shares until the earlier to occur of: (A) one year after the completion of the Business Combination and (B) subsequent to the Business Combination, (x) if the closing price of our Common Stock equals or exceeds $12.00 per share (as adjusted for share splits, share capitalizations, reorganizations, recapitalizations and the like) for any 20 trading days within any 30-trading day period commencing at least 150 days after the Business Combination, or (y) the date on which ARYA completes a liquidation, merger, share exchange, reorganization or other similar transaction that results in all of ARYA’s public shareholders having the right to exchange their ordinary shares for cash, securities or other property. Pursuant to the terms of the Sponsor Letter Agreement, as described below, upon the closing of the Business Combination these restrictions terminated upon the closing of the Business Combination. Effective as of the closing of the Business Combination, all shares of Common Stock issued upon the exchange of the Class B ordinary shares were subject to the lock-up restrictions set forth in the Amended and Restated Registration Rights and Lock-Up Agreement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Shares – IPO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Simultaneously with the closing of ARYA’s initial public offering, the Sponsor purchased an aggregate of 499,000 private placement shares at a price of</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$10.00 per private placement unit in a private placement, generating gross proceeds of approximately $5.0 million. A portion of these proceeds were added to the proceeds from ARYA’s initial public offering.</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private placement shares were subject to the lock-up period described in the Amended and Restated Registration Rights and Lock-Up Agreement that was executed by the Sponsor in connection with the execution of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 2020, Sponsor agreed to loan ARYA an aggregate of up to $300,000 to cover expenses related to ARYA’s initial public offering pursuant to a promissory note (the “Note”). This loan was non-interest bearing and payable on the earlier of December 31, 2020 or the completion of ARYA’s initial public offering. Sponsor paid an aggregate of approximately $200,000 to cover for expenses on ARYA’s behalf under the Note. On August 11, 2020, ARYA repaid the Note in full.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7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Effective August 11, 2020, ARYA entered into an agreement to pay monthly expenses of $10,000 for office space, administrative services and support services to Sponsor. ARYA incurred approximately $98,000 for these services from March 27, 2020 (inception) through the closing of the Business Combination. The letter automatically terminated upon the completion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Reference is made to the discussion of the Amended and Restated Registration Rights and Lock-Up Agreement in the section below entitled “</w:t>
      </w:r>
      <w:r>
        <w:rPr>
          <w:rFonts w:ascii="Arial" w:cs="Arial" w:eastAsia="Arial" w:hAnsi="Arial"/>
          <w:sz w:val="18"/>
          <w:szCs w:val="18"/>
          <w:i w:val="1"/>
          <w:iCs w:val="1"/>
          <w:color w:val="auto"/>
        </w:rPr>
        <w:t>—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Transactions—Legacy Nautilus.</w:t>
      </w:r>
      <w:r>
        <w:rPr>
          <w:rFonts w:ascii="Arial" w:cs="Arial" w:eastAsia="Arial" w:hAnsi="Arial"/>
          <w:sz w:val="18"/>
          <w:szCs w:val="18"/>
          <w:color w:val="auto"/>
        </w:rPr>
        <w:t>”</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ARYA previously entered into a registration and shareholder rights agreement, dated August 11, 2020 (the “ARYA Registration and Shareholder Rights Agreement”), pursuant to which its initial shareholders and their permitted transferees, if any, were entitled to certain registration rights with respect to the private placement shares, the securities issuable upon conversion of working capital loans (if any) and the Class A ordinary shares issuable upon exercise of the foregoing and upon conversion of the founder shares. The ARYA Registration and Shareholder Rights Agreement was terminated in connection with the execution of the Amended and Restated Registration Rights and Lock-Up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Concurrently with the execution of the Business Combination Agreement, the Sponsor, ARYA, Todd Wider, Bradley L. Campbell and Saqib Islam and Legacy Nautilus entered into the Sponsor Letter Agreement, pursuant to which the Sponsor and each of Todd Wider, Bradley L. Campbell and Saqib Islam agreed to, among other things, (i) vote in favor of the Business Combination Agreement and the transactions contemplated thereby (ii) waive any adjustment to the conversion ratio set forth in the governing documents of ARYA or any other anti-dilution or similar protection with respect to ARYA’s Class B ordinary shares (whether resulting from the transactions contemplated by the PIPE Financing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the conditions set forth in the Sponsor Letter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Reference is made to the discussion of the PIPE Financing in the section below entitled “</w:t>
      </w:r>
      <w:r>
        <w:rPr>
          <w:rFonts w:ascii="Arial" w:cs="Arial" w:eastAsia="Arial" w:hAnsi="Arial"/>
          <w:sz w:val="18"/>
          <w:szCs w:val="18"/>
          <w:i w:val="1"/>
          <w:iCs w:val="1"/>
          <w:color w:val="auto"/>
        </w:rPr>
        <w:t>— Certain Relationships and Related Person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Legacy Nautilus.</w:t>
      </w:r>
      <w:r>
        <w:rPr>
          <w:rFonts w:ascii="Arial" w:cs="Arial" w:eastAsia="Arial" w:hAnsi="Arial"/>
          <w:sz w:val="18"/>
          <w:szCs w:val="18"/>
          <w:color w:val="auto"/>
        </w:rPr>
        <w:t>”</w:t>
      </w:r>
    </w:p>
    <w:p>
      <w:pPr>
        <w:spacing w:after="0" w:line="112" w:lineRule="exact"/>
        <w:rPr>
          <w:sz w:val="20"/>
          <w:szCs w:val="20"/>
          <w:color w:val="auto"/>
        </w:rPr>
      </w:pPr>
    </w:p>
    <w:p>
      <w:pPr>
        <w:ind w:right="5560"/>
        <w:spacing w:after="0" w:line="440" w:lineRule="auto"/>
        <w:rPr>
          <w:sz w:val="20"/>
          <w:szCs w:val="20"/>
          <w:color w:val="auto"/>
        </w:rPr>
      </w:pPr>
      <w:r>
        <w:rPr>
          <w:rFonts w:ascii="Arial" w:cs="Arial" w:eastAsia="Arial" w:hAnsi="Arial"/>
          <w:sz w:val="18"/>
          <w:szCs w:val="18"/>
          <w:b w:val="1"/>
          <w:bCs w:val="1"/>
          <w:color w:val="auto"/>
        </w:rPr>
        <w:t xml:space="preserve">Certain Relationships and Related Person Transactions—Legacy Nautilus </w:t>
      </w:r>
      <w:r>
        <w:rPr>
          <w:rFonts w:ascii="Arial" w:cs="Arial" w:eastAsia="Arial" w:hAnsi="Arial"/>
          <w:sz w:val="18"/>
          <w:szCs w:val="18"/>
          <w:b w:val="1"/>
          <w:bCs w:val="1"/>
          <w:i w:val="1"/>
          <w:iCs w:val="1"/>
          <w:color w:val="auto"/>
        </w:rPr>
        <w:t>Series B Preferred Stock Issuance</w:t>
      </w:r>
    </w:p>
    <w:p>
      <w:pPr>
        <w:spacing w:after="0" w:line="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In April and May 2020, Legacy Nautilus issued and sold an aggregate of 6,109,232 shares of its Series B preferred stock (before giving effect to the exchange upon consummation of the Business Combination) at a purchase price of $12.45 per share (before giving effect to the exchange upon consummation of the Business Combination) for an aggregate purchase price of $76.1 million.</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Purchasers of Legacy Nautilus’ Series B preferred stock included stockholders that beneficially owned more than 5% of Legacy Nautilus’ outstanding capital stock at the time of such transaction and/or were represented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Legacy Nautilus’ board of directors at the time of the transaction. The following table presents the number of shares and the total purchase price paid by these entities (in each case before giving effect to the exchange upon consummation of the Business Combination).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of Series B</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Purchase Price ($)</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20,000,004</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963,855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11,999,995</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AH Bio Fund II, L.P.</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9,999,989</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PFV I,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HAND Capital, LLC </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Stuart Nagae was a member of Legacy Nautilus’ board of directors and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Legacy Nautilus’ board of directors and is an affiliate of Madrona Venture Fund VI. .</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Legacy Nautilus’ board of directors and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Sujal Patel is a member of our board of directors and was a member of Legacy Nautilus’ board of directors and is the manager of PFV I,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Legacy Nautilus’ board of directors and is the manager of HAND Capital, LLC.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Nautilus Registration Rights Agreement</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Legacy Nautilus was party to an amended and restated registration rights agreement with certain holders of its capital stock, including, among others, AH Bio Fund II, L.P., entities affiliated with Vulcan Capital, entities affiliated with Madrona Venture Fund VI, PFV I, LLC (an affiliate of Sujal Patel, Chief Executive Officer, President and a director of Nautilus) and HAND Capital, LLC (an affiliate of Farzad Nazem, a director of Nautilus). Under Legacy Nautilus’ amended and restated registration rights agreement, certain holders of Legacy Nautilus’ capital stock had the right to demand that Legacy Nautilus file a registration statement or request that their shares of capital stock be covered by a registration statement that Legacy Nautilus is otherwise filing. Upon the consummation of the Business Combination, Legacy Nautilus’ amended and restated registration rights agreement terminated.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Legacy Nautilus was party to an amended and restated voting agreement, as amended, with certain holders of its capital stock, including, among others, Sujal Patel, our, and previously Legacy Nautilus’ Chief Executive Officer, President and director, Parag Mallick, our, and previously Legacy Nautilus’ Chief Scientist and director, AH Bio Fund II, L.P., entities affiliated with Vulcan Capital, entities affiliated with Madrona Venture Fund VI, PFV I, LLC (an affiliate of Mr. Patel) and HAND Capital, LLC (an affiliate of Farzad Nazem, a director of ours, and, prior to that, of Legacy Nautilus). The parties to the voting agreement agreed, subject to certain conditions, to vote the shares of Legacy Nautilus capital stock held by them so as to maintain the size of the Legacy Nautilus’ board of directors at 9 and to elect the following individuals as directors: (1) one individual designated by a majority-in-interest of the holders of Legacy Nautilus’ Series Seed Preferred Stock, (2) one individual designated by AH Bio Fund II, L.P., (3) one individual designated by entities affiliated with Vulcan Capital, (4) two individuals designated by a majority-in-interest of certain holders of Legacy Nautilus’ common stock, (5) one individual who is an independent outside industry expert approved unanimously by the other members of Legacy Nautilus’ board of directors, (6) one individual who is an independent outside industry expert approved by the majority of the members of Legacy Nautilus’ board of directors, and (7) two individuals designated by a majority of the other members of Legacy Nautilus’ board of directors.</w:t>
      </w:r>
    </w:p>
    <w:p>
      <w:pPr>
        <w:spacing w:after="0" w:line="12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Upon the consummation of the Business Combination, the obligations of the parties to the voting agreement to vote their shares so as to elect these nominees, as well as the other rights and obligations under this agreement, terminated and none of Legacy Nautilus’ stockholders have any special rights regarding the nomination, election or designation of members of our board of directors pursuant to such agreement. Legacy Nautilus’ certificate of incorporation as in effect prior to the consummation of the Business Combination contained provisions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election of members of the board of directors that corresponded to the amended and restated voting agreement; however, such provisions were removed in the certificate of incorporation that became effective in connection with the consummation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Legacy Nautilus entered into indemnification agreements with its directors and executive officers and we have entered into separate indemnification agreements with our directors and executive officers, in addition to the indemnification provided for in our Certificate of Incorporation and our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0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limitation of liability and indemnification provisions in our Certificate of Incorporation and our Bylaws may discourage stockholders from bringing a lawsuit against directors for breach of their fiduciary duties. They may also reduce the likelihood of derivative litigation against directors and executive officers, even though an action, if successful, might benefit us and our stockholders. A stockholder’s investment may decline in value to the extent we pay the costs of settlement and damage awards against directors and executive officers pursuant to these indemnification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Transfer Agreement</w:t>
      </w:r>
    </w:p>
    <w:p>
      <w:pPr>
        <w:spacing w:after="0" w:line="17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On February 7, 2021, Legacy Nautilus, Parag Mallick, our, and previously Legacy Nautilus’, Chief Scientist and director, and certain holders of Legacy Nautilus capital stock or their affiliates entered into a Stock Transfer Agreement pursuant to which Dr. Mallick transferred and sold an aggregate total of 147,275 shares (before giving effect to the exchange upon consummation of the Business Combination) to the purchasers party thereto at a price per share of $33.95 (before giving effect to the exchange upon consummation of the Business Combination) for aggregate gross proceeds of $4,999,986.25. Legacy Nautilus did not purchase any of the shares sold by Dr. Mallick pursuant to the agreement and was a party to the agreement solely for the purpose of acknowledging the transfer and waiving certain restrictions on transfer governing the shares set forth in the existing Legacy Nautilus shareholder agreements and governing documents. Purchasers in the transaction included stockholders that beneficially owned more than 5% of Legacy Nautilus’ outstanding capital stock at the time of such transaction and/or were represented on Legacy Nautilus’ board of directors at the time of the transaction. The following table presents the number of shares and the total purchase price paid by these entities.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Shares of Nautilus</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Purchase Price ($)</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9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4"/>
              </w:rPr>
              <w:t>Andreessen Horowitz LSV Fund II, LP, for itself and as nominee for Andreessen Horowitz LSV Fund II-B,</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74,490</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2,528,936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L.P. and Andreessen Horowitz LSV Fund II-Q, L.P.</w:t>
            </w:r>
            <w:r>
              <w:rPr>
                <w:rFonts w:ascii="Arial" w:cs="Arial" w:eastAsia="Arial" w:hAnsi="Arial"/>
                <w:sz w:val="23"/>
                <w:szCs w:val="23"/>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26,638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904,360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796,060</w:t>
            </w:r>
          </w:p>
        </w:tc>
        <w:tc>
          <w:tcPr>
            <w:tcW w:w="0" w:type="dxa"/>
            <w:vAlign w:val="bottom"/>
          </w:tcPr>
          <w:p>
            <w:pPr>
              <w:spacing w:after="0"/>
              <w:rPr>
                <w:sz w:val="1"/>
                <w:szCs w:val="1"/>
                <w:color w:val="auto"/>
              </w:rPr>
            </w:pPr>
          </w:p>
        </w:tc>
      </w:tr>
      <w:tr>
        <w:trPr>
          <w:trHeight w:val="304"/>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277,134</w:t>
            </w: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Legacy Nautilus’ board of directors and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Stuart Nagae was a member of Legacy Nautilus’ board of directors and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Legacy Nautilus’ board of directors and is an affiliate of Madrona Venture Fund VI.</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Legacy Nautilus’ board of directors and is the manager of HAND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connection with the execution of the Business Combination Agreement, effective as of February 7, 2021, ARYA entered into the Subscription Agreements (each, a “Subscription Agreement”) with the Perceptive PIPE Investor and certain other PIPE investors (the “Other PIPE Investors,” and the Other PIPE Investors, together with the Perceptive PIPE Investor, the “PIPE Investors”), pursuant to which the PIPE Investors agreed to subscribe for and purchase, and ARYA agreed to issue and sell to the PIPE Investors, an aggregate of 20,000,000 shares of our Common Stock at a price of $10.00 per share, for aggregate gross proceeds of $200 million. The Perceptive PIPE Investor funded $55 million in the PIPE Financing. The shares of our Common Stock issued pursuant to the Subscription Agreements were not registered under the Securities Act and were issued in reliance of the exemption provided in Section 4(a)(2) of the Securities Act. We granted the PIPE Investors certain registration rights in connection with the PIPE Financing requiring us to file and maintain an effective resale registration statement with respect to the PIPE Shares for the benefit of the PIPE Investors. The Other PIPE Investors include stockholders that beneficially owned more than 5% of Legacy Nautilus’ outstanding capital stock at the time of entering into the applicable Subscription Agreement and/or were represented on Legacy Nautilus’ board of directors at such time. The following table presents the number of shares purchased and the total purchase price paid by these individuals and entities, as well as the Perceptive PIPE Investor. In addition to such individuals and entities, as set forth below, funds affiliated with BAIN Capital Life Sciences Investors, LLC, previously a holder of more than 5% of ARYA’s outstanding capital stock, purchased $10,000,000 of our Common Stock in the PIPE Financing.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 Purchased</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4"/>
              </w:rPr>
              <w:t>Total Purchase Price ($)</w:t>
            </w:r>
          </w:p>
        </w:tc>
        <w:tc>
          <w:tcPr>
            <w:tcW w:w="0" w:type="dxa"/>
            <w:vAlign w:val="bottom"/>
          </w:tcPr>
          <w:p>
            <w:pPr>
              <w:spacing w:after="0"/>
              <w:rPr>
                <w:sz w:val="1"/>
                <w:szCs w:val="1"/>
                <w:color w:val="auto"/>
              </w:rPr>
            </w:pPr>
          </w:p>
        </w:tc>
      </w:tr>
      <w:tr>
        <w:trPr>
          <w:trHeight w:val="175"/>
        </w:trPr>
        <w:tc>
          <w:tcPr>
            <w:tcW w:w="792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94"/>
              </w:rPr>
              <w:t>Andreessen Horowitz LSV Fund II, LP, for itself and as nominee for Andreessen Horowitz LSV Fund II-B,</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1,085,656</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10,856,560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L.P. and Andreessen Horowitz LSV Fund II-Q, L.P.</w:t>
            </w:r>
            <w:r>
              <w:rPr>
                <w:rFonts w:ascii="Arial" w:cs="Arial" w:eastAsia="Arial" w:hAnsi="Arial"/>
                <w:sz w:val="23"/>
                <w:szCs w:val="23"/>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1,248,113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12,481,130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72,286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722,860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Matthew Posard </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Perceptive PIPE Investor </w:t>
            </w:r>
            <w:r>
              <w:rPr>
                <w:rFonts w:ascii="Arial" w:cs="Arial" w:eastAsia="Arial" w:hAnsi="Arial"/>
                <w:sz w:val="23"/>
                <w:szCs w:val="23"/>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Entities affiliated with BAIN Capital Life Sciences Investors, LLC </w:t>
            </w:r>
            <w:r>
              <w:rPr>
                <w:rFonts w:ascii="Arial" w:cs="Arial" w:eastAsia="Arial" w:hAnsi="Arial"/>
                <w:sz w:val="23"/>
                <w:szCs w:val="23"/>
                <w:color w:val="auto"/>
                <w:vertAlign w:val="superscript"/>
              </w:rPr>
              <w:t>(7)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Legacy Nautilus’ board of directors and is a representative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Stuart Nagae was a member of Legacy Nautilus’ board of directors and is a representative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Legacy Nautilus’ board of directors and is a representative of Madrona Venture Fund VI.</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Legacy Nautilus’ board of directors and is the manager of HAND Capital,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Posard is a member of our board of directors and was a member of Legacy Nautilus’ board of directors.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Michael Altman is a member of our board of directors, was a member of ARYA’s board of directors, and is a representative of the Perceptive PIPE Investor.</w:t>
      </w:r>
    </w:p>
    <w:p>
      <w:pPr>
        <w:spacing w:after="0" w:line="1" w:lineRule="exact"/>
        <w:rPr>
          <w:rFonts w:ascii="Arial" w:cs="Arial" w:eastAsia="Arial" w:hAnsi="Arial"/>
          <w:sz w:val="14"/>
          <w:szCs w:val="14"/>
          <w:color w:val="auto"/>
        </w:rPr>
      </w:pPr>
    </w:p>
    <w:p>
      <w:pPr>
        <w:ind w:left="340" w:right="820" w:hanging="332"/>
        <w:spacing w:after="0" w:line="255" w:lineRule="auto"/>
        <w:tabs>
          <w:tab w:leader="none" w:pos="332" w:val="left"/>
        </w:tabs>
        <w:numPr>
          <w:ilvl w:val="0"/>
          <w:numId w:val="77"/>
        </w:numPr>
        <w:rPr>
          <w:rFonts w:ascii="Arial" w:cs="Arial" w:eastAsia="Arial" w:hAnsi="Arial"/>
          <w:sz w:val="14"/>
          <w:szCs w:val="14"/>
          <w:color w:val="auto"/>
        </w:rPr>
      </w:pPr>
      <w:r>
        <w:rPr>
          <w:rFonts w:ascii="Arial" w:cs="Arial" w:eastAsia="Arial" w:hAnsi="Arial"/>
          <w:sz w:val="14"/>
          <w:szCs w:val="14"/>
          <w:color w:val="auto"/>
        </w:rPr>
        <w:t>Entities affiliated with BAIN Capital Life Sciences Investors, LLC beneficially owned greater than 5% of ARYA’s outstanding capital stock prior to the closing of the Business Combination.</w:t>
      </w:r>
    </w:p>
    <w:p>
      <w:pPr>
        <w:spacing w:after="0" w:line="13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closing of the PIPE Financing was contingent upon, among other customary closing conditions, the substantially concurrent closing of the Business Combination. The purpose of the PIPE Financing was to raise additional capital for use by us following the Business Combination.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7, 2021, ARYA entered into the Transaction Support Agreements with the Perceptive PIPE Investor and certain other holders of Legacy Nautilus’ capital stock, including Sujal Patel, our, and previously Legacy Nautilus’ Chief Executive Officer, President and director, Parag Mallick, our, and previously Legacy Nautilus’ Chief Scientist and director, entities affiliated with Andreessen Horowitz, and entities affiliated with Vulcan Capital, pursuant to which such holders agreed, among other things, to (i) support and vote in favor of the Business Combination Agreement and the transactions contemplated thereby (including the Merger), and (ii)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bound by certain other covenants and agreements related to the Business Combination, including a restriction on transfers with respect to his, her or its shares in Legacy Nautilus prior to the closing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February 7, 2021, ARYA entered into an Amended and Restated Registration Rights and Lock-Up Agreement, which became effective at the closing of the Business Combination, with the Perceptive PIPE Investor, ARYA’s initial shareholders, Legacy Nautilus’ directors, and certain holders of Legacy Nautilus’ capital stock, including, among others, Sujal Patel, our, and previously Legacy Nautilus’ Chief Executive Officer, President and director, Parag Mallick, our, and previously Legacy Nautilus’ Chief Scientist and director, entities affiliated with Andreessen Horowitz, entities affiliated with Vulcan Capital, entities affiliated with Madrona Venture Fund VI, PFV I, LLC (an affiliate of Mr. Patel) and HAND Capital, LLC (an affiliate of Farzad Nazem, our director, and previously a director of Legacy Nautilus). Pursuant to the terms of the Amended and Restated Registration Rights and Lock-Up Agreement, we are obligated to file a registration statement to register the resale of certain shares of our Common Stock within 45 days after the closing of the Business Combination.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we file a registration statement on Form S-3 (or on Form S-1 if Form S-3 is not available) to register our securities held by such holders, and we are separately required at all times to maintain an effective resale registration statement for the benefit of the holders party to the agreement. The Amended and Restated Registration Rights and Lock-Up Agreement also provides such holders with “piggy-back” registration rights, subject to certain requirements and customary conditions.</w:t>
      </w:r>
    </w:p>
    <w:p>
      <w:pPr>
        <w:spacing w:after="0" w:line="1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our securities held by the holders party thereto to be locked-up for a period of time following the closing of the Business Combination, subject to certain exceptions.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Nautilus Policies for Approval of Related Party Transactions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Legacy Nautilus’ board of directors reviewed and approved transactions with directors, officers and holders of 5% or more of its capital stock and their affiliates, each a related party. Prior to this transaction, the material facts as to the related party’s relationship or interest in the transaction were disclosed to its board of directors prior to their consideration of such transaction, and the transaction was not considered approved by Legacy Nautilus’ board of directors unless a majority of the directors who were then not interested in the transaction approved the transaction. Further, when stockholders were entitled to vote on a transaction with a related party, the material facts of the related party’s relationship or interest in the transaction were disclosed to the stockholders, who had to approve the transaction in good faith.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Policies and Procedures for Related Party Transactions</w:t>
      </w:r>
    </w:p>
    <w:p>
      <w:pPr>
        <w:spacing w:after="0" w:line="17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3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1440" w:right="379" w:bottom="1440" w:gutter="0" w:footer="0" w:header="0"/>
        </w:sectPr>
      </w:pPr>
    </w:p>
    <w:bookmarkStart w:id="133" w:name="page134"/>
    <w:bookmarkEnd w:id="133"/>
    <w:p>
      <w:pPr>
        <w:spacing w:after="0" w:line="1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70"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audit committee will approve only those transactions that it determines are fair to us and in our best interests. 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4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PRINCIPAL SECURITYHOLDERS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Common Stock as of January 31, 2022 by:</w:t>
      </w:r>
    </w:p>
    <w:p>
      <w:pPr>
        <w:spacing w:after="0" w:line="171"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 and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January 31, 2022. Shares subject to options that are currently exercisable or exercisable within 60 days of January 31, 2022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the directors and executive officers of New Nautilus is 2701 Eastlake Avenue East, Seattle, WA 98102. The percentage of beneficial ownership of New Nautilus is calculated based on 124,425,923 shares of Common Stock outstanding as of January 31,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Address of Beneficial Owners</w:t>
            </w: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tcPr>
          <w:p>
            <w:pPr>
              <w:jc w:val="right"/>
              <w:ind w:right="691"/>
              <w:spacing w:after="0"/>
              <w:rPr>
                <w:sz w:val="20"/>
                <w:szCs w:val="20"/>
                <w:color w:val="auto"/>
              </w:rPr>
            </w:pPr>
            <w:r>
              <w:rPr>
                <w:rFonts w:ascii="Arial" w:cs="Arial" w:eastAsia="Arial" w:hAnsi="Arial"/>
                <w:sz w:val="14"/>
                <w:szCs w:val="14"/>
                <w:b w:val="1"/>
                <w:bCs w:val="1"/>
                <w:color w:val="auto"/>
              </w:rPr>
              <w:t>%</w:t>
            </w:r>
          </w:p>
        </w:tc>
      </w:tr>
      <w:tr>
        <w:trPr>
          <w:trHeight w:val="229"/>
        </w:trPr>
        <w:tc>
          <w:tcPr>
            <w:tcW w:w="7800" w:type="dxa"/>
            <w:vAlign w:val="bottom"/>
            <w:tcBorders>
              <w:top w:val="single" w:sz="8" w:color="auto"/>
            </w:tcBorders>
            <w:shd w:val="clear" w:color="auto" w:fill="CCEEFF"/>
          </w:tcPr>
          <w:p>
            <w:pPr>
              <w:ind w:left="180"/>
              <w:spacing w:after="0" w:line="229" w:lineRule="exact"/>
              <w:rPr>
                <w:sz w:val="20"/>
                <w:szCs w:val="20"/>
                <w:color w:val="auto"/>
              </w:rPr>
            </w:pPr>
            <w:r>
              <w:rPr>
                <w:rFonts w:ascii="Arial" w:cs="Arial" w:eastAsia="Arial" w:hAnsi="Arial"/>
                <w:sz w:val="18"/>
                <w:szCs w:val="18"/>
                <w:color w:val="auto"/>
              </w:rPr>
              <w:t>Sujal Patel</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17,188,972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29"/>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Parag Mallick</w:t>
            </w:r>
            <w:r>
              <w:rPr>
                <w:rFonts w:ascii="Arial" w:cs="Arial" w:eastAsia="Arial" w:hAnsi="Arial"/>
                <w:sz w:val="23"/>
                <w:szCs w:val="23"/>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20,815,229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30"/>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Matt Murphy</w:t>
            </w:r>
            <w:r>
              <w:rPr>
                <w:rFonts w:ascii="Arial" w:cs="Arial" w:eastAsia="Arial" w:hAnsi="Arial"/>
                <w:sz w:val="23"/>
                <w:szCs w:val="23"/>
                <w:color w:val="auto"/>
                <w:vertAlign w:val="superscript"/>
              </w:rPr>
              <w:t>(3)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(4)</w:t>
            </w:r>
          </w:p>
        </w:tc>
        <w:tc>
          <w:tcPr>
            <w:tcW w:w="1540" w:type="dxa"/>
            <w:vAlign w:val="bottom"/>
          </w:tcPr>
          <w:p>
            <w:pPr>
              <w:jc w:val="right"/>
              <w:spacing w:after="0"/>
              <w:rPr>
                <w:sz w:val="20"/>
                <w:szCs w:val="20"/>
                <w:color w:val="auto"/>
              </w:rPr>
            </w:pPr>
            <w:r>
              <w:rPr>
                <w:rFonts w:ascii="Arial" w:cs="Arial" w:eastAsia="Arial" w:hAnsi="Arial"/>
                <w:sz w:val="18"/>
                <w:szCs w:val="18"/>
                <w:color w:val="auto"/>
              </w:rPr>
              <w:t>28,217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6,516,125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(6)</w:t>
            </w:r>
          </w:p>
        </w:tc>
        <w:tc>
          <w:tcPr>
            <w:tcW w:w="1540" w:type="dxa"/>
            <w:vAlign w:val="bottom"/>
          </w:tcPr>
          <w:p>
            <w:pPr>
              <w:jc w:val="right"/>
              <w:spacing w:after="0"/>
              <w:rPr>
                <w:sz w:val="20"/>
                <w:szCs w:val="20"/>
                <w:color w:val="auto"/>
              </w:rPr>
            </w:pPr>
            <w:r>
              <w:rPr>
                <w:rFonts w:ascii="Arial" w:cs="Arial" w:eastAsia="Arial" w:hAnsi="Arial"/>
                <w:sz w:val="18"/>
                <w:szCs w:val="18"/>
                <w:color w:val="auto"/>
              </w:rPr>
              <w:t>1,924,426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Matthew L. Posard</w:t>
            </w:r>
            <w:r>
              <w:rPr>
                <w:rFonts w:ascii="Arial" w:cs="Arial" w:eastAsia="Arial" w:hAnsi="Arial"/>
                <w:sz w:val="23"/>
                <w:szCs w:val="23"/>
                <w:color w:val="auto"/>
                <w:vertAlign w:val="superscript"/>
              </w:rPr>
              <w:t>(8)</w:t>
            </w:r>
          </w:p>
        </w:tc>
        <w:tc>
          <w:tcPr>
            <w:tcW w:w="1540" w:type="dxa"/>
            <w:vAlign w:val="bottom"/>
          </w:tcPr>
          <w:p>
            <w:pPr>
              <w:jc w:val="right"/>
              <w:spacing w:after="0"/>
              <w:rPr>
                <w:sz w:val="20"/>
                <w:szCs w:val="20"/>
                <w:color w:val="auto"/>
              </w:rPr>
            </w:pPr>
            <w:r>
              <w:rPr>
                <w:rFonts w:ascii="Arial" w:cs="Arial" w:eastAsia="Arial" w:hAnsi="Arial"/>
                <w:sz w:val="18"/>
                <w:szCs w:val="18"/>
                <w:color w:val="auto"/>
              </w:rPr>
              <w:t>379,030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4,157,608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i w:val="1"/>
                <w:iCs w:val="1"/>
                <w:color w:val="auto"/>
              </w:rPr>
              <w:t>All directors and officers as a group (12 persons)</w:t>
            </w:r>
            <w:r>
              <w:rPr>
                <w:rFonts w:ascii="Arial" w:cs="Arial" w:eastAsia="Arial" w:hAnsi="Arial"/>
                <w:sz w:val="23"/>
                <w:szCs w:val="23"/>
                <w:i w:val="1"/>
                <w:iCs w:val="1"/>
                <w:color w:val="auto"/>
                <w:vertAlign w:val="superscript"/>
              </w:rPr>
              <w:t>(10)</w:t>
            </w:r>
          </w:p>
        </w:tc>
        <w:tc>
          <w:tcPr>
            <w:tcW w:w="1540" w:type="dxa"/>
            <w:vAlign w:val="bottom"/>
          </w:tcPr>
          <w:p>
            <w:pPr>
              <w:jc w:val="right"/>
              <w:spacing w:after="0"/>
              <w:rPr>
                <w:sz w:val="20"/>
                <w:szCs w:val="20"/>
                <w:color w:val="auto"/>
              </w:rPr>
            </w:pPr>
            <w:r>
              <w:rPr>
                <w:rFonts w:ascii="Arial" w:cs="Arial" w:eastAsia="Arial" w:hAnsi="Arial"/>
                <w:sz w:val="18"/>
                <w:szCs w:val="18"/>
                <w:color w:val="auto"/>
              </w:rPr>
              <w:t>51,838,662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41.2 %</w:t>
            </w:r>
          </w:p>
        </w:tc>
      </w:tr>
      <w:tr>
        <w:trPr>
          <w:trHeight w:val="23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Five Percent Holders: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3"/>
                <w:szCs w:val="23"/>
                <w:color w:val="auto"/>
                <w:vertAlign w:val="superscript"/>
              </w:rPr>
              <w:t>(11)</w:t>
            </w:r>
          </w:p>
        </w:tc>
        <w:tc>
          <w:tcPr>
            <w:tcW w:w="1540" w:type="dxa"/>
            <w:vAlign w:val="bottom"/>
          </w:tcPr>
          <w:p>
            <w:pPr>
              <w:jc w:val="right"/>
              <w:spacing w:after="0"/>
              <w:rPr>
                <w:sz w:val="20"/>
                <w:szCs w:val="20"/>
                <w:color w:val="auto"/>
              </w:rPr>
            </w:pPr>
            <w:r>
              <w:rPr>
                <w:rFonts w:ascii="Arial" w:cs="Arial" w:eastAsia="Arial" w:hAnsi="Arial"/>
                <w:sz w:val="18"/>
                <w:szCs w:val="18"/>
                <w:color w:val="auto"/>
              </w:rPr>
              <w:t>9,111,151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Entities affiliated with Andreessen Horowitz</w:t>
            </w:r>
            <w:r>
              <w:rPr>
                <w:rFonts w:ascii="Arial" w:cs="Arial" w:eastAsia="Arial" w:hAnsi="Arial"/>
                <w:sz w:val="23"/>
                <w:szCs w:val="23"/>
                <w:color w:val="auto"/>
                <w:vertAlign w:val="superscript"/>
              </w:rPr>
              <w:t>(12)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17,653,917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(13)</w:t>
            </w:r>
          </w:p>
        </w:tc>
        <w:tc>
          <w:tcPr>
            <w:tcW w:w="1540" w:type="dxa"/>
            <w:vAlign w:val="bottom"/>
          </w:tcPr>
          <w:p>
            <w:pPr>
              <w:jc w:val="right"/>
              <w:spacing w:after="0"/>
              <w:rPr>
                <w:sz w:val="20"/>
                <w:szCs w:val="20"/>
                <w:color w:val="auto"/>
              </w:rPr>
            </w:pPr>
            <w:r>
              <w:rPr>
                <w:rFonts w:ascii="Arial" w:cs="Arial" w:eastAsia="Arial" w:hAnsi="Arial"/>
                <w:sz w:val="18"/>
                <w:szCs w:val="18"/>
                <w:color w:val="auto"/>
              </w:rPr>
              <w:t>7,172,985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Entities affiliated with Madrona Ventures</w:t>
            </w:r>
            <w:r>
              <w:rPr>
                <w:rFonts w:ascii="Arial" w:cs="Arial" w:eastAsia="Arial" w:hAnsi="Arial"/>
                <w:sz w:val="23"/>
                <w:szCs w:val="23"/>
                <w:color w:val="auto"/>
                <w:vertAlign w:val="superscript"/>
              </w:rPr>
              <w:t>(14)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6,516,125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right="60" w:hanging="332"/>
        <w:spacing w:after="0" w:line="241" w:lineRule="auto"/>
        <w:tabs>
          <w:tab w:leader="none" w:pos="332"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(i) 9,864,388 shares held by Mr. Patel, (ii) 5,280,476 shares held by PFV I, LLC, (iii) 1,814,035 shares held by the Sujal Patel 2020 Children's Trust, u/a/d December 3, 2020 (the “Patel Trust”) and (iv) 230,073 shares subject to options held by Mr. Patel exercisable withing 60 days of January 31, 2022.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spacing w:after="0" w:line="1" w:lineRule="exact"/>
        <w:rPr>
          <w:rFonts w:ascii="Arial" w:cs="Arial" w:eastAsia="Arial" w:hAnsi="Arial"/>
          <w:sz w:val="14"/>
          <w:szCs w:val="14"/>
          <w:color w:val="auto"/>
        </w:rPr>
      </w:pPr>
    </w:p>
    <w:p>
      <w:pPr>
        <w:jc w:val="both"/>
        <w:ind w:left="340" w:right="100" w:hanging="332"/>
        <w:spacing w:after="0" w:line="276" w:lineRule="auto"/>
        <w:tabs>
          <w:tab w:leader="none" w:pos="332"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(i) 20,479,892 shares held by Dr. Mallick, (ii) 200,000 shares held by The Dream Finder Foundation, and (iii) 135,337 shares subject to options held by Dr. Mallick exercisable within 60 days of January 31, 2022. 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report shall not be deemed an admission that Dr. Mallick is the beneficial owner of such securities for purposes of Section 16 or for any other purposes.</w:t>
      </w:r>
    </w:p>
    <w:p>
      <w:pPr>
        <w:spacing w:after="0" w:line="13" w:lineRule="exact"/>
        <w:rPr>
          <w:sz w:val="20"/>
          <w:szCs w:val="20"/>
          <w:color w:val="auto"/>
        </w:rPr>
      </w:pPr>
    </w:p>
    <w:p>
      <w:pPr>
        <w:ind w:left="340" w:right="12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34,140 shares held by the Murphy Family Trust and (ii) 81,631 shares subject to options held by Mr. Murphy exercisable within 60 days of January 31, 2022. Mr. Murphy is the trustee of the Murphy Family Trust and as such has voting and investment control over shares held by the Murphy Family Trust.</w:t>
      </w: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shares subject to options held by Ms. Epperly exercisable within 60 days of January 31, 2022.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the shares set forth in footnote 14 below.</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1,888,146 shares held by HAND Capital, LLC and (ii) 36,280 shares subject to options held by Mr. Nazem exercisable within 60 days of January 31, 2022. Mr. Nazem is the manager of HAND Capital, LLC and as such has voting and investment power over the shares held by HAND Capital, LLC.</w:t>
      </w: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Pande has no voting or investment control over the shares held by entities affiliated with Andreessen Horowitz that are included in footnote 12 below.</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50,000 shares held by Mr. Posard, (ii) 100,000 shares held by the Matthew and Elizabeth Posard Trust and (iii) 229,030 shares subject to options held by Mr. Posard exercisable within 60 days of January 31, 2022. Mr. Posard is the trustee of the Matthew and Elizabeth Posard Trust and as such has voting and investment control over shares held by the Matthew and Elizabeth Posard Trust.</w:t>
      </w:r>
    </w:p>
    <w:p>
      <w:pPr>
        <w:spacing w:after="0" w:line="1" w:lineRule="exact"/>
        <w:rPr>
          <w:rFonts w:ascii="Arial" w:cs="Arial" w:eastAsia="Arial" w:hAnsi="Arial"/>
          <w:sz w:val="14"/>
          <w:szCs w:val="14"/>
          <w:color w:val="auto"/>
        </w:rPr>
      </w:pPr>
    </w:p>
    <w:p>
      <w:pPr>
        <w:ind w:left="340" w:hanging="332"/>
        <w:spacing w:after="0" w:line="260" w:lineRule="auto"/>
        <w:tabs>
          <w:tab w:leader="none" w:pos="332"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(i) 4,146,500 shares held in the name of ARYA’s sponsor, ARYA Sciences Holdings III, a Cayman Islands exempted limited company (“ARYA’s Sponsor”) and (ii) 11,108 shares subject to options held by Mr. Altman exercisable within 60 days of January 31, 2022.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 The address for the persons and entities set forth herein is 51 Astor Place, 10th Floor, New York, NY 10003.</w:t>
      </w:r>
    </w:p>
    <w:p>
      <w:pPr>
        <w:ind w:left="340" w:right="40" w:hanging="332"/>
        <w:spacing w:after="0" w:line="241" w:lineRule="auto"/>
        <w:tabs>
          <w:tab w:leader="none" w:pos="3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50,369,922 shares beneficially owned by the directors and officers and (ii) 1,468,740 shares subject to options held by the directors and officers exercisable within 60 days of January 31, 2022.</w:t>
      </w:r>
    </w:p>
    <w:p>
      <w:pPr>
        <w:ind w:left="340" w:right="60" w:hanging="332"/>
        <w:spacing w:after="0" w:line="260" w:lineRule="auto"/>
        <w:tabs>
          <w:tab w:leader="none" w:pos="331" w:val="left"/>
        </w:tabs>
        <w:numPr>
          <w:ilvl w:val="0"/>
          <w:numId w:val="82"/>
        </w:numPr>
        <w:rPr>
          <w:rFonts w:ascii="Arial" w:cs="Arial" w:eastAsia="Arial" w:hAnsi="Arial"/>
          <w:sz w:val="13"/>
          <w:szCs w:val="13"/>
          <w:color w:val="auto"/>
        </w:rPr>
      </w:pPr>
      <w:r>
        <w:rPr>
          <w:rFonts w:ascii="Arial" w:cs="Arial" w:eastAsia="Arial" w:hAnsi="Arial"/>
          <w:sz w:val="13"/>
          <w:szCs w:val="13"/>
          <w:color w:val="auto"/>
        </w:rPr>
        <w:t>Shares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ind w:left="340" w:right="60" w:hanging="332"/>
        <w:spacing w:after="0" w:line="260" w:lineRule="auto"/>
        <w:tabs>
          <w:tab w:leader="none" w:pos="337"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(i) 16,298,006 shares held by AH Bio Fund II, L.P., for itself and as nominee for AH Bio Fund II-B, L.P. (collectively, the “AH Bio Fund II Entities”) and (ii) 1,355,911 shares held by Andreessen Horowitz LSV Fund II, L.P., for itself and as nominee for Andreessen Horowitz LSV Fund II-B, L.P. and Andreessen Horowitz LSV Fund II-Q, L.P. (collectively, the “AH LSV Fund II Entities”).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ind w:left="340" w:right="40" w:hanging="332"/>
        <w:spacing w:after="0" w:line="241" w:lineRule="auto"/>
        <w:tabs>
          <w:tab w:leader="none" w:pos="3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3,586,493 shares held by Vulcan Capital Holdings Columbia LLC (“VCHC”) and (ii) 3,586,492 shares held by VCVC V LLC (“VCVC”).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spacing w:after="0" w:line="2" w:lineRule="exact"/>
        <w:rPr>
          <w:rFonts w:ascii="Arial" w:cs="Arial" w:eastAsia="Arial" w:hAnsi="Arial"/>
          <w:sz w:val="14"/>
          <w:szCs w:val="14"/>
          <w:color w:val="auto"/>
        </w:rPr>
      </w:pPr>
    </w:p>
    <w:p>
      <w:pPr>
        <w:ind w:left="340" w:right="60" w:hanging="332"/>
        <w:spacing w:after="0" w:line="243" w:lineRule="auto"/>
        <w:tabs>
          <w:tab w:leader="none" w:pos="3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5,798,394 shares held by Madrona Venture Fund VI, LP (“Madrona Fund VI”), (ii) 222,376 shares held by Madrona Venture Fund VI-A, LP (“Madrona Fund VI-A”), (iii) 459,075 shares held by Mr. McIlwain and (iv) 36,280 shares subject to options held by Mr. McIlwain exercisable within 60 days of January 31, 2022. Madrona Investment Partners VI, L.P. (“Madrona Partners VI”) is the general partner of each of Madrona Fund VI and Madrona Fund VI-A,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spacing w:after="0" w:line="14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Please see the sections titled “</w:t>
      </w:r>
      <w:r>
        <w:rPr>
          <w:rFonts w:ascii="Arial" w:cs="Arial" w:eastAsia="Arial" w:hAnsi="Arial"/>
          <w:sz w:val="16"/>
          <w:szCs w:val="16"/>
          <w:i w:val="1"/>
          <w:iCs w:val="1"/>
          <w:color w:val="auto"/>
        </w:rPr>
        <w:t>Management</w:t>
      </w:r>
      <w:r>
        <w:rPr>
          <w:rFonts w:ascii="Arial" w:cs="Arial" w:eastAsia="Arial" w:hAnsi="Arial"/>
          <w:sz w:val="16"/>
          <w:szCs w:val="16"/>
          <w:color w:val="auto"/>
        </w:rPr>
        <w:t>,”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w:t>
      </w:r>
      <w:r>
        <w:rPr>
          <w:rFonts w:ascii="Arial" w:cs="Arial" w:eastAsia="Arial" w:hAnsi="Arial"/>
          <w:sz w:val="16"/>
          <w:szCs w:val="16"/>
          <w:i w:val="1"/>
          <w:iCs w:val="1"/>
          <w:color w:val="auto"/>
        </w:rPr>
        <w:t>Certain Relationships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and Other Transactions</w:t>
      </w:r>
      <w:r>
        <w:rPr>
          <w:rFonts w:ascii="Arial" w:cs="Arial" w:eastAsia="Arial" w:hAnsi="Arial"/>
          <w:sz w:val="16"/>
          <w:szCs w:val="16"/>
          <w:color w:val="auto"/>
        </w:rPr>
        <w:t>” appearing elsewhere in this prospectus for information regarding material relationships with our principal securityholders within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prospectus relates to the resale by the selling securityholders from time to time of up to an aggregate of 95,645,056 shares of Common Stock (consisting of up to an aggregate of (a) 20,000,000 shares of our Common Stock that were issued to the PIPE Investors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 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the Common Stock in accordance with the terms of the applicable agreements governing their respective registration rights, other than through a public sale.</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table sets forth, based on written representations from the selling securityholders as of June 30, 2021 and filings with the SEC as applicable, the names of the selling securityholders, the aggregate number of shares of Common Stock beneficially owned by the selling securityholders, the aggregate number of shares of Common Stock that the selling securityholders may offer pursuant to this prospectus and the number of shares of Common Stock that would be beneficially owned by the selling securityholders after the sale of the shares of Common Stock offered hereby assuming that the selling securityholders sell all of the shares of Common Stock covered by this prospectus. The percentage of beneficial ownership after the offered shares of Common Stock are sold is calculated based on 124,425,923 shares of Common Stock outstanding as of January 31, 2022.</w:t>
      </w:r>
    </w:p>
    <w:p>
      <w:pPr>
        <w:spacing w:after="0" w:line="1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Information about the selling securityholders, including those listed below, may change over time. Since the effectiveness of the Registration Statement on Form S-1 of which the Prospectus is a part, certain securityholders may have sold or otherwise transferred their securities registered thereunder. For purposes of this table, we have assumed that the selling securityholders will have sold all of the shares of Common Stock covered by this prospectus upon the completion of the offering.</w:t>
      </w:r>
    </w:p>
    <w:p>
      <w:pPr>
        <w:spacing w:after="0" w:line="12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a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3"/>
          </w:tcPr>
          <w:p>
            <w:pPr>
              <w:jc w:val="center"/>
              <w:ind w:left="982"/>
              <w:spacing w:after="0"/>
              <w:rPr>
                <w:sz w:val="20"/>
                <w:szCs w:val="20"/>
                <w:color w:val="auto"/>
              </w:rPr>
            </w:pPr>
            <w:r>
              <w:rPr>
                <w:rFonts w:ascii="Arial" w:cs="Arial" w:eastAsia="Arial" w:hAnsi="Arial"/>
                <w:sz w:val="14"/>
                <w:szCs w:val="14"/>
                <w:b w:val="1"/>
                <w:bCs w:val="1"/>
                <w:color w:val="auto"/>
                <w:w w:val="91"/>
              </w:rPr>
              <w:t>Common Stock</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3"/>
          </w:tcPr>
          <w:p>
            <w:pPr>
              <w:jc w:val="center"/>
              <w:ind w:left="962"/>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160" w:type="dxa"/>
            <w:vAlign w:val="bottom"/>
            <w:gridSpan w:val="3"/>
          </w:tcPr>
          <w:p>
            <w:pPr>
              <w:jc w:val="center"/>
              <w:ind w:left="982"/>
              <w:spacing w:after="0" w:line="135" w:lineRule="exact"/>
              <w:rPr>
                <w:sz w:val="20"/>
                <w:szCs w:val="20"/>
                <w:color w:val="auto"/>
              </w:rPr>
            </w:pPr>
            <w:r>
              <w:rPr>
                <w:rFonts w:ascii="Arial" w:cs="Arial" w:eastAsia="Arial" w:hAnsi="Arial"/>
                <w:sz w:val="14"/>
                <w:szCs w:val="14"/>
                <w:b w:val="1"/>
                <w:bCs w:val="1"/>
                <w:color w:val="auto"/>
                <w:w w:val="94"/>
              </w:rPr>
              <w:t>Owned After the</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160" w:type="dxa"/>
            <w:vAlign w:val="bottom"/>
            <w:gridSpan w:val="3"/>
            <w:vMerge w:val="restart"/>
          </w:tcPr>
          <w:p>
            <w:pPr>
              <w:jc w:val="center"/>
              <w:ind w:left="962"/>
              <w:spacing w:after="0" w:line="135" w:lineRule="exact"/>
              <w:rPr>
                <w:sz w:val="20"/>
                <w:szCs w:val="20"/>
                <w:color w:val="auto"/>
              </w:rPr>
            </w:pPr>
            <w:r>
              <w:rPr>
                <w:rFonts w:ascii="Arial" w:cs="Arial" w:eastAsia="Arial" w:hAnsi="Arial"/>
                <w:sz w:val="14"/>
                <w:szCs w:val="14"/>
                <w:b w:val="1"/>
                <w:bCs w:val="1"/>
                <w:color w:val="auto"/>
                <w:w w:val="91"/>
              </w:rPr>
              <w:t>Offered Shares</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6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Stock</w:t>
            </w:r>
          </w:p>
        </w:tc>
        <w:tc>
          <w:tcPr>
            <w:tcW w:w="16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Shares of</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160" w:type="dxa"/>
            <w:vAlign w:val="bottom"/>
            <w:gridSpan w:val="3"/>
            <w:vMerge w:val="restart"/>
          </w:tcPr>
          <w:p>
            <w:pPr>
              <w:jc w:val="center"/>
              <w:ind w:left="962"/>
              <w:spacing w:after="0" w:line="135" w:lineRule="exact"/>
              <w:rPr>
                <w:sz w:val="20"/>
                <w:szCs w:val="20"/>
                <w:color w:val="auto"/>
              </w:rPr>
            </w:pPr>
            <w:r>
              <w:rPr>
                <w:rFonts w:ascii="Arial" w:cs="Arial" w:eastAsia="Arial" w:hAnsi="Arial"/>
                <w:sz w:val="14"/>
                <w:szCs w:val="14"/>
                <w:b w:val="1"/>
                <w:bCs w:val="1"/>
                <w:color w:val="auto"/>
                <w:w w:val="90"/>
              </w:rPr>
              <w:t>of</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6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6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160" w:type="dxa"/>
            <w:vAlign w:val="bottom"/>
            <w:gridSpan w:val="3"/>
            <w:vMerge w:val="restart"/>
          </w:tcPr>
          <w:p>
            <w:pPr>
              <w:jc w:val="center"/>
              <w:ind w:left="982"/>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6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Owned</w:t>
            </w:r>
          </w:p>
        </w:tc>
        <w:tc>
          <w:tcPr>
            <w:tcW w:w="16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Stock</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160" w:type="dxa"/>
            <w:vAlign w:val="bottom"/>
            <w:gridSpan w:val="3"/>
            <w:vMerge w:val="restart"/>
          </w:tcPr>
          <w:p>
            <w:pPr>
              <w:jc w:val="center"/>
              <w:ind w:left="982"/>
              <w:spacing w:after="0"/>
              <w:rPr>
                <w:sz w:val="20"/>
                <w:szCs w:val="20"/>
                <w:color w:val="auto"/>
              </w:rPr>
            </w:pPr>
            <w:r>
              <w:rPr>
                <w:rFonts w:ascii="Arial" w:cs="Arial" w:eastAsia="Arial" w:hAnsi="Arial"/>
                <w:sz w:val="14"/>
                <w:szCs w:val="14"/>
                <w:b w:val="1"/>
                <w:bCs w:val="1"/>
                <w:color w:val="auto"/>
                <w:w w:val="90"/>
              </w:rPr>
              <w:t>are Sold</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700" w:type="dxa"/>
            <w:vAlign w:val="bottom"/>
          </w:tcPr>
          <w:p>
            <w:pPr>
              <w:spacing w:after="0"/>
              <w:rPr>
                <w:sz w:val="9"/>
                <w:szCs w:val="9"/>
                <w:color w:val="auto"/>
              </w:rPr>
            </w:pPr>
          </w:p>
        </w:tc>
        <w:tc>
          <w:tcPr>
            <w:tcW w:w="1660" w:type="dxa"/>
            <w:vAlign w:val="bottom"/>
            <w:gridSpan w:val="2"/>
          </w:tcPr>
          <w:p>
            <w:pPr>
              <w:jc w:val="center"/>
              <w:ind w:right="100"/>
              <w:spacing w:after="0" w:line="107" w:lineRule="exact"/>
              <w:rPr>
                <w:sz w:val="20"/>
                <w:szCs w:val="20"/>
                <w:color w:val="auto"/>
              </w:rPr>
            </w:pPr>
            <w:r>
              <w:rPr>
                <w:rFonts w:ascii="Arial" w:cs="Arial" w:eastAsia="Arial" w:hAnsi="Arial"/>
                <w:sz w:val="12"/>
                <w:szCs w:val="12"/>
                <w:b w:val="1"/>
                <w:bCs w:val="1"/>
                <w:color w:val="auto"/>
              </w:rPr>
              <w:t>Prior to</w:t>
            </w:r>
          </w:p>
        </w:tc>
        <w:tc>
          <w:tcPr>
            <w:tcW w:w="1660" w:type="dxa"/>
            <w:vAlign w:val="bottom"/>
            <w:gridSpan w:val="2"/>
          </w:tcPr>
          <w:p>
            <w:pPr>
              <w:jc w:val="center"/>
              <w:ind w:right="100"/>
              <w:spacing w:after="0" w:line="107" w:lineRule="exact"/>
              <w:rPr>
                <w:sz w:val="20"/>
                <w:szCs w:val="20"/>
                <w:color w:val="auto"/>
              </w:rPr>
            </w:pPr>
            <w:r>
              <w:rPr>
                <w:rFonts w:ascii="Arial" w:cs="Arial" w:eastAsia="Arial" w:hAnsi="Arial"/>
                <w:sz w:val="12"/>
                <w:szCs w:val="12"/>
                <w:b w:val="1"/>
                <w:bCs w:val="1"/>
                <w:color w:val="auto"/>
              </w:rPr>
              <w:t>Being</w:t>
            </w:r>
          </w:p>
        </w:tc>
        <w:tc>
          <w:tcPr>
            <w:tcW w:w="2160" w:type="dxa"/>
            <w:vAlign w:val="bottom"/>
            <w:tcBorders>
              <w:bottom w:val="single" w:sz="8" w:color="auto"/>
            </w:tcBorders>
            <w:gridSpan w:val="3"/>
            <w:vMerge w:val="continue"/>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Selling Securityholder</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Offered</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AH Bio Fund II, L.P., for itself and as nominee for AH Bio</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100" w:type="dxa"/>
            <w:vAlign w:val="bottom"/>
            <w:shd w:val="clear" w:color="auto" w:fill="CCEEFF"/>
          </w:tcPr>
          <w:p>
            <w:pPr>
              <w:spacing w:after="0"/>
              <w:rPr>
                <w:sz w:val="14"/>
                <w:szCs w:val="14"/>
                <w:color w:val="auto"/>
              </w:rPr>
            </w:pPr>
          </w:p>
        </w:tc>
        <w:tc>
          <w:tcPr>
            <w:tcW w:w="2160" w:type="dxa"/>
            <w:vAlign w:val="bottom"/>
            <w:gridSpan w:val="3"/>
            <w:vMerge w:val="restart"/>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Fund II-B, L.P.</w:t>
            </w:r>
            <w:r>
              <w:rPr>
                <w:rFonts w:ascii="Arial" w:cs="Arial" w:eastAsia="Arial" w:hAnsi="Arial"/>
                <w:sz w:val="23"/>
                <w:szCs w:val="23"/>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3"/>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Alexandria Venture Investments, LLC</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21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Ally Bridge MedAlpha Master Fund L.P.</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2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700" w:type="dxa"/>
            <w:vAlign w:val="bottom"/>
          </w:tcPr>
          <w:p>
            <w:pPr>
              <w:ind w:left="20"/>
              <w:spacing w:after="0"/>
              <w:rPr>
                <w:sz w:val="20"/>
                <w:szCs w:val="20"/>
                <w:color w:val="auto"/>
              </w:rPr>
            </w:pPr>
            <w:r>
              <w:rPr>
                <w:rFonts w:ascii="Arial" w:cs="Arial" w:eastAsia="Arial" w:hAnsi="Arial"/>
                <w:sz w:val="18"/>
                <w:szCs w:val="18"/>
                <w:color w:val="auto"/>
              </w:rPr>
              <w:t>Alyeska Master Fund, L.P.</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1,415,639</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715,639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Andreessen Horowitz LSV Fund II, L.P., for itself and as</w:t>
            </w:r>
          </w:p>
        </w:tc>
        <w:tc>
          <w:tcPr>
            <w:tcW w:w="16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nominee for Andreessen Horowitz LSV Fund II-B, L.P. and</w:t>
            </w:r>
          </w:p>
        </w:tc>
        <w:tc>
          <w:tcPr>
            <w:tcW w:w="16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1,355,911</w:t>
            </w:r>
          </w:p>
        </w:tc>
        <w:tc>
          <w:tcPr>
            <w:tcW w:w="178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1,355,911</w:t>
            </w:r>
          </w:p>
        </w:tc>
        <w:tc>
          <w:tcPr>
            <w:tcW w:w="1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Andreessen Horowitz LSV Fund II-Q, L.P.</w:t>
            </w:r>
            <w:r>
              <w:rPr>
                <w:rFonts w:ascii="Arial" w:cs="Arial" w:eastAsia="Arial" w:hAnsi="Arial"/>
                <w:sz w:val="23"/>
                <w:szCs w:val="23"/>
                <w:color w:val="auto"/>
                <w:vertAlign w:val="superscript"/>
              </w:rPr>
              <w:t>(5)</w:t>
            </w:r>
          </w:p>
        </w:tc>
        <w:tc>
          <w:tcPr>
            <w:tcW w:w="160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ARYA Sciences Holdings III</w:t>
            </w:r>
            <w:r>
              <w:rPr>
                <w:rFonts w:ascii="Arial" w:cs="Arial" w:eastAsia="Arial" w:hAnsi="Arial"/>
                <w:sz w:val="23"/>
                <w:szCs w:val="23"/>
                <w:color w:val="auto"/>
                <w:vertAlign w:val="superscript"/>
              </w:rPr>
              <w:t>(6)</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4,146,500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4,146,500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Averill Master Fund, Ltd.</w:t>
            </w:r>
            <w:r>
              <w:rPr>
                <w:rFonts w:ascii="Arial" w:cs="Arial" w:eastAsia="Arial" w:hAnsi="Arial"/>
                <w:sz w:val="23"/>
                <w:szCs w:val="23"/>
                <w:color w:val="auto"/>
                <w:vertAlign w:val="superscript"/>
              </w:rPr>
              <w:t>(7)</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314,835</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14,835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Avidity Capital Fund II LP</w:t>
            </w:r>
            <w:r>
              <w:rPr>
                <w:rFonts w:ascii="Arial" w:cs="Arial" w:eastAsia="Arial" w:hAnsi="Arial"/>
                <w:sz w:val="23"/>
                <w:szCs w:val="23"/>
                <w:color w:val="auto"/>
                <w:vertAlign w:val="superscript"/>
              </w:rPr>
              <w:t>(8)</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126,533</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67,000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59,533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Avidity Master Fund LP</w:t>
            </w:r>
            <w:r>
              <w:rPr>
                <w:rFonts w:ascii="Arial" w:cs="Arial" w:eastAsia="Arial" w:hAnsi="Arial"/>
                <w:sz w:val="23"/>
                <w:szCs w:val="23"/>
                <w:color w:val="auto"/>
                <w:vertAlign w:val="superscript"/>
              </w:rPr>
              <w:t>(8)</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887,906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533,000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354,906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AVMI Investments, Inc.</w:t>
            </w:r>
            <w:r>
              <w:rPr>
                <w:rFonts w:ascii="Arial" w:cs="Arial" w:eastAsia="Arial" w:hAnsi="Arial"/>
                <w:sz w:val="23"/>
                <w:szCs w:val="23"/>
                <w:color w:val="auto"/>
                <w:vertAlign w:val="superscript"/>
              </w:rPr>
              <w:t>(9)</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200,000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Bain Capital Life Sciences Fund II, L.P.</w:t>
            </w:r>
            <w:r>
              <w:rPr>
                <w:rFonts w:ascii="Arial" w:cs="Arial" w:eastAsia="Arial" w:hAnsi="Arial"/>
                <w:sz w:val="23"/>
                <w:szCs w:val="23"/>
                <w:color w:val="auto"/>
                <w:vertAlign w:val="superscript"/>
              </w:rPr>
              <w:t>(10)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1,782,858</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891,429</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891,429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BCIP Life Sciences Associates, LP</w:t>
            </w:r>
            <w:r>
              <w:rPr>
                <w:rFonts w:ascii="Arial" w:cs="Arial" w:eastAsia="Arial" w:hAnsi="Arial"/>
                <w:sz w:val="23"/>
                <w:szCs w:val="23"/>
                <w:color w:val="auto"/>
                <w:vertAlign w:val="superscript"/>
              </w:rPr>
              <w:t>(10)</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217,142</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108,571</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108,571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Blackwell Partners LLC – Series A</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184,128</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81,278</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102,850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Bradley L. Campbell</w:t>
            </w:r>
            <w:r>
              <w:rPr>
                <w:rFonts w:ascii="Arial" w:cs="Arial" w:eastAsia="Arial" w:hAnsi="Arial"/>
                <w:sz w:val="23"/>
                <w:szCs w:val="23"/>
                <w:color w:val="auto"/>
                <w:vertAlign w:val="superscript"/>
              </w:rPr>
              <w:t>(37)</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Casdin Partners Master Fund, L.P.</w:t>
            </w:r>
            <w:r>
              <w:rPr>
                <w:rFonts w:ascii="Arial" w:cs="Arial" w:eastAsia="Arial" w:hAnsi="Arial"/>
                <w:sz w:val="23"/>
                <w:szCs w:val="23"/>
                <w:color w:val="auto"/>
                <w:vertAlign w:val="superscript"/>
              </w:rPr>
              <w:t>(12)</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500,000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Decheng Capital Global Healthcare Fund (Master), LP</w:t>
            </w:r>
            <w:r>
              <w:rPr>
                <w:rFonts w:ascii="Arial" w:cs="Arial" w:eastAsia="Arial" w:hAnsi="Arial"/>
                <w:sz w:val="23"/>
                <w:szCs w:val="23"/>
                <w:color w:val="auto"/>
                <w:vertAlign w:val="superscript"/>
              </w:rPr>
              <w:t>(13)</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300,000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(14)</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1,924,426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1,924,426</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Franklin Strategic Series – Franklin Biotechnology Discovery</w:t>
            </w:r>
          </w:p>
        </w:tc>
        <w:tc>
          <w:tcPr>
            <w:tcW w:w="1600" w:type="dxa"/>
            <w:vAlign w:val="bottom"/>
            <w:vMerge w:val="restart"/>
          </w:tcPr>
          <w:p>
            <w:pPr>
              <w:jc w:val="right"/>
              <w:ind w:right="330"/>
              <w:spacing w:after="0"/>
              <w:rPr>
                <w:sz w:val="20"/>
                <w:szCs w:val="20"/>
                <w:color w:val="auto"/>
              </w:rPr>
            </w:pPr>
            <w:r>
              <w:rPr>
                <w:rFonts w:ascii="Arial" w:cs="Arial" w:eastAsia="Arial" w:hAnsi="Arial"/>
                <w:sz w:val="18"/>
                <w:szCs w:val="18"/>
                <w:color w:val="auto"/>
              </w:rPr>
              <w:t>415,600</w:t>
            </w:r>
          </w:p>
        </w:tc>
        <w:tc>
          <w:tcPr>
            <w:tcW w:w="1780" w:type="dxa"/>
            <w:vAlign w:val="bottom"/>
            <w:vMerge w:val="restart"/>
          </w:tcPr>
          <w:p>
            <w:pPr>
              <w:jc w:val="right"/>
              <w:ind w:right="450"/>
              <w:spacing w:after="0"/>
              <w:rPr>
                <w:sz w:val="20"/>
                <w:szCs w:val="20"/>
                <w:color w:val="auto"/>
              </w:rPr>
            </w:pPr>
            <w:r>
              <w:rPr>
                <w:rFonts w:ascii="Arial" w:cs="Arial" w:eastAsia="Arial" w:hAnsi="Arial"/>
                <w:sz w:val="18"/>
                <w:szCs w:val="18"/>
                <w:color w:val="auto"/>
              </w:rPr>
              <w:t>415,600</w:t>
            </w:r>
          </w:p>
        </w:tc>
        <w:tc>
          <w:tcPr>
            <w:tcW w:w="1860" w:type="dxa"/>
            <w:vAlign w:val="bottom"/>
            <w:vMerge w:val="restart"/>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line="230" w:lineRule="exact"/>
              <w:rPr>
                <w:sz w:val="20"/>
                <w:szCs w:val="20"/>
                <w:color w:val="auto"/>
              </w:rPr>
            </w:pPr>
            <w:r>
              <w:rPr>
                <w:rFonts w:ascii="Arial" w:cs="Arial" w:eastAsia="Arial" w:hAnsi="Arial"/>
                <w:sz w:val="18"/>
                <w:szCs w:val="18"/>
                <w:color w:val="auto"/>
              </w:rPr>
              <w:t>Fund</w:t>
            </w:r>
            <w:r>
              <w:rPr>
                <w:rFonts w:ascii="Arial" w:cs="Arial" w:eastAsia="Arial" w:hAnsi="Arial"/>
                <w:sz w:val="23"/>
                <w:szCs w:val="23"/>
                <w:color w:val="auto"/>
                <w:vertAlign w:val="superscript"/>
              </w:rPr>
              <w:t>(15)</w:t>
            </w:r>
          </w:p>
        </w:tc>
        <w:tc>
          <w:tcPr>
            <w:tcW w:w="160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Franklin Templeton Investment Funds – Franklin Biotechnology</w:t>
            </w:r>
          </w:p>
        </w:tc>
        <w:tc>
          <w:tcPr>
            <w:tcW w:w="16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584,400</w:t>
            </w:r>
          </w:p>
        </w:tc>
        <w:tc>
          <w:tcPr>
            <w:tcW w:w="178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584,400</w:t>
            </w:r>
          </w:p>
        </w:tc>
        <w:tc>
          <w:tcPr>
            <w:tcW w:w="1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Discovery Fund</w:t>
            </w:r>
            <w:r>
              <w:rPr>
                <w:rFonts w:ascii="Arial" w:cs="Arial" w:eastAsia="Arial" w:hAnsi="Arial"/>
                <w:sz w:val="23"/>
                <w:szCs w:val="23"/>
                <w:color w:val="auto"/>
                <w:vertAlign w:val="superscript"/>
              </w:rPr>
              <w:t>(15)</w:t>
            </w:r>
          </w:p>
        </w:tc>
        <w:tc>
          <w:tcPr>
            <w:tcW w:w="160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Funds Managed by RTW Investments, LP</w:t>
            </w:r>
            <w:r>
              <w:rPr>
                <w:rFonts w:ascii="Arial" w:cs="Arial" w:eastAsia="Arial" w:hAnsi="Arial"/>
                <w:sz w:val="23"/>
                <w:szCs w:val="23"/>
                <w:color w:val="auto"/>
                <w:vertAlign w:val="superscript"/>
              </w:rPr>
              <w:t>(16)</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1,100,000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600,000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(17)</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1,888,146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1,888,146</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Logos Global Master Fund, LP</w:t>
            </w:r>
            <w:r>
              <w:rPr>
                <w:rFonts w:ascii="Arial" w:cs="Arial" w:eastAsia="Arial" w:hAnsi="Arial"/>
                <w:sz w:val="23"/>
                <w:szCs w:val="23"/>
                <w:color w:val="auto"/>
                <w:vertAlign w:val="superscript"/>
              </w:rPr>
              <w:t>(18)</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400,000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400,000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Madrona Venture Fund VI-A, LP</w:t>
            </w:r>
            <w:r>
              <w:rPr>
                <w:rFonts w:ascii="Arial" w:cs="Arial" w:eastAsia="Arial" w:hAnsi="Arial"/>
                <w:sz w:val="23"/>
                <w:szCs w:val="23"/>
                <w:color w:val="auto"/>
                <w:vertAlign w:val="superscript"/>
              </w:rPr>
              <w:t>(19)</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222,376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222,376</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Madrona Venture Fund VI, LP</w:t>
            </w:r>
            <w:r>
              <w:rPr>
                <w:rFonts w:ascii="Arial" w:cs="Arial" w:eastAsia="Arial" w:hAnsi="Arial"/>
                <w:sz w:val="23"/>
                <w:szCs w:val="23"/>
                <w:color w:val="auto"/>
                <w:vertAlign w:val="superscript"/>
              </w:rPr>
              <w:t>(19)</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5,798,394</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5,798,394</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and Elizabeth Posard Trust</w:t>
            </w:r>
            <w:r>
              <w:rPr>
                <w:rFonts w:ascii="Arial" w:cs="Arial" w:eastAsia="Arial" w:hAnsi="Arial"/>
                <w:sz w:val="23"/>
                <w:szCs w:val="23"/>
                <w:color w:val="auto"/>
                <w:vertAlign w:val="superscript"/>
              </w:rPr>
              <w:t>(20)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100,000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(21)</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6,516,125</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6,379,155</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136,970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Posard</w:t>
            </w:r>
            <w:r>
              <w:rPr>
                <w:rFonts w:ascii="Arial" w:cs="Arial" w:eastAsia="Arial" w:hAnsi="Arial"/>
                <w:sz w:val="23"/>
                <w:szCs w:val="23"/>
                <w:color w:val="auto"/>
                <w:vertAlign w:val="superscript"/>
              </w:rPr>
              <w:t>(22)</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418,476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368,476</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(23)</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72,561</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72,561</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Nantahala Capital Partners Limited Partnership</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72,785</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29,502</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43,283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Nantahala Capital Partners SI, LP</w:t>
            </w:r>
            <w:r>
              <w:rPr>
                <w:rFonts w:ascii="Arial" w:cs="Arial" w:eastAsia="Arial" w:hAnsi="Arial"/>
                <w:sz w:val="23"/>
                <w:szCs w:val="23"/>
                <w:color w:val="auto"/>
                <w:vertAlign w:val="superscript"/>
              </w:rPr>
              <w:t>(11)</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533,925</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188,902</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345,023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Nantahala Capital Partners II Limited Partnership</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194,666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79,459</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115,207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NCP QR LP</w:t>
            </w:r>
            <w:r>
              <w:rPr>
                <w:rFonts w:ascii="Arial" w:cs="Arial" w:eastAsia="Arial" w:hAnsi="Arial"/>
                <w:sz w:val="23"/>
                <w:szCs w:val="23"/>
                <w:color w:val="auto"/>
                <w:vertAlign w:val="superscript"/>
              </w:rPr>
              <w:t>(11)</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86,258</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32,704</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53,554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NCP RFM LP</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80,200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80,200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OrbiMed Genesis Master Fund, L.P.</w:t>
            </w:r>
            <w:r>
              <w:rPr>
                <w:rFonts w:ascii="Arial" w:cs="Arial" w:eastAsia="Arial" w:hAnsi="Arial"/>
                <w:sz w:val="23"/>
                <w:szCs w:val="23"/>
                <w:color w:val="auto"/>
                <w:vertAlign w:val="superscript"/>
              </w:rPr>
              <w:t>(24)</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363,800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263,800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OrbiMed Partners Master Fund Limited</w:t>
            </w:r>
            <w:r>
              <w:rPr>
                <w:rFonts w:ascii="Arial" w:cs="Arial" w:eastAsia="Arial" w:hAnsi="Arial"/>
                <w:sz w:val="23"/>
                <w:szCs w:val="23"/>
                <w:color w:val="auto"/>
                <w:vertAlign w:val="superscript"/>
              </w:rPr>
              <w:t>(25)</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1,182,900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282,900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Parag Mallick</w:t>
            </w:r>
            <w:r>
              <w:rPr>
                <w:rFonts w:ascii="Arial" w:cs="Arial" w:eastAsia="Arial" w:hAnsi="Arial"/>
                <w:sz w:val="23"/>
                <w:szCs w:val="23"/>
                <w:color w:val="auto"/>
                <w:vertAlign w:val="superscript"/>
              </w:rPr>
              <w:t>(26)</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21,143,911</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21,143,911</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3"/>
                <w:szCs w:val="23"/>
                <w:color w:val="auto"/>
                <w:vertAlign w:val="superscript"/>
              </w:rPr>
              <w:t>(27)</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9,111,151</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8,414,113</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697,038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PFV I, LLC</w:t>
            </w:r>
            <w:r>
              <w:rPr>
                <w:rFonts w:ascii="Arial" w:cs="Arial" w:eastAsia="Arial" w:hAnsi="Arial"/>
                <w:sz w:val="23"/>
                <w:szCs w:val="23"/>
                <w:color w:val="auto"/>
                <w:vertAlign w:val="superscript"/>
              </w:rPr>
              <w:t>(28)</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5,280,476</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5,280,476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RA Capital Healthcare Fund, L.P.</w:t>
            </w:r>
            <w:r>
              <w:rPr>
                <w:rFonts w:ascii="Arial" w:cs="Arial" w:eastAsia="Arial" w:hAnsi="Arial"/>
                <w:sz w:val="23"/>
                <w:szCs w:val="23"/>
                <w:color w:val="auto"/>
                <w:vertAlign w:val="superscript"/>
              </w:rPr>
              <w:t>(29)</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2,471,430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971,430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Saqib Islam</w:t>
            </w:r>
            <w:r>
              <w:rPr>
                <w:rFonts w:ascii="Arial" w:cs="Arial" w:eastAsia="Arial" w:hAnsi="Arial"/>
                <w:sz w:val="23"/>
                <w:szCs w:val="23"/>
                <w:color w:val="auto"/>
                <w:vertAlign w:val="superscript"/>
              </w:rPr>
              <w:t>(37)</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Silver Creek CS SAV, L.L.C.</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38,848</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7,955</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30,893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Sphera Biotech Master Fund, LP</w:t>
            </w:r>
            <w:r>
              <w:rPr>
                <w:rFonts w:ascii="Arial" w:cs="Arial" w:eastAsia="Arial" w:hAnsi="Arial"/>
                <w:sz w:val="23"/>
                <w:szCs w:val="23"/>
                <w:color w:val="auto"/>
                <w:vertAlign w:val="superscript"/>
              </w:rPr>
              <w:t>(30)</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295,200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195,200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100,000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Sphera Global Healthcare Master Fund</w:t>
            </w:r>
            <w:r>
              <w:rPr>
                <w:rFonts w:ascii="Arial" w:cs="Arial" w:eastAsia="Arial" w:hAnsi="Arial"/>
                <w:sz w:val="23"/>
                <w:szCs w:val="23"/>
                <w:color w:val="auto"/>
                <w:vertAlign w:val="superscript"/>
              </w:rPr>
              <w:t>(31)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504,800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204,800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60" w:type="dxa"/>
            <w:vAlign w:val="bottom"/>
          </w:tcPr>
          <w:p>
            <w:pPr>
              <w:ind w:left="20"/>
              <w:spacing w:after="0"/>
              <w:rPr>
                <w:sz w:val="20"/>
                <w:szCs w:val="20"/>
                <w:color w:val="auto"/>
              </w:rPr>
            </w:pPr>
            <w:r>
              <w:rPr>
                <w:rFonts w:ascii="Arial" w:cs="Arial" w:eastAsia="Arial" w:hAnsi="Arial"/>
                <w:sz w:val="18"/>
                <w:szCs w:val="18"/>
                <w:color w:val="auto"/>
              </w:rPr>
              <w:t>Sujal Patel</w:t>
            </w:r>
            <w:r>
              <w:rPr>
                <w:rFonts w:ascii="Arial" w:cs="Arial" w:eastAsia="Arial" w:hAnsi="Arial"/>
                <w:sz w:val="23"/>
                <w:szCs w:val="23"/>
                <w:color w:val="auto"/>
                <w:vertAlign w:val="superscript"/>
              </w:rPr>
              <w:t>(32)</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17,747,732</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17,497,732</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6"/>
              </w:rPr>
              <w:t>Sujal Patel 2020 Children’s Trust, u/a/d/ December 3, 2020</w:t>
            </w:r>
            <w:r>
              <w:rPr>
                <w:rFonts w:ascii="Arial" w:cs="Arial" w:eastAsia="Arial" w:hAnsi="Arial"/>
                <w:sz w:val="23"/>
                <w:szCs w:val="23"/>
                <w:color w:val="auto"/>
                <w:w w:val="96"/>
                <w:vertAlign w:val="superscript"/>
              </w:rPr>
              <w:t>(33)</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1,814,035</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1,814,035</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Todd Wider</w:t>
            </w:r>
            <w:r>
              <w:rPr>
                <w:rFonts w:ascii="Arial" w:cs="Arial" w:eastAsia="Arial" w:hAnsi="Arial"/>
                <w:sz w:val="23"/>
                <w:szCs w:val="23"/>
                <w:color w:val="auto"/>
                <w:vertAlign w:val="superscript"/>
              </w:rPr>
              <w:t>(37)</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30,000</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30,000</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VCVC V LLC</w:t>
            </w:r>
            <w:r>
              <w:rPr>
                <w:rFonts w:ascii="Arial" w:cs="Arial" w:eastAsia="Arial" w:hAnsi="Arial"/>
                <w:sz w:val="23"/>
                <w:szCs w:val="23"/>
                <w:color w:val="auto"/>
                <w:vertAlign w:val="superscript"/>
              </w:rPr>
              <w:t>(34)</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3,586,492</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3,586,492</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(35)</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36,280</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36,280</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Vulcan Capital Holdings Columbia LLC</w:t>
            </w:r>
            <w:r>
              <w:rPr>
                <w:rFonts w:ascii="Arial" w:cs="Arial" w:eastAsia="Arial" w:hAnsi="Arial"/>
                <w:sz w:val="23"/>
                <w:szCs w:val="23"/>
                <w:color w:val="auto"/>
                <w:vertAlign w:val="superscript"/>
              </w:rPr>
              <w:t>(34)</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3,586,493</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3,586,493</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WS Investment Company, LLC (21A)</w:t>
            </w:r>
            <w:r>
              <w:rPr>
                <w:rFonts w:ascii="Arial" w:cs="Arial" w:eastAsia="Arial" w:hAnsi="Arial"/>
                <w:sz w:val="23"/>
                <w:szCs w:val="23"/>
                <w:color w:val="auto"/>
                <w:vertAlign w:val="superscript"/>
              </w:rPr>
              <w:t>(36)</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35,000</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35,000</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The Dream Finder Foundation</w:t>
            </w:r>
            <w:r>
              <w:rPr>
                <w:rFonts w:ascii="Arial" w:cs="Arial" w:eastAsia="Arial" w:hAnsi="Arial"/>
                <w:sz w:val="23"/>
                <w:szCs w:val="23"/>
                <w:color w:val="auto"/>
                <w:vertAlign w:val="superscript"/>
              </w:rPr>
              <w:t>(37)</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200,000</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200,000</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Jesus A Zavaleta III C/F Janhavi Amrita Singhal UTMA/TX</w:t>
            </w:r>
          </w:p>
        </w:tc>
        <w:tc>
          <w:tcPr>
            <w:tcW w:w="1700" w:type="dxa"/>
            <w:vAlign w:val="bottom"/>
            <w:vMerge w:val="restart"/>
          </w:tcPr>
          <w:p>
            <w:pPr>
              <w:jc w:val="right"/>
              <w:ind w:right="330"/>
              <w:spacing w:after="0"/>
              <w:rPr>
                <w:sz w:val="20"/>
                <w:szCs w:val="20"/>
                <w:color w:val="auto"/>
              </w:rPr>
            </w:pPr>
            <w:r>
              <w:rPr>
                <w:rFonts w:ascii="Arial" w:cs="Arial" w:eastAsia="Arial" w:hAnsi="Arial"/>
                <w:sz w:val="18"/>
                <w:szCs w:val="18"/>
                <w:color w:val="auto"/>
              </w:rPr>
              <w:t>5,000</w:t>
            </w:r>
          </w:p>
        </w:tc>
        <w:tc>
          <w:tcPr>
            <w:tcW w:w="1700" w:type="dxa"/>
            <w:vAlign w:val="bottom"/>
            <w:vMerge w:val="restart"/>
          </w:tcPr>
          <w:p>
            <w:pPr>
              <w:jc w:val="right"/>
              <w:ind w:right="370"/>
              <w:spacing w:after="0"/>
              <w:rPr>
                <w:sz w:val="20"/>
                <w:szCs w:val="20"/>
                <w:color w:val="auto"/>
              </w:rPr>
            </w:pPr>
            <w:r>
              <w:rPr>
                <w:rFonts w:ascii="Arial" w:cs="Arial" w:eastAsia="Arial" w:hAnsi="Arial"/>
                <w:sz w:val="18"/>
                <w:szCs w:val="18"/>
                <w:color w:val="auto"/>
              </w:rPr>
              <w:t>5,000</w:t>
            </w:r>
          </w:p>
        </w:tc>
        <w:tc>
          <w:tcPr>
            <w:tcW w:w="1860" w:type="dxa"/>
            <w:vAlign w:val="bottom"/>
            <w:vMerge w:val="restart"/>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180"/>
              <w:spacing w:after="0" w:line="230" w:lineRule="exact"/>
              <w:rPr>
                <w:sz w:val="20"/>
                <w:szCs w:val="20"/>
                <w:color w:val="auto"/>
              </w:rPr>
            </w:pPr>
            <w:r>
              <w:rPr>
                <w:rFonts w:ascii="Arial" w:cs="Arial" w:eastAsia="Arial" w:hAnsi="Arial"/>
                <w:sz w:val="18"/>
                <w:szCs w:val="18"/>
                <w:color w:val="auto"/>
              </w:rPr>
              <w:t>until Age 21</w:t>
            </w:r>
            <w:r>
              <w:rPr>
                <w:rFonts w:ascii="Arial" w:cs="Arial" w:eastAsia="Arial" w:hAnsi="Arial"/>
                <w:sz w:val="23"/>
                <w:szCs w:val="23"/>
                <w:color w:val="auto"/>
                <w:vertAlign w:val="superscript"/>
              </w:rPr>
              <w:t>(38)</w:t>
            </w:r>
          </w:p>
        </w:tc>
        <w:tc>
          <w:tcPr>
            <w:tcW w:w="170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Jesus A Zavaleta III C/F Jaya Nirmala Singhal UTMA/TX</w:t>
            </w:r>
          </w:p>
        </w:tc>
        <w:tc>
          <w:tcPr>
            <w:tcW w:w="17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5,000</w:t>
            </w:r>
          </w:p>
        </w:tc>
        <w:tc>
          <w:tcPr>
            <w:tcW w:w="170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5,000</w:t>
            </w:r>
          </w:p>
        </w:tc>
        <w:tc>
          <w:tcPr>
            <w:tcW w:w="186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until Age 21</w:t>
            </w:r>
            <w:r>
              <w:rPr>
                <w:rFonts w:ascii="Arial" w:cs="Arial" w:eastAsia="Arial" w:hAnsi="Arial"/>
                <w:sz w:val="23"/>
                <w:szCs w:val="23"/>
                <w:color w:val="auto"/>
                <w:vertAlign w:val="superscript"/>
              </w:rPr>
              <w:t>(39)</w:t>
            </w:r>
          </w:p>
        </w:tc>
        <w:tc>
          <w:tcPr>
            <w:tcW w:w="1700" w:type="dxa"/>
            <w:vAlign w:val="bottom"/>
            <w:vMerge w:val="continue"/>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Total Shares</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102,032,917</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95,645,056</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6,387,861</w:t>
            </w:r>
          </w:p>
        </w:tc>
        <w:tc>
          <w:tcPr>
            <w:tcW w:w="112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right="6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AH Equity Partners Bio II, L.L.C (“AH EP Bio II”) has sole voting and dispositive power with regard to the securities held by AH Bio Fund II, L.P. (“AH Bio Fund II”) and AH Bio Fund II-B, L.P. (“AH Bio Fund II-B,” and together with AH Bio Fund II, the “AH Bio Fund II Entities”). The managing members of AH EP Bio II are Marc Andreessen and Ben Horowitz. Marc Andreessen and Ben Horowitz share voting and dispositive power with respect to the shares held by the AH Bio Fund II Entities. Vijay Pande, a member of the board of directors of the Company, is a general partner of entities affiliated with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selling securityholder is a subsidiary of Alexandria Real Estate Equities, Inc., a publicly held corporation.</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Fan Yu is the sole shareholder of ABG Management Ltd., which is the sole member of each of Ally Bridge MedAlpha Management GP, LLC and Ally Bridge Group (NY) LLC. Ally Bridge Group (NY) LLC and Ally Bridge MedAlpha Management L.P., acting through its general partner Ally Bridge MedAlpha Management GP, LLC,</w:t>
      </w:r>
    </w:p>
    <w:p>
      <w:pPr>
        <w:ind w:left="340" w:right="60"/>
        <w:spacing w:after="0" w:line="241" w:lineRule="auto"/>
        <w:rPr>
          <w:rFonts w:ascii="Arial" w:cs="Arial" w:eastAsia="Arial" w:hAnsi="Arial"/>
          <w:sz w:val="14"/>
          <w:szCs w:val="14"/>
          <w:color w:val="auto"/>
        </w:rPr>
      </w:pPr>
      <w:r>
        <w:rPr>
          <w:rFonts w:ascii="Arial" w:cs="Arial" w:eastAsia="Arial" w:hAnsi="Arial"/>
          <w:sz w:val="14"/>
          <w:szCs w:val="14"/>
          <w:color w:val="auto"/>
        </w:rPr>
        <w:t>manage Ally Bridge MedAlpha Master Fund L.P.’s (“Ally Bridge”) investments. As such, each of the foregoing entities and Mr. Fan Yu may be deemed to share beneficial ownership of the shares held of record by Ally Bridge. Each of them disclaims any such beneficial ownership.</w:t>
      </w:r>
    </w:p>
    <w:p>
      <w:pPr>
        <w:ind w:left="34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Alyeska Investment Group, L.P. (“Alyeska Investment Group”), the investment manager of the selling securityholder, has voting and investment control of the shares held by the selling securityholder. Anand Parekh is the Chief Executive Officer of Alyeska Investment Group and may be deemed to be the beneficial owner of such shares. Mr. Parekh disclaims any beneficial ownership of the shares held by Alyeska Master Fund.</w:t>
      </w:r>
    </w:p>
    <w:p>
      <w:pPr>
        <w:spacing w:after="0" w:line="1" w:lineRule="exact"/>
        <w:rPr>
          <w:rFonts w:ascii="Arial" w:cs="Arial" w:eastAsia="Arial" w:hAnsi="Arial"/>
          <w:sz w:val="14"/>
          <w:szCs w:val="14"/>
          <w:color w:val="auto"/>
        </w:rPr>
      </w:pPr>
    </w:p>
    <w:p>
      <w:pPr>
        <w:jc w:val="both"/>
        <w:ind w:left="340" w:right="10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AH Equity Partners LSV II, L.L.C. (“AH EP LSV II”) has sole voting and dispositive power with regard to the securities held by Andreessen Horowitz LSV Fund II, L.P. (“AH LSV Fund II”), Andreessen Horowitz LSV Fund II-B, L.P. (“AH LSV Fund II-B”) and Andreessen Horowitz LSV Fund II-Q, L.P. (“AH LSV Fund II-Q,” and together with AH LSV Fund II and AH LSV Fund II-B, the “AH LSV Fund II Entities”). The managing members of AH EP LSV II are Mark Andreessen and Ben Horowitz. Marc Andreessen and Ben Horowitz share voting and dispositive power with respect to the shares held by the AH LSV Fund II Entities. Vijay Pande, a member of the board of directors of the Company, is a general partner of entities affiliated with Andreessen Horowitz.</w:t>
      </w:r>
    </w:p>
    <w:p>
      <w:pPr>
        <w:spacing w:after="0" w:line="1" w:lineRule="exact"/>
        <w:rPr>
          <w:rFonts w:ascii="Arial" w:cs="Arial" w:eastAsia="Arial" w:hAnsi="Arial"/>
          <w:sz w:val="14"/>
          <w:szCs w:val="14"/>
          <w:color w:val="auto"/>
        </w:rPr>
      </w:pPr>
    </w:p>
    <w:p>
      <w:pPr>
        <w:ind w:left="340" w:right="36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Adam Stone and Michael Altman are members of the board of directors of the selling securityholder and have voting and investment power over the shares held by the selling securityholder. Each of Mr. Altman and Mr. Stone disclaim beneficial ownership of such securities except to the extent of his pecuniary interest therein. Mr. Altman is a member of the board of directors of the Company.</w:t>
      </w:r>
    </w:p>
    <w:p>
      <w:pPr>
        <w:spacing w:after="0" w:line="1" w:lineRule="exact"/>
        <w:rPr>
          <w:rFonts w:ascii="Arial" w:cs="Arial" w:eastAsia="Arial" w:hAnsi="Arial"/>
          <w:sz w:val="14"/>
          <w:szCs w:val="14"/>
          <w:color w:val="auto"/>
        </w:rPr>
      </w:pPr>
    </w:p>
    <w:p>
      <w:pPr>
        <w:ind w:left="340" w:right="360" w:hanging="332"/>
        <w:spacing w:after="0" w:line="260" w:lineRule="auto"/>
        <w:tabs>
          <w:tab w:leader="none" w:pos="332" w:val="left"/>
        </w:tabs>
        <w:numPr>
          <w:ilvl w:val="0"/>
          <w:numId w:val="84"/>
        </w:numPr>
        <w:rPr>
          <w:rFonts w:ascii="Arial" w:cs="Arial" w:eastAsia="Arial" w:hAnsi="Arial"/>
          <w:sz w:val="13"/>
          <w:szCs w:val="13"/>
          <w:color w:val="auto"/>
        </w:rPr>
      </w:pPr>
      <w:r>
        <w:rPr>
          <w:rFonts w:ascii="Arial" w:cs="Arial" w:eastAsia="Arial" w:hAnsi="Arial"/>
          <w:sz w:val="13"/>
          <w:szCs w:val="13"/>
          <w:color w:val="auto"/>
        </w:rPr>
        <w:t>Suvretta Capital Management, LLC (“Suvretta”), the investment manager of the selling securityholder, may be deemed to have voting and investment power with respect to the shares. Aaron Cowen, as control person of Suvretta, may be deemed to have voting and investment power with respect to the shares held by the selling securityholder.</w:t>
      </w:r>
    </w:p>
    <w:p>
      <w:pPr>
        <w:jc w:val="both"/>
        <w:ind w:left="340" w:right="60" w:hanging="332"/>
        <w:spacing w:after="0" w:line="260" w:lineRule="auto"/>
        <w:tabs>
          <w:tab w:leader="none" w:pos="332" w:val="left"/>
        </w:tabs>
        <w:numPr>
          <w:ilvl w:val="0"/>
          <w:numId w:val="84"/>
        </w:numPr>
        <w:rPr>
          <w:rFonts w:ascii="Arial" w:cs="Arial" w:eastAsia="Arial" w:hAnsi="Arial"/>
          <w:sz w:val="13"/>
          <w:szCs w:val="13"/>
          <w:color w:val="auto"/>
        </w:rPr>
      </w:pPr>
      <w:r>
        <w:rPr>
          <w:rFonts w:ascii="Arial" w:cs="Arial" w:eastAsia="Arial" w:hAnsi="Arial"/>
          <w:sz w:val="13"/>
          <w:szCs w:val="13"/>
          <w:color w:val="auto"/>
        </w:rPr>
        <w:t>Avidity Capital Partners Fund (GP) LP is the general partner of Avidity Master Fund LP (“Avidity Master Fund”) and Avidity Capital Fund II LP (“Avidity Capital Fund,” and together with Avidity Master Fund,” the “Avidity Funds”). Avidity Capital Partners (GP) LLC is the general partner of Avidity Capital Partners Fund (GP) LP. David Witzke and Michael Gregory are the managing members of Avidity Capital Partners (GP) LLC and may be deemed to have voting and dispositive power over the securities held directly by the Avidity Funds.</w:t>
      </w:r>
    </w:p>
    <w:p>
      <w:pPr>
        <w:ind w:left="320" w:hanging="312"/>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Wanda M. Cook and Michael J. McCullough share voting and investment power over the shares held by the selling securityholder.</w:t>
      </w:r>
    </w:p>
    <w:p>
      <w:pPr>
        <w:spacing w:after="0" w:line="1" w:lineRule="exact"/>
        <w:rPr>
          <w:rFonts w:ascii="Arial" w:cs="Arial" w:eastAsia="Arial" w:hAnsi="Arial"/>
          <w:sz w:val="14"/>
          <w:szCs w:val="14"/>
          <w:color w:val="auto"/>
        </w:rPr>
      </w:pPr>
    </w:p>
    <w:p>
      <w:pPr>
        <w:jc w:val="both"/>
        <w:ind w:left="340" w:right="40" w:hanging="332"/>
        <w:spacing w:after="0" w:line="260" w:lineRule="auto"/>
        <w:tabs>
          <w:tab w:leader="none" w:pos="337" w:val="left"/>
        </w:tabs>
        <w:numPr>
          <w:ilvl w:val="0"/>
          <w:numId w:val="84"/>
        </w:numPr>
        <w:rPr>
          <w:rFonts w:ascii="Arial" w:cs="Arial" w:eastAsia="Arial" w:hAnsi="Arial"/>
          <w:sz w:val="13"/>
          <w:szCs w:val="13"/>
          <w:color w:val="auto"/>
        </w:rPr>
      </w:pPr>
      <w:r>
        <w:rPr>
          <w:rFonts w:ascii="Arial" w:cs="Arial" w:eastAsia="Arial" w:hAnsi="Arial"/>
          <w:sz w:val="13"/>
          <w:szCs w:val="13"/>
          <w:color w:val="auto"/>
        </w:rPr>
        <w:t>Bain Capital Life Sciences Investors, LLC (“BCLSI”), whose managers are Jeffrey Schwartz and Adam Koppel, is the manager of the general partner of Bain Capital Life Sciences Fund II, L.P. and governs the investment strategy and decision-making process with respect to investments held by BCIP Life Sciences Associates, LP. As a result, each of BCLSI, Mr. Schwartz and Dr. Koppel may be deemed to share voting and dispositive power over the shares held by Bain Capital Life Sciences Fund II, L.P. and BCIP Life Sciences Associates, LP.</w:t>
      </w:r>
    </w:p>
    <w:p>
      <w:pPr>
        <w:ind w:left="340" w:right="40" w:hanging="332"/>
        <w:spacing w:after="0" w:line="241" w:lineRule="auto"/>
        <w:tabs>
          <w:tab w:leader="none" w:pos="331" w:val="left"/>
        </w:tabs>
        <w:numPr>
          <w:ilvl w:val="0"/>
          <w:numId w:val="84"/>
        </w:numPr>
        <w:rPr>
          <w:rFonts w:ascii="Arial" w:cs="Arial" w:eastAsia="Arial" w:hAnsi="Arial"/>
          <w:sz w:val="14"/>
          <w:szCs w:val="14"/>
          <w:color w:val="auto"/>
        </w:rPr>
      </w:pPr>
      <w:r>
        <w:rPr>
          <w:rFonts w:ascii="Arial" w:cs="Arial" w:eastAsia="Arial" w:hAnsi="Arial"/>
          <w:sz w:val="14"/>
          <w:szCs w:val="14"/>
          <w:color w:val="auto"/>
        </w:rPr>
        <w:t>Nantahala Capital Management, LLC is a registered investment adviser and has been delegated the legal power to vote and/or direct the disposition of such 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w:t>
      </w:r>
    </w:p>
    <w:p>
      <w:pPr>
        <w:spacing w:after="0" w:line="1" w:lineRule="exact"/>
        <w:rPr>
          <w:rFonts w:ascii="Arial" w:cs="Arial" w:eastAsia="Arial" w:hAnsi="Arial"/>
          <w:sz w:val="14"/>
          <w:szCs w:val="14"/>
          <w:color w:val="auto"/>
        </w:rPr>
      </w:pPr>
    </w:p>
    <w:p>
      <w:pPr>
        <w:ind w:left="340" w:right="280" w:hanging="332"/>
        <w:spacing w:after="0" w:line="255" w:lineRule="auto"/>
        <w:tabs>
          <w:tab w:leader="none" w:pos="337" w:val="left"/>
        </w:tabs>
        <w:numPr>
          <w:ilvl w:val="0"/>
          <w:numId w:val="84"/>
        </w:numPr>
        <w:rPr>
          <w:rFonts w:ascii="Arial" w:cs="Arial" w:eastAsia="Arial" w:hAnsi="Arial"/>
          <w:sz w:val="14"/>
          <w:szCs w:val="14"/>
          <w:color w:val="auto"/>
        </w:rPr>
      </w:pPr>
      <w:r>
        <w:rPr>
          <w:rFonts w:ascii="Arial" w:cs="Arial" w:eastAsia="Arial" w:hAnsi="Arial"/>
          <w:sz w:val="14"/>
          <w:szCs w:val="14"/>
          <w:color w:val="auto"/>
        </w:rPr>
        <w:t>Casdin Capital, LLC (“Casdin Capital”) is the investment adviser to Casdin Partners Master Fund, L.P. (“Casdin Master Fund”), and Casdin Partners GP, LLC (“Casdin Partners”) is the general partner of Casdin Master Fund. Eli Casdin is the managing member of Casdin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9" w:lineRule="exact"/>
        <w:rPr>
          <w:sz w:val="20"/>
          <w:szCs w:val="20"/>
          <w:color w:val="auto"/>
        </w:rPr>
      </w:pPr>
    </w:p>
    <w:p>
      <w:pPr>
        <w:ind w:left="332" w:right="200"/>
        <w:spacing w:after="0" w:line="247" w:lineRule="auto"/>
        <w:rPr>
          <w:sz w:val="20"/>
          <w:szCs w:val="20"/>
          <w:color w:val="auto"/>
        </w:rPr>
      </w:pPr>
      <w:r>
        <w:rPr>
          <w:rFonts w:ascii="Arial" w:cs="Arial" w:eastAsia="Arial" w:hAnsi="Arial"/>
          <w:sz w:val="14"/>
          <w:szCs w:val="14"/>
          <w:color w:val="auto"/>
        </w:rPr>
        <w:t>and Casdin Partners. As such, each of Casdin Capital, Casdin Partners GP and Eli Casdin may be deemed to beneficially own the securities held by Casdin Master Fund by virtue of their shared voting and investment control over Casdin Master Fund. Each of Casdin Capital, Casdin Partners and Mr. Casdin disclaims beneficial ownership of such securities except to the extent of their respective pecuniary interest therein.</w:t>
      </w:r>
    </w:p>
    <w:p>
      <w:pPr>
        <w:spacing w:after="0" w:line="1" w:lineRule="exact"/>
        <w:rPr>
          <w:sz w:val="20"/>
          <w:szCs w:val="20"/>
          <w:color w:val="auto"/>
        </w:rPr>
      </w:pPr>
    </w:p>
    <w:p>
      <w:pPr>
        <w:ind w:left="332" w:right="3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Xiangmin Cui has voting and investment power over the shares held by the selling securityholder. The selling securityholder is an investment company registered under the Investment Company Act of 1940, as amended.</w:t>
      </w:r>
    </w:p>
    <w:p>
      <w:pPr>
        <w:ind w:left="332" w:right="6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36,280 shares of Common Stock issuable upon exercise of options held by Mr. Nazem and (ii) 1,888,146 shares of Common Stock held by HAND Capital, LLC. None of the 36,280 shares of Common Stock issuable upon exercise of options are exercisable within 60 days of June 30, 2021. One hundred percent (100%) of the shares subject to the options vest on the earlier of (a) January 31, 2022 and (b) the day immediately before the date of the Company’s next annual meeting of stockholders, subject to Mr. Nazem’s continued status as a service provider through such vesting date. Mr. Nazem is the manager of HAND Capital, LLC and as such has voting and investment power over the shares held by HAND Capital, LLC. Mr. Nazem is a member of the board of directors of the Company.</w:t>
      </w:r>
    </w:p>
    <w:p>
      <w:pPr>
        <w:spacing w:after="0" w:line="1" w:lineRule="exact"/>
        <w:rPr>
          <w:rFonts w:ascii="Arial" w:cs="Arial" w:eastAsia="Arial" w:hAnsi="Arial"/>
          <w:sz w:val="14"/>
          <w:szCs w:val="14"/>
          <w:color w:val="auto"/>
        </w:rPr>
      </w:pPr>
    </w:p>
    <w:p>
      <w:pPr>
        <w:ind w:left="332" w:right="1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Evan McCulloch, as the portfolio manager on behalf of Franklin Advisers, Inc., is the investment manager and has been delegated the voting and investment power over the shares held by the selling securityholder.</w:t>
      </w:r>
    </w:p>
    <w:p>
      <w:pPr>
        <w:ind w:left="332" w:right="1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298,128 shares of Common Stock held by RTW Innovation Master Fund, Ltd. (“RTW Innovation Fund”), (ii) 744,682 shares of Common Stock held by RTW Master Fund, Ltd. (“RTW Master Fund”), and (iii) 57,190 shares of Common Stock held by RTW Venture Fund Limited (“RTW Venture Fund,” and together with RTW Master Fund and RTW Innovation Fund, the “RTW Funds”). RTW Investments, LP is the investment manager to the RTW Funds. Roderick Wong, M.D., is the managing partner and chief investment officer of RTW Investments, LP. and as such has sole voting and investment control over such shares. Dr. Wong disclaims beneficial ownership of the reported securities held by the RTW Funds, except to the extent of any pecuniary interest therein.</w:t>
      </w:r>
    </w:p>
    <w:p>
      <w:pPr>
        <w:spacing w:after="0" w:line="1" w:lineRule="exact"/>
        <w:rPr>
          <w:rFonts w:ascii="Arial" w:cs="Arial" w:eastAsia="Arial" w:hAnsi="Arial"/>
          <w:sz w:val="14"/>
          <w:szCs w:val="14"/>
          <w:color w:val="auto"/>
        </w:rPr>
      </w:pPr>
    </w:p>
    <w:p>
      <w:pPr>
        <w:ind w:left="332" w:right="54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Farzad Nazem and Noosheen Hashemi have voting and investment power over the shares held by the selling securityholder. Mr. Nazem is a member of the board of directors of the Company.</w:t>
      </w:r>
    </w:p>
    <w:p>
      <w:pPr>
        <w:ind w:left="312" w:hanging="312"/>
        <w:spacing w:after="0"/>
        <w:tabs>
          <w:tab w:leader="none" w:pos="312" w:val="left"/>
        </w:tabs>
        <w:numPr>
          <w:ilvl w:val="0"/>
          <w:numId w:val="85"/>
        </w:numPr>
        <w:rPr>
          <w:rFonts w:ascii="Arial" w:cs="Arial" w:eastAsia="Arial" w:hAnsi="Arial"/>
          <w:sz w:val="13"/>
          <w:szCs w:val="13"/>
          <w:color w:val="auto"/>
        </w:rPr>
      </w:pPr>
      <w:r>
        <w:rPr>
          <w:rFonts w:ascii="Arial" w:cs="Arial" w:eastAsia="Arial" w:hAnsi="Arial"/>
          <w:sz w:val="13"/>
          <w:szCs w:val="13"/>
          <w:color w:val="auto"/>
        </w:rPr>
        <w:t>Arsani William is the selling securityholder’s managing partner and Chief Investment Officer and has voting and investment power over the shares held by the selling securityholder.</w:t>
      </w:r>
    </w:p>
    <w:p>
      <w:pPr>
        <w:spacing w:after="0" w:line="12" w:lineRule="exact"/>
        <w:rPr>
          <w:rFonts w:ascii="Arial" w:cs="Arial" w:eastAsia="Arial" w:hAnsi="Arial"/>
          <w:sz w:val="13"/>
          <w:szCs w:val="13"/>
          <w:color w:val="auto"/>
        </w:rPr>
      </w:pPr>
    </w:p>
    <w:p>
      <w:pPr>
        <w:ind w:left="332" w:right="1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Madrona Investment Partners VI, L.P. (“Madrona Partners VI”) is the general partner of each of Madrona Venture Fund VI-A, LP (“Madrona Fund VI-A”) and Madrona Venture Fund VI, LP (“Madrona Fund VI”),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Mr. McIlwain is a member of the board of directors of the Company.</w:t>
      </w:r>
    </w:p>
    <w:p>
      <w:pPr>
        <w:spacing w:after="0" w:line="1" w:lineRule="exact"/>
        <w:rPr>
          <w:rFonts w:ascii="Arial" w:cs="Arial" w:eastAsia="Arial" w:hAnsi="Arial"/>
          <w:sz w:val="14"/>
          <w:szCs w:val="14"/>
          <w:color w:val="auto"/>
        </w:rPr>
      </w:pPr>
    </w:p>
    <w:p>
      <w:pPr>
        <w:ind w:left="332" w:right="58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Matthew Posard and Elizabeth Posard share voting and investment power over the shares held by the selling securityholder. Mr. Posard is a member of the board of directors of the Company.</w:t>
      </w:r>
    </w:p>
    <w:p>
      <w:pPr>
        <w:ind w:left="332" w:right="40" w:hanging="332"/>
        <w:spacing w:after="0" w:line="260" w:lineRule="auto"/>
        <w:tabs>
          <w:tab w:leader="none" w:pos="329" w:val="left"/>
        </w:tabs>
        <w:numPr>
          <w:ilvl w:val="0"/>
          <w:numId w:val="85"/>
        </w:numPr>
        <w:rPr>
          <w:rFonts w:ascii="Arial" w:cs="Arial" w:eastAsia="Arial" w:hAnsi="Arial"/>
          <w:sz w:val="13"/>
          <w:szCs w:val="13"/>
          <w:color w:val="auto"/>
        </w:rPr>
      </w:pPr>
      <w:r>
        <w:rPr>
          <w:rFonts w:ascii="Arial" w:cs="Arial" w:eastAsia="Arial" w:hAnsi="Arial"/>
          <w:sz w:val="13"/>
          <w:szCs w:val="13"/>
          <w:color w:val="auto"/>
        </w:rPr>
        <w:t>Consists of (i) 459,075 shares of Common Stock held directly by Mr. McIlwain (322,105 of which are registered for resale pursuant to this prospectus), (ii) 36,280 shares of Common Stock issuable upon exercise of options held by Mr. McIlwain, (iii) 5,798,394 shares of Common Stock held by Madrona Fund VI, and (iv) 222,376 shares of Common Stock held by Madrona Fund VI-A. None of the 36,280 shares of Common Stock issuable upon exercise of options are exercisable within 60 days of June 30, 2021. One hundred percent (100%) of the options to purchase shares of Common Stock vest on the earlier of (a) January 31, 2022 and (b) the day immediately before the date of the Company’s next annual meeting of stockholders, subject to Mr. McIlwain’s continued status as a service provider through such vesting date. Mr. McIlwain is a member of the board of directors of the Company.</w:t>
      </w:r>
    </w:p>
    <w:p>
      <w:pPr>
        <w:ind w:left="332" w:right="8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268,476 shares of Common Stock issuable upon exercise of options held by Mr. Posard, (ii) 100,000 shares of Common Stock held by the Matthew and Elizabeth Posard Trust (the “Posard Trust”) and (iii) 50,000 shares of Common Stock held by Mr. Posard (which are not registered for resale under this prospectus). 154,039 options to purchase shares of Common Stock are exercisable within 60 days of June 30, 2021. Of the remaining options to purchase shares of Common Stock (i) 27,817 shares of Common Stock that are issuable upon exercise of options vest evenly on the 1st of each month through February 1, 2022, (ii) 50,340 shares of Common Stock that are issuable upon the exercise of options vest evenly on the 1st of each month through September 1, 2024, and (iii) 36,280 shares of Common Stock that are issuable upon exercise of options vest on the earlier of (a) January 31, 2022 and (b) the day immediately before the date of the Company’s next annual meeting of stockholders, subject to Mr. Posard’s continued status as a service provider through each vesting date. Mr. Posard is a member of the board of directors of the Company.</w:t>
      </w:r>
    </w:p>
    <w:p>
      <w:pPr>
        <w:spacing w:after="0" w:line="2" w:lineRule="exact"/>
        <w:rPr>
          <w:rFonts w:ascii="Arial" w:cs="Arial" w:eastAsia="Arial" w:hAnsi="Arial"/>
          <w:sz w:val="14"/>
          <w:szCs w:val="14"/>
          <w:color w:val="auto"/>
        </w:rPr>
      </w:pPr>
    </w:p>
    <w:p>
      <w:pPr>
        <w:ind w:left="332" w:right="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72,561 shares of Common Stock issuable upon exercise of options held by Ms. Epperly. 12,092 options to purchase shares of common stock are exercisable within 60 days of June 30, 2021. The remaining options to purchase shares of Common Stock vest evenly on the last day of each month through January 31, 2024, subject to Ms. Epperly’s continued status as a service provider through each vesting date.</w:t>
      </w:r>
    </w:p>
    <w:p>
      <w:pPr>
        <w:spacing w:after="0" w:line="1" w:lineRule="exact"/>
        <w:rPr>
          <w:rFonts w:ascii="Arial" w:cs="Arial" w:eastAsia="Arial" w:hAnsi="Arial"/>
          <w:sz w:val="14"/>
          <w:szCs w:val="14"/>
          <w:color w:val="auto"/>
        </w:rPr>
      </w:pPr>
    </w:p>
    <w:p>
      <w:pPr>
        <w:ind w:left="332"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These securities are held of record by OrbiMed Genesis Master Fund, L.P. (“Genesis”). OrbiMed Genesis GP LLC (“Genesis GP”) is the general partner of Genesis. OrbiMed Advisors LLC (“OrbiMed Advisors”) is the managing member of Genesis GP. OrbiMed Advisors exercises investment and voting power through a management committee comprised of Carl L. Gordon, Sven H. Borho and Jonathan T. Silverstein. Each of Genesis GP and OrbiMed Advisors disclaims beneficial ownership of the shares held by Genesis, except to the extent of its or his pecuniary interest therein if any.</w:t>
      </w:r>
    </w:p>
    <w:p>
      <w:pPr>
        <w:spacing w:after="0" w:line="1" w:lineRule="exact"/>
        <w:rPr>
          <w:rFonts w:ascii="Arial" w:cs="Arial" w:eastAsia="Arial" w:hAnsi="Arial"/>
          <w:sz w:val="14"/>
          <w:szCs w:val="14"/>
          <w:color w:val="auto"/>
        </w:rPr>
      </w:pPr>
    </w:p>
    <w:p>
      <w:pPr>
        <w:ind w:left="332" w:right="34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These securities are held of record by OrbiMed Partners Master Fund Limited (“OPM”). OrbiMed Capital LLC (“OrbiMed Capital”) is the sole investment advisor of OPM. OrbiMed Capital exercises investment and voting power through a management committee comprised of Carl L. Gordon, Sven H. Borho and Jonathan T. Silverstein. OrbiMed Capital disclaims beneficial ownership of the shares held by OPM, except to the extent of its or his pecuniary interest therein if any.</w:t>
      </w:r>
    </w:p>
    <w:p>
      <w:pPr>
        <w:spacing w:after="0" w:line="1" w:lineRule="exact"/>
        <w:rPr>
          <w:rFonts w:ascii="Arial" w:cs="Arial" w:eastAsia="Arial" w:hAnsi="Arial"/>
          <w:sz w:val="14"/>
          <w:szCs w:val="14"/>
          <w:color w:val="auto"/>
        </w:rPr>
      </w:pPr>
    </w:p>
    <w:p>
      <w:pPr>
        <w:ind w:left="332" w:right="60" w:hanging="332"/>
        <w:spacing w:after="0" w:line="246"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20,479,892 shares of Common Stock directly owned by Dr. Mallick, (ii) 200,000 shares of Common Stock owned by The Dream Finder Foundation, as described in footnote 38 below, and (iii) 464,019 shares of Common Stock issuable upon exercise of options held by Dr. Mallick. . None of the 464,019 shares of Common Stock issuable upon exercise of options are exercisable within 60 days of June 30, 2021. 116,005 shares subject to the options vest on January 31, 2022 and 348,014 options to purchase shares of Common Stock vest monthly over 36 months thereafter, subject to Dr. Mallick’s continued service through each vesting date. If,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12"/>
          </w:cols>
          <w:pgMar w:left="328" w:top="1440" w:right="359" w:bottom="1440" w:gutter="0" w:footer="0" w:header="0"/>
        </w:sectPr>
      </w:pPr>
    </w:p>
    <w:bookmarkStart w:id="140" w:name="page141"/>
    <w:bookmarkEnd w:id="140"/>
    <w:p>
      <w:pPr>
        <w:spacing w:after="0" w:line="139" w:lineRule="exact"/>
        <w:rPr>
          <w:sz w:val="20"/>
          <w:szCs w:val="20"/>
          <w:color w:val="auto"/>
        </w:rPr>
      </w:pPr>
    </w:p>
    <w:p>
      <w:pPr>
        <w:ind w:left="340" w:right="200"/>
        <w:spacing w:after="0" w:line="247" w:lineRule="auto"/>
        <w:rPr>
          <w:sz w:val="20"/>
          <w:szCs w:val="20"/>
          <w:color w:val="auto"/>
        </w:rPr>
      </w:pPr>
      <w:r>
        <w:rPr>
          <w:rFonts w:ascii="Arial" w:cs="Arial" w:eastAsia="Arial" w:hAnsi="Arial"/>
          <w:sz w:val="14"/>
          <w:szCs w:val="14"/>
          <w:color w:val="auto"/>
        </w:rPr>
        <w:t>beginning three months before a change in control through the one-year anniversary of a change in control, Dr. Mallick’s employment with the Company is terminated either (x) by the Company without cause, and excluding by reason of Dr. Mallick’s death or disability or (y) by Dr. Mallick for good reason, then 100% of any unvested shares shall immediately vest. Dr. Mallick is the Chief Scientist and a member of the board of directors of the Company.</w:t>
      </w:r>
    </w:p>
    <w:p>
      <w:pPr>
        <w:spacing w:after="0" w:line="1" w:lineRule="exact"/>
        <w:rPr>
          <w:sz w:val="20"/>
          <w:szCs w:val="20"/>
          <w:color w:val="auto"/>
        </w:rPr>
      </w:pPr>
    </w:p>
    <w:p>
      <w:pPr>
        <w:ind w:left="340" w:right="62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Perceptive Advisors LLC (“Perceptive”) is the investment advisor to Perceptive Life Sciences Master Fund, Ltd (the “Master Fund”). Joseph Edelman is the managing member of Perceptive. Perceptive and Mr. Edelman may be deemed to beneficially own the shares held by the Master Fund.</w:t>
      </w:r>
    </w:p>
    <w:p>
      <w:pPr>
        <w:ind w:left="340" w:right="18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Patel is the manager of PFV I, LLC (“PFV”) and as such has voting and investment control over the shares held by PFV. Mr. Patel is the President, Chief Executive Officer, Secretary and a member of the board of directors of the Company.</w:t>
      </w:r>
    </w:p>
    <w:p>
      <w:pPr>
        <w:ind w:left="340" w:right="20" w:hanging="332"/>
        <w:spacing w:after="0" w:line="260" w:lineRule="auto"/>
        <w:tabs>
          <w:tab w:leader="none" w:pos="337" w:val="left"/>
        </w:tabs>
        <w:numPr>
          <w:ilvl w:val="0"/>
          <w:numId w:val="86"/>
        </w:numPr>
        <w:rPr>
          <w:rFonts w:ascii="Arial" w:cs="Arial" w:eastAsia="Arial" w:hAnsi="Arial"/>
          <w:sz w:val="13"/>
          <w:szCs w:val="13"/>
          <w:color w:val="auto"/>
        </w:rPr>
      </w:pPr>
      <w:r>
        <w:rPr>
          <w:rFonts w:ascii="Arial" w:cs="Arial" w:eastAsia="Arial" w:hAnsi="Arial"/>
          <w:sz w:val="13"/>
          <w:szCs w:val="13"/>
          <w:color w:val="auto"/>
        </w:rPr>
        <w:t>RA Capital Management, L.P. is the investment manager for RA Capital Healthcare Fund, L.P. (“RACHF”). The general partner of RA Capital Management, L.P. is RA Capital Management GP, LLC, of which Peter Kolchinsky and Rajeev Shah are the managing members. Each of Mr. Kolchinsky and Mr. Shah may be deemed to have voting and investment power over the shares held by RACHF. Mr. Kolchinsky and Mr. Shah disclaim beneficial ownership of such shares, except to the extent of any pecuniary interest therein.</w:t>
      </w:r>
    </w:p>
    <w:p>
      <w:pPr>
        <w:ind w:left="340" w:right="14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Doron Breen is a director of Sphera Global Healthcare GP, Ltd., which is the general partner of Sphera Global Healthcare Management, LP, which is the general partner of Sphera Biotech GP, LP, which is the general partner of Sphera Biotech Master Fund, LP.</w:t>
      </w: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Doron Breen is a director of Sphera Global Healthcare Master Fund.</w:t>
      </w:r>
    </w:p>
    <w:p>
      <w:pPr>
        <w:spacing w:after="0" w:line="1" w:lineRule="exact"/>
        <w:rPr>
          <w:rFonts w:ascii="Arial" w:cs="Arial" w:eastAsia="Arial" w:hAnsi="Arial"/>
          <w:sz w:val="14"/>
          <w:szCs w:val="14"/>
          <w:color w:val="auto"/>
        </w:rPr>
      </w:pPr>
    </w:p>
    <w:p>
      <w:pPr>
        <w:ind w:left="340" w:hanging="332"/>
        <w:spacing w:after="0" w:line="260" w:lineRule="auto"/>
        <w:tabs>
          <w:tab w:leader="none" w:pos="337" w:val="left"/>
        </w:tabs>
        <w:numPr>
          <w:ilvl w:val="0"/>
          <w:numId w:val="86"/>
        </w:numPr>
        <w:rPr>
          <w:rFonts w:ascii="Arial" w:cs="Arial" w:eastAsia="Arial" w:hAnsi="Arial"/>
          <w:sz w:val="13"/>
          <w:szCs w:val="13"/>
          <w:color w:val="auto"/>
        </w:rPr>
      </w:pPr>
      <w:r>
        <w:rPr>
          <w:rFonts w:ascii="Arial" w:cs="Arial" w:eastAsia="Arial" w:hAnsi="Arial"/>
          <w:sz w:val="13"/>
          <w:szCs w:val="13"/>
          <w:color w:val="auto"/>
        </w:rPr>
        <w:t>Consists of (i) 9,864,388 shares of Common Stock directly owned by Mr. Patel (9,614,388 of which are registerd for resale under theis prospectus), (ii) 5,280,476 shares of Common Stock held by PFV, (iii) 1,814,035 shares of Common Stock held by the Patel Trust, and (iv) 788,833 shares of Common Stock issuable upon exercise of options held by Mr. Patel. None of the 788,833 shares of Common Stock issuable upon exercise of options are exercisable within 60 days of June 30, 2021. 197,208 options to purchase shares of Common Stock vest on January 31, 2022 and 591,625 options to purchase shares of Common Stock vest monthly over 36 months thereafter, subject to Mr. Patel’s continued service through each vesting date. If, during the period beginning three months before a change in control through the one-year anniversary of a change in control, Mr. Patel’s employment with the Company is terminated either (x) by the Company without cause, and excluding by reason of Mr. Patel’s death or disability or (y) by Mr. Patel for good reason, then 100% of any unvested shares shall immediately vest. Mr. Patel is the President, Chief Executive Officer, Secretary and a member of the board of directors of the Company.</w:t>
      </w:r>
    </w:p>
    <w:p>
      <w:pPr>
        <w:ind w:left="340" w:right="4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Patel is a trustee of the Sujal Patel 2020 Children’s Trust, u/a/d December 3, 2020 (the “Patel Trust”) and as such has voting and investment control over the shares held by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 Mr. Patel is the President, Chief Executive Officer, Secretary and a member of the board of directors of the Company.</w:t>
      </w:r>
    </w:p>
    <w:p>
      <w:pPr>
        <w:spacing w:after="0" w:line="1" w:lineRule="exact"/>
        <w:rPr>
          <w:rFonts w:ascii="Arial" w:cs="Arial" w:eastAsia="Arial" w:hAnsi="Arial"/>
          <w:sz w:val="14"/>
          <w:szCs w:val="14"/>
          <w:color w:val="auto"/>
        </w:rPr>
      </w:pPr>
    </w:p>
    <w:p>
      <w:pPr>
        <w:ind w:left="340" w:right="80" w:hanging="332"/>
        <w:spacing w:after="0" w:line="260" w:lineRule="auto"/>
        <w:tabs>
          <w:tab w:leader="none" w:pos="337" w:val="left"/>
        </w:tabs>
        <w:numPr>
          <w:ilvl w:val="0"/>
          <w:numId w:val="86"/>
        </w:numPr>
        <w:rPr>
          <w:rFonts w:ascii="Arial" w:cs="Arial" w:eastAsia="Arial" w:hAnsi="Arial"/>
          <w:sz w:val="13"/>
          <w:szCs w:val="13"/>
          <w:color w:val="auto"/>
        </w:rPr>
      </w:pPr>
      <w:r>
        <w:rPr>
          <w:rFonts w:ascii="Arial" w:cs="Arial" w:eastAsia="Arial" w:hAnsi="Arial"/>
          <w:sz w:val="13"/>
          <w:szCs w:val="13"/>
          <w:color w:val="auto"/>
        </w:rPr>
        <w:t>VCVC Management V LLC (“VCVC Management”) serves as the Manager of VCVC V LLC (“VCVC”) and Cougar Investment Holdings LLC (“Cougar”) serves as the Managing Member of VCVC Management. VCHC Management LLC (“Vulcan Capital Management”) serves as the Manager of Vulcan Capital Holdings Columbia LLC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Stuart Nagae, an affiliate of Vulcan Capital, was a member of the board of directors of Legacy Nautilus until June 9, 2021.</w:t>
      </w:r>
    </w:p>
    <w:p>
      <w:pPr>
        <w:ind w:left="340" w:right="12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Consists of 36,280 shares of Common Stock issuable upon exercise of options held by Mr. Pande. None of the 36,280 shares of Common Stock issuable upon exercise of options are exercisable within 60 days of June 30, 2021. One hundred percent (100%) of the options to purchase shares of Common Stock vest on the earlier of (a) January 31, 2022 and (b) the day immediately before the date of the Company’s next annual meeting of stockholders, subject to Mr. Pande’s continued status as a service provider through such vesting date. Mr. Pande has no voting or investment control over the shares held by entities affiliated with Andreessen Horowitz that are included in footnotes 1 and 5. Mr. Pande is a member of the board of directors of the Company.</w:t>
      </w:r>
    </w:p>
    <w:p>
      <w:pPr>
        <w:spacing w:after="0" w:line="1" w:lineRule="exact"/>
        <w:rPr>
          <w:rFonts w:ascii="Arial" w:cs="Arial" w:eastAsia="Arial" w:hAnsi="Arial"/>
          <w:sz w:val="14"/>
          <w:szCs w:val="14"/>
          <w:color w:val="auto"/>
        </w:rPr>
      </w:pPr>
    </w:p>
    <w:p>
      <w:pPr>
        <w:ind w:left="34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WS Investment Management Company, a California corporation (“WSIMCo.”) is the Manager of WS Investment Company, LLC (“WS”) and has sole voting and dispositive power with respect to the shares held by WS. The managing members of WSIMCo. are Mario Rosati, Robert Latta, Donald Bradley and James Terranova. By virtue of these relationships, the managing members may be deemed to have voting and investment power over the shares held by WS.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selling securityholder was a member of the board of directors of ARYA Sciences Acquisition Corp III prior to the consummation of the Business Combination.</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 Dr. Mallick is the Chief Scientist and a member of the board of directors of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Jesus A Zavaleta III, custodian, has the power to vote and dispose of the common shares being registered on behalf of Janhavi Amrita Singhal UTMA/TX.</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Jesus A Zavaleta III, custodian, has the power to vote and dispose of the common shares being registered on behalf of Jaya Nirmala Singhal UTMA/TX.</w:t>
      </w:r>
    </w:p>
    <w:p>
      <w:pPr>
        <w:spacing w:after="0" w:line="39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Please see the sections titled “Management,” “Executive Compensation” and “Certain Relationships, Related Party and Other Transactions” appearing elsewhere in this prospectus for information regarding material relationships with our selling securityholders within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summary of certain provisions of our securities does not purport to be complete and is subject to our Certificate of Incorporation, our Bylaws and the provisions of applicable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authorized capital stock consists of 1,000,000,000 shares of our Common Stock, par value $0.0001 per share, and 200,000,000 shares of our Preferred Stock, par value $0.0001 per share. As of January 31, 2022, we have 124,425,923 shares of our Common Stock outstanding.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describes all material provisions of our capital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w:t>
      </w:r>
    </w:p>
    <w:p>
      <w:pPr>
        <w:spacing w:after="0" w:line="17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 Each share of our Common Stock is entitled to one vote per share on all matters (including the election of directors) submitted to a vote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unless otherwise required by law or our certificate of incorporation. Our Certificate of Incorporation and our Bylaws do not provide for cumulative voting rights. Our directors are elected by plurality vote of the shares of our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1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Dividend rights</w:t>
      </w:r>
      <w:r>
        <w:rPr>
          <w:rFonts w:ascii="Arial" w:cs="Arial" w:eastAsia="Arial" w:hAnsi="Arial"/>
          <w:sz w:val="17"/>
          <w:szCs w:val="17"/>
          <w:color w:val="auto"/>
        </w:rPr>
        <w:t>. Subject to preferences that may be applicable to any then-outstanding preferred stock, holders of our Common Stock are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dividends, if any, as may be declared from time to time by our board of directors out of legally available funds.</w:t>
      </w:r>
    </w:p>
    <w:p>
      <w:pPr>
        <w:spacing w:after="0" w:line="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Upon a liquidation event, holders of our Common Stock are entitled to share ratably in the net assets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to stockholders after the payment of all of our debts and other liabilities and the satisfaction of any liquidation preference granted to the holders of any then-outstanding shares of preferred stock.</w:t>
      </w:r>
    </w:p>
    <w:p>
      <w:pPr>
        <w:spacing w:after="0" w:line="13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Other rights</w:t>
      </w:r>
      <w:r>
        <w:rPr>
          <w:rFonts w:ascii="Arial" w:cs="Arial" w:eastAsia="Arial" w:hAnsi="Arial"/>
          <w:sz w:val="17"/>
          <w:szCs w:val="17"/>
          <w:color w:val="auto"/>
        </w:rPr>
        <w:t>. Holders of our Common Stock have no preemptive, conversion, subscription or other rights, and there are no redemption or sinking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our company or other corporate action. As of January 31, 2022, there are no shares of preferred stock outstanding, and we have no present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 Board of Directors</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the number of directors of our board of directors shall be fixed solely and exclusively by resolution duly adopted from time to time by our board of directors, but currently consists of eight (8) directors, which are divided into three (3) classes, designated Class I, II and III, with each class consisting of three (3) directors. Under our Bylaws, at all meetings of stockholders called for the election of directors, directors shall be elected by a plurality of the voting power of the shares present in person or represented by proxy at the meeting and entitled to vote on the election of directors. All directors are elected to hold office until the expiration of the term for which they are elected and until their successors have been duly elected and qualified or until their earlier resignation or removal.</w:t>
      </w:r>
    </w:p>
    <w:p>
      <w:pPr>
        <w:spacing w:after="0" w:line="1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the DGCL may otherwise require and subject to the rights, if any, of the holders of any series of our Preferred Stock, newly created directorships resulting from any increase in the number of directors and any vacancies on our board of directors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Subject to the rights, if any, of any series our Preferred Stock, any director or our entire board of directors may be removed from office at any time, but only for cause and only by the affirmative vote of the holders of at least 66 2/3% of the voting power of our issued and outstanding capital stock entitled to vote in the election of directors.</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the powers and authority expressly conferred upon them by statute or by our Certificate of Incorporation or our Bylaws, the directors are empowered to exercise all such powers and do all such acts and things as may be exercised or done by us, subject, nevertheless, to the provisions of the DGCL, our Certificate of Incorporation and our Bylaws adopted and in effect from time to time; provided, however, that no Bylaw adopted, amended, altered or repealed after the date of our Bylaws will invalidate any prior act of our directors or officers which would have been valid if such Bylaw had not been adopted, amended, altered or repealed.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our Certificate of Incorporation or our Bylaws, each as amended from 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Certificate of Incorporation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of us to first negotiate with our board of directors, which we believe may result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improvement of the terms of any such acquisition in favor of our stockholders. However, they also give our board of directors the power to discourage acquisitions that some stockholders may favor.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One of the effects of the existence of unissued and unreserved common stock may be to enable our board of directors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Unless otherwise required by law, and subject to the rights, if any, of the holders of any series of our Preferred Stock, special meetings of our stockholders may be called only by the Chairperson of our board of directors, our Chief Executive Officer, our President, or our board of directors acting pursuant to a resolution adopted by a majority of our board of directors. Unless otherwise required by law, written notice of a special meeting of stockholders, stating the time, place and purpose or purposes thereof, shall be given to each stockholder entitled to vote at such meeting, not less than ten (10) or more than sixty</w:t>
      </w:r>
    </w:p>
    <w:p>
      <w:pPr>
        <w:spacing w:after="0" w:line="1" w:lineRule="exact"/>
        <w:rPr>
          <w:sz w:val="20"/>
          <w:szCs w:val="20"/>
          <w:color w:val="auto"/>
        </w:rPr>
      </w:pPr>
    </w:p>
    <w:p>
      <w:pPr>
        <w:ind w:right="400" w:firstLine="8"/>
        <w:spacing w:after="0" w:line="260" w:lineRule="auto"/>
        <w:tabs>
          <w:tab w:leader="none" w:pos="3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days before the date fixed for the meeting. Business transacted at any special meeting of stockholders will be limited to the purposes stated in the notice.</w:t>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our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3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Our Certificate of Incorporation will provide that the following provisions therein may be amended, altered, repealed or rescinded only by the affirmative vote of the holders of at least 66 2/3% in voting power of all the then outstanding shares of our stock entitled to vote thereon and the affirmative vote of at least 66 2/3% of the then outstanding voting securities of the Company, voting together as a single class:</w:t>
      </w:r>
    </w:p>
    <w:p>
      <w:pPr>
        <w:spacing w:after="0" w:line="130" w:lineRule="exact"/>
        <w:rPr>
          <w:sz w:val="20"/>
          <w:szCs w:val="20"/>
          <w:color w:val="auto"/>
        </w:rPr>
      </w:pPr>
    </w:p>
    <w:p>
      <w:pPr>
        <w:ind w:left="660" w:right="32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issues shares of our Preferred Stock, with any rights, preferences or privileges as they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1440" w:right="379" w:bottom="1440" w:gutter="0" w:footer="0" w:header="0"/>
        </w:sectPr>
      </w:pPr>
    </w:p>
    <w:bookmarkStart w:id="144" w:name="page145"/>
    <w:bookmarkEnd w:id="144"/>
    <w:p>
      <w:pPr>
        <w:spacing w:after="0" w:line="144"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dividing our board of directors into three classes, each of which stands for election once every three years;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providing that a director may only be removed from our board of directors for cause only by the affirmative vote of the holders of at least 66 2/3% of the voting power of our issued and outstanding capital stock entitled to vote in the election of directors;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prohibiting cumulative voting;</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requiring that any action to be taken by our stockholders must be effected at a duly called annual or special meeting of stockholders and not be taken by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regarding notice of stockholder nominations for the election of directors and of business to be brought by stockholders before any meeting of our stockholders;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 regarding the approval requirements for such amendments;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Bylaws may be amended or repealed (A) by the affirmative vote of a majority of our entire board of directors then in office (subject to any bylaw requiring the affirmative vote of a larger percentage of the members of our board of directors) or (B) by our stockholders, provided that the affirmative vote of the holders of at least 66 2/3% of the total voting power of outstanding voting securities, voting together as a single class, shall be required for our stockholders to alter, amend or repeal, or adopt certain provisions of our Bylaws.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our board of directors or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Certificate of Incorporation limits the liability of our directors to the fullest extent permitted by the DGCL, and our Bylaws provide that we will indemnify them to the fullest extent permitted by such law. We have entered into indemnification agreements with our directors and officers and we expect to continue to enter into agreements to indemnify our directors, executive officers and other employees as determined by our board of directors. Under the terms of such indemnification agreements, we will be required to indemnify each of its directors and officers, to the fullest extent permitted by the laws of the state of Delaware, if the basis of the indemnitee’s involvement was by reason of the fact that the indemnitee is or was a director or officer of us or any of our subsidiaries or was serving at our request in an official capacity for another entity. Any claims for indemnification by our directors and officers may reduce our available funds to satisfy successful third-party claims against it and may reduce the amount of money available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1" w:lineRule="exact"/>
        <w:rPr>
          <w:sz w:val="20"/>
          <w:szCs w:val="20"/>
          <w:color w:val="auto"/>
        </w:rPr>
      </w:pPr>
    </w:p>
    <w:p>
      <w:pPr>
        <w:ind w:firstLine="8"/>
        <w:spacing w:after="0" w:line="271" w:lineRule="auto"/>
        <w:tabs>
          <w:tab w:leader="none" w:pos="3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action arising pursuant to any provision of the Delaware General Corporation Law or our Certificate of Incorporation or our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we give an Alternative Forum Consent, the federal district courts of the United States shall be the sole and exclusive forum for resolving any action asserting a claim arising under the Securities Act of 1933.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“NAUT.”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320" w:top="1440" w:right="419" w:bottom="1440" w:gutter="0" w:footer="0" w:header="0"/>
        </w:sectPr>
      </w:pPr>
    </w:p>
    <w:bookmarkStart w:id="146" w:name="page147"/>
    <w:bookmarkEnd w:id="146"/>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are registering the Securities covered by this prospectus to permit the selling securityholders to conduct public secondary trading of these Securities from time to time after the date of this prospectus. We will not receive any of the proceeds of the sale of the Securities offered by this prospectus. The aggregate proceeds to the selling securityholders from the sale of the Securities will be the purchase price of the Securities less any discounts and commissions. We will not pay any brokers’ or underwriters’ discounts and commissions in connection with the registration and sale of the Securities covered by this prospectus. The selling securityholders reserve the right to accept and, together with their respective agents, to reject, any proposed purchases of Securities to be made directly or through agents.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offered by this prospectus may be sold from time to time to purchasers:</w:t>
      </w:r>
    </w:p>
    <w:p>
      <w:pPr>
        <w:spacing w:after="0" w:line="171"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directly by the selling securityholders;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securityholders or the purchasers of the Securities;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underwriters, broker-dealers or agents who participate in the sale or distribution of the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Securities by the selling securityholders.</w:t>
      </w:r>
    </w:p>
    <w:p>
      <w:pPr>
        <w:spacing w:after="0" w:line="12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Securities may be sold in one or more transactions at:</w:t>
      </w:r>
    </w:p>
    <w:p>
      <w:pPr>
        <w:spacing w:after="0" w:line="9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sales may be effected in one or more transactions:</w:t>
      </w:r>
    </w:p>
    <w:p>
      <w:pPr>
        <w:spacing w:after="0" w:line="171"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on any national securities exchange or quotation service on which the Securities may be listed or quoted at the time of sale, including Nasdaq;</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71"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trading plans entered into by the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1440" w:right="379" w:bottom="1440" w:gutter="0" w:footer="0" w:header="0"/>
        </w:sectPr>
      </w:pPr>
    </w:p>
    <w:bookmarkStart w:id="147" w:name="page148"/>
    <w:bookmarkEnd w:id="147"/>
    <w:p>
      <w:pPr>
        <w:spacing w:after="0" w:line="144"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171" w:lineRule="exact"/>
        <w:rPr>
          <w:rFonts w:ascii="Arial" w:cs="Arial" w:eastAsia="Arial" w:hAnsi="Arial"/>
          <w:sz w:val="18"/>
          <w:szCs w:val="18"/>
          <w:color w:val="auto"/>
        </w:rPr>
      </w:pPr>
    </w:p>
    <w:p>
      <w:pPr>
        <w:ind w:left="660" w:right="340" w:hanging="328"/>
        <w:spacing w:after="0" w:line="263" w:lineRule="auto"/>
        <w:tabs>
          <w:tab w:leader="none" w:pos="655"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options or other hedging transactions, whether through an options exchange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distributions to members, limited partners or stockholders of selling securityholders;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These transactions may include block transactions or crosses. Crosses are transactions in which the same broker acts as an agent on both sides of the trade.</w:t>
      </w:r>
    </w:p>
    <w:p>
      <w:pPr>
        <w:spacing w:after="0" w:line="19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the Securities offered by this prospectus, which Securities such broker-dealer or other financial institution may resell pursuant to this prospectus (as supplemented or amended to reflect such transaction). The selling securityholders may also pledge the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the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At the time a particular offering of the Securities is made, a prospectus supplement, if required, will be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Securities by the selling securityholders pursuant to this prospectus for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periods of time for certain reasons, including if the prospectus is required to be supplemented or amended to include additional material information.</w:t>
      </w:r>
    </w:p>
    <w:p>
      <w:pPr>
        <w:spacing w:after="0" w:line="18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selling securityholders will act independently of us in making decisions with respect to the timing, manner, and size of each resale or other transfer. There can be no assurance that the selling securityholders will sell any or all of the Securities under this prospectus. Further, we cannot assure you that the selling securityholders will not transfer, distribute, devise or gift the Securities by other means not described in this prospectus. In addition, any Securities covered by this prospectus that qualify for sale under Rule 144 of the Securities Act may be sold under Rule 144 rather than under this prospectus. The Securities may be sold in some states only through registered or licensed brokers or dealers. In addition, in some states the Securities may not be sold unless they have been registered or qualified for sale or an exemption from registration or qualification is available and complied with.</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selling securityholders and any other person participating in the sale of the Securities will be subject to the Exchange Act. The Exchange Act rules include, without limitation, Regulation M, which may limit the timing of purchases and sales of any of the Securities by the selling securityholders and any other person. In addition, Regulation M may restrict the ability of any person engaged in the distribution of the Securities to engage in market-making activities with respect to the particular securities being distributed. This may affect the marketability of the Securities and the ability of any person or entity to engage in market-making activities with respect to the Securities.</w:t>
      </w:r>
    </w:p>
    <w:p>
      <w:pPr>
        <w:spacing w:after="0" w:line="1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selling securityholders may, from time to time, pledge or grant a security interest in some shares of the Securities owned by them and, if a selling securityholder defaults in the performance of its secured obligations, the pledgees or secured parties may offer and sell such shares of the Securities,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the Securities in other circumstances, in which case the transferees, pledgees or other successors in interest will be the selling beneficial owners for purposes of this prospectus.</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selling securityholder that is an entity may elect to make an in-kind distribution of the Securities to its members, partners or shareholders pursuant to the registration statement of which this prospectus is a part by delivering a prospectus. To the extent that such members, partners or shareholders are not affiliates of ours, such members, partners or stockholders would thereby receive freely tradable shares of the Securities pursuant to the distribution through a registration statement.</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With respect to those Securities being registered pursuant to the Registration Rights Agreement, we have agreed to indemnify or provide contribution to the selling securityholders and all of their officers, directors and control persons, as applicable, and certain underwriters effecting sales of the Securities against certain liabilities, including certain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expenses of registration, see the section titled “</w:t>
      </w:r>
      <w:r>
        <w:rPr>
          <w:rFonts w:ascii="Arial" w:cs="Arial" w:eastAsia="Arial" w:hAnsi="Arial"/>
          <w:sz w:val="17"/>
          <w:szCs w:val="17"/>
          <w:i w:val="1"/>
          <w:iCs w:val="1"/>
          <w:color w:val="auto"/>
        </w:rPr>
        <w:t>Use of Proceeds</w:t>
      </w:r>
      <w:r>
        <w:rPr>
          <w:rFonts w:ascii="Arial" w:cs="Arial" w:eastAsia="Arial" w:hAnsi="Arial"/>
          <w:sz w:val="17"/>
          <w:szCs w:val="17"/>
          <w:color w:val="auto"/>
        </w:rPr>
        <w:t>”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validity of the Securities offered hereby has been passed upon for us by Wilson Sonsini Goodrich &amp; Rosati, Professional Corporation, Palo Alto, California. Certain members of, and investment partnerships comprised of members of, and persons associated with, Wilson Sonsini Goodrich &amp; Rosati, Professional Corporation, directly or indirectly own less than 0.3% of the outstanding shares of our common stock.</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financial statements as of December 31, 2021 and 2020 and for each of the two years in the period ended December 31, 2021 included in this Prospectus have been so included in reliance on the report of PricewaterhouseCoopers LLP (“PwC”), an independent registered public accounting firm, given on the authority of said firm as experts in auditing and accounting.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Certifying Accountant</w:t>
      </w:r>
    </w:p>
    <w:p>
      <w:pPr>
        <w:spacing w:after="0" w:line="17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June 9, 2021, the audit committee of our board of directors approved a resolution appointing PwC as New Nautilus’ independent registered public accounting firm to audit New Nautilus’ consolidated financial statements for the fiscal year ending December 31, 2021. PwC served as the independent registered public accounting firm of Legacy Nautilus prior to the Business Combination. Accordingly, Withum, ARYA’s independent registered public accounting firm prior to the Business Combination, was informed on June 9, 2021 that it was dismissed as New Nautilus’ independent registered public accounting firm.</w:t>
      </w:r>
    </w:p>
    <w:p>
      <w:pPr>
        <w:spacing w:after="0" w:line="13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reports of Withum on ARYA’s financial statements as of and for the most recent fiscal year ending December 31, 2020 did not contain an adverse opinion or a disclaimer of opinion, and were not qualified or modified as to uncertainties, audit scope or accounting principles.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ARYA’s fiscal year ending December 31, 2020 and the subsequent interim period through June 9, 2021, there were no disagreements between ARYA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ARYA’s financial statements for such year.</w:t>
      </w:r>
    </w:p>
    <w:p>
      <w:pPr>
        <w:spacing w:after="0" w:line="13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During ARYA’s fiscal year ending December 31, 2020 and the subsequent interim period through June 9, 2021, there were no “reportable events” (as defined in Item 304(a)(1)(v) of Regulation S-K under the Securities Exchange Act of 1934, as amended (the “Exchange Act”)).</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New Nautilus provided Withum with a copy of the foregoing disclosures and has requested that Withum furnish Nautilus Biotechnology, Inc. with a letter addressed to the SEC stating whether it agrees with the statements made by New Nautilus set forth above. A copy of Withum’s letter, dated June 9, 2021, is filed as an exhibit hereto.</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fiscal year ending December 31, 2020 and the subsequent interim period through June 9, 2021, neither New Nautilus, nor any party on behalf of New Nautilus, consulted with PwC with respect to either (i) the application of accounting principles to a specified transaction, either completed or proposed, or the type of the audit opinion that might be rendered with respect to New Nautilus’ consolidated financial statements, and no written report or oral advice was provided to New Nautilus by PwC that was an important factor considered by New Nautilus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filed with the SEC a registration statement on Form S-1 under the Securities Act that registers the shares of our Common Stock to be sold in this offering. The registration statement, including the attached exhibits and schedules, contains additional relevant information about us and our capital stock. The rules and regulations of the SEC allow us to omit from this prospectus certain information included in the registration statement. For further information about us and the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1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are subject to the informational reporting requirements of the Exchange Act. We file reports, proxy statements and other information with the SEC under the Exchange Act. Our SEC filings are available over the Internet at the SEC’s website at http://www.sec.gov. Our website address is www.nautilus.bio. The information on, or that 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1440" w:right="479" w:bottom="1440" w:gutter="0" w:footer="0" w:header="0"/>
        </w:sectPr>
      </w:pPr>
    </w:p>
    <w:bookmarkStart w:id="151" w:name="page152"/>
    <w:bookmarkEnd w:id="15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40" w:type="dxa"/>
            <w:vAlign w:val="bottom"/>
            <w:gridSpan w:val="3"/>
          </w:tcPr>
          <w:p>
            <w:pPr>
              <w:ind w:left="460"/>
              <w:spacing w:after="0"/>
              <w:rPr>
                <w:sz w:val="20"/>
                <w:szCs w:val="20"/>
                <w:color w:val="auto"/>
              </w:rPr>
            </w:pPr>
            <w:r>
              <w:rPr>
                <w:rFonts w:ascii="Arial" w:cs="Arial" w:eastAsia="Arial" w:hAnsi="Arial"/>
                <w:sz w:val="18"/>
                <w:szCs w:val="18"/>
                <w:b w:val="1"/>
                <w:bCs w:val="1"/>
                <w:color w:val="auto"/>
              </w:rPr>
              <w:t>INDEX TO FINANCIAL STATEMENTS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9900" w:type="dxa"/>
            <w:vAlign w:val="bottom"/>
            <w:gridSpan w:val="9"/>
          </w:tcPr>
          <w:p>
            <w:pPr>
              <w:spacing w:after="0"/>
              <w:rPr>
                <w:sz w:val="20"/>
                <w:szCs w:val="20"/>
                <w:color w:val="auto"/>
              </w:rPr>
            </w:pPr>
            <w:r>
              <w:rPr>
                <w:rFonts w:ascii="Arial" w:cs="Arial" w:eastAsia="Arial" w:hAnsi="Arial"/>
                <w:sz w:val="18"/>
                <w:szCs w:val="18"/>
                <w:b w:val="1"/>
                <w:bCs w:val="1"/>
                <w:color w:val="auto"/>
                <w:w w:val="95"/>
              </w:rPr>
              <w:t>Audited Financial Statements for Nautilus Biotechnology, Inc. As of and for the Years Ended December 31, 2021 and 2020</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6"/>
              </w:rPr>
              <w:t>Page(s)</w:t>
            </w:r>
          </w:p>
        </w:tc>
      </w:tr>
      <w:tr>
        <w:trPr>
          <w:trHeight w:val="216"/>
        </w:trPr>
        <w:tc>
          <w:tcPr>
            <w:tcW w:w="20" w:type="dxa"/>
            <w:vAlign w:val="bottom"/>
          </w:tcPr>
          <w:p>
            <w:pPr>
              <w:spacing w:after="0"/>
              <w:rPr>
                <w:sz w:val="18"/>
                <w:szCs w:val="18"/>
                <w:color w:val="auto"/>
              </w:rPr>
            </w:pPr>
          </w:p>
        </w:tc>
        <w:tc>
          <w:tcPr>
            <w:tcW w:w="9880" w:type="dxa"/>
            <w:vAlign w:val="bottom"/>
            <w:gridSpan w:val="8"/>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1080" w:type="dxa"/>
            <w:vAlign w:val="bottom"/>
            <w:gridSpan w:val="3"/>
          </w:tcPr>
          <w:p>
            <w:pPr>
              <w:jc w:val="center"/>
              <w:ind w:left="450"/>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2">
              <w:r>
                <w:rPr>
                  <w:rFonts w:ascii="Arial" w:cs="Arial" w:eastAsia="Arial" w:hAnsi="Arial"/>
                  <w:sz w:val="18"/>
                  <w:szCs w:val="18"/>
                  <w:color w:val="0000FF"/>
                  <w:w w:val="96"/>
                </w:rPr>
                <w:t>2</w:t>
              </w:r>
            </w:hyperlink>
          </w:p>
        </w:tc>
      </w:tr>
      <w:tr>
        <w:trPr>
          <w:trHeight w:val="318"/>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153">
              <w:r>
                <w:rPr>
                  <w:rFonts w:ascii="Arial" w:cs="Arial" w:eastAsia="Arial" w:hAnsi="Arial"/>
                  <w:sz w:val="18"/>
                  <w:szCs w:val="18"/>
                  <w:color w:val="0000FF"/>
                  <w:w w:val="88"/>
                </w:rPr>
                <w:t>Consolidated Balance Sheets</w:t>
              </w:r>
            </w:hyperlink>
          </w:p>
        </w:tc>
        <w:tc>
          <w:tcPr>
            <w:tcW w:w="2120" w:type="dxa"/>
            <w:vAlign w:val="bottom"/>
            <w:tcBorders>
              <w:top w:val="single" w:sz="8" w:color="0000FF"/>
            </w:tcBorders>
            <w:gridSpan w:val="5"/>
          </w:tcPr>
          <w:p>
            <w:pPr>
              <w:spacing w:after="0"/>
              <w:rPr>
                <w:sz w:val="24"/>
                <w:szCs w:val="24"/>
                <w:color w:val="auto"/>
              </w:rPr>
            </w:pPr>
          </w:p>
        </w:tc>
        <w:tc>
          <w:tcPr>
            <w:tcW w:w="56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3">
              <w:r>
                <w:rPr>
                  <w:rFonts w:ascii="Arial" w:cs="Arial" w:eastAsia="Arial" w:hAnsi="Arial"/>
                  <w:sz w:val="18"/>
                  <w:szCs w:val="18"/>
                  <w:color w:val="0000FF"/>
                  <w:w w:val="96"/>
                </w:rPr>
                <w:t>3</w:t>
              </w:r>
            </w:hyperlink>
          </w:p>
        </w:tc>
        <w:tc>
          <w:tcPr>
            <w:tcW w:w="14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8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54">
              <w:r>
                <w:rPr>
                  <w:rFonts w:ascii="Arial" w:cs="Arial" w:eastAsia="Arial" w:hAnsi="Arial"/>
                  <w:sz w:val="18"/>
                  <w:szCs w:val="18"/>
                  <w:color w:val="0000FF"/>
                  <w:w w:val="89"/>
                </w:rPr>
                <w:t>Consolidated Statements of Operations</w:t>
              </w:r>
            </w:hyperlink>
          </w:p>
        </w:tc>
        <w:tc>
          <w:tcPr>
            <w:tcW w:w="7060" w:type="dxa"/>
            <w:vAlign w:val="bottom"/>
            <w:gridSpan w:val="6"/>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4">
              <w:r>
                <w:rPr>
                  <w:rFonts w:ascii="Arial" w:cs="Arial" w:eastAsia="Arial" w:hAnsi="Arial"/>
                  <w:sz w:val="18"/>
                  <w:szCs w:val="18"/>
                  <w:color w:val="0000FF"/>
                  <w:w w:val="96"/>
                </w:rPr>
                <w:t>4</w:t>
              </w:r>
            </w:hyperlink>
          </w:p>
        </w:tc>
        <w:tc>
          <w:tcPr>
            <w:tcW w:w="1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880" w:type="dxa"/>
            <w:vAlign w:val="bottom"/>
            <w:gridSpan w:val="8"/>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Consolidated Statements of Comprehensive Loss</w:t>
              </w:r>
            </w:hyperlink>
          </w:p>
        </w:tc>
        <w:tc>
          <w:tcPr>
            <w:tcW w:w="1080" w:type="dxa"/>
            <w:vAlign w:val="bottom"/>
            <w:gridSpan w:val="3"/>
          </w:tcPr>
          <w:p>
            <w:pPr>
              <w:jc w:val="center"/>
              <w:ind w:left="450"/>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5">
              <w:r>
                <w:rPr>
                  <w:rFonts w:ascii="Arial" w:cs="Arial" w:eastAsia="Arial" w:hAnsi="Arial"/>
                  <w:sz w:val="18"/>
                  <w:szCs w:val="18"/>
                  <w:color w:val="0000FF"/>
                  <w:w w:val="96"/>
                </w:rPr>
                <w:t>5</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80" w:type="dxa"/>
            <w:vAlign w:val="bottom"/>
            <w:gridSpan w:val="8"/>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Consolidated Statements of Redeemable Convertible Preferred Stock and Stockholders’ Equity (Deficit)</w:t>
              </w:r>
            </w:hyperlink>
          </w:p>
        </w:tc>
        <w:tc>
          <w:tcPr>
            <w:tcW w:w="1080" w:type="dxa"/>
            <w:vAlign w:val="bottom"/>
            <w:gridSpan w:val="3"/>
          </w:tcPr>
          <w:p>
            <w:pPr>
              <w:jc w:val="center"/>
              <w:ind w:left="450"/>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6">
              <w:r>
                <w:rPr>
                  <w:rFonts w:ascii="Arial" w:cs="Arial" w:eastAsia="Arial" w:hAnsi="Arial"/>
                  <w:sz w:val="18"/>
                  <w:szCs w:val="18"/>
                  <w:color w:val="0000FF"/>
                  <w:w w:val="96"/>
                </w:rPr>
                <w:t>6</w:t>
              </w:r>
            </w:hyperlink>
          </w:p>
        </w:tc>
      </w:tr>
      <w:tr>
        <w:trPr>
          <w:trHeight w:val="263"/>
        </w:trPr>
        <w:tc>
          <w:tcPr>
            <w:tcW w:w="20" w:type="dxa"/>
            <w:vAlign w:val="bottom"/>
          </w:tcPr>
          <w:p>
            <w:pPr>
              <w:spacing w:after="0"/>
              <w:rPr>
                <w:sz w:val="22"/>
                <w:szCs w:val="22"/>
                <w:color w:val="auto"/>
              </w:rPr>
            </w:pPr>
          </w:p>
        </w:tc>
        <w:tc>
          <w:tcPr>
            <w:tcW w:w="28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157">
              <w:r>
                <w:rPr>
                  <w:rFonts w:ascii="Arial" w:cs="Arial" w:eastAsia="Arial" w:hAnsi="Arial"/>
                  <w:sz w:val="18"/>
                  <w:szCs w:val="18"/>
                  <w:color w:val="0000FF"/>
                  <w:w w:val="89"/>
                </w:rPr>
                <w:t>Consolidated Statements of Cash Flows</w:t>
              </w:r>
            </w:hyperlink>
          </w:p>
        </w:tc>
        <w:tc>
          <w:tcPr>
            <w:tcW w:w="4640" w:type="dxa"/>
            <w:vAlign w:val="bottom"/>
            <w:tcBorders>
              <w:top w:val="single" w:sz="8" w:color="0000FF"/>
            </w:tcBorders>
            <w:gridSpan w:val="4"/>
          </w:tcPr>
          <w:p>
            <w:pPr>
              <w:spacing w:after="0"/>
              <w:rPr>
                <w:sz w:val="22"/>
                <w:szCs w:val="22"/>
                <w:color w:val="auto"/>
              </w:rPr>
            </w:pPr>
          </w:p>
        </w:tc>
        <w:tc>
          <w:tcPr>
            <w:tcW w:w="2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7">
              <w:r>
                <w:rPr>
                  <w:rFonts w:ascii="Arial" w:cs="Arial" w:eastAsia="Arial" w:hAnsi="Arial"/>
                  <w:sz w:val="18"/>
                  <w:szCs w:val="18"/>
                  <w:color w:val="0000FF"/>
                  <w:w w:val="96"/>
                </w:rPr>
                <w:t>7</w:t>
              </w:r>
            </w:hyperlink>
          </w:p>
        </w:tc>
        <w:tc>
          <w:tcPr>
            <w:tcW w:w="1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1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58">
              <w:r>
                <w:rPr>
                  <w:rFonts w:ascii="Arial" w:cs="Arial" w:eastAsia="Arial" w:hAnsi="Arial"/>
                  <w:sz w:val="18"/>
                  <w:szCs w:val="18"/>
                  <w:color w:val="0000FF"/>
                  <w:w w:val="89"/>
                </w:rPr>
                <w:t>Notes to Consolidated Financial Statements</w:t>
              </w:r>
            </w:hyperlink>
          </w:p>
        </w:tc>
        <w:tc>
          <w:tcPr>
            <w:tcW w:w="6720" w:type="dxa"/>
            <w:vAlign w:val="bottom"/>
            <w:gridSpan w:val="4"/>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8">
              <w:r>
                <w:rPr>
                  <w:rFonts w:ascii="Arial" w:cs="Arial" w:eastAsia="Arial" w:hAnsi="Arial"/>
                  <w:sz w:val="18"/>
                  <w:szCs w:val="18"/>
                  <w:color w:val="0000FF"/>
                  <w:w w:val="96"/>
                </w:rPr>
                <w:t>8</w:t>
              </w:r>
            </w:hyperlink>
          </w:p>
        </w:tc>
        <w:tc>
          <w:tcPr>
            <w:tcW w:w="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980"/>
          </w:cols>
          <w:pgMar w:left="320" w:top="1440" w:right="599" w:bottom="1440" w:gutter="0" w:footer="0" w:header="0"/>
        </w:sectPr>
      </w:pPr>
    </w:p>
    <w:bookmarkStart w:id="152" w:name="page153"/>
    <w:bookmarkEnd w:id="152"/>
    <w:p>
      <w:pPr>
        <w:spacing w:after="0" w:line="140"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Nautilus Biotechnology, Inc. </w:t>
      </w:r>
      <w:r>
        <w:rPr>
          <w:rFonts w:ascii="Arial" w:cs="Arial" w:eastAsia="Arial" w:hAnsi="Arial"/>
          <w:sz w:val="18"/>
          <w:szCs w:val="18"/>
          <w:b w:val="1"/>
          <w:bCs w:val="1"/>
          <w:i w:val="1"/>
          <w:iCs w:val="1"/>
          <w:color w:val="auto"/>
        </w:rPr>
        <w:t>Opinion on the Financial Statements</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Nautilus Biotechnology, Inc. and its subsidiary (the “Company”) as of December 31, 2021 and 2020, and the related consolidated statements of operations, of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February 24,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 December 31, 2021 and 2020</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185,619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8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Series Seed redeemable convertible preferred stock - par value $0.0001, 0 and 13,174,805 shares authorized,</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3"/>
              </w:rPr>
              <w:t>issued and outstanding as of December 31, 2021 and 2020, respectively (liquidation preference of $0 and</w:t>
            </w:r>
          </w:p>
        </w:tc>
        <w:tc>
          <w:tcPr>
            <w:tcW w:w="14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$7,263 as of December 31, 2021 and 2020, respectively)</w:t>
            </w: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Series A redeemable convertible preferred stock - par value $0.0001, 0 and 16,836,436 shares authorized,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issued and outstanding as of December 31, 2021 and 2020, respectively (liquidation preference of $0 and</w:t>
            </w: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$27,200 as of December 31, 2021 and 2020, respectively)</w:t>
            </w: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89"/>
              </w:rPr>
              <w:t>Series B redeemable convertible preferred stock - par value $0.0001, 0 and 22,527,535 shares authorized as of</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9"/>
              </w:rPr>
              <w:t>December 31, 2021 and 2020, respectively, 0 and 22,164,724 shares issued and outstanding as of</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3"/>
              </w:rPr>
              <w:t>December 31, 2021 and 2020, respectively (liquidation preference of $0 and $76,060 as of December 31,</w:t>
            </w:r>
          </w:p>
        </w:tc>
        <w:tc>
          <w:tcPr>
            <w:tcW w:w="14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2021 and 2020, respectively)</w:t>
            </w: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Preferred stock, $0.0001 par value, 200,000,000 and 0 shares authorized as of December 31, 2021 and 2020,</w:t>
            </w: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and 0 shares issued and outstanding as of December 31, 2021 and 2020</w:t>
            </w: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Common stock, $0.0001 par value, 1,000,000,000 and 98,672,620 shares authorized as of December 31, 2021</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89"/>
              </w:rPr>
              <w:t>and 2020, respectively; 124,303,083 and 33,069,513 shares issued and outstanding as of December 31, 2021</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and 2020, respectively</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6" w:right="3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Years Ended December 31, 2021 and 2020</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29,352</w:t>
            </w:r>
          </w:p>
        </w:tc>
        <w:tc>
          <w:tcPr>
            <w:tcW w:w="8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50,498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84,464,081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29,089,778</w:t>
            </w:r>
          </w:p>
        </w:tc>
        <w:tc>
          <w:tcPr>
            <w:tcW w:w="0" w:type="dxa"/>
            <w:vAlign w:val="bottom"/>
          </w:tcPr>
          <w:p>
            <w:pPr>
              <w:spacing w:after="0"/>
              <w:rPr>
                <w:sz w:val="1"/>
                <w:szCs w:val="1"/>
                <w:color w:val="auto"/>
              </w:rPr>
            </w:pPr>
          </w:p>
        </w:tc>
      </w:tr>
      <w:tr>
        <w:trPr>
          <w:trHeight w:val="203"/>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6" w:right="3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Loss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Years Ended December 31, 2021 and 2020</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6" w:right="3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right="1660"/>
        <w:spacing w:after="0" w:line="246" w:lineRule="auto"/>
        <w:rPr>
          <w:sz w:val="20"/>
          <w:szCs w:val="20"/>
          <w:color w:val="auto"/>
        </w:rPr>
      </w:pPr>
      <w:r>
        <w:rPr>
          <w:rFonts w:ascii="Arial" w:cs="Arial" w:eastAsia="Arial" w:hAnsi="Arial"/>
          <w:sz w:val="22"/>
          <w:szCs w:val="22"/>
          <w:b w:val="1"/>
          <w:bCs w:val="1"/>
          <w:color w:val="auto"/>
        </w:rPr>
        <w:t>Consolidated Statements of Redeemable Convertible Preferred Stock and Stockholders’ Equity (Deficit)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3"/>
                <w:szCs w:val="13"/>
                <w:b w:val="1"/>
                <w:bCs w:val="1"/>
                <w:color w:val="auto"/>
                <w:w w:val="88"/>
              </w:rPr>
              <w:t>Redeemable Convertible Preferred Stock</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center"/>
              <w:ind w:right="7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1480" w:type="dxa"/>
            <w:vAlign w:val="bottom"/>
            <w:gridSpan w:val="5"/>
            <w:vMerge w:val="restart"/>
          </w:tcPr>
          <w:p>
            <w:pPr>
              <w:ind w:left="400"/>
              <w:spacing w:after="0" w:line="138" w:lineRule="exact"/>
              <w:rPr>
                <w:sz w:val="20"/>
                <w:szCs w:val="20"/>
                <w:color w:val="auto"/>
              </w:rPr>
            </w:pPr>
            <w:r>
              <w:rPr>
                <w:rFonts w:ascii="Arial" w:cs="Arial" w:eastAsia="Arial" w:hAnsi="Arial"/>
                <w:sz w:val="13"/>
                <w:szCs w:val="13"/>
                <w:b w:val="1"/>
                <w:bCs w:val="1"/>
                <w:color w:val="auto"/>
              </w:rPr>
              <w:t>Series Seed</w:t>
            </w:r>
          </w:p>
        </w:tc>
        <w:tc>
          <w:tcPr>
            <w:tcW w:w="1080" w:type="dxa"/>
            <w:vAlign w:val="bottom"/>
            <w:gridSpan w:val="3"/>
            <w:vMerge w:val="restart"/>
          </w:tcPr>
          <w:p>
            <w:pPr>
              <w:jc w:val="center"/>
              <w:ind w:left="289"/>
              <w:spacing w:after="0" w:line="138" w:lineRule="exact"/>
              <w:rPr>
                <w:sz w:val="20"/>
                <w:szCs w:val="20"/>
                <w:color w:val="auto"/>
              </w:rPr>
            </w:pPr>
            <w:r>
              <w:rPr>
                <w:rFonts w:ascii="Arial" w:cs="Arial" w:eastAsia="Arial" w:hAnsi="Arial"/>
                <w:sz w:val="13"/>
                <w:szCs w:val="13"/>
                <w:b w:val="1"/>
                <w:bCs w:val="1"/>
                <w:color w:val="auto"/>
                <w:w w:val="84"/>
              </w:rPr>
              <w:t>Series A</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76"/>
        </w:trPr>
        <w:tc>
          <w:tcPr>
            <w:tcW w:w="1700" w:type="dxa"/>
            <w:vAlign w:val="bottom"/>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restart"/>
          </w:tcPr>
          <w:p>
            <w:pPr>
              <w:jc w:val="center"/>
              <w:ind w:right="80"/>
              <w:spacing w:after="0" w:line="102"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line="102"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7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01"/>
        </w:trPr>
        <w:tc>
          <w:tcPr>
            <w:tcW w:w="1700" w:type="dxa"/>
            <w:vAlign w:val="bottom"/>
          </w:tcPr>
          <w:p>
            <w:pPr>
              <w:ind w:left="20"/>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78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vMerge w:val="restart"/>
          </w:tcPr>
          <w:p>
            <w:pPr>
              <w:spacing w:after="0"/>
              <w:rPr>
                <w:sz w:val="8"/>
                <w:szCs w:val="8"/>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8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8"/>
                <w:szCs w:val="8"/>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right w:val="single" w:sz="8" w:color="auto"/>
            </w:tcBorders>
            <w:vMerge w:val="restart"/>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ind w:left="40"/>
              <w:spacing w:after="0" w:line="102"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amounts)</w:t>
            </w: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right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15"/>
        </w:trPr>
        <w:tc>
          <w:tcPr>
            <w:tcW w:w="170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Balances at December 31,</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8"/>
              </w:rPr>
              <w:t>$ 27,067</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32,932,218</w:t>
            </w: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5"/>
              </w:rPr>
              <w:t>(14,706)</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rPr>
              <w:t>upon exercise of vested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137,295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170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Series B</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redeemable convertible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75,857</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w w:val="98"/>
              </w:rPr>
              <w:t>Stock-based compensation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Arial" w:cs="Arial" w:eastAsia="Arial" w:hAnsi="Arial"/>
                <w:sz w:val="14"/>
                <w:szCs w:val="14"/>
                <w:color w:val="auto"/>
              </w:rPr>
              <w:t>expense</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(15,619)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(15,619)</w:t>
            </w:r>
          </w:p>
        </w:tc>
        <w:tc>
          <w:tcPr>
            <w:tcW w:w="0" w:type="dxa"/>
            <w:vAlign w:val="bottom"/>
          </w:tcPr>
          <w:p>
            <w:pPr>
              <w:spacing w:after="0"/>
              <w:rPr>
                <w:sz w:val="1"/>
                <w:szCs w:val="1"/>
                <w:color w:val="auto"/>
              </w:rPr>
            </w:pPr>
          </w:p>
        </w:tc>
      </w:tr>
      <w:tr>
        <w:trPr>
          <w:trHeight w:val="115"/>
        </w:trPr>
        <w:tc>
          <w:tcPr>
            <w:tcW w:w="17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3"/>
                <w:szCs w:val="13"/>
                <w:color w:val="auto"/>
              </w:rPr>
              <w:t>Balances at December 31,</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8"/>
              </w:rPr>
              <w:t>$ 27,067</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$ 75,857</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33,069,513</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color w:val="auto"/>
                <w:w w:val="95"/>
              </w:rPr>
              <w:t>(30,325)</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rPr>
              <w:t>upon exercise of vested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273,696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170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62,772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upon exercise of warrants</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Conversion of redeemable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rPr>
              <w:t>convertible preferred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w w:val="97"/>
              </w:rPr>
              <w:t>stock into common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rPr>
              <w:t>in connection with the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(13,174,805)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w w:val="90"/>
              </w:rPr>
              <w:t>(5,494)</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(16,836,436)</w:t>
            </w:r>
          </w:p>
        </w:tc>
        <w:tc>
          <w:tcPr>
            <w:tcW w:w="8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(27,067)</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(22,164,724)</w:t>
            </w:r>
          </w:p>
        </w:tc>
        <w:tc>
          <w:tcPr>
            <w:tcW w:w="80" w:type="dxa"/>
            <w:vAlign w:val="bottom"/>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(75,857)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52,175,965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4"/>
              </w:rPr>
              <w:t>108,411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186"/>
        </w:trPr>
        <w:tc>
          <w:tcPr>
            <w:tcW w:w="1700" w:type="dxa"/>
            <w:vAlign w:val="bottom"/>
          </w:tcPr>
          <w:p>
            <w:pPr>
              <w:ind w:left="180"/>
              <w:spacing w:after="0"/>
              <w:rPr>
                <w:sz w:val="20"/>
                <w:szCs w:val="20"/>
                <w:color w:val="auto"/>
              </w:rPr>
            </w:pPr>
            <w:r>
              <w:rPr>
                <w:rFonts w:ascii="Arial" w:cs="Arial" w:eastAsia="Arial" w:hAnsi="Arial"/>
                <w:sz w:val="14"/>
                <w:szCs w:val="14"/>
                <w:color w:val="auto"/>
              </w:rPr>
              <w:t>reverse recapitalization</w:t>
            </w: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upon the reverse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recapitalization, net of</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38,721,137</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327,276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327,280</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costs</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w w:val="98"/>
              </w:rPr>
              <w:t>Stock-based compensation</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7,934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7,934</w:t>
            </w:r>
          </w:p>
        </w:tc>
        <w:tc>
          <w:tcPr>
            <w:tcW w:w="0" w:type="dxa"/>
            <w:vAlign w:val="bottom"/>
          </w:tcPr>
          <w:p>
            <w:pPr>
              <w:spacing w:after="0"/>
              <w:rPr>
                <w:sz w:val="1"/>
                <w:szCs w:val="1"/>
                <w:color w:val="auto"/>
              </w:rPr>
            </w:pPr>
          </w:p>
        </w:tc>
      </w:tr>
      <w:tr>
        <w:trPr>
          <w:trHeight w:val="186"/>
        </w:trPr>
        <w:tc>
          <w:tcPr>
            <w:tcW w:w="1700" w:type="dxa"/>
            <w:vAlign w:val="bottom"/>
          </w:tcPr>
          <w:p>
            <w:pPr>
              <w:ind w:left="20"/>
              <w:spacing w:after="0"/>
              <w:rPr>
                <w:sz w:val="20"/>
                <w:szCs w:val="20"/>
                <w:color w:val="auto"/>
              </w:rPr>
            </w:pPr>
            <w:r>
              <w:rPr>
                <w:rFonts w:ascii="Arial" w:cs="Arial" w:eastAsia="Arial" w:hAnsi="Arial"/>
                <w:sz w:val="14"/>
                <w:szCs w:val="14"/>
                <w:color w:val="auto"/>
              </w:rPr>
              <w:t>expense</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10"/>
        </w:trPr>
        <w:tc>
          <w:tcPr>
            <w:tcW w:w="1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5"/>
              </w:rPr>
              <w:t>(50,315)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(50,315)</w:t>
            </w:r>
          </w:p>
        </w:tc>
        <w:tc>
          <w:tcPr>
            <w:tcW w:w="0" w:type="dxa"/>
            <w:vAlign w:val="bottom"/>
          </w:tcPr>
          <w:p>
            <w:pPr>
              <w:spacing w:after="0"/>
              <w:rPr>
                <w:sz w:val="1"/>
                <w:szCs w:val="1"/>
                <w:color w:val="auto"/>
              </w:rPr>
            </w:pPr>
          </w:p>
        </w:tc>
      </w:tr>
      <w:tr>
        <w:trPr>
          <w:trHeight w:val="122"/>
        </w:trPr>
        <w:tc>
          <w:tcPr>
            <w:tcW w:w="1700" w:type="dxa"/>
            <w:vAlign w:val="bottom"/>
          </w:tcPr>
          <w:p>
            <w:pPr>
              <w:ind w:left="20"/>
              <w:spacing w:after="0" w:line="122" w:lineRule="exact"/>
              <w:rPr>
                <w:sz w:val="20"/>
                <w:szCs w:val="20"/>
                <w:color w:val="auto"/>
              </w:rPr>
            </w:pPr>
            <w:r>
              <w:rPr>
                <w:rFonts w:ascii="Arial" w:cs="Arial" w:eastAsia="Arial" w:hAnsi="Arial"/>
                <w:sz w:val="14"/>
                <w:szCs w:val="14"/>
                <w:color w:val="auto"/>
              </w:rPr>
              <w:t>Balances at December 31,</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2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124,303,083</w:t>
            </w:r>
          </w:p>
        </w:tc>
        <w:tc>
          <w:tcPr>
            <w:tcW w:w="80" w:type="dxa"/>
            <w:vAlign w:val="bottom"/>
          </w:tcPr>
          <w:p>
            <w:pPr>
              <w:spacing w:after="0"/>
              <w:rPr>
                <w:sz w:val="10"/>
                <w:szCs w:val="10"/>
                <w:color w:val="auto"/>
              </w:rPr>
            </w:pPr>
          </w:p>
        </w:tc>
        <w:tc>
          <w:tcPr>
            <w:tcW w:w="30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4"/>
              </w:rPr>
              <w:t>444,388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0"/>
                <w:szCs w:val="10"/>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ind w:left="120"/>
              <w:spacing w:after="0"/>
              <w:rPr>
                <w:sz w:val="20"/>
                <w:szCs w:val="20"/>
                <w:color w:val="auto"/>
              </w:rPr>
            </w:pPr>
            <w:r>
              <w:rPr>
                <w:rFonts w:ascii="Arial" w:cs="Arial" w:eastAsia="Arial" w:hAnsi="Arial"/>
                <w:sz w:val="14"/>
                <w:szCs w:val="14"/>
                <w:color w:val="auto"/>
                <w:w w:val="95"/>
              </w:rPr>
              <w:t>(80,640)</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363,576</w:t>
            </w:r>
          </w:p>
        </w:tc>
        <w:tc>
          <w:tcPr>
            <w:tcW w:w="0" w:type="dxa"/>
            <w:vAlign w:val="bottom"/>
          </w:tcPr>
          <w:p>
            <w:pPr>
              <w:spacing w:after="0"/>
              <w:rPr>
                <w:sz w:val="1"/>
                <w:szCs w:val="1"/>
                <w:color w:val="auto"/>
              </w:rPr>
            </w:pPr>
          </w:p>
        </w:tc>
      </w:tr>
      <w:tr>
        <w:trPr>
          <w:trHeight w:val="207"/>
        </w:trPr>
        <w:tc>
          <w:tcPr>
            <w:tcW w:w="1700" w:type="dxa"/>
            <w:vAlign w:val="bottom"/>
          </w:tcPr>
          <w:p>
            <w:pPr>
              <w:ind w:left="20"/>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right="320" w:hanging="332"/>
        <w:spacing w:after="0" w:line="273" w:lineRule="auto"/>
        <w:tabs>
          <w:tab w:leader="none" w:pos="2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6" w:right="3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Years Ended December 31, 2021 and 2020</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31, 2021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premiums on securities, net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335,409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327,447</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75,899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recapitalization</w:t>
            </w:r>
          </w:p>
        </w:tc>
        <w:tc>
          <w:tcPr>
            <w:tcW w:w="3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29,893</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3,535</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6" w:right="339" w:bottom="1440" w:gutter="0" w:footer="0" w:header="0"/>
        </w:sectPr>
      </w:pPr>
    </w:p>
    <w:bookmarkStart w:id="158" w:name="page159"/>
    <w:bookmarkEnd w:id="158"/>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9, 2021 (the “Closing Date”), Nautilus Biotechnology, Inc. a Delaware corporate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1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 ended December 31, 2021 and include the accounts of Nautilus Biotechnology, Inc. (i.e. former ARYA) and its wholly-owned subsidiary, Legacy Nautilus, following the Reverse Recapitalization as further discussed in Note 3 “Reverse Recapitalization.” All other accompanying financial statements as of December 31, 2020 and for the year ended December 31, 2020 include only the accounts of Legacy Nautilus. All intercompany transactions and balances have been eliminated upon consolidation. The Company’s reporting currency is the U.S. dollar.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2021, the Company had an accumulated deficit of $80.6 million.</w:t>
      </w:r>
    </w:p>
    <w:p>
      <w:pPr>
        <w:spacing w:after="0" w:line="12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has funded its operations primarily with proceeds from the issuance of redeemable convertible preferred stock and common stock. The Company had cash, cash equivalents, and short-term investments of $345.7 million as of December 31, 2021. In June 2021, the Company received gross proceeds of approximately $345.5 million from PIPE Investors and the Business Combination offset by approximately $18.2 million of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0" w:right="339" w:bottom="1440" w:gutter="0" w:footer="0" w:header="0"/>
        </w:sectPr>
      </w:pPr>
    </w:p>
    <w:bookmarkStart w:id="159" w:name="page160"/>
    <w:bookmarkEnd w:id="15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and underwriters’ fees relating to the closing of the Business Combination. As of the date on which these consolidated financial statements were available to be issued, the Company believes that its cash, cash equivalents, and short-term investments will be sufficient to fund its operations for the next twelve months following the issuance of the consolidated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180" w:right="359" w:bottom="1440" w:gutter="0" w:footer="0" w:header="0"/>
        </w:sectPr>
      </w:pPr>
    </w:p>
    <w:bookmarkStart w:id="160" w:name="page161"/>
    <w:bookmarkEnd w:id="16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us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80" w:right="339" w:bottom="1440" w:gutter="0" w:footer="0" w:header="0"/>
        </w:sectPr>
      </w:pPr>
    </w:p>
    <w:bookmarkStart w:id="161" w:name="page162"/>
    <w:bookmarkEnd w:id="16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highly-liquid investments with an original maturity of three months or less as of the date of acquisition to be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0"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Company classifies its investments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consolidated statement of operations and consolidated statement of comprehensive loss. No such adjustments were necessary during the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180" w:right="399" w:bottom="1440" w:gutter="0" w:footer="0" w:header="0"/>
        </w:sectPr>
      </w:pPr>
    </w:p>
    <w:bookmarkStart w:id="162" w:name="page163"/>
    <w:bookmarkEnd w:id="16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December 31, 2020 were $0.2 million and are included within Other long term assets on the Company's consolidated balance sheets. There were no deferred offering costs capitalized as of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Property and equipment, net, consisting primarily of laboratory equipment, computers, furniture and fixtures, and office equipment are recorded at cost and are depreciated on a straight-line basis over their estimated useful life.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Useful lives assigned to property and equipment are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980" w:type="dxa"/>
            <w:vAlign w:val="bottom"/>
          </w:tcPr>
          <w:p>
            <w:pPr>
              <w:spacing w:after="0"/>
              <w:rPr>
                <w:sz w:val="20"/>
                <w:szCs w:val="20"/>
                <w:color w:val="auto"/>
              </w:rPr>
            </w:pPr>
            <w:r>
              <w:rPr>
                <w:rFonts w:ascii="Arial" w:cs="Arial" w:eastAsia="Arial" w:hAnsi="Arial"/>
                <w:sz w:val="18"/>
                <w:szCs w:val="18"/>
                <w:color w:val="auto"/>
              </w:rPr>
              <w:t>Laboratory equipment</w:t>
            </w:r>
          </w:p>
        </w:tc>
        <w:tc>
          <w:tcPr>
            <w:tcW w:w="5120" w:type="dxa"/>
            <w:vAlign w:val="bottom"/>
          </w:tcPr>
          <w:p>
            <w:pPr>
              <w:ind w:left="1140"/>
              <w:spacing w:after="0"/>
              <w:rPr>
                <w:sz w:val="20"/>
                <w:szCs w:val="20"/>
                <w:color w:val="auto"/>
              </w:rPr>
            </w:pPr>
            <w:r>
              <w:rPr>
                <w:rFonts w:ascii="Arial" w:cs="Arial" w:eastAsia="Arial" w:hAnsi="Arial"/>
                <w:sz w:val="18"/>
                <w:szCs w:val="18"/>
                <w:color w:val="auto"/>
              </w:rPr>
              <w:t>3 years to 5 years</w:t>
            </w:r>
          </w:p>
        </w:tc>
        <w:tc>
          <w:tcPr>
            <w:tcW w:w="0" w:type="dxa"/>
            <w:vAlign w:val="bottom"/>
          </w:tcPr>
          <w:p>
            <w:pPr>
              <w:spacing w:after="0"/>
              <w:rPr>
                <w:sz w:val="1"/>
                <w:szCs w:val="1"/>
                <w:color w:val="auto"/>
              </w:rPr>
            </w:pPr>
          </w:p>
        </w:tc>
      </w:tr>
      <w:tr>
        <w:trPr>
          <w:trHeight w:val="243"/>
        </w:trPr>
        <w:tc>
          <w:tcPr>
            <w:tcW w:w="2980" w:type="dxa"/>
            <w:vAlign w:val="bottom"/>
            <w:vMerge w:val="restart"/>
          </w:tcPr>
          <w:p>
            <w:pPr>
              <w:spacing w:after="0"/>
              <w:rPr>
                <w:sz w:val="20"/>
                <w:szCs w:val="20"/>
                <w:color w:val="auto"/>
              </w:rPr>
            </w:pPr>
            <w:r>
              <w:rPr>
                <w:rFonts w:ascii="Arial" w:cs="Arial" w:eastAsia="Arial" w:hAnsi="Arial"/>
                <w:sz w:val="18"/>
                <w:szCs w:val="18"/>
                <w:color w:val="auto"/>
              </w:rPr>
              <w:t>Computer hardware</w:t>
            </w:r>
          </w:p>
        </w:tc>
        <w:tc>
          <w:tcPr>
            <w:tcW w:w="5120" w:type="dxa"/>
            <w:vAlign w:val="bottom"/>
          </w:tcPr>
          <w:p>
            <w:pPr>
              <w:ind w:left="11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8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5120" w:type="dxa"/>
            <w:vAlign w:val="bottom"/>
          </w:tcPr>
          <w:p>
            <w:pPr>
              <w:ind w:left="11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980" w:type="dxa"/>
            <w:vAlign w:val="bottom"/>
          </w:tcPr>
          <w:p>
            <w:pPr>
              <w:spacing w:after="0"/>
              <w:rPr>
                <w:sz w:val="20"/>
                <w:szCs w:val="20"/>
                <w:color w:val="auto"/>
              </w:rPr>
            </w:pPr>
            <w:r>
              <w:rPr>
                <w:rFonts w:ascii="Arial" w:cs="Arial" w:eastAsia="Arial" w:hAnsi="Arial"/>
                <w:sz w:val="18"/>
                <w:szCs w:val="18"/>
                <w:color w:val="212529"/>
              </w:rPr>
              <w:t>Office equipment</w:t>
            </w:r>
          </w:p>
        </w:tc>
        <w:tc>
          <w:tcPr>
            <w:tcW w:w="5120" w:type="dxa"/>
            <w:vAlign w:val="bottom"/>
          </w:tcPr>
          <w:p>
            <w:pPr>
              <w:ind w:left="1140"/>
              <w:spacing w:after="0"/>
              <w:rPr>
                <w:sz w:val="20"/>
                <w:szCs w:val="20"/>
                <w:color w:val="auto"/>
              </w:rPr>
            </w:pPr>
            <w:r>
              <w:rPr>
                <w:rFonts w:ascii="Arial" w:cs="Arial" w:eastAsia="Arial" w:hAnsi="Arial"/>
                <w:sz w:val="18"/>
                <w:szCs w:val="18"/>
                <w:color w:val="auto"/>
              </w:rPr>
              <w:t>3 years to 5 years</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212529"/>
              </w:rPr>
              <w:t>Leasehold improvements</w:t>
            </w:r>
          </w:p>
        </w:tc>
        <w:tc>
          <w:tcPr>
            <w:tcW w:w="5120" w:type="dxa"/>
            <w:vAlign w:val="bottom"/>
          </w:tcPr>
          <w:p>
            <w:pPr>
              <w:ind w:left="1140"/>
              <w:spacing w:after="0"/>
              <w:rPr>
                <w:sz w:val="20"/>
                <w:szCs w:val="20"/>
                <w:color w:val="auto"/>
              </w:rPr>
            </w:pPr>
            <w:r>
              <w:rPr>
                <w:rFonts w:ascii="Arial" w:cs="Arial" w:eastAsia="Arial" w:hAnsi="Arial"/>
                <w:sz w:val="18"/>
                <w:szCs w:val="18"/>
                <w:color w:val="212529"/>
                <w:w w:val="90"/>
              </w:rPr>
              <w:t>Shorter of estimated useful life or remaining lease term</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operating expense in the period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property and equipment subject to depreciation, the Company compares the carrying value of the long-lived assets with the estimated future net undiscounted cash flows expected to result from the use and 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80" w:right="339" w:bottom="1440" w:gutter="0" w:footer="0" w:header="0"/>
        </w:sectPr>
      </w:pPr>
    </w:p>
    <w:bookmarkStart w:id="163" w:name="page164"/>
    <w:bookmarkEnd w:id="16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1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9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part of the process of preparing its financial statements, the Company estimates its accrued expenses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 Subsequent to the completion of the Business Combination (as defined in Note 1 and further described in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180" w:right="359" w:bottom="1440" w:gutter="0" w:footer="0" w:header="0"/>
        </w:sectPr>
      </w:pPr>
    </w:p>
    <w:bookmarkStart w:id="164" w:name="page165"/>
    <w:bookmarkEnd w:id="16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60"/>
        <w:spacing w:after="0" w:line="438" w:lineRule="auto"/>
        <w:rPr>
          <w:sz w:val="20"/>
          <w:szCs w:val="20"/>
          <w:color w:val="auto"/>
        </w:rPr>
      </w:pPr>
      <w:r>
        <w:rPr>
          <w:rFonts w:ascii="Arial" w:cs="Arial" w:eastAsia="Arial" w:hAnsi="Arial"/>
          <w:sz w:val="18"/>
          <w:szCs w:val="18"/>
          <w:color w:val="auto"/>
        </w:rPr>
        <w:t xml:space="preserve">the fair value of the Company’s common stock is determined by using the closing price per share of common stock as reported on the Nasdaq. </w:t>
      </w:r>
      <w:r>
        <w:rPr>
          <w:rFonts w:ascii="Arial" w:cs="Arial" w:eastAsia="Arial" w:hAnsi="Arial"/>
          <w:sz w:val="18"/>
          <w:szCs w:val="18"/>
          <w:b w:val="1"/>
          <w:bCs w:val="1"/>
          <w:i w:val="1"/>
          <w:iCs w:val="1"/>
          <w:color w:val="auto"/>
        </w:rPr>
        <w:t>Stock-based Compensation</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The Company’s stock-based compensation programs include stock options grants, as well as shares issued under its 2021 Employee Stock Purchase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calculates the expected term as the mid-point between the requisite service period and the contractual term of the award.</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bases its estimate of expected volatility on the historical volatility of comparable companies from a representative peer group selected based on industry, financial, and market capitalization data.</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Comprehensive loss consists of net loss and other gains or losses affecting stockholders’ equity (deficit) that, under U.S. GAAP are excluded from net loss.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2021 and 2020, unrealized losses on debt securities were included as components of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320" w:top="180" w:right="379" w:bottom="1440" w:gutter="0" w:footer="0" w:header="0"/>
        </w:sectPr>
      </w:pPr>
    </w:p>
    <w:bookmarkStart w:id="165" w:name="page166"/>
    <w:bookmarkEnd w:id="16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adopted this guidance effective January 1, 2021 using the prospective method, which did not have a material impact on the Company’s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existing guidance on the impairment of financial assets and adds an impairment model that is based on expected losses rather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consolidated financial statements and related disclosures. The Company does not anticipate adoption to have a material impact on its consolidated financial statements.</w:t>
      </w:r>
    </w:p>
    <w:p>
      <w:pPr>
        <w:spacing w:after="0" w:line="12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 adoption of this ASU on its consolidated financial statements and related disclosures. The Company does not anticipate adoption to have a material impact on its consolidated financial statements.</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consolidated financial statements and related disclosures. The Company does not anticipate adoption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180" w:right="359" w:bottom="1440" w:gutter="0" w:footer="0" w:header="0"/>
        </w:sectPr>
      </w:pPr>
    </w:p>
    <w:bookmarkStart w:id="166" w:name="page167"/>
    <w:bookmarkEnd w:id="16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Business Combination, Legacy Nautilus equity holders received an aggregate number of shares of New Nautilus Common Stock equal to</w:t>
      </w:r>
    </w:p>
    <w:p>
      <w:pPr>
        <w:spacing w:after="0" w:line="46" w:lineRule="exact"/>
        <w:rPr>
          <w:sz w:val="20"/>
          <w:szCs w:val="20"/>
          <w:color w:val="auto"/>
        </w:rPr>
      </w:pPr>
    </w:p>
    <w:p>
      <w:pPr>
        <w:ind w:right="20" w:firstLine="8"/>
        <w:spacing w:after="0" w:line="285" w:lineRule="auto"/>
        <w:tabs>
          <w:tab w:leader="none" w:pos="215" w:val="left"/>
        </w:tabs>
        <w:numPr>
          <w:ilvl w:val="0"/>
          <w:numId w:val="99"/>
        </w:numPr>
        <w:rPr>
          <w:rFonts w:ascii="Arial" w:cs="Arial" w:eastAsia="Arial" w:hAnsi="Arial"/>
          <w:sz w:val="16"/>
          <w:szCs w:val="16"/>
          <w:color w:val="auto"/>
        </w:rPr>
      </w:pPr>
      <w:r>
        <w:rPr>
          <w:rFonts w:ascii="Arial" w:cs="Arial" w:eastAsia="Arial" w:hAnsi="Arial"/>
          <w:sz w:val="16"/>
          <w:szCs w:val="16"/>
          <w:color w:val="auto"/>
        </w:rPr>
        <w:t>$900.0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 $200.0 million of cash in connection with the PIPE Financing. The Company incurred $8.1 million of transaction costs, consisting of banking, legal, and other professional fees which were recorded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180" w:right="359" w:bottom="1440" w:gutter="0" w:footer="0" w:header="0"/>
        </w:sectPr>
      </w:pPr>
    </w:p>
    <w:bookmarkStart w:id="167" w:name="page168"/>
    <w:bookmarkEnd w:id="16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Number of shares</w:t>
            </w:r>
          </w:p>
        </w:tc>
      </w:tr>
      <w:tr>
        <w:trPr>
          <w:trHeight w:val="24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ARYA shares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ARYA</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issued in PIPE Financing</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 and PIPE Financing shares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Legacy Nautilus shares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Gross 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Reported as: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1"/>
                <w:szCs w:val="11"/>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20" w:type="dxa"/>
            <w:vAlign w:val="bottom"/>
            <w:gridSpan w:val="2"/>
          </w:tcPr>
          <w:p>
            <w:pPr>
              <w:jc w:val="right"/>
              <w:ind w:right="12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21,925</w:t>
            </w:r>
          </w:p>
        </w:tc>
        <w:tc>
          <w:tcPr>
            <w:tcW w:w="20" w:type="dxa"/>
            <w:vAlign w:val="bottom"/>
          </w:tcPr>
          <w:p>
            <w:pPr>
              <w:spacing w:after="0"/>
              <w:rPr>
                <w:sz w:val="19"/>
                <w:szCs w:val="19"/>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21,925</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Level 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301,906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163,694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138,124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Agency bonds</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325,203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325,039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240"/>
              <w:spacing w:after="0" w:line="156" w:lineRule="exact"/>
              <w:rPr>
                <w:sz w:val="20"/>
                <w:szCs w:val="20"/>
                <w:color w:val="auto"/>
              </w:rPr>
            </w:pPr>
            <w:r>
              <w:rPr>
                <w:rFonts w:ascii="Arial" w:cs="Arial" w:eastAsia="Arial" w:hAnsi="Arial"/>
                <w:sz w:val="18"/>
                <w:szCs w:val="18"/>
                <w:color w:val="auto"/>
              </w:rPr>
              <w:t>Total Level 1 and Level</w:t>
            </w:r>
          </w:p>
        </w:tc>
        <w:tc>
          <w:tcPr>
            <w:tcW w:w="20" w:type="dxa"/>
            <w:vAlign w:val="bottom"/>
            <w:vMerge w:val="restart"/>
          </w:tcPr>
          <w:p>
            <w:pPr>
              <w:spacing w:after="0"/>
              <w:rPr>
                <w:sz w:val="13"/>
                <w:szCs w:val="13"/>
                <w:color w:val="auto"/>
              </w:rPr>
            </w:pPr>
          </w:p>
        </w:tc>
        <w:tc>
          <w:tcPr>
            <w:tcW w:w="300" w:type="dxa"/>
            <w:vAlign w:val="bottom"/>
            <w:vMerge w:val="restart"/>
          </w:tcPr>
          <w:p>
            <w:pPr>
              <w:jc w:val="right"/>
              <w:ind w:right="122"/>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362,284</w:t>
            </w:r>
          </w:p>
        </w:tc>
        <w:tc>
          <w:tcPr>
            <w:tcW w:w="2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(186)</w:t>
            </w:r>
          </w:p>
        </w:tc>
        <w:tc>
          <w:tcPr>
            <w:tcW w:w="100" w:type="dxa"/>
            <w:vAlign w:val="bottom"/>
            <w:gridSpan w:val="2"/>
            <w:vMerge w:val="restart"/>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362,100</w:t>
            </w:r>
          </w:p>
        </w:tc>
        <w:tc>
          <w:tcPr>
            <w:tcW w:w="4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185,619</w:t>
            </w:r>
          </w:p>
        </w:tc>
        <w:tc>
          <w:tcPr>
            <w:tcW w:w="40" w:type="dxa"/>
            <w:vAlign w:val="bottom"/>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160,110</w:t>
            </w:r>
          </w:p>
        </w:tc>
        <w:tc>
          <w:tcPr>
            <w:tcW w:w="4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16,371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40"/>
              <w:spacing w:after="0" w:line="202"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573"/>
              <w:spacing w:after="0"/>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Reported as:</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1"/>
                <w:szCs w:val="11"/>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ind w:left="100"/>
              <w:spacing w:after="0" w:line="135" w:lineRule="exact"/>
              <w:rPr>
                <w:sz w:val="20"/>
                <w:szCs w:val="20"/>
                <w:color w:val="auto"/>
              </w:rPr>
            </w:pPr>
            <w:r>
              <w:rPr>
                <w:rFonts w:ascii="Arial" w:cs="Arial" w:eastAsia="Arial" w:hAnsi="Arial"/>
                <w:sz w:val="14"/>
                <w:szCs w:val="14"/>
                <w:b w:val="1"/>
                <w:bCs w:val="1"/>
                <w:color w:val="auto"/>
              </w:rPr>
              <w:t>Long-term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20" w:type="dxa"/>
            <w:vAlign w:val="bottom"/>
            <w:gridSpan w:val="2"/>
          </w:tcPr>
          <w:p>
            <w:pPr>
              <w:jc w:val="right"/>
              <w:ind w:right="14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36,607</w:t>
            </w:r>
          </w:p>
        </w:tc>
        <w:tc>
          <w:tcPr>
            <w:tcW w:w="20" w:type="dxa"/>
            <w:vAlign w:val="bottom"/>
          </w:tcPr>
          <w:p>
            <w:pPr>
              <w:spacing w:after="0"/>
              <w:rPr>
                <w:sz w:val="19"/>
                <w:szCs w:val="19"/>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9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320" w:type="dxa"/>
            <w:vAlign w:val="bottom"/>
            <w:tcBorders>
              <w:top w:val="single" w:sz="8" w:color="auto"/>
              <w:bottom w:val="single" w:sz="8" w:color="auto"/>
            </w:tcBorders>
            <w:gridSpan w:val="2"/>
          </w:tcPr>
          <w:p>
            <w:pPr>
              <w:jc w:val="right"/>
              <w:ind w:right="14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center"/>
              <w:ind w:left="533"/>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Contractual maturities of short-term investments as of December 31, 2021 and 2020 are due in one year or less. Contractual maturities of long-term investments as of December 31, 2021 are due after 1 year through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80" w:right="339" w:bottom="1440" w:gutter="0" w:footer="0" w:header="0"/>
        </w:sectPr>
      </w:pPr>
    </w:p>
    <w:bookmarkStart w:id="168" w:name="page169"/>
    <w:bookmarkEnd w:id="16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260" w:firstLine="8"/>
        <w:spacing w:after="0" w:line="440" w:lineRule="auto"/>
        <w:tabs>
          <w:tab w:leader="none" w:pos="648"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Consolidated Financial Statement Line Items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recorded $1.0 million and $0.7 million of depreciation expense for the years ended December 31, 2021 and 2020, respectively, which was primarily allocated to research and development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long term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facilities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research and development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80" w:right="339" w:bottom="1440" w:gutter="0" w:footer="0" w:header="0"/>
        </w:sectPr>
      </w:pPr>
    </w:p>
    <w:bookmarkStart w:id="169" w:name="page170"/>
    <w:bookmarkEnd w:id="16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7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December 31, 2021 the Company had no issued and outstanding Preferred Stock shares.</w:t>
      </w:r>
    </w:p>
    <w:p>
      <w:pPr>
        <w:spacing w:after="0" w:line="129"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1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 into.</w:t>
      </w:r>
    </w:p>
    <w:p>
      <w:pPr>
        <w:spacing w:after="0" w:line="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June 2021, pursuant to the Business Combination, the Company amended its certificate of incorporation to increase the number of authorized common stock shares to 1,000,000,000. There were 124,303,083 shares issued and outstanding as of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a term loan that the Company entered into during fiscal year 2017, 63,491 common stock warrants were issued to the lender, and recorded at fair value within additional paid-in capital in stockholders’ equity (deficit). Fair value was determined using the Black-Scholes Option Pricing Model. There were no common stock warrants issued in fiscal years 2021 and 2020. During the fiscal year 2021, all common stock warrants were net exercised and the Company issued 62,722 Common Stock shares to the lender.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as of December 31,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560" w:type="dxa"/>
            <w:vAlign w:val="bottom"/>
            <w:tcBorders>
              <w:bottom w:val="single" w:sz="8" w:color="auto"/>
            </w:tcBorders>
          </w:tcPr>
          <w:p>
            <w:pPr>
              <w:spacing w:after="0"/>
              <w:rPr>
                <w:sz w:val="16"/>
                <w:szCs w:val="16"/>
                <w:color w:val="auto"/>
              </w:rPr>
            </w:pPr>
          </w:p>
        </w:tc>
      </w:tr>
      <w:tr>
        <w:trPr>
          <w:trHeight w:val="186"/>
        </w:trPr>
        <w:tc>
          <w:tcPr>
            <w:tcW w:w="636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6"/>
                <w:szCs w:val="16"/>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Expiration Date</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80" w:right="339" w:bottom="1440" w:gutter="0" w:footer="0" w:header="0"/>
        </w:sectPr>
      </w:pPr>
    </w:p>
    <w:bookmarkStart w:id="170" w:name="page171"/>
    <w:bookmarkEnd w:id="17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Equity Incentive Plan</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14,481,463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8,550,076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5,145,547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Employee Stock Purchase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52,175,965</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2,349,673</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Common stock warrants outstanding</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63,491</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24,276,439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59,734,676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shares of the Company’s common, redeemable convertible preferred stock, common stock warrants and shares available for grant, prior to the Business Combination (as defined in Note 1 and further described in Note 3) have been retroactively restated to reflect the exchange ratio of approximately 3.6281 established in the Business Combination as described in Note 3.</w:t>
      </w:r>
    </w:p>
    <w:p>
      <w:pPr>
        <w:spacing w:after="0" w:line="126"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liable for income taxes in the United States. For the years ended December 31, 2021 and 2020,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the expected income tax provision at the federal statutory rate and the reported income tax provision is approximately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at statutory rate</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credits generated in current year</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December 31, 2021, the Company had federal net operating loss carryforwards of $0.5 million that begin to expire in 2037 and federal net operating loss carryforwards of $31.6 million that arose after the 2017 tax year that will carryforward indefinitely. The Company has state net operating loss carryforwards of $9.1 million that will begin to expire in 2037.</w:t>
      </w:r>
    </w:p>
    <w:p>
      <w:pPr>
        <w:spacing w:after="0" w:line="13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As of December 31, 2021, the Company had research and development tax credit carryover of $2.0 million and $1.9 million for federal and state tax purposes, respectively. If not utilized, the federal carryforward will expire in various amounts beginning in 2039. The California credits can be carried forward indefinitely.</w:t>
      </w:r>
    </w:p>
    <w:p>
      <w:pPr>
        <w:spacing w:after="0" w:line="13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80" w:right="339" w:bottom="1440" w:gutter="0" w:footer="0" w:header="0"/>
        </w:sectPr>
      </w:pPr>
    </w:p>
    <w:bookmarkStart w:id="171" w:name="page172"/>
    <w:bookmarkEnd w:id="17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deferred tax assets. The valuation allowance increased by $15.1 million during the year ended December 31, 2021. Management reevaluates the positive and negative evidence at each reporting period.</w:t>
      </w:r>
    </w:p>
    <w:p>
      <w:pPr>
        <w:spacing w:after="0" w:line="11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4,414</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accruals and reserves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10,305</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57"/>
        </w:trPr>
        <w:tc>
          <w:tcPr>
            <w:tcW w:w="8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began to file income tax returns in the United States in 2017. All tax years are open to examination.</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December 31, 2021, the Company had an unrecognized tax benefit balance of $0.8 million related to research and development credits and California net operating loss carryforward. No amount of unrecognized tax benefits as of December 31, 2021, if recognized, would reduce the Company’s effective tax rate because the benefits would be in the form of tax credit carryforwards, which would be reduced to $0 by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are actually used, the statutes are still open on calendars years ending 2017 forward for federal and state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the liability for uncertain tax positions, excluding potential interest and penalties,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December 31, 2021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based on current year tax positions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80" w:right="339" w:bottom="1440" w:gutter="0" w:footer="0" w:header="0"/>
        </w:sectPr>
      </w:pPr>
    </w:p>
    <w:bookmarkStart w:id="172" w:name="page173"/>
    <w:bookmarkEnd w:id="17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limitation in future years. The Company has not, as yet, conducted a study to determine if any such changes have occurred that could limit its ability to use the net operating loss and tax credit carryforwards.</w:t>
      </w:r>
    </w:p>
    <w:p>
      <w:pPr>
        <w:spacing w:after="0" w:line="112"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On June 8, 2021, the stockholders of the Company approved the 2021 Equity Incentive Plan (“2021 Plan”) and the 2021 Employee Stock Purchase Plan (“2021 ESPP”). As of December 31, 2021, 14,481,463 and 1,244,900 shares were available for grant under the 2021 Plan and 2021 ESPP,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2021 ESPP, participants are permitted to purchase shares of Common Stock, up to the IRS allowable limit, through contributions (in the form of payroll deductions or otherwise to the extent permitted by the administrator)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first offering period is from October 1, 2021 through May 31, 2022. For subsequent offering periods, the Company will be offering a six month purchase period. As of December 31, 2021, no shares of common stock were purchased under the 2021 ESPP.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320" w:top="180" w:right="379" w:bottom="1440" w:gutter="0" w:footer="0" w:header="0"/>
        </w:sectPr>
      </w:pPr>
    </w:p>
    <w:bookmarkStart w:id="173" w:name="page174"/>
    <w:bookmarkEnd w:id="17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1920" w:type="dxa"/>
            <w:vAlign w:val="bottom"/>
          </w:tcPr>
          <w:p>
            <w:pPr>
              <w:jc w:val="right"/>
              <w:ind w:right="515"/>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732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December 31, 2021</w:t>
            </w:r>
          </w:p>
        </w:tc>
        <w:tc>
          <w:tcPr>
            <w:tcW w:w="192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5.5 - 6.6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5.1 - 6.4</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right"/>
              <w:spacing w:after="0"/>
              <w:rPr>
                <w:sz w:val="20"/>
                <w:szCs w:val="20"/>
                <w:color w:val="auto"/>
              </w:rPr>
            </w:pPr>
            <w:r>
              <w:rPr>
                <w:rFonts w:ascii="Arial" w:cs="Arial" w:eastAsia="Arial" w:hAnsi="Arial"/>
                <w:sz w:val="18"/>
                <w:szCs w:val="18"/>
                <w:color w:val="auto"/>
              </w:rPr>
              <w:t>90.7% - 94.2%</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91.0% - 96.5%</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00" w:type="dxa"/>
            <w:vAlign w:val="bottom"/>
          </w:tcPr>
          <w:p>
            <w:pPr>
              <w:jc w:val="right"/>
              <w:spacing w:after="0"/>
              <w:rPr>
                <w:sz w:val="20"/>
                <w:szCs w:val="20"/>
                <w:color w:val="auto"/>
              </w:rPr>
            </w:pPr>
            <w:r>
              <w:rPr>
                <w:rFonts w:ascii="Arial" w:cs="Arial" w:eastAsia="Arial" w:hAnsi="Arial"/>
                <w:sz w:val="18"/>
                <w:szCs w:val="18"/>
                <w:color w:val="auto"/>
              </w:rPr>
              <w:t>0.5% - 1.4%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0.3% - 1.4%</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 $11.16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$0.46 - $4.47</w:t>
            </w:r>
          </w:p>
        </w:tc>
      </w:tr>
    </w:tbl>
    <w:p>
      <w:pPr>
        <w:spacing w:after="0" w:line="20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3" w:lineRule="exact"/>
        <w:rPr>
          <w:sz w:val="20"/>
          <w:szCs w:val="20"/>
          <w:color w:val="auto"/>
        </w:rPr>
      </w:pPr>
    </w:p>
    <w:p>
      <w:pPr>
        <w:jc w:val="both"/>
        <w:ind w:right="20"/>
        <w:spacing w:after="0" w:line="220" w:lineRule="exact"/>
        <w:rPr>
          <w:sz w:val="20"/>
          <w:szCs w:val="20"/>
          <w:color w:val="auto"/>
        </w:rPr>
      </w:pPr>
      <w:r>
        <w:rPr>
          <w:rFonts w:ascii="Arial" w:cs="Arial" w:eastAsia="Arial" w:hAnsi="Arial"/>
          <w:sz w:val="17"/>
          <w:szCs w:val="17"/>
          <w:color w:val="auto"/>
        </w:rPr>
        <w:t>Expected volatility: Historically, the Company has been a private company and lacked company</w:t>
      </w:r>
      <w:r>
        <w:rPr>
          <w:rFonts w:ascii="MS PGothic" w:cs="MS PGothic" w:eastAsia="MS PGothic" w:hAnsi="MS PGothic"/>
          <w:sz w:val="17"/>
          <w:szCs w:val="17"/>
          <w:color w:val="auto"/>
        </w:rPr>
        <w:t>‑</w:t>
      </w:r>
      <w:r>
        <w:rPr>
          <w:rFonts w:ascii="Arial" w:cs="Arial" w:eastAsia="Arial" w:hAnsi="Arial"/>
          <w:sz w:val="17"/>
          <w:szCs w:val="17"/>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Expected dividend yield: The expected dividend rate is zero as the Company has no history or expectation of declaring dividends on its common stock.</w:t>
      </w:r>
    </w:p>
    <w:p>
      <w:pPr>
        <w:spacing w:after="0" w:line="1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 3) the fair value of the Company’s common stock is determined based on its closing market price.</w:t>
      </w:r>
    </w:p>
    <w:p>
      <w:pPr>
        <w:spacing w:after="0" w:line="12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awards granted in late January 2021 had an exercise price equal to the grant date fair value of the Company’s common stock. The Company’s board of directors made a determination of the fair market value of the Company’s common stock which contemplated the implied equity value of the Company per the Business Combination Agreement that was executed on February 7, 2021. For the period following execution of the Business Combination Agreement through December 31, 2021, options for 2,190,232 common stock shares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80" w:right="339" w:bottom="1440" w:gutter="0" w:footer="0" w:header="0"/>
        </w:sectPr>
      </w:pPr>
    </w:p>
    <w:bookmarkStart w:id="174" w:name="page175"/>
    <w:bookmarkEnd w:id="17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award activity during the years ended December 31, 2021 and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260" w:type="dxa"/>
            <w:vAlign w:val="bottom"/>
          </w:tcPr>
          <w:p>
            <w:pPr>
              <w:spacing w:after="0"/>
              <w:rPr>
                <w:sz w:val="14"/>
                <w:szCs w:val="14"/>
                <w:color w:val="auto"/>
              </w:rPr>
            </w:pPr>
          </w:p>
        </w:tc>
        <w:tc>
          <w:tcPr>
            <w:tcW w:w="14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4"/>
              </w:rPr>
              <w:t>Weighted 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42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200" w:type="dxa"/>
            <w:vAlign w:val="bottom"/>
          </w:tcPr>
          <w:p>
            <w:pPr>
              <w:spacing w:after="0"/>
              <w:rPr>
                <w:sz w:val="11"/>
                <w:szCs w:val="11"/>
                <w:color w:val="auto"/>
              </w:rPr>
            </w:pPr>
          </w:p>
        </w:tc>
        <w:tc>
          <w:tcPr>
            <w:tcW w:w="142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Awards</w:t>
            </w:r>
          </w:p>
        </w:tc>
        <w:tc>
          <w:tcPr>
            <w:tcW w:w="2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jc w:val="right"/>
              <w:ind w:right="293"/>
              <w:spacing w:after="0"/>
              <w:rPr>
                <w:sz w:val="20"/>
                <w:szCs w:val="20"/>
                <w:color w:val="auto"/>
              </w:rPr>
            </w:pPr>
            <w:r>
              <w:rPr>
                <w:rFonts w:ascii="Arial" w:cs="Arial" w:eastAsia="Arial" w:hAnsi="Arial"/>
                <w:sz w:val="14"/>
                <w:szCs w:val="14"/>
                <w:b w:val="1"/>
                <w:bCs w:val="1"/>
                <w:color w:val="auto"/>
              </w:rPr>
              <w:t>Exercise Price</w:t>
            </w: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jc w:val="center"/>
              <w:ind w:right="6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1,658,564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0.34</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3,696,804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0.31</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(72,526)</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0.44</w:t>
            </w: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5,145,547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0.85</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4,289,317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9.07</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0.61</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(611,092)</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5.40</w:t>
            </w: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8,550,076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w w:val="93"/>
              </w:rPr>
              <w:t>Options vested and expected to vest as of December 31, 2021</w:t>
            </w:r>
          </w:p>
        </w:tc>
        <w:tc>
          <w:tcPr>
            <w:tcW w:w="156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rPr>
              <w:t>8,550,076</w:t>
            </w: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4.66</w:t>
            </w: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2021</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1,615,483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total intrinsic value of options exercised during the years ended December 31, 2021 and 2020 was $1.7 million and $0.1 million, respectively. Aggregate intrinsic value represents the difference between the fair market value of the common stock and the exercise price of outstanding, in-the-money options.</w:t>
      </w:r>
    </w:p>
    <w:p>
      <w:pPr>
        <w:spacing w:after="0" w:line="13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option award quantities and prices, prior to the Business Combination (as defined in Note 1 and further described in Note 3) have been retroactively restated to reflect the exchange ratio of approximately 3.6281 established in the Business Combination as described in Note 3.</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weighted-average grant-date fair value of options granted during the years ended December 31, 2021 and 2020 was $6.83 and $2.29 per share, respectively.</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2021, there was $27.3 million of total unrecognized compensation expense expected to be recognized over a weighted average-period of 3.16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January 2017, the Company granted 32,652,640 shares of restricted common stock to founders for future services that vest over 4 years from the date of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restricted stock for the years ended December 31, 2021 and 2020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Underlying 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(6,836,646)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(569,721)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80" w:right="339" w:bottom="1440" w:gutter="0" w:footer="0" w:header="0"/>
        </w:sectPr>
      </w:pPr>
    </w:p>
    <w:bookmarkStart w:id="175" w:name="page176"/>
    <w:bookmarkEnd w:id="17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sets forth the total stock-based compensation expense for the Company’s stock options and ESPP included in the Company’s consolidated statements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2021 as the Company had not yet received the related goods or services. As of December 31, 2021, the Company had open purchase commitments for goods and services of $3.0 million, all of which are expected to be received through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is obligated under certain non-cancellable operating leases for office space and laboratory space. This space includes operating leases in Seattle, Washington, Menlo Park, California and San Carlos, California. The operating lease in Menlo Park, California expired in February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Leases</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Additionally, as a result of the remaining lease term being less than a year, the total remaining operating lease liability balance was classified as current. In September 2021, the Company further amended the facility lease contract in San Carlos, California to shorten the remaining term of the lease to expire in October 2021 and was also accounted for as a modification</w:t>
      </w:r>
    </w:p>
    <w:p>
      <w:pPr>
        <w:spacing w:after="0" w:line="1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December 2020, the Company also entered into a temporary office space lease agreement in San Carlos, California which commenced in February 2021 and expired in October 2021 with total minimum lease payments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80" w:right="339" w:bottom="1440" w:gutter="0" w:footer="0" w:header="0"/>
        </w:sectPr>
      </w:pPr>
    </w:p>
    <w:bookmarkStart w:id="176" w:name="page177"/>
    <w:bookmarkEnd w:id="17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$1.2 million. The temporary office space lease agreement was recognized as a short-term lease due to the election of the short-term lease measurement and recognition exemption.</w:t>
      </w:r>
    </w:p>
    <w:p>
      <w:pPr>
        <w:spacing w:after="0" w:line="1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December 2021, the Company entered into another lease in San Carlos, California for nine years commencing in October 2022 and expiring in October 2031. The Company can terminate this lease after five years from October 1, 2022 without bearing any significant termination penalties and therefore the Company concluded that the lease term is five years with total minimum lease payments of $7.2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which were included in operating expenses in the consolidated statements of operations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420" w:type="dxa"/>
            <w:vAlign w:val="bottom"/>
          </w:tcPr>
          <w:p>
            <w:pPr>
              <w:jc w:val="right"/>
              <w:ind w:right="33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operating lease costs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years ended December 31, 2021 and 2020, cash paid for amounts included in the measurement of lease liabilities included in cash flows used in operating activities was $1.8 million and $2.0 million, respectively.</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2021, the weighted-average remaining lease term and weighted-average discount rate for operating leases is 9.44 years and 8.8%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December 31,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80" w:right="339" w:bottom="1440" w:gutter="0" w:footer="0" w:header="0"/>
        </w:sectPr>
      </w:pPr>
    </w:p>
    <w:bookmarkStart w:id="177" w:name="page178"/>
    <w:bookmarkEnd w:id="17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amended the existing cash-collateralized letter of credit and increased the amount to $0.8 million. The cash amount is recorded as restricted cash under Other long-term assets on the Company’s consolidated balance sheets.</w:t>
      </w:r>
    </w:p>
    <w:p>
      <w:pPr>
        <w:spacing w:after="0" w:line="129" w:lineRule="exact"/>
        <w:rPr>
          <w:sz w:val="20"/>
          <w:szCs w:val="20"/>
          <w:color w:val="auto"/>
        </w:rPr>
      </w:pPr>
    </w:p>
    <w:p>
      <w:pPr>
        <w:ind w:left="640" w:hanging="632"/>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years ended December 31, 2021 and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(50,315)</w:t>
            </w:r>
          </w:p>
        </w:tc>
        <w:tc>
          <w:tcPr>
            <w:tcW w:w="8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84,481,251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32,990,651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Weighted-average unvested restricted shares and shares subject to repurchase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(3,900,873)</w:t>
            </w:r>
          </w:p>
        </w:tc>
        <w:tc>
          <w:tcPr>
            <w:tcW w:w="0" w:type="dxa"/>
            <w:vAlign w:val="bottom"/>
          </w:tcPr>
          <w:p>
            <w:pPr>
              <w:spacing w:after="0"/>
              <w:rPr>
                <w:sz w:val="1"/>
                <w:szCs w:val="1"/>
                <w:color w:val="auto"/>
              </w:rPr>
            </w:pPr>
          </w:p>
        </w:tc>
      </w:tr>
      <w:tr>
        <w:trPr>
          <w:trHeight w:val="155"/>
        </w:trPr>
        <w:tc>
          <w:tcPr>
            <w:tcW w:w="8020" w:type="dxa"/>
            <w:vAlign w:val="bottom"/>
          </w:tcPr>
          <w:p>
            <w:pPr>
              <w:ind w:left="20"/>
              <w:spacing w:after="0" w:line="156"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84,464,081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29,089,778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 December</w:t>
            </w:r>
          </w:p>
        </w:tc>
      </w:tr>
      <w:tr>
        <w:trPr>
          <w:trHeight w:val="188"/>
        </w:trPr>
        <w:tc>
          <w:tcPr>
            <w:tcW w:w="80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5,145,547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59,085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52,175,965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569,721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8,609,161</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57,954,724</w:t>
            </w:r>
          </w:p>
        </w:tc>
      </w:tr>
      <w:tr>
        <w:trPr>
          <w:trHeight w:val="20"/>
        </w:trPr>
        <w:tc>
          <w:tcPr>
            <w:tcW w:w="80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80" w:right="339" w:bottom="1440" w:gutter="0" w:footer="0" w:header="0"/>
        </w:sectPr>
      </w:pPr>
    </w:p>
    <w:bookmarkStart w:id="178" w:name="page179"/>
    <w:bookmarkEnd w:id="17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through February 24, 2022, the date on which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F-28</w:t>
      </w:r>
    </w:p>
    <w:sectPr>
      <w:pgSz w:w="11900" w:h="16838" w:orient="portrait"/>
      <w:cols w:equalWidth="0" w:num="1">
        <w:col w:w="10520"/>
      </w:cols>
      <w:pgMar w:left="320" w:top="18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1."/>
      <w:numFmt w:val="decimal"/>
      <w:start w:val="2"/>
    </w:lvl>
  </w:abstractNum>
  <w:abstractNum w:abstractNumId="49">
    <w:nsid w:val="1A32234B"/>
    <w:multiLevelType w:val="hybridMultilevel"/>
    <w:lvl w:ilvl="0">
      <w:lvlJc w:val="left"/>
      <w:lvlText w:val="%1."/>
      <w:numFmt w:val="decimal"/>
      <w:start w:val="3"/>
    </w:lvl>
  </w:abstractNum>
  <w:abstractNum w:abstractNumId="50">
    <w:nsid w:val="3B0FD379"/>
    <w:multiLevelType w:val="hybridMultilevel"/>
    <w:lvl w:ilvl="0">
      <w:lvlJc w:val="left"/>
      <w:lvlText w:val="%1."/>
      <w:numFmt w:val="decimal"/>
      <w:start w:val="4"/>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1)"/>
      <w:numFmt w:val="decimal"/>
      <w:start w:val="4"/>
    </w:lvl>
  </w:abstractNum>
  <w:abstractNum w:abstractNumId="67">
    <w:nsid w:val="1716703B"/>
    <w:multiLevelType w:val="hybridMultilevel"/>
    <w:lvl w:ilvl="0">
      <w:lvlJc w:val="left"/>
      <w:lvlText w:val="(%1)"/>
      <w:numFmt w:val="decimal"/>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1)"/>
      <w:numFmt w:val="decimal"/>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1)"/>
      <w:numFmt w:val="decimal"/>
      <w:start w:val="1"/>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decimal"/>
      <w:start w:val="3"/>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1)"/>
      <w:numFmt w:val="decimal"/>
      <w:start w:val="1"/>
    </w:lvl>
  </w:abstractNum>
  <w:abstractNum w:abstractNumId="84">
    <w:nsid w:val="5FB8370B"/>
    <w:multiLevelType w:val="hybridMultilevel"/>
    <w:lvl w:ilvl="0">
      <w:lvlJc w:val="left"/>
      <w:lvlText w:val="(%1)"/>
      <w:numFmt w:val="decimal"/>
      <w:start w:val="13"/>
    </w:lvl>
  </w:abstractNum>
  <w:abstractNum w:abstractNumId="85">
    <w:nsid w:val="50801EE1"/>
    <w:multiLevelType w:val="hybridMultilevel"/>
    <w:lvl w:ilvl="0">
      <w:lvlJc w:val="left"/>
      <w:lvlText w:val="(%1)"/>
      <w:numFmt w:val="decimal"/>
      <w:start w:val="27"/>
    </w:lvl>
  </w:abstractNum>
  <w:abstractNum w:abstractNumId="86">
    <w:nsid w:val="488AC1A"/>
    <w:multiLevelType w:val="hybridMultilevel"/>
    <w:lvl w:ilvl="0">
      <w:lvlJc w:val="left"/>
      <w:lvlText w:val="(%1)"/>
      <w:numFmt w:val="decimal"/>
      <w:start w:val="60"/>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1)"/>
      <w:numFmt w:val="lowerRoman"/>
      <w:start w:val="3"/>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lvl w:ilvl="1">
      <w:lvlJc w:val="left"/>
      <w:lvlText w:val="•"/>
      <w:numFmt w:val="bullet"/>
      <w:start w:val="1"/>
    </w:lvl>
  </w:abstractNum>
  <w:abstractNum w:abstractNumId="94">
    <w:nsid w:val="73A1821B"/>
    <w:multiLevelType w:val="hybridMultilevel"/>
    <w:lvl w:ilvl="0">
      <w:lvlJc w:val="left"/>
      <w:lvlText w:val="(%1)"/>
      <w:numFmt w:val="decimal"/>
      <w:start w:val="1"/>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1."/>
      <w:numFmt w:val="decimal"/>
      <w:start w:val="2"/>
    </w:lvl>
  </w:abstractNum>
  <w:abstractNum w:abstractNumId="97">
    <w:nsid w:val="3FA62ACA"/>
    <w:multiLevelType w:val="hybridMultilevel"/>
    <w:lvl w:ilvl="0">
      <w:lvlJc w:val="left"/>
      <w:lvlText w:val="%1."/>
      <w:numFmt w:val="decimal"/>
      <w:start w:val="3"/>
    </w:lvl>
  </w:abstractNum>
  <w:abstractNum w:abstractNumId="98">
    <w:nsid w:val="14FCE74E"/>
    <w:multiLevelType w:val="hybridMultilevel"/>
    <w:lvl w:ilvl="0">
      <w:lvlJc w:val="left"/>
      <w:lvlText w:val="(%1)"/>
      <w:numFmt w:val="lowerRoman"/>
      <w:start w:val="1"/>
    </w:lvl>
  </w:abstractNum>
  <w:abstractNum w:abstractNumId="99">
    <w:nsid w:val="6A3DD3E8"/>
    <w:multiLevelType w:val="hybridMultilevel"/>
    <w:lvl w:ilvl="0">
      <w:lvlJc w:val="left"/>
      <w:lvlText w:val="%1."/>
      <w:numFmt w:val="decimal"/>
      <w:start w:val="4"/>
    </w:lvl>
  </w:abstractNum>
  <w:abstractNum w:abstractNumId="100">
    <w:nsid w:val="71C91298"/>
    <w:multiLevelType w:val="hybridMultilevel"/>
    <w:lvl w:ilvl="0">
      <w:lvlJc w:val="left"/>
      <w:lvlText w:val="%1."/>
      <w:numFmt w:val="decimal"/>
      <w:start w:val="5"/>
    </w:lvl>
  </w:abstractNum>
  <w:abstractNum w:abstractNumId="101">
    <w:nsid w:val="9DAF632"/>
    <w:multiLevelType w:val="hybridMultilevel"/>
    <w:lvl w:ilvl="0">
      <w:lvlJc w:val="left"/>
      <w:lvlText w:val="%1."/>
      <w:numFmt w:val="decimal"/>
      <w:start w:val="6"/>
    </w:lvl>
  </w:abstractNum>
  <w:abstractNum w:abstractNumId="102">
    <w:nsid w:val="53299938"/>
    <w:multiLevelType w:val="hybridMultilevel"/>
    <w:lvl w:ilvl="0">
      <w:lvlJc w:val="left"/>
      <w:lvlText w:val="%1."/>
      <w:numFmt w:val="decimal"/>
      <w:start w:val="7"/>
    </w:lvl>
  </w:abstractNum>
  <w:abstractNum w:abstractNumId="103">
    <w:nsid w:val="1FBFE8E0"/>
    <w:multiLevelType w:val="hybridMultilevel"/>
    <w:lvl w:ilvl="0">
      <w:lvlJc w:val="left"/>
      <w:lvlText w:val="%1."/>
      <w:numFmt w:val="decimal"/>
      <w:start w:val="8"/>
    </w:lvl>
  </w:abstractNum>
  <w:abstractNum w:abstractNumId="104">
    <w:nsid w:val="5092CA79"/>
    <w:multiLevelType w:val="hybridMultilevel"/>
    <w:lvl w:ilvl="0">
      <w:lvlJc w:val="left"/>
      <w:lvlText w:val="%1."/>
      <w:numFmt w:val="decimal"/>
      <w:start w:val="9"/>
    </w:lvl>
  </w:abstractNum>
  <w:abstractNum w:abstractNumId="105">
    <w:nsid w:val="1D545C4D"/>
    <w:multiLevelType w:val="hybridMultilevel"/>
    <w:lvl w:ilvl="0">
      <w:lvlJc w:val="left"/>
      <w:lvlText w:val="%1."/>
      <w:numFmt w:val="decimal"/>
      <w:start w:val="10"/>
    </w:lvl>
  </w:abstractNum>
  <w:abstractNum w:abstractNumId="106">
    <w:nsid w:val="59ADEA3D"/>
    <w:multiLevelType w:val="hybridMultilevel"/>
    <w:lvl w:ilvl="0">
      <w:lvlJc w:val="left"/>
      <w:lvlText w:val="%1."/>
      <w:numFmt w:val="decimal"/>
      <w:start w:val="11"/>
    </w:lvl>
  </w:abstractNum>
  <w:abstractNum w:abstractNumId="107">
    <w:nsid w:val="288F1A3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2022-03-02T13:33:12Z</dcterms:created>
  <dcterms:modified xsi:type="dcterms:W3CDTF">2022-03-02T13:33:12Z</dcterms:modified>
</cp:coreProperties>
</file>