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Filed pursuant to Rule 424(b)(5)</w:t>
      </w:r>
    </w:p>
    <w:p>
      <w:pPr>
        <w:pStyle w:val="TextBody"/>
        <w:bidi w:val="0"/>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Registration No. 333-277437</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PROSPECTUS SUPPLEMENT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prospectus dated March 6, 2024</w:t>
      </w:r>
    </w:p>
    <w:p>
      <w:pPr>
        <w:pStyle w:val="TextBody"/>
        <w:bidi w:val="0"/>
        <w:spacing w:before="0" w:after="180"/>
        <w:jc w:val="center"/>
        <w:rPr/>
      </w:pPr>
      <w:r>
        <w:rPr/>
        <w:drawing>
          <wp:inline distT="0" distB="0" distL="0" distR="0">
            <wp:extent cx="228600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723900"/>
                    </a:xfrm>
                    <a:prstGeom prst="rect">
                      <a:avLst/>
                    </a:prstGeom>
                  </pic:spPr>
                </pic:pic>
              </a:graphicData>
            </a:graphic>
          </wp:inline>
        </w:drawing>
      </w:r>
    </w:p>
    <w:p>
      <w:pPr>
        <w:pStyle w:val="TextBody"/>
        <w:bidi w:val="0"/>
        <w:spacing w:lineRule="auto" w:line="288" w:before="0" w:after="180"/>
        <w:jc w:val="center"/>
        <w:rPr/>
      </w:pPr>
      <w:r>
        <w:rPr>
          <w:rFonts w:ascii="Times New Roman;sans-serif" w:hAnsi="Times New Roman;sans-serif"/>
          <w:b/>
          <w:color w:val="000000"/>
          <w:sz w:val="36"/>
        </w:rPr>
        <w:t>Up to $125,000,000</w:t>
      </w:r>
      <w:r>
        <w:rPr>
          <w:color w:val="000000"/>
        </w:rPr>
        <w:t xml:space="preserve"> </w:t>
      </w:r>
    </w:p>
    <w:p>
      <w:pPr>
        <w:pStyle w:val="TextBody"/>
        <w:bidi w:val="0"/>
        <w:spacing w:lineRule="auto" w:line="288" w:before="0" w:after="180"/>
        <w:jc w:val="center"/>
        <w:rPr>
          <w:rFonts w:ascii="Times New Roman;sans-serif" w:hAnsi="Times New Roman;sans-serif"/>
          <w:b/>
          <w:color w:val="000000"/>
          <w:sz w:val="28"/>
        </w:rPr>
      </w:pPr>
      <w:r>
        <w:rPr>
          <w:rFonts w:ascii="Times New Roman;sans-serif" w:hAnsi="Times New Roman;sans-serif"/>
          <w:b/>
          <w:color w:val="000000"/>
          <w:sz w:val="28"/>
        </w:rPr>
        <w:t xml:space="preserve">Common Stock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a sales agreement (the “sales agreement”) with Cowen and Company, LLC (“TD Cowen”), dated February 28, 2024, relating to shares of our common stock, par value $0.0001 per share (“common stock”), offered by this prospectus supplement and the accompanying prospectus. In accordance with the terms of the sales agreement, we may offer and sell shares of our common stock having an aggregate offering price of up to $125,000,000 from time to time through TD Cowen acting as our agent or principal.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listed on the Nasdaq Global Select Market (“Nasdaq”) under the symbol “NAUT.” On March 6, 2024, the last reported sale price of our common stock on Nasdaq was $2.68 per share.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our common stock, if any, under this prospectus supplement and the accompanying prospectus will be made in sales deemed to be an “at the market offering” as defined in Rule 415(a)(4) promulgated under the Securities Act of 1933, as amended (the “Securities Act”). TD Cowen is not required to sell any specific number of dollar amount of securities, but will act as our sales agent using commercially reasonable efforts consistent with its normal trading and sales practices, on mutually agreed terms between TD Cowen and us. There is no arrangement for funds to be received in any escrow, trust or similar arrangement. </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The compensation to TD Cowen for sales of common stock sold pursuant to the sales agreement will be an amount up to 3.0% of the gross proceeds of any shares of common stock sold under the sales agreement. In connection with the sale of the common stock on our behalf, TD Cowen will be deemed to be an “underwriter” within the meaning of the Securities Act and the compensation of TD Cowen will be deemed to be underwriting commissions or discounts. We have also agreed to provide indemnification and contribution to TD Cowen with respect to certain liabilities, including liabilities under the Securities Act or the Securities Exchange Act of 1934, as amended (the “Exchange Act”). See “</w:t>
      </w:r>
      <w:hyperlink w:anchor="i3777088f63bd4c7784a8b6dba99aa1f7_1076">
        <w:r>
          <w:rPr>
            <w:rStyle w:val="InternetLink"/>
            <w:rFonts w:ascii="Times New Roman;sans-serif" w:hAnsi="Times New Roman;sans-serif"/>
            <w:b w:val="false"/>
            <w:color w:val="0000FF"/>
            <w:sz w:val="20"/>
            <w:u w:val="single"/>
          </w:rPr>
          <w:t>Plan of Distribution</w:t>
        </w:r>
      </w:hyperlink>
      <w:r>
        <w:rPr>
          <w:color w:val="000000"/>
        </w:rPr>
        <w:t xml:space="preserve">” </w:t>
      </w:r>
      <w:r>
        <w:rPr>
          <w:rFonts w:ascii="Times New Roman;sans-serif" w:hAnsi="Times New Roman;sans-serif"/>
          <w:b w:val="false"/>
          <w:color w:val="000000"/>
          <w:sz w:val="20"/>
        </w:rPr>
        <w:t xml:space="preserve">beginning on page </w:t>
      </w:r>
      <w:hyperlink w:anchor="i3777088f63bd4c7784a8b6dba99aa1f7_1076">
        <w:r>
          <w:rPr>
            <w:rStyle w:val="InternetLink"/>
            <w:rFonts w:ascii="Times New Roman;sans-serif" w:hAnsi="Times New Roman;sans-serif"/>
            <w:b w:val="false"/>
            <w:color w:val="000080"/>
            <w:sz w:val="20"/>
            <w:u w:val="single"/>
          </w:rPr>
          <w:t>S-</w:t>
        </w:r>
      </w:hyperlink>
      <w:hyperlink w:anchor="i3777088f63bd4c7784a8b6dba99aa1f7_1076">
        <w:r>
          <w:rPr>
            <w:rStyle w:val="InternetLink"/>
            <w:rFonts w:ascii="Times New Roman;sans-serif" w:hAnsi="Times New Roman;sans-serif"/>
            <w:b w:val="false"/>
            <w:color w:val="000080"/>
            <w:sz w:val="20"/>
            <w:u w:val="single"/>
          </w:rPr>
          <w:t>14</w:t>
        </w:r>
      </w:hyperlink>
      <w:r>
        <w:rPr>
          <w:color w:val="000000"/>
        </w:rPr>
        <w:t xml:space="preserve"> </w:t>
      </w:r>
      <w:r>
        <w:rPr>
          <w:rFonts w:ascii="Times New Roman;sans-serif" w:hAnsi="Times New Roman;sans-serif"/>
          <w:b w:val="false"/>
          <w:color w:val="000000"/>
          <w:sz w:val="20"/>
        </w:rPr>
        <w:t xml:space="preserve">for additional information regarding the compensation to be paid to TD Cowen. </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“emerging growth company” and a “smaller reporting company” under federal securities laws and as such, have elected to comply with reduced public company reporting requirements for this prospectus supplement, the accompanying prospectus and the documents incorporated by reference herein and may elect to comply with reduced public company reporting requirements in future filings. See “Prospectus Supplement Summary—Implications of Being an Emerging Growth Company and Smaller Reporting Company.” </w:t>
      </w:r>
    </w:p>
    <w:p>
      <w:pPr>
        <w:pStyle w:val="TextBody"/>
        <w:bidi w:val="0"/>
        <w:spacing w:lineRule="auto" w:line="288" w:before="0" w:after="180"/>
        <w:ind w:left="0" w:right="0" w:firstLine="720"/>
        <w:jc w:val="left"/>
        <w:rPr/>
      </w:pPr>
      <w:r>
        <w:rPr>
          <w:rFonts w:ascii="Times New Roman;sans-serif" w:hAnsi="Times New Roman;sans-serif"/>
          <w:b/>
          <w:color w:val="000000"/>
          <w:sz w:val="20"/>
        </w:rPr>
        <w:t>Our business and an investment in our common stock involve significant risks. Before making an investment decision, you should review carefully and consider all of the information set forth in this prospectus supplement and the documents incorporated by reference. These risks are described under the caption “</w:t>
      </w:r>
      <w:hyperlink w:anchor="i3777088f63bd4c7784a8b6dba99aa1f7_984">
        <w:r>
          <w:rPr>
            <w:rStyle w:val="InternetLink"/>
            <w:rFonts w:ascii="Times New Roman;sans-serif" w:hAnsi="Times New Roman;sans-serif"/>
            <w:b/>
            <w:color w:val="0000FF"/>
            <w:sz w:val="20"/>
            <w:u w:val="single"/>
          </w:rPr>
          <w:t>Risk Factors</w:t>
        </w:r>
      </w:hyperlink>
      <w:r>
        <w:rPr>
          <w:color w:val="000000"/>
        </w:rPr>
        <w:t xml:space="preserve">” </w:t>
      </w:r>
      <w:r>
        <w:rPr>
          <w:rFonts w:ascii="Times New Roman;sans-serif" w:hAnsi="Times New Roman;sans-serif"/>
          <w:b/>
          <w:color w:val="000000"/>
          <w:sz w:val="20"/>
        </w:rPr>
        <w:t xml:space="preserve">beginning on page </w:t>
      </w:r>
      <w:hyperlink w:anchor="i3777088f63bd4c7784a8b6dba99aa1f7_984">
        <w:r>
          <w:rPr>
            <w:rStyle w:val="InternetLink"/>
          </w:rPr>
          <w:t>S-</w:t>
        </w:r>
      </w:hyperlink>
      <w:hyperlink w:anchor="i3777088f63bd4c7784a8b6dba99aa1f7_984">
        <w:r>
          <w:rPr>
            <w:rStyle w:val="InternetLink"/>
          </w:rPr>
          <w:t>6</w:t>
        </w:r>
      </w:hyperlink>
      <w:r>
        <w:rPr>
          <w:color w:val="000000"/>
        </w:rPr>
        <w:t xml:space="preserve"> </w:t>
      </w:r>
      <w:r>
        <w:rPr>
          <w:rFonts w:ascii="Times New Roman;sans-serif" w:hAnsi="Times New Roman;sans-serif"/>
          <w:b/>
          <w:color w:val="000000"/>
          <w:sz w:val="20"/>
        </w:rPr>
        <w:t xml:space="preserve">of this prospectus supplement and in the documents incorporated by reference into this prospectus supplement. </w:t>
      </w:r>
    </w:p>
    <w:p>
      <w:pPr>
        <w:pStyle w:val="TextBody"/>
        <w:bidi w:val="0"/>
        <w:spacing w:lineRule="auto" w:line="288" w:before="0" w:after="18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color w:val="000000"/>
          <w:sz w:val="32"/>
        </w:rPr>
      </w:pPr>
      <w:r>
        <w:rPr>
          <w:rFonts w:ascii="Times New Roman;sans-serif" w:hAnsi="Times New Roman;sans-serif"/>
          <w:b/>
          <w:color w:val="000000"/>
          <w:sz w:val="32"/>
        </w:rPr>
        <w:t>TD Cowen</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The date of this prospectus supplement is March 6,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 xml:space="preserve">TABLE OF CONTENTS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Prospectus Supplement</w:t>
      </w:r>
    </w:p>
    <w:tbl>
      <w:tblPr>
        <w:tblW w:w="6374" w:type="dxa"/>
        <w:jc w:val="left"/>
        <w:tblInd w:w="0" w:type="dxa"/>
        <w:tblLayout w:type="fixed"/>
        <w:tblCellMar>
          <w:top w:w="28" w:type="dxa"/>
          <w:left w:w="28" w:type="dxa"/>
          <w:bottom w:w="28" w:type="dxa"/>
          <w:right w:w="28" w:type="dxa"/>
        </w:tblCellMar>
      </w:tblPr>
      <w:tblGrid>
        <w:gridCol w:w="2120"/>
        <w:gridCol w:w="1863"/>
        <w:gridCol w:w="1866"/>
        <w:gridCol w:w="153"/>
        <w:gridCol w:w="153"/>
        <w:gridCol w:w="219"/>
      </w:tblGrid>
      <w:tr>
        <w:trPr/>
        <w:tc>
          <w:tcPr>
            <w:tcW w:w="2120"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1170">
              <w:r>
                <w:rPr>
                  <w:rStyle w:val="InternetLink"/>
                  <w:rFonts w:ascii="Times New Roman;sans-serif" w:hAnsi="Times New Roman;sans-serif"/>
                  <w:b w:val="false"/>
                  <w:color w:val="0000FF"/>
                  <w:sz w:val="20"/>
                  <w:u w:val="single"/>
                </w:rPr>
                <w:t>ABOUT THIS PROSPECTUS SUPPLEMENT</w:t>
              </w:r>
            </w:hyperlink>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3777088f63bd4c7784a8b6dba99aa1f7_1170">
              <w:r>
                <w:rPr>
                  <w:rStyle w:val="InternetLink"/>
                  <w:rFonts w:ascii="Times New Roman;sans-serif" w:hAnsi="Times New Roman;sans-serif"/>
                  <w:b w:val="false"/>
                  <w:color w:val="000080"/>
                  <w:sz w:val="20"/>
                  <w:u w:val="single"/>
                </w:rPr>
                <w:t>S-</w:t>
              </w:r>
            </w:hyperlink>
            <w:hyperlink w:anchor="i3777088f63bd4c7784a8b6dba99aa1f7_1170">
              <w:r>
                <w:rPr>
                  <w:rStyle w:val="InternetLink"/>
                  <w:rFonts w:ascii="Times New Roman;sans-serif" w:hAnsi="Times New Roman;sans-serif"/>
                  <w:b w:val="false"/>
                  <w:color w:val="000080"/>
                  <w:sz w:val="20"/>
                  <w:u w:val="single"/>
                </w:rPr>
                <w:t>1</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1186">
              <w:r>
                <w:rPr>
                  <w:rStyle w:val="InternetLink"/>
                  <w:rFonts w:ascii="Times New Roman;sans-serif" w:hAnsi="Times New Roman;sans-serif"/>
                  <w:b w:val="false"/>
                  <w:color w:val="000080"/>
                  <w:sz w:val="20"/>
                  <w:u w:val="single"/>
                </w:rPr>
                <w:t>MARK</w:t>
              </w:r>
            </w:hyperlink>
            <w:hyperlink w:anchor="i3777088f63bd4c7784a8b6dba99aa1f7_1186">
              <w:r>
                <w:rPr>
                  <w:rStyle w:val="InternetLink"/>
                  <w:rFonts w:ascii="Times New Roman;sans-serif" w:hAnsi="Times New Roman;sans-serif"/>
                  <w:b w:val="false"/>
                  <w:color w:val="000080"/>
                  <w:sz w:val="20"/>
                  <w:u w:val="single"/>
                </w:rPr>
                <w:t>E</w:t>
              </w:r>
            </w:hyperlink>
            <w:hyperlink w:anchor="i3777088f63bd4c7784a8b6dba99aa1f7_1186">
              <w:r>
                <w:rPr>
                  <w:rStyle w:val="InternetLink"/>
                  <w:rFonts w:ascii="Times New Roman;sans-serif" w:hAnsi="Times New Roman;sans-serif"/>
                  <w:b w:val="false"/>
                  <w:color w:val="000080"/>
                  <w:sz w:val="20"/>
                  <w:u w:val="single"/>
                </w:rPr>
                <w:t>T, INDUSTRY AND OTHER DATA</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1186">
              <w:r>
                <w:rPr>
                  <w:rStyle w:val="InternetLink"/>
                  <w:rFonts w:ascii="Times New Roman;sans-serif" w:hAnsi="Times New Roman;sans-serif"/>
                  <w:b w:val="false"/>
                  <w:color w:val="000080"/>
                  <w:sz w:val="20"/>
                  <w:u w:val="single"/>
                </w:rPr>
                <w:t>S-</w:t>
              </w:r>
            </w:hyperlink>
            <w:hyperlink w:anchor="i3777088f63bd4c7784a8b6dba99aa1f7_1186">
              <w:r>
                <w:rPr>
                  <w:rStyle w:val="InternetLink"/>
                  <w:rFonts w:ascii="Times New Roman;sans-serif" w:hAnsi="Times New Roman;sans-serif"/>
                  <w:b w:val="false"/>
                  <w:color w:val="000080"/>
                  <w:sz w:val="20"/>
                  <w:u w:val="single"/>
                </w:rPr>
                <w:t>2</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1201">
              <w:r>
                <w:rPr>
                  <w:rStyle w:val="InternetLink"/>
                  <w:rFonts w:ascii="Times New Roman;sans-serif" w:hAnsi="Times New Roman;sans-serif"/>
                  <w:b w:val="false"/>
                  <w:color w:val="0000FF"/>
                  <w:sz w:val="20"/>
                  <w:u w:val="single"/>
                </w:rPr>
                <w:t>PROSPECTUS SUPPLEMENT SUMMARY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1001">
              <w:r>
                <w:rPr>
                  <w:rStyle w:val="InternetLink"/>
                  <w:rFonts w:ascii="Times New Roman;sans-serif" w:hAnsi="Times New Roman;sans-serif"/>
                  <w:b w:val="false"/>
                  <w:color w:val="000080"/>
                  <w:sz w:val="20"/>
                  <w:u w:val="single"/>
                </w:rPr>
                <w:t>S-</w:t>
              </w:r>
            </w:hyperlink>
            <w:hyperlink w:anchor="i3777088f63bd4c7784a8b6dba99aa1f7_1201">
              <w:r>
                <w:rPr>
                  <w:rStyle w:val="InternetLink"/>
                  <w:rFonts w:ascii="Times New Roman;sans-serif" w:hAnsi="Times New Roman;sans-serif"/>
                  <w:b w:val="false"/>
                  <w:color w:val="000080"/>
                  <w:sz w:val="20"/>
                  <w:u w:val="single"/>
                </w:rPr>
                <w:t>3</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1001">
              <w:r>
                <w:rPr>
                  <w:rStyle w:val="InternetLink"/>
                  <w:rFonts w:ascii="Times New Roman;sans-serif" w:hAnsi="Times New Roman;sans-serif"/>
                  <w:b w:val="false"/>
                  <w:color w:val="0000FF"/>
                  <w:sz w:val="20"/>
                  <w:u w:val="single"/>
                </w:rPr>
                <w:t>THE OFFERING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1001">
              <w:r>
                <w:rPr>
                  <w:rStyle w:val="InternetLink"/>
                  <w:rFonts w:ascii="Times New Roman;sans-serif" w:hAnsi="Times New Roman;sans-serif"/>
                  <w:b w:val="false"/>
                  <w:color w:val="000080"/>
                  <w:sz w:val="20"/>
                  <w:u w:val="single"/>
                </w:rPr>
                <w:t>S-</w:t>
              </w:r>
            </w:hyperlink>
            <w:hyperlink w:anchor="i3777088f63bd4c7784a8b6dba99aa1f7_1001">
              <w:r>
                <w:rPr>
                  <w:rStyle w:val="InternetLink"/>
                  <w:rFonts w:ascii="Times New Roman;sans-serif" w:hAnsi="Times New Roman;sans-serif"/>
                  <w:b w:val="false"/>
                  <w:color w:val="000080"/>
                  <w:sz w:val="20"/>
                  <w:u w:val="single"/>
                </w:rPr>
                <w:t>5</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984">
              <w:r>
                <w:rPr>
                  <w:rStyle w:val="InternetLink"/>
                  <w:rFonts w:ascii="Times New Roman;sans-serif" w:hAnsi="Times New Roman;sans-serif"/>
                  <w:b w:val="false"/>
                  <w:color w:val="0000FF"/>
                  <w:sz w:val="20"/>
                  <w:u w:val="single"/>
                </w:rPr>
                <w:t>RISK FACTORS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984">
              <w:r>
                <w:rPr>
                  <w:rStyle w:val="InternetLink"/>
                  <w:rFonts w:ascii="Times New Roman;sans-serif" w:hAnsi="Times New Roman;sans-serif"/>
                  <w:b w:val="false"/>
                  <w:color w:val="000080"/>
                  <w:sz w:val="20"/>
                  <w:u w:val="single"/>
                </w:rPr>
                <w:t>S-</w:t>
              </w:r>
            </w:hyperlink>
            <w:hyperlink w:anchor="i3777088f63bd4c7784a8b6dba99aa1f7_984">
              <w:r>
                <w:rPr>
                  <w:rStyle w:val="InternetLink"/>
                  <w:rFonts w:ascii="Times New Roman;sans-serif" w:hAnsi="Times New Roman;sans-serif"/>
                  <w:b w:val="false"/>
                  <w:color w:val="000080"/>
                  <w:sz w:val="20"/>
                  <w:u w:val="single"/>
                </w:rPr>
                <w:t>6</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1016">
              <w:r>
                <w:rPr>
                  <w:rStyle w:val="InternetLink"/>
                  <w:rFonts w:ascii="Times New Roman;sans-serif" w:hAnsi="Times New Roman;sans-serif"/>
                  <w:b w:val="false"/>
                  <w:color w:val="0000FF"/>
                  <w:sz w:val="20"/>
                  <w:u w:val="single"/>
                </w:rPr>
                <w:t>SPECIAL NOTE REGARDING FORWARD-LOOKING STATEMENTS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1016">
              <w:r>
                <w:rPr>
                  <w:rStyle w:val="InternetLink"/>
                  <w:rFonts w:ascii="Times New Roman;sans-serif" w:hAnsi="Times New Roman;sans-serif"/>
                  <w:b w:val="false"/>
                  <w:color w:val="000080"/>
                  <w:sz w:val="20"/>
                  <w:u w:val="single"/>
                </w:rPr>
                <w:t>S-</w:t>
              </w:r>
            </w:hyperlink>
            <w:hyperlink w:anchor="i3777088f63bd4c7784a8b6dba99aa1f7_1016">
              <w:r>
                <w:rPr>
                  <w:rStyle w:val="InternetLink"/>
                  <w:rFonts w:ascii="Times New Roman;sans-serif" w:hAnsi="Times New Roman;sans-serif"/>
                  <w:b w:val="false"/>
                  <w:color w:val="000080"/>
                  <w:sz w:val="20"/>
                  <w:u w:val="single"/>
                </w:rPr>
                <w:t>8</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1031">
              <w:r>
                <w:rPr>
                  <w:rStyle w:val="InternetLink"/>
                  <w:rFonts w:ascii="Times New Roman;sans-serif" w:hAnsi="Times New Roman;sans-serif"/>
                  <w:b w:val="false"/>
                  <w:color w:val="0000FF"/>
                  <w:sz w:val="20"/>
                  <w:u w:val="single"/>
                </w:rPr>
                <w:t>USE OF PROCEEDS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1031">
              <w:r>
                <w:rPr>
                  <w:rStyle w:val="InternetLink"/>
                  <w:rFonts w:ascii="Times New Roman;sans-serif" w:hAnsi="Times New Roman;sans-serif"/>
                  <w:b w:val="false"/>
                  <w:color w:val="000080"/>
                  <w:sz w:val="20"/>
                  <w:u w:val="single"/>
                </w:rPr>
                <w:t>S-</w:t>
              </w:r>
            </w:hyperlink>
            <w:hyperlink w:anchor="i3777088f63bd4c7784a8b6dba99aa1f7_1031">
              <w:r>
                <w:rPr>
                  <w:rStyle w:val="InternetLink"/>
                  <w:rFonts w:ascii="Times New Roman;sans-serif" w:hAnsi="Times New Roman;sans-serif"/>
                  <w:b w:val="false"/>
                  <w:color w:val="000080"/>
                  <w:sz w:val="20"/>
                  <w:u w:val="single"/>
                </w:rPr>
                <w:t>10</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1046">
              <w:r>
                <w:rPr>
                  <w:rStyle w:val="InternetLink"/>
                  <w:rFonts w:ascii="Times New Roman;sans-serif" w:hAnsi="Times New Roman;sans-serif"/>
                  <w:b w:val="false"/>
                  <w:color w:val="0000FF"/>
                  <w:sz w:val="20"/>
                  <w:u w:val="single"/>
                </w:rPr>
                <w:t>DIVIDEND POLICY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1046">
              <w:r>
                <w:rPr>
                  <w:rStyle w:val="InternetLink"/>
                  <w:rFonts w:ascii="Times New Roman;sans-serif" w:hAnsi="Times New Roman;sans-serif"/>
                  <w:b w:val="false"/>
                  <w:color w:val="000080"/>
                  <w:sz w:val="20"/>
                  <w:u w:val="single"/>
                </w:rPr>
                <w:t>S-</w:t>
              </w:r>
            </w:hyperlink>
            <w:hyperlink w:anchor="i3777088f63bd4c7784a8b6dba99aa1f7_1046">
              <w:r>
                <w:rPr>
                  <w:rStyle w:val="InternetLink"/>
                  <w:rFonts w:ascii="Times New Roman;sans-serif" w:hAnsi="Times New Roman;sans-serif"/>
                  <w:b w:val="false"/>
                  <w:color w:val="000080"/>
                  <w:sz w:val="20"/>
                  <w:u w:val="single"/>
                </w:rPr>
                <w:t>11</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1061">
              <w:r>
                <w:rPr>
                  <w:rStyle w:val="InternetLink"/>
                  <w:rFonts w:ascii="Times New Roman;sans-serif" w:hAnsi="Times New Roman;sans-serif"/>
                  <w:b w:val="false"/>
                  <w:color w:val="0000FF"/>
                  <w:sz w:val="20"/>
                  <w:u w:val="single"/>
                </w:rPr>
                <w:t>DILUTION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1061">
              <w:r>
                <w:rPr>
                  <w:rStyle w:val="InternetLink"/>
                  <w:rFonts w:ascii="Times New Roman;sans-serif" w:hAnsi="Times New Roman;sans-serif"/>
                  <w:b w:val="false"/>
                  <w:color w:val="000080"/>
                  <w:sz w:val="20"/>
                  <w:u w:val="single"/>
                </w:rPr>
                <w:t>S-</w:t>
              </w:r>
            </w:hyperlink>
            <w:hyperlink w:anchor="i3777088f63bd4c7784a8b6dba99aa1f7_1061">
              <w:r>
                <w:rPr>
                  <w:rStyle w:val="InternetLink"/>
                  <w:rFonts w:ascii="Times New Roman;sans-serif" w:hAnsi="Times New Roman;sans-serif"/>
                  <w:b w:val="false"/>
                  <w:color w:val="000080"/>
                  <w:sz w:val="20"/>
                  <w:u w:val="single"/>
                </w:rPr>
                <w:t>12</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1076">
              <w:r>
                <w:rPr>
                  <w:rStyle w:val="InternetLink"/>
                  <w:rFonts w:ascii="Times New Roman;sans-serif" w:hAnsi="Times New Roman;sans-serif"/>
                  <w:b w:val="false"/>
                  <w:color w:val="0000FF"/>
                  <w:sz w:val="20"/>
                  <w:u w:val="single"/>
                </w:rPr>
                <w:t>PLAN OF DISTRIBUTION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1076">
              <w:r>
                <w:rPr>
                  <w:rStyle w:val="InternetLink"/>
                  <w:rFonts w:ascii="Times New Roman;sans-serif" w:hAnsi="Times New Roman;sans-serif"/>
                  <w:b w:val="false"/>
                  <w:color w:val="000080"/>
                  <w:sz w:val="20"/>
                  <w:u w:val="single"/>
                </w:rPr>
                <w:t>S-</w:t>
              </w:r>
            </w:hyperlink>
            <w:hyperlink w:anchor="i3777088f63bd4c7784a8b6dba99aa1f7_1076">
              <w:r>
                <w:rPr>
                  <w:rStyle w:val="InternetLink"/>
                  <w:rFonts w:ascii="Times New Roman;sans-serif" w:hAnsi="Times New Roman;sans-serif"/>
                  <w:b w:val="false"/>
                  <w:color w:val="000080"/>
                  <w:sz w:val="20"/>
                  <w:u w:val="single"/>
                </w:rPr>
                <w:t>14</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1091">
              <w:r>
                <w:rPr>
                  <w:rStyle w:val="InternetLink"/>
                  <w:rFonts w:ascii="Times New Roman;sans-serif" w:hAnsi="Times New Roman;sans-serif"/>
                  <w:b w:val="false"/>
                  <w:color w:val="0000FF"/>
                  <w:sz w:val="20"/>
                  <w:u w:val="single"/>
                </w:rPr>
                <w:t>LEGAL MATTERS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1091">
              <w:r>
                <w:rPr>
                  <w:rStyle w:val="InternetLink"/>
                  <w:rFonts w:ascii="Times New Roman;sans-serif" w:hAnsi="Times New Roman;sans-serif"/>
                  <w:b w:val="false"/>
                  <w:color w:val="000080"/>
                  <w:sz w:val="20"/>
                  <w:u w:val="single"/>
                </w:rPr>
                <w:t>S-</w:t>
              </w:r>
            </w:hyperlink>
            <w:hyperlink w:anchor="i3777088f63bd4c7784a8b6dba99aa1f7_1091">
              <w:r>
                <w:rPr>
                  <w:rStyle w:val="InternetLink"/>
                  <w:rFonts w:ascii="Times New Roman;sans-serif" w:hAnsi="Times New Roman;sans-serif"/>
                  <w:b w:val="false"/>
                  <w:color w:val="000080"/>
                  <w:sz w:val="20"/>
                  <w:u w:val="single"/>
                </w:rPr>
                <w:t>15</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1106">
              <w:r>
                <w:rPr>
                  <w:rStyle w:val="InternetLink"/>
                  <w:rFonts w:ascii="Times New Roman;sans-serif" w:hAnsi="Times New Roman;sans-serif"/>
                  <w:b w:val="false"/>
                  <w:color w:val="0000FF"/>
                  <w:sz w:val="20"/>
                  <w:u w:val="single"/>
                </w:rPr>
                <w:t>EXPERTS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1106">
              <w:r>
                <w:rPr>
                  <w:rStyle w:val="InternetLink"/>
                  <w:rFonts w:ascii="Times New Roman;sans-serif" w:hAnsi="Times New Roman;sans-serif"/>
                  <w:b w:val="false"/>
                  <w:color w:val="000080"/>
                  <w:sz w:val="20"/>
                  <w:u w:val="single"/>
                </w:rPr>
                <w:t>S-</w:t>
              </w:r>
            </w:hyperlink>
            <w:hyperlink w:anchor="i3777088f63bd4c7784a8b6dba99aa1f7_1106">
              <w:r>
                <w:rPr>
                  <w:rStyle w:val="InternetLink"/>
                  <w:rFonts w:ascii="Times New Roman;sans-serif" w:hAnsi="Times New Roman;sans-serif"/>
                  <w:b w:val="false"/>
                  <w:color w:val="000080"/>
                  <w:sz w:val="20"/>
                  <w:u w:val="single"/>
                </w:rPr>
                <w:t>15</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1121">
              <w:r>
                <w:rPr>
                  <w:rStyle w:val="InternetLink"/>
                  <w:rFonts w:ascii="Times New Roman;sans-serif" w:hAnsi="Times New Roman;sans-serif"/>
                  <w:b w:val="false"/>
                  <w:color w:val="0000FF"/>
                  <w:sz w:val="20"/>
                  <w:u w:val="single"/>
                </w:rPr>
                <w:t>WHERE YOU CAN FIND MORE INFORMATION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1121">
              <w:r>
                <w:rPr>
                  <w:rStyle w:val="InternetLink"/>
                  <w:rFonts w:ascii="Times New Roman;sans-serif" w:hAnsi="Times New Roman;sans-serif"/>
                  <w:b w:val="false"/>
                  <w:color w:val="000080"/>
                  <w:sz w:val="20"/>
                  <w:u w:val="single"/>
                </w:rPr>
                <w:t>S-</w:t>
              </w:r>
            </w:hyperlink>
            <w:hyperlink w:anchor="i3777088f63bd4c7784a8b6dba99aa1f7_1121">
              <w:r>
                <w:rPr>
                  <w:rStyle w:val="InternetLink"/>
                  <w:rFonts w:ascii="Times New Roman;sans-serif" w:hAnsi="Times New Roman;sans-serif"/>
                  <w:b w:val="false"/>
                  <w:color w:val="000080"/>
                  <w:sz w:val="20"/>
                  <w:u w:val="single"/>
                </w:rPr>
                <w:t>16</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1136">
              <w:r>
                <w:rPr>
                  <w:rStyle w:val="InternetLink"/>
                  <w:rFonts w:ascii="Times New Roman;sans-serif" w:hAnsi="Times New Roman;sans-serif"/>
                  <w:b w:val="false"/>
                  <w:color w:val="0000FF"/>
                  <w:sz w:val="20"/>
                  <w:u w:val="single"/>
                </w:rPr>
                <w:t>INCORPORATION OF CERTAIN DOCUMENTS BY REFERENCE</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1136">
              <w:r>
                <w:rPr>
                  <w:rStyle w:val="InternetLink"/>
                  <w:rFonts w:ascii="Times New Roman;sans-serif" w:hAnsi="Times New Roman;sans-serif"/>
                  <w:b w:val="false"/>
                  <w:color w:val="000080"/>
                  <w:sz w:val="20"/>
                  <w:u w:val="single"/>
                </w:rPr>
                <w:t>S-</w:t>
              </w:r>
            </w:hyperlink>
            <w:hyperlink w:anchor="i3777088f63bd4c7784a8b6dba99aa1f7_1136">
              <w:r>
                <w:rPr>
                  <w:rStyle w:val="InternetLink"/>
                  <w:rFonts w:ascii="Times New Roman;sans-serif" w:hAnsi="Times New Roman;sans-serif"/>
                  <w:b w:val="false"/>
                  <w:color w:val="000080"/>
                  <w:sz w:val="20"/>
                  <w:u w:val="single"/>
                </w:rPr>
                <w:t>16</w:t>
              </w:r>
            </w:hyperlink>
          </w:p>
        </w:tc>
      </w:tr>
    </w:tbl>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Prospectus</w:t>
      </w:r>
    </w:p>
    <w:tbl>
      <w:tblPr>
        <w:tblW w:w="3826" w:type="dxa"/>
        <w:jc w:val="left"/>
        <w:tblInd w:w="0" w:type="dxa"/>
        <w:tblLayout w:type="fixed"/>
        <w:tblCellMar>
          <w:top w:w="28" w:type="dxa"/>
          <w:left w:w="28" w:type="dxa"/>
          <w:bottom w:w="28" w:type="dxa"/>
          <w:right w:w="28" w:type="dxa"/>
        </w:tblCellMar>
      </w:tblPr>
      <w:tblGrid>
        <w:gridCol w:w="1201"/>
        <w:gridCol w:w="1054"/>
        <w:gridCol w:w="1060"/>
        <w:gridCol w:w="149"/>
        <w:gridCol w:w="149"/>
        <w:gridCol w:w="213"/>
      </w:tblGrid>
      <w:tr>
        <w:trPr/>
        <w:tc>
          <w:tcPr>
            <w:tcW w:w="120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73">
              <w:r>
                <w:rPr>
                  <w:rStyle w:val="InternetLink"/>
                  <w:rFonts w:ascii="Times New Roman;sans-serif" w:hAnsi="Times New Roman;sans-serif"/>
                  <w:b w:val="false"/>
                  <w:color w:val="0000FF"/>
                  <w:sz w:val="20"/>
                  <w:u w:val="single"/>
                </w:rPr>
                <w:t>About this Prospectus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3777088f63bd4c7784a8b6dba99aa1f7_73">
              <w:r>
                <w:rPr>
                  <w:rStyle w:val="InternetLink"/>
                  <w:rFonts w:ascii="Times New Roman;sans-serif" w:hAnsi="Times New Roman;sans-serif"/>
                  <w:b w:val="false"/>
                  <w:color w:val="0000FF"/>
                  <w:sz w:val="20"/>
                  <w:u w:val="single"/>
                </w:rPr>
                <w:t>ii</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86">
              <w:r>
                <w:rPr>
                  <w:rStyle w:val="InternetLink"/>
                  <w:rFonts w:ascii="Times New Roman;sans-serif" w:hAnsi="Times New Roman;sans-serif"/>
                  <w:b w:val="false"/>
                  <w:color w:val="0000FF"/>
                  <w:sz w:val="20"/>
                  <w:u w:val="single"/>
                </w:rPr>
                <w:t>Prospectus 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86">
              <w:r>
                <w:rPr>
                  <w:rStyle w:val="InternetLink"/>
                  <w:rFonts w:ascii="Times New Roman;sans-serif" w:hAnsi="Times New Roman;sans-serif"/>
                  <w:b w:val="false"/>
                  <w:color w:val="0000FF"/>
                  <w:sz w:val="20"/>
                  <w:u w:val="single"/>
                </w:rPr>
                <w:t>1</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99">
              <w:r>
                <w:rPr>
                  <w:rStyle w:val="InternetLink"/>
                  <w:rFonts w:ascii="Times New Roman;sans-serif" w:hAnsi="Times New Roman;sans-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99">
              <w:r>
                <w:rPr>
                  <w:rStyle w:val="InternetLink"/>
                  <w:rFonts w:ascii="Times New Roman;sans-serif" w:hAnsi="Times New Roman;sans-serif"/>
                  <w:b w:val="false"/>
                  <w:color w:val="0000FF"/>
                  <w:sz w:val="20"/>
                  <w:u w:val="single"/>
                </w:rPr>
                <w:t>4</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112">
              <w:r>
                <w:rPr>
                  <w:rStyle w:val="InternetLink"/>
                  <w:rFonts w:ascii="Times New Roman;sans-serif" w:hAnsi="Times New Roman;sans-serif"/>
                  <w:b w:val="false"/>
                  <w:color w:val="0000FF"/>
                  <w:sz w:val="20"/>
                  <w:u w:val="single"/>
                </w:rPr>
                <w:t>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112">
              <w:r>
                <w:rPr>
                  <w:rStyle w:val="InternetLink"/>
                  <w:rFonts w:ascii="Times New Roman;sans-serif" w:hAnsi="Times New Roman;sans-serif"/>
                  <w:b w:val="false"/>
                  <w:color w:val="0000FF"/>
                  <w:sz w:val="20"/>
                  <w:u w:val="single"/>
                </w:rPr>
                <w:t>5</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125">
              <w:r>
                <w:rPr>
                  <w:rStyle w:val="InternetLink"/>
                  <w:rFonts w:ascii="Times New Roman;sans-serif" w:hAnsi="Times New Roman;sans-serif"/>
                  <w:b w:val="false"/>
                  <w:color w:val="0000FF"/>
                  <w:sz w:val="20"/>
                  <w:u w:val="singl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125">
              <w:r>
                <w:rPr>
                  <w:rStyle w:val="InternetLink"/>
                  <w:rFonts w:ascii="Times New Roman;sans-serif" w:hAnsi="Times New Roman;sans-serif"/>
                  <w:b w:val="false"/>
                  <w:color w:val="0000FF"/>
                  <w:sz w:val="20"/>
                  <w:u w:val="single"/>
                </w:rPr>
                <w:t>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138">
              <w:r>
                <w:rPr>
                  <w:rStyle w:val="InternetLink"/>
                  <w:rFonts w:ascii="Times New Roman;sans-serif" w:hAnsi="Times New Roman;sans-serif"/>
                  <w:b w:val="false"/>
                  <w:color w:val="0000FF"/>
                  <w:sz w:val="20"/>
                  <w:u w:val="single"/>
                </w:rPr>
                <w:t>Description of Capital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138">
              <w:r>
                <w:rPr>
                  <w:rStyle w:val="InternetLink"/>
                  <w:rFonts w:ascii="Times New Roman;sans-serif" w:hAnsi="Times New Roman;sans-serif"/>
                  <w:b w:val="false"/>
                  <w:color w:val="0000FF"/>
                  <w:sz w:val="20"/>
                  <w:u w:val="single"/>
                </w:rPr>
                <w:t>7</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195">
              <w:r>
                <w:rPr>
                  <w:rStyle w:val="InternetLink"/>
                  <w:rFonts w:ascii="Times New Roman;sans-serif" w:hAnsi="Times New Roman;sans-serif"/>
                  <w:b w:val="false"/>
                  <w:color w:val="0000FF"/>
                  <w:sz w:val="20"/>
                  <w:u w:val="single"/>
                </w:rPr>
                <w:t>Description of Debt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195">
              <w:r>
                <w:rPr>
                  <w:rStyle w:val="InternetLink"/>
                  <w:rFonts w:ascii="Times New Roman;sans-serif" w:hAnsi="Times New Roman;sans-serif"/>
                  <w:b w:val="false"/>
                  <w:color w:val="0000FF"/>
                  <w:sz w:val="20"/>
                  <w:u w:val="single"/>
                </w:rPr>
                <w:t>8</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210">
              <w:r>
                <w:rPr>
                  <w:rStyle w:val="InternetLink"/>
                  <w:rFonts w:ascii="Times New Roman;sans-serif" w:hAnsi="Times New Roman;sans-serif"/>
                  <w:b w:val="false"/>
                  <w:color w:val="0000FF"/>
                  <w:sz w:val="20"/>
                  <w:u w:val="single"/>
                </w:rPr>
                <w:t>Description of Depositary Shares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210">
              <w:r>
                <w:rPr>
                  <w:rStyle w:val="InternetLink"/>
                  <w:rFonts w:ascii="Times New Roman;sans-serif" w:hAnsi="Times New Roman;sans-serif"/>
                  <w:b w:val="false"/>
                  <w:color w:val="0000FF"/>
                  <w:sz w:val="20"/>
                  <w:u w:val="single"/>
                </w:rPr>
                <w:t>16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225">
              <w:r>
                <w:rPr>
                  <w:rStyle w:val="InternetLink"/>
                  <w:rFonts w:ascii="Times New Roman;sans-serif" w:hAnsi="Times New Roman;sans-serif"/>
                  <w:b w:val="false"/>
                  <w:color w:val="0000FF"/>
                  <w:sz w:val="20"/>
                  <w:u w:val="single"/>
                </w:rPr>
                <w:t>Description of Warrants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225">
              <w:r>
                <w:rPr>
                  <w:rStyle w:val="InternetLink"/>
                  <w:rFonts w:ascii="Times New Roman;sans-serif" w:hAnsi="Times New Roman;sans-serif"/>
                  <w:b w:val="false"/>
                  <w:color w:val="0000FF"/>
                  <w:sz w:val="20"/>
                  <w:u w:val="single"/>
                </w:rPr>
                <w:t>19</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240">
              <w:r>
                <w:rPr>
                  <w:rStyle w:val="InternetLink"/>
                  <w:rFonts w:ascii="Times New Roman;sans-serif" w:hAnsi="Times New Roman;sans-serif"/>
                  <w:b w:val="false"/>
                  <w:color w:val="0000FF"/>
                  <w:sz w:val="20"/>
                  <w:u w:val="single"/>
                </w:rPr>
                <w:t>Description of Subscription Rights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240">
              <w:r>
                <w:rPr>
                  <w:rStyle w:val="InternetLink"/>
                  <w:rFonts w:ascii="Times New Roman;sans-serif" w:hAnsi="Times New Roman;sans-serif"/>
                  <w:b w:val="false"/>
                  <w:color w:val="0000FF"/>
                  <w:sz w:val="20"/>
                  <w:u w:val="single"/>
                </w:rPr>
                <w:t>20</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255">
              <w:r>
                <w:rPr>
                  <w:rStyle w:val="InternetLink"/>
                  <w:rFonts w:ascii="Times New Roman;sans-serif" w:hAnsi="Times New Roman;sans-serif"/>
                  <w:b w:val="false"/>
                  <w:color w:val="0000FF"/>
                  <w:sz w:val="20"/>
                  <w:u w:val="single"/>
                </w:rPr>
                <w:t>Description of Purchase Contracts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255">
              <w:r>
                <w:rPr>
                  <w:rStyle w:val="InternetLink"/>
                  <w:rFonts w:ascii="Times New Roman;sans-serif" w:hAnsi="Times New Roman;sans-serif"/>
                  <w:b w:val="false"/>
                  <w:color w:val="0000FF"/>
                  <w:sz w:val="20"/>
                  <w:u w:val="single"/>
                </w:rPr>
                <w:t>21</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270">
              <w:r>
                <w:rPr>
                  <w:rStyle w:val="InternetLink"/>
                  <w:rFonts w:ascii="Times New Roman;sans-serif" w:hAnsi="Times New Roman;sans-serif"/>
                  <w:b w:val="false"/>
                  <w:color w:val="0000FF"/>
                  <w:sz w:val="20"/>
                  <w:u w:val="single"/>
                </w:rPr>
                <w:t>Description of Units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270">
              <w:r>
                <w:rPr>
                  <w:rStyle w:val="InternetLink"/>
                  <w:rFonts w:ascii="Times New Roman;sans-serif" w:hAnsi="Times New Roman;sans-serif"/>
                  <w:b w:val="false"/>
                  <w:color w:val="0000FF"/>
                  <w:sz w:val="20"/>
                  <w:u w:val="single"/>
                </w:rPr>
                <w:t>22</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285">
              <w:r>
                <w:rPr>
                  <w:rStyle w:val="InternetLink"/>
                  <w:rFonts w:ascii="Times New Roman;sans-serif" w:hAnsi="Times New Roman;sans-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285">
              <w:r>
                <w:rPr>
                  <w:rStyle w:val="InternetLink"/>
                  <w:rFonts w:ascii="Times New Roman;sans-serif" w:hAnsi="Times New Roman;sans-serif"/>
                  <w:b w:val="false"/>
                  <w:color w:val="0000FF"/>
                  <w:sz w:val="20"/>
                  <w:u w:val="single"/>
                </w:rPr>
                <w:t>23</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300">
              <w:r>
                <w:rPr>
                  <w:rStyle w:val="InternetLink"/>
                  <w:rFonts w:ascii="Times New Roman;sans-serif" w:hAnsi="Times New Roman;sans-serif"/>
                  <w:b w:val="false"/>
                  <w:color w:val="0000FF"/>
                  <w:sz w:val="20"/>
                  <w:u w:val="singl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300">
              <w:r>
                <w:rPr>
                  <w:rStyle w:val="InternetLink"/>
                  <w:rFonts w:ascii="Times New Roman;sans-serif" w:hAnsi="Times New Roman;sans-serif"/>
                  <w:b w:val="false"/>
                  <w:color w:val="0000FF"/>
                  <w:sz w:val="20"/>
                  <w:u w:val="single"/>
                </w:rPr>
                <w:t>26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315">
              <w:r>
                <w:rPr>
                  <w:rStyle w:val="InternetLink"/>
                  <w:rFonts w:ascii="Times New Roman;sans-serif" w:hAnsi="Times New Roman;sans-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315">
              <w:r>
                <w:rPr>
                  <w:rStyle w:val="InternetLink"/>
                  <w:rFonts w:ascii="Times New Roman;sans-serif" w:hAnsi="Times New Roman;sans-serif"/>
                  <w:b w:val="false"/>
                  <w:color w:val="0000FF"/>
                  <w:sz w:val="20"/>
                  <w:u w:val="single"/>
                </w:rPr>
                <w:t>26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331">
              <w:r>
                <w:rPr>
                  <w:rStyle w:val="InternetLink"/>
                  <w:rFonts w:ascii="Times New Roman;sans-serif" w:hAnsi="Times New Roman;sans-serif"/>
                  <w:b w:val="false"/>
                  <w:color w:val="0000FF"/>
                  <w:sz w:val="20"/>
                  <w:u w:val="single"/>
                </w:rPr>
                <w:t>Where You Can Find More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331">
              <w:r>
                <w:rPr>
                  <w:rStyle w:val="InternetLink"/>
                  <w:rFonts w:ascii="Times New Roman;sans-serif" w:hAnsi="Times New Roman;sans-serif"/>
                  <w:b w:val="false"/>
                  <w:color w:val="0000FF"/>
                  <w:sz w:val="20"/>
                  <w:u w:val="single"/>
                </w:rPr>
                <w:t>26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7088f63bd4c7784a8b6dba99aa1f7_346">
              <w:r>
                <w:rPr>
                  <w:rStyle w:val="InternetLink"/>
                  <w:rFonts w:ascii="Times New Roman;sans-serif" w:hAnsi="Times New Roman;sans-serif"/>
                  <w:b w:val="false"/>
                  <w:color w:val="0000FF"/>
                  <w:sz w:val="20"/>
                  <w:u w:val="single"/>
                </w:rPr>
                <w:t>Incorporation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346">
              <w:r>
                <w:rPr>
                  <w:rStyle w:val="InternetLink"/>
                  <w:rFonts w:ascii="Times New Roman;sans-serif" w:hAnsi="Times New Roman;sans-serif"/>
                  <w:b w:val="false"/>
                  <w:color w:val="0000FF"/>
                  <w:sz w:val="20"/>
                  <w:u w:val="single"/>
                </w:rPr>
                <w:t>27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ABOUT THIS PROSPECTUS SUPPLEMENT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prospectus supplement is part of a shelf registration statement on Form S-3 that we filed with the Securities and Exchange Commission (the “SEC”). Under this shelf registration process, we may sell any combination of the securities described in our base prospectus included in the shelf registration statement in one or more offerings up to a total aggregate offering price of $300,000,000. The $125,000,000 of common stock that may be offered, issued and sold under this prospectus is included in the $300,000,000 of securities that may be offered, issued and sold by us pursuant to our shelf registration statement.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rely only on the information contained in, or incorporated by reference into, this prospectus supplement, the accompanying prospectus and in any free writing prospectus that we may authorize for use in connection with this offering. We have not, and TD Cowen has not, authorized any other person to provide you with different or additional information. If anyone provides you with different or inconsistent information, you should not rely on it. We are not, and TD Cowen is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 of this prospectus supplement entitled “Incorporation of Certain Documents by Reference” and in the section of the accompanying base prospectus entitled “Where You Can Find More Information.”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offering to sell, and seeking offers to buy, shares of common stock only in jurisdictions where offers and sales are permitted. The distribution of this prospectus supplement and the offering of our common stock in certain jurisdictions may be restricted by law. Persons outside the United States who come into possession of this prospectus supplement must inform themselves about, and observe any restrictions relating to, the offering of our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this prospectus supplement, unless the context otherwise requires, the terms “Nautilus Biotechnology,” “Nautilus,” “Company,” “we,” “us,” “our” and similar terms refer to Nautilus Biotechnology, Inc., a Delaware corporation, and where appropriate, our wholly-owned subsidiaries.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prospectus supplement and the information incorporated herein or therein by reference include trademarks, service marks and trade names owned by us or other companies. Solely for convenience, trademarks, service marks, and trade names,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 names, service marks, or trademarks to imply a relationship with, or endorsement or sponsorship of us by, any other companies. All trademarks, service marks and trade names included or incorporated by reference in this prospectus supplement are the property of their respective owners.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MARKET, INDUSTRY AND OTHER DATA</w:t>
      </w:r>
    </w:p>
    <w:p>
      <w:pPr>
        <w:pStyle w:val="TextBody"/>
        <w:bidi w:val="0"/>
        <w:spacing w:lineRule="auto" w:line="288" w:before="0" w:after="180"/>
        <w:jc w:val="left"/>
        <w:rPr/>
      </w:pPr>
      <w:r>
        <w:rPr>
          <w:rFonts w:ascii="Times New Roman;sans-serif" w:hAnsi="Times New Roman;sans-serif"/>
          <w:b w:val="false"/>
          <w:color w:val="000000"/>
          <w:sz w:val="20"/>
        </w:rPr>
        <w:t>We obtained the industry and market data used throughout this prospectus supplement, the accompanying prospectus and the documents incorporated by reference herein and therein from our own internal estimates and research, as well as from independent market research, industry and general publications and surveys, governmental agencies, publicly available information and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addition, while we believe the industry and market data included in this prospectus supplement, the accompanying prospectus and the documents incorporated by reference herein and therein is reliable and based on reasonable assumptions, such data involve material risks and other uncertainties and are subject to change based on various factors, including those discussed in the section entitled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These and other factors could cause results to differ materially from those expressed in the estimates made by the independent parties or by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 xml:space="preserve">PROSPECTUS SUPPLEMENT SUMMARY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This summary highlights selected information contained elsewhere in this prospectus supplement or incorporated by reference in this prospectus supplement, and does not contain all of the information that you need to consider in making your investment decision. You should carefully read this entire prospectus supplement, the accompanying prospectus and any related free writing prospectus, including the risks of investing in our securities discussed under the heading “Risk Factors” contained in this prospectus supplement and any related free writing prospectus, and under similar headings in the other documents that are incorporated by reference into this prospectus supplement and the accompanying base prospectus. You should also carefully read the information incorporated by reference into this prospectus supplement, including our financial statements, and the exhibits to the registration statement of which this prospectus supplement is a part.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leveraging our novel design coupled with advanced machine learning software, we believe our Nautilus platform, which includes our end-to-end solution comprised of the proteome analysis system, consumables, and software, has the potential to rapidly and reproducibly identify up to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Implications of Being an Emerging Growth Company and Smaller Reporting Company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until December 31, 2025 or until we otherwise no longer qualify as an “emerging growth company,” whichever is earlier. We will cease to be an emerging growth company prior to the end of such period if certain earlier events occur, including if we become a “large accelerated filer” as defined in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S-3</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Rule 12b-2 under the Securities Exchange Act of 1934, as amended, or Exchange Act, our annual gross revenues exceed $1.235 billion or we issue more than $1.0 billion of non-convertible debt in any three-year period.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Corporate Information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were incorporated as a Cayman Islands exempted company in March 2020 as a blank check company under the name ARYA Sciences Acquisition Corp III (“ARYA”). On June 9, 2021, we consummated a business combination (the “Business Combination”) pursuant to the terms of that certain Business Combination Agreement, dated as of February 7, 2021 (the “Business Combination Agreement”), by and among ARYA, Mako Merger Sub, Inc., a Delaware corporation and wholly-owned subsidiary of ARYA, and Nautilus Subsidiary, Inc., a Delaware corporation (f/k/a Nautilus Biotechnology, Inc.). Pursuant to the terms of the Business Combination Agreement, (i) we changed our jurisdiction of incorporation by deregistering as a Cayman Islands exempted company and continuing and domesticating as a corporation incorporated under the laws of the State of Delaware, upon which we changed our name to Nautilus Biotechnology,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offices are located at 2701 Eastlake Avenue East, Seattle, Washington 98102, and our telephone number is (206) 333-2001. Our investor relations website is located at https://investors.nautilus.bio/. Information contained on the website is not incorporated by reference into this prospectus supplement or any other filings we make with the SEC.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in addition to following press releases, SEC filings and public conference calls and webcasts. We also make available, free of charge, on our investor relations website under “Financial Information—SEC Filings,” our Annual Reports on Form 10-K, Quarterly Reports on Form 10-Q, Current Reports on Form 8-K and amendments to these reports as soon as reasonably practicable after electronically filing or furnishing those reports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 xml:space="preserve">The Offering </w:t>
      </w:r>
    </w:p>
    <w:tbl>
      <w:tblPr>
        <w:tblW w:w="10205" w:type="dxa"/>
        <w:jc w:val="left"/>
        <w:tblInd w:w="0" w:type="dxa"/>
        <w:tblLayout w:type="fixed"/>
        <w:tblCellMar>
          <w:top w:w="28" w:type="dxa"/>
          <w:left w:w="28" w:type="dxa"/>
          <w:bottom w:w="28" w:type="dxa"/>
          <w:right w:w="28" w:type="dxa"/>
        </w:tblCellMar>
      </w:tblPr>
      <w:tblGrid>
        <w:gridCol w:w="730"/>
        <w:gridCol w:w="459"/>
        <w:gridCol w:w="463"/>
        <w:gridCol w:w="2719"/>
        <w:gridCol w:w="2414"/>
        <w:gridCol w:w="3420"/>
      </w:tblGrid>
      <w:tr>
        <w:trPr/>
        <w:tc>
          <w:tcPr>
            <w:tcW w:w="73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3420" w:type="dxa"/>
            <w:tcBorders/>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Offered by Us</w:t>
            </w:r>
          </w:p>
        </w:tc>
        <w:tc>
          <w:tcPr>
            <w:tcW w:w="85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Shares of common stock having an aggregate offering price of up to $125,000,000.</w:t>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Outstanding After this Offering</w:t>
            </w:r>
          </w:p>
        </w:tc>
        <w:tc>
          <w:tcPr>
            <w:tcW w:w="85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Up to 42,517,006 shares, assuming sales at a price of $2.94 per share, which was the closing price of our common stock on Nasdaq on February 27, 2024. The actual number of shares issued will vary depending on the sales price under this offering.</w:t>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Manner of Offering</w:t>
            </w:r>
          </w:p>
        </w:tc>
        <w:tc>
          <w:tcPr>
            <w:tcW w:w="85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ans-serif" w:hAnsi="Times New Roman;sans-serif"/>
                <w:b w:val="false"/>
                <w:color w:val="000000"/>
                <w:sz w:val="20"/>
              </w:rPr>
              <w:t>At the market” offering that may be made from time to time through our sales agent, TD Cowen. See “</w:t>
            </w:r>
            <w:hyperlink w:anchor="i3777088f63bd4c7784a8b6dba99aa1f7_1076">
              <w:r>
                <w:rPr>
                  <w:rStyle w:val="InternetLink"/>
                  <w:rFonts w:ascii="Times New Roman;sans-serif" w:hAnsi="Times New Roman;sans-serif"/>
                  <w:b w:val="false"/>
                  <w:color w:val="0000FF"/>
                  <w:sz w:val="20"/>
                  <w:u w:val="single"/>
                </w:rPr>
                <w:t>Plan of Distribution</w:t>
              </w:r>
            </w:hyperlink>
            <w:r>
              <w:rPr>
                <w:color w:val="000000"/>
              </w:rPr>
              <w:t xml:space="preserve">” </w:t>
            </w:r>
            <w:r>
              <w:rPr>
                <w:rFonts w:ascii="Times New Roman;sans-serif" w:hAnsi="Times New Roman;sans-serif"/>
                <w:b w:val="false"/>
                <w:color w:val="000000"/>
                <w:sz w:val="20"/>
              </w:rPr>
              <w:t xml:space="preserve">on page </w:t>
            </w:r>
            <w:hyperlink w:anchor="i3777088f63bd4c7784a8b6dba99aa1f7_1076">
              <w:r>
                <w:rPr>
                  <w:rStyle w:val="InternetLink"/>
                  <w:rFonts w:ascii="Times New Roman;sans-serif" w:hAnsi="Times New Roman;sans-serif"/>
                  <w:b w:val="false"/>
                  <w:color w:val="000080"/>
                  <w:sz w:val="20"/>
                  <w:u w:val="single"/>
                </w:rPr>
                <w:t>S-</w:t>
              </w:r>
            </w:hyperlink>
            <w:hyperlink w:anchor="i3777088f63bd4c7784a8b6dba99aa1f7_1076">
              <w:r>
                <w:rPr>
                  <w:rStyle w:val="InternetLink"/>
                  <w:rFonts w:ascii="Times New Roman;sans-serif" w:hAnsi="Times New Roman;sans-serif"/>
                  <w:b w:val="false"/>
                  <w:color w:val="000080"/>
                  <w:sz w:val="20"/>
                  <w:u w:val="single"/>
                </w:rPr>
                <w:t>14</w:t>
              </w:r>
            </w:hyperlink>
            <w:r>
              <w:rPr>
                <w:color w:val="000000"/>
              </w:rPr>
              <w:t xml:space="preserve"> </w:t>
            </w:r>
            <w:r>
              <w:rPr>
                <w:rFonts w:ascii="Times New Roman;sans-serif" w:hAnsi="Times New Roman;sans-serif"/>
                <w:b w:val="false"/>
                <w:color w:val="000000"/>
                <w:sz w:val="20"/>
              </w:rPr>
              <w:t>of this prospectus supplement.</w:t>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 of Proceeds</w:t>
            </w:r>
          </w:p>
        </w:tc>
        <w:tc>
          <w:tcPr>
            <w:tcW w:w="85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shd w:fill="FFFFFF" w:val="clear"/>
              </w:rPr>
              <w:t>Our management will retain broad discretion regarding the allocation and use of the net proceeds from this offering. We currently intend to use the net proceeds from this offering, if any, for general corporate purposes and working capital, including for continued product development of our proteomics platform, other research and development activities, and commercialization of our proteomics platform. See “</w:t>
            </w:r>
            <w:hyperlink w:anchor="i3777088f63bd4c7784a8b6dba99aa1f7_1031">
              <w:r>
                <w:rPr>
                  <w:rStyle w:val="InternetLink"/>
                  <w:rFonts w:ascii="Times New Roman;sans-serif" w:hAnsi="Times New Roman;sans-serif"/>
                  <w:b w:val="false"/>
                  <w:color w:val="0000FF"/>
                  <w:sz w:val="20"/>
                  <w:u w:val="single"/>
                  <w:shd w:fill="FFFFFF" w:val="clear"/>
                </w:rPr>
                <w:t>Use of Proceeds</w:t>
              </w:r>
            </w:hyperlink>
            <w:r>
              <w:rPr>
                <w:color w:val="000000"/>
                <w:shd w:fill="FFFFFF" w:val="clear"/>
              </w:rPr>
              <w:t xml:space="preserve">” </w:t>
            </w:r>
            <w:r>
              <w:rPr>
                <w:rFonts w:ascii="Times New Roman;sans-serif" w:hAnsi="Times New Roman;sans-serif"/>
                <w:b w:val="false"/>
                <w:color w:val="000000"/>
                <w:sz w:val="20"/>
                <w:shd w:fill="FFFFFF" w:val="clear"/>
              </w:rPr>
              <w:t xml:space="preserve">on page </w:t>
            </w:r>
            <w:hyperlink w:anchor="i3777088f63bd4c7784a8b6dba99aa1f7_1031">
              <w:r>
                <w:rPr>
                  <w:rStyle w:val="InternetLink"/>
                  <w:rFonts w:ascii="Times New Roman;sans-serif" w:hAnsi="Times New Roman;sans-serif"/>
                  <w:b w:val="false"/>
                  <w:color w:val="000080"/>
                  <w:sz w:val="20"/>
                  <w:u w:val="single"/>
                  <w:shd w:fill="FFFFFF" w:val="clear"/>
                </w:rPr>
                <w:t>S-</w:t>
              </w:r>
            </w:hyperlink>
            <w:hyperlink w:anchor="i3777088f63bd4c7784a8b6dba99aa1f7_1031">
              <w:r>
                <w:rPr>
                  <w:rStyle w:val="InternetLink"/>
                  <w:rFonts w:ascii="Times New Roman;sans-serif" w:hAnsi="Times New Roman;sans-serif"/>
                  <w:b w:val="false"/>
                  <w:color w:val="000080"/>
                  <w:sz w:val="20"/>
                  <w:u w:val="single"/>
                  <w:shd w:fill="FFFFFF" w:val="clear"/>
                </w:rPr>
                <w:t>10</w:t>
              </w:r>
            </w:hyperlink>
            <w:r>
              <w:rPr>
                <w:color w:val="000000"/>
                <w:shd w:fill="FFFFFF" w:val="clear"/>
              </w:rPr>
              <w:t xml:space="preserve"> </w:t>
            </w:r>
            <w:r>
              <w:rPr>
                <w:rFonts w:ascii="Times New Roman;sans-serif" w:hAnsi="Times New Roman;sans-serif"/>
                <w:b w:val="false"/>
                <w:color w:val="000000"/>
                <w:sz w:val="20"/>
                <w:shd w:fill="FFFFFF" w:val="clear"/>
              </w:rPr>
              <w:t xml:space="preserve">of this prospectus </w:t>
            </w:r>
            <w:r>
              <w:rPr>
                <w:rFonts w:ascii="Times New Roman;sans-serif" w:hAnsi="Times New Roman;sans-serif"/>
                <w:b w:val="false"/>
                <w:color w:val="000000"/>
                <w:sz w:val="20"/>
              </w:rPr>
              <w:t>supplement</w:t>
            </w:r>
            <w:r>
              <w:rPr>
                <w:rFonts w:ascii="Times New Roman;sans-serif" w:hAnsi="Times New Roman;sans-serif"/>
                <w:b w:val="false"/>
                <w:color w:val="000000"/>
                <w:sz w:val="20"/>
                <w:shd w:fill="FFFFFF" w:val="clear"/>
              </w:rPr>
              <w:t>.</w:t>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85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Investing in our common stock involves a high degree of risk. See “</w:t>
            </w:r>
            <w:hyperlink w:anchor="i3777088f63bd4c7784a8b6dba99aa1f7_984">
              <w:r>
                <w:rPr>
                  <w:rStyle w:val="InternetLink"/>
                  <w:rFonts w:ascii="Times New Roman;sans-serif" w:hAnsi="Times New Roman;sans-serif"/>
                  <w:b w:val="false"/>
                  <w:color w:val="0000FF"/>
                  <w:sz w:val="20"/>
                  <w:u w:val="single"/>
                </w:rPr>
                <w:t>Risk Factors</w:t>
              </w:r>
            </w:hyperlink>
            <w:r>
              <w:rPr>
                <w:color w:val="000000"/>
              </w:rPr>
              <w:t xml:space="preserve">” </w:t>
            </w:r>
            <w:r>
              <w:rPr>
                <w:rFonts w:ascii="Times New Roman;sans-serif" w:hAnsi="Times New Roman;sans-serif"/>
                <w:b w:val="false"/>
                <w:color w:val="000000"/>
                <w:sz w:val="20"/>
              </w:rPr>
              <w:t xml:space="preserve">beginning on page </w:t>
            </w:r>
            <w:hyperlink w:anchor="i3777088f63bd4c7784a8b6dba99aa1f7_984">
              <w:r>
                <w:rPr>
                  <w:rStyle w:val="InternetLink"/>
                  <w:rFonts w:ascii="Times New Roman;sans-serif" w:hAnsi="Times New Roman;sans-serif"/>
                  <w:b w:val="false"/>
                  <w:color w:val="000080"/>
                  <w:sz w:val="20"/>
                  <w:u w:val="single"/>
                </w:rPr>
                <w:t>S-</w:t>
              </w:r>
            </w:hyperlink>
            <w:hyperlink w:anchor="i3777088f63bd4c7784a8b6dba99aa1f7_984">
              <w:r>
                <w:rPr>
                  <w:rStyle w:val="InternetLink"/>
                  <w:rFonts w:ascii="Times New Roman;sans-serif" w:hAnsi="Times New Roman;sans-serif"/>
                  <w:b w:val="false"/>
                  <w:color w:val="000080"/>
                  <w:sz w:val="20"/>
                  <w:u w:val="single"/>
                </w:rPr>
                <w:t>6</w:t>
              </w:r>
            </w:hyperlink>
            <w:r>
              <w:rPr>
                <w:color w:val="000000"/>
              </w:rPr>
              <w:t xml:space="preserve"> </w:t>
            </w:r>
            <w:r>
              <w:rPr>
                <w:rFonts w:ascii="Times New Roman;sans-serif" w:hAnsi="Times New Roman;sans-serif"/>
                <w:b w:val="false"/>
                <w:color w:val="000000"/>
                <w:sz w:val="20"/>
              </w:rPr>
              <w:t>of this prospectus supplement and the other information included in, or incorporated by reference into, this prospectus supplement for a discussion of certain factors that you should carefully consider before deciding to invest in shares of our common stock.</w:t>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 symbol</w:t>
            </w:r>
          </w:p>
        </w:tc>
        <w:tc>
          <w:tcPr>
            <w:tcW w:w="85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NAUT”</w:t>
            </w:r>
          </w:p>
        </w:tc>
      </w:tr>
    </w:tbl>
    <w:p>
      <w:pPr>
        <w:pStyle w:val="TextBody"/>
        <w:bidi w:val="0"/>
        <w:spacing w:lineRule="auto" w:line="288" w:before="0" w:after="180"/>
        <w:jc w:val="left"/>
        <w:rPr/>
      </w:pPr>
      <w:r>
        <w:rPr>
          <w:rFonts w:ascii="Times New Roman;sans-serif" w:hAnsi="Times New Roman;sans-serif"/>
          <w:b w:val="false"/>
          <w:color w:val="000000"/>
          <w:sz w:val="20"/>
        </w:rPr>
        <w:t xml:space="preserve">The number of shares of common stock to be outstanding after this offering is based on </w:t>
      </w:r>
      <w:r>
        <w:rPr>
          <w:rFonts w:ascii="Times New Roman;sans-serif" w:hAnsi="Times New Roman;sans-serif"/>
          <w:b w:val="false"/>
          <w:color w:val="000000"/>
          <w:sz w:val="20"/>
          <w:shd w:fill="FFFFFF" w:val="clear"/>
        </w:rPr>
        <w:t xml:space="preserve">125,068,601 </w:t>
      </w:r>
      <w:r>
        <w:rPr>
          <w:rFonts w:ascii="Times New Roman;sans-serif" w:hAnsi="Times New Roman;sans-serif"/>
          <w:b w:val="false"/>
          <w:color w:val="000000"/>
          <w:sz w:val="20"/>
        </w:rPr>
        <w:t>shares of common stock outstanding as of December 31, 2023 and excludes, in each case as of December 31, 2023:</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5,678,766 shares of our common stock issuable upon the exercise of stock options to purchase shares of common stock under the Nautilus Subsidiary, Inc. 2017 Equity Incentive Plan (the “2017 Plan”), with a weighted average exercise price of $3.56 per share;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8,997,569 shares of our common stock issuable upon the exercise of stock options to purchase shares of common stock under our 2021 Equity Incentive Plan (the “2021 Plan”), with a weighted average exercise price of $3.67 per share;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97,800 shares of common stock issuable upon the exercise of stock options granted subsequent to December 31, 2023, with a weighted average exercise price of $2.82 per share;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20,279,560 shares of common stock reserved for future issuance under our 2021 Plan, and any future automatic increase in shares reserved for issuance under such plan;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3,505,138 shares of common stock reserved for future issuance under our 2021 Employee Stock Purchase Plan (the “2021 ESPP”), and any future automatic increase in shares reserved for issuance under such plan.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all information in this prospectus supplement assumes no exercise of outstanding options after December 31, 2023.</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share numbers set forth above also exclude (i) the automatic increases in the shares reserved under the 2021 Plan and the 2021 ESPP that were effective January 1, 2024, and (ii) 1,890,000 shares issuable upon the exercise of stock options under our 2021 Plan became effective on March 1, 2024, with a per share exercise price of $2.72.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S-5</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 xml:space="preserve">RISK FACTORS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in our common stock involves risk. You should carefully consider the specific risks discussed below, together with all the other information contained in the prospectus supplement, accompanying prospectus or incorporated by reference into this prospectus supplement. You should also consider the risks, uncertainties and assumptions discussed under the caption “Risk Factors” included in our Annual Report on Form 10-K for the year ended December 31, 2023, and in subsequent filings, which are incorporated by reference into this prospectus supplement. These risk factors may be amended, supplemented or superseded from time to time by other reports we file with the SEC in the future.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additional risks and uncertainties actually occur, our business, financial condition and results of operations could be materially and adversely affected. In that case, the trading price of our securities could decline and you might lose all or part of your investment.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This Offering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We have broad discretion in the use of the net proceeds from this offering.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will have broad discretion in the application of the net proceeds from this offering and could spend the proceeds in ways with which you may not agree. Accordingly, you will be relying on the judgment of our management with regard to the use of the net proceeds, and you will not have the opportunity, as part of your investment decision, to assess whether the proceeds are being used appropriately. It is possible that the net proceeds will be invested or otherwise used in a way that does not yield a favorable, or any, return for the Company.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Investors in this offering may experience immediate and substantial dilution in the net tangible book value per share of the common stock they purchase.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shares sold in this offering, if any, will be sold from time to time at various prices. The price per share of our common stock being offered may be higher than the net tangible book value per share of our common stock, and as such, you may suffer substantial dilution in the net tangible book value of the common stock you purchase in this offering. In addition, we have a number of options outstanding. If the holders of these options exercise such options, you may incur further dilution.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Our stockholders may experience significant dilution as a result of future equity offerings and exercise of outstanding options.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have a number of securities outstanding allowing the purchase of our common stock. As of December 31, 2023, 20,279,560 shares of our common stock were reserved for future issuance under our 2021 Plan and 3,505,138 shares of our common stock were reserved for future issuance under our 2021 ESPP. As of December 31, 2023, there were also options to purchase 14,676,335 shares of our common stock outstanding. The exercise of outstanding options having an exercise price per share that is less than the offering price per share in this offering will result in dilution to investors in this offering.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S-6</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It is not possible to predict the actual number of shares we will sell under the sales agreement or aggregate proceeds resulting from sales made under the sales agreement.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certain limitations in the sales agreement and compliance with applicable law, we have the discretion to deliver a placement notice to TD Cowen at any time throughout the term of the sales agreement. The number of shares that are sold through or to TD Cowen after delivering a placement notice will fluctuate based on a number of factors, including the market price of our common stock during the sales period, any limits we may set with TD Cowen in any applicable placement notice and the demand for our common stock. Because the price per share of each share sold pursuant to the sales agreement will fluctuate over time, it is not currently possible to predict the actual number of shares that will be sold or the aggregate proceeds to be raised in connection with sales under the sales agreement.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The common stock offered hereby will be sold in “at-the-market offerings” and investors who buy shares at different times will likely pay different prices.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We do not intend to pay dividends on our common stock, so any returns will be limited to the value of our stock.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or paid cash dividends on shares of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S-7</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 xml:space="preserve">SPECIAL NOTE REGARDING FORWARD-LOOKING STATEMENTS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prospectus supplement includes and incorporates by reference “forward-looking statements” within the meaning of the U.S. Private Securities Litigation Reform Act of 1995 and releases issued by the SEC and within the meaning of Section 27A of the Securities Act, and Section 21E of the Exchange Act. Any statements contained herein that are not statements of historical facts may be deemed to be forward-looking statements.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some cases, you can identify forward-looking statements by terminology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about the following: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dependence on the success of our proteomics platform (the “Nautilus platform”), which remains in the development stage and subject to scientific and technical validation;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expectations regarding the timing and progress of the development of the Nautilus platform and any commercialization timeline;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expectations regarding the functionality of the Nautilus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estimates of our addressable market, market growth, future revenue, key performance indicators, expenses, capital requirements and needs for additional financing;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expectations regarding the rate and degree of market acceptance of the Nautilus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impact of the Nautilus platform on the field of proteomics and the size and growth of the addressable proteomics market;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manage and grow our business and commercialize our Nautilus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successfully implement our three phase commercial launch plan;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implementation of our business model and strategic plans for the Nautilus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establish and maintain intellectual property protection for our products or avoid or defend claims of infringement;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expectations regarding the use of proceeds from the Business Combination;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performance of third-party partners, manufacturers and suppliers;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in applicable laws or regulations;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raise financing in the future;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success in retaining or recruiting, or changes required in, our officers, key employees or directors or other key personnel;</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volatility of the trading price of our common stock;</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develop and commercialize new products;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expectations about market trends;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impact of local, regional, national and international economic conditions and events including the COVID-19 pandemic, the conflicts in Eastern Europe and the Middle East, increasing interest rates, instability in the global financial markets and general economic downturns, on the foregoing;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other factors including but not limited to those detailed under the section entitled “Risk Factors.”</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statements are based on management’s current expectations, estimates, forecasts and projections about our business and industry, are not guarantees of future performance and involve known and unknown risks, uncertainties and other factors that are in some cases beyond our control, and that may cause our actual results, levels of activity, performance or achievements to be materially different from those anticipated by the forward-looking statements. We discuss many of these risks in greater detail in the section entitled “Risk Factors” and elsewhere in this prospectus supplement. You should read these factors and the other cautionary statements made in this prospectus supplement as being applicable to all related forward-looking statements wherever they appear herein or therein. If one or more of these factors materialize, or if any underlying assumptions prove incorrect, our actual results, levels of activity, performance, or achievements may vary materially from any future results, activity, performance, or achievements expressed or implied by these forward-looking statements. We caution readers not to place undue reliance on any forward-looking statements made by us, which speak only as of the date they were made. We undertake no obligation to publicly update any forward-looking statements after the date of this prospectus supplement, whether as a result of new information, future events or otherwise, except as required by law.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read this prospectus supplement, the accompanying prospectus and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S-9</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 xml:space="preserve">USE OF PROCEEDS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issue and sell shares of our common stock having an aggregate sales proceeds of up to $125,000,000 from time to time under this prospectus supplement. The amount of proceeds from this offering will depend upon the number of shares of our common stock sold and the market price at which they are sold. There can be no assurance that we will be able to sell any shares under, or fully utilize, the sales agreement with TD Cowen as a source of financing.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prospectus supplement, we cannot predict with certainty all of the particular uses for the net proceeds to be received. We currently intend to use the net proceeds from this offering, if any, for general corporate purposes and working capital, including for continued product development of our proteomics platform, other research and development activities, and commercialization of our proteomics platform. The amounts and timing of our actual expenditures and the extent of our research and development activities may vary significantly depending on numerous factors, including the actual net proceeds from this offering (which will depend on the market price of our common stock during the sales period, any limits we may set with TD Cowen in any applicable placement notice and the demand for our common stock), the progress of our development efforts, the timing and costs associated with the manufacture and supply of any of our product candidates and any unforeseen cash needs, including the factors described under “Risk Factors” in this prospectus supplement and in the documents incorporated by reference herein. As a result, our management will have broad discretion over the use of the net proceeds from this offering.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Pending the uses described above, we intend to invest the net proceeds from this offering in interest-bearing, investment-grade securities, certificates of deposit or government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S-10</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never declared or paid any cash dividends on shares of our common stock. We anticipate that we will retain all of our future earnings to advance the development of expansion of our business, and do not anticipate paying any cash dividends on shares of our common stock in the foreseeable future. Any future determination to declare cash dividends on shares of our common stock will be made at the discretion of our board of directors, subject to applicable law and contractual restrictions and will depend on its financial condition, results of operations, capital requirements, general business conditions and other factors that our board of directors may deem relevant.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S-11</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DILUTION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net tangible book value as of December 31, 2023, was approximately $265.4 million, or $2.12 per share. Net tangible book value per share is determined by dividing our total tangible assets, less total liabilities, by the number of shares of our common stock outstanding as of December 31, 2023. Dilution in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After giving effect to the sale of our common stock in the aggregate amount of $125.0 million in this offering at an assumed offering price of $2.94, the last reported sale price of our common stock on Nasdaq on February 27, 2024, and after deducting commissions and estimated aggregate offering expenses payable by us, our as adjusted net tangible book value as of December 31, 2023, would have been approximately $385.9 million, or $2.30 per share. This represents an immediate increase in net tangible book value of $0.18 per share to existing stockholders and immediate dilution in net tangible book value of $0.64 per share to new investors purchasing our common stock in this offering. The following table illustrates this dilution on a per share basis:</w:t>
      </w:r>
    </w:p>
    <w:tbl>
      <w:tblPr>
        <w:tblW w:w="10205" w:type="dxa"/>
        <w:jc w:val="left"/>
        <w:tblInd w:w="0" w:type="dxa"/>
        <w:tblLayout w:type="fixed"/>
        <w:tblCellMar>
          <w:top w:w="28" w:type="dxa"/>
          <w:left w:w="28" w:type="dxa"/>
          <w:bottom w:w="28" w:type="dxa"/>
          <w:right w:w="28" w:type="dxa"/>
        </w:tblCellMar>
      </w:tblPr>
      <w:tblGrid>
        <w:gridCol w:w="2990"/>
        <w:gridCol w:w="2580"/>
        <w:gridCol w:w="2600"/>
        <w:gridCol w:w="211"/>
        <w:gridCol w:w="511"/>
        <w:gridCol w:w="109"/>
        <w:gridCol w:w="109"/>
        <w:gridCol w:w="109"/>
        <w:gridCol w:w="109"/>
        <w:gridCol w:w="211"/>
        <w:gridCol w:w="511"/>
        <w:gridCol w:w="155"/>
      </w:tblGrid>
      <w:tr>
        <w:trPr/>
        <w:tc>
          <w:tcPr>
            <w:tcW w:w="2990"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public offering price per share</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tangible book value per share as of December 31,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net tangible book value per share attributable to new investors purchasing shares of common stock in this offering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adjusted net tangible book value per share as of December 31, 2023, after giving effect to this offering</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Dilution per share to investors purchasing our common stock in this offering</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20"/>
          <w:shd w:fill="FFFFFF" w:val="clear"/>
        </w:rPr>
        <w:t>The dilution per share in the table above is illustrative only and will adjust based on the actual price to the public, the actual number of shares sold and other terms of the offering determined at the time shares of our common stock are sold pursuant to this prospectus supplement.</w:t>
      </w:r>
      <w:r>
        <w:rPr>
          <w:color w:val="000000"/>
        </w:rPr>
        <w:t xml:space="preserve"> </w:t>
      </w:r>
      <w:r>
        <w:rPr>
          <w:rFonts w:ascii="Times New Roman;sans-serif" w:hAnsi="Times New Roman;sans-serif"/>
          <w:b w:val="false"/>
          <w:color w:val="000000"/>
          <w:sz w:val="20"/>
        </w:rPr>
        <w:t>The shares sold in this offering, if any, will be sold from time to time at various prices. An increase of $1.00 per share in the price at which the shares are sold from the assumed offering price of $2.94 per share shown in the table above, assuming all of our common stock in the aggregate amount of $125.0 million is sold at that price, would cause our as adjusted net tangible book value per share after the offering to be $2.46 per share and would increase the dilution in net tangible book value per share to new investors to $1.48 per share, after deducting commissions and estimated aggregate offering expenses payable by us. A decrease of $1.00 per share in the price at which the shares are sold from the assumed offering price of $2.94 per share shown in the table above, assuming all of our common stock in the aggregate amount of $125.0 million is sold at that price, would cause our as adjusted net tangible book value per share after the offering to be $2.04 per share and would decrease the dilution in net tangible book value per share to new investors to $0.10 per share, after deducting commissions and estimated aggregate offering expenses payable by 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that outstanding options are exercised, investors purchasing our common stock in this offering will experience further dilution. In addition, to the extent that we raise additional capital through the sale of equity or convertible debt securities, the issuance of these securities could result in further dilution to our stockholders.</w:t>
      </w:r>
    </w:p>
    <w:p>
      <w:pPr>
        <w:pStyle w:val="TextBody"/>
        <w:bidi w:val="0"/>
        <w:spacing w:lineRule="auto" w:line="288" w:before="0" w:after="180"/>
        <w:jc w:val="left"/>
        <w:rPr/>
      </w:pPr>
      <w:r>
        <w:rPr>
          <w:rFonts w:ascii="Times New Roman;sans-serif" w:hAnsi="Times New Roman;sans-serif"/>
          <w:b w:val="false"/>
          <w:color w:val="000000"/>
          <w:sz w:val="20"/>
        </w:rPr>
        <w:t xml:space="preserve">The above table and discussion of shares of our common stock that will be outstanding after this offering is based on </w:t>
      </w:r>
      <w:r>
        <w:rPr>
          <w:rFonts w:ascii="Times New Roman;sans-serif" w:hAnsi="Times New Roman;sans-serif"/>
          <w:b w:val="false"/>
          <w:color w:val="000000"/>
          <w:sz w:val="20"/>
          <w:shd w:fill="FFFFFF" w:val="clear"/>
        </w:rPr>
        <w:t>125,068,601</w:t>
      </w:r>
      <w:r>
        <w:rPr>
          <w:color w:val="000000"/>
        </w:rPr>
        <w:t xml:space="preserve"> </w:t>
      </w:r>
      <w:r>
        <w:rPr>
          <w:rFonts w:ascii="Times New Roman;sans-serif" w:hAnsi="Times New Roman;sans-serif"/>
          <w:b w:val="false"/>
          <w:color w:val="000000"/>
          <w:sz w:val="20"/>
        </w:rPr>
        <w:t>shares of our common stock outstanding as of December 31, 2023, and excludes, in each case as of December 31, 2023:</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5,678,766 shares of our common stock issuable upon the exercise of stock options to purchase shares of common stock under the 2017 Plan, with a weighted average exercise price of $3.56 per share;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8,997,569 shares of our common stock issuable upon the exercise of stock options to purchase shares of common stock under our 2021 Plan, with a weighted average exercise price of $3.67 per share;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97,800 shares of common stock issuable upon the exercise of stock options granted subsequent to December 31, 2023, with a weighted average exercise price of $2.82 per share;</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S-12</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20,279,560 shares of common stock reserved for future issuance under our 2021 Plan, and any future automatic increase in shares reserved for issuance under such plan;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3,505,138 shares of common stock reserved for future issuance under our 2021 ESPP, and any future automatic increase in shares reserved for issuance under such plan.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all information in this prospectus supplement assumes no exercise of outstanding options after December 31, 2023.</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share numbers set forth above also exclude (i) the automatic increases in the shares reserved under the 2021 Plan and the 2021 ESPP that were effective January 1, 2024, and (ii) 1,890,000 shares issuable upon the exercise of stock options granted under our 2021 Plan that became effective on March 1, 2024, with a per share exercise price of $2.72.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S-13</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 xml:space="preserve">PLAN OF DISTRIBUTION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a sales agreement with TD Cowen, under which we may issue and sell from time to time up to $125,000,000 of our common stock through or to TD Cowen as our sales agent or principal. Sales of our common stock, if any, will be made at market prices by any method that is deemed to be an “at the market offering” as defined in Rule 415 under the Securities Act.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TD Cowen will offer our common stock subject to the terms and conditions of the sales agreement on a daily basis or as otherwise agreed upon by us and TD Cowen. We will designate the maximum amount of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common stock requested to be sold by us. We may instruct TD Cowen not to sell common stock if the sales cannot be effected at or above the price designated by us in any such instruction. TD Cowen or we may suspend the offering of our common stock being made through TD Cowen under the sales agreement upon proper notice to the other party. TD Cowen and we each have the right, by giving written notice as specified in the sales agreement, to terminate the sales agreement in each party’s sole discretion at any time.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compensation payable to TD Cowen as sales agent equals up to 3.0% of the gross sales price of the shares sold through it pursuant to the sales agreement. We have also agreed to reimburse TD Cowen up to $75,000 of TD Cowen’s actual outside legal expenses incurred by TD Cowen in connection with this offering. We estimate that the total expenses of the offering payable by us, excluding commissions payable to TD Cowen under the sales agreement, will be approximately $0.7 million.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TD Cowen will provide written confirmation to us following the close of trading on The Nasdaq Global Select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will report at least quarterly the number of shares of common stock sold through TD Cowen under the sales agreement, the net proceeds to us and the compensation paid by us to TD Cowen in connection with the sales of 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Until May 28, 2024, settlement for sales of common stock will occur, unless the parties agree otherwise, on the second business day that is also a trading day following the date on which any sales were made in return for payment of the net proceeds to us. After May 28, 2024, 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sales of our common stock on our behalf, TD Cowen will be deemed to be an “underwriter” within the meaning of the Securities Act, and the compensation paid to TD Cowen will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transactions that stabilizes our 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Select Market and trades under the symbol “NAUT.” The transfer agent of our common stock is Continental Stock Transfer &amp; Trust Company.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TD Cowen and/or its affiliates have provided, and may in the future provide, various investment banking and other financial services for us for which services they have received and, may in the future receive, customary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S-14</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 xml:space="preserve">LEGAL MATTERS </w:t>
      </w:r>
    </w:p>
    <w:p>
      <w:pPr>
        <w:pStyle w:val="TextBody"/>
        <w:bidi w:val="0"/>
        <w:spacing w:lineRule="auto" w:line="288" w:before="0" w:after="180"/>
        <w:jc w:val="left"/>
        <w:rPr/>
      </w:pPr>
      <w:r>
        <w:rPr>
          <w:rFonts w:ascii="Times New Roman;sans-serif" w:hAnsi="Times New Roman;sans-serif"/>
          <w:b w:val="false"/>
          <w:color w:val="000000"/>
          <w:sz w:val="20"/>
        </w:rPr>
        <w:t xml:space="preserve">Certain legal matters in connection with the shares of common stock offered hereby will be passed upon for us by Wilson Sonsini Goodrich &amp; Rosati, Professional Corporation, Palo Alto, California. </w:t>
      </w:r>
      <w:r>
        <w:rPr>
          <w:rFonts w:ascii="Times New Roman;sans-serif" w:hAnsi="Times New Roman;sans-serif"/>
          <w:b w:val="false"/>
          <w:color w:val="000000"/>
          <w:sz w:val="20"/>
          <w:shd w:fill="FFFFFF" w:val="clear"/>
        </w:rPr>
        <w:t>Certain members of, and investment partnerships comprised of members of, and persons associated with, Wilson Sonsini Goodrich &amp; Rosati, Professional Corporation, directly or indirectly own less than 0.2% of the outstanding shares of our common stock.</w:t>
      </w:r>
      <w:r>
        <w:rPr>
          <w:color w:val="000000"/>
        </w:rPr>
        <w:t xml:space="preserve"> </w:t>
      </w:r>
      <w:r>
        <w:rPr>
          <w:rFonts w:ascii="Times New Roman;sans-serif" w:hAnsi="Times New Roman;sans-serif"/>
          <w:b w:val="false"/>
          <w:color w:val="000000"/>
          <w:sz w:val="20"/>
        </w:rPr>
        <w:t xml:space="preserve">TD Cowen is being represented in connection with this offering by Goodwin Procter LLP, New York, New York.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 xml:space="preserve">EXPERTS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statements incorporated in this prospectus supplement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S-15</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WHERE YOU CAN FIND MORE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https://www.nautilus.bio/. Information accessible on or through our website is not incorporated by reference into this prospectus supplement.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is part of a registration statement that we filed with the SEC and does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supplement forms a part or under cover of a Current Report on Form 8-K and incorporated in this prospectus supplement by reference. Statements in this prospectus supplement about these documents are summaries and each statement is qualified in all respects by reference to the document to which it refers. You should read the actual documents for a more complete description of the relevant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 xml:space="preserve">INCORPORATION OF CERTAIN DOCUMENTS BY REFERENCE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is considered to be part of this prospectus.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supplement forms a part is terminated or completed: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Annual Report on </w:t>
      </w:r>
      <w:hyperlink r:id="rId3">
        <w:r>
          <w:rPr>
            <w:rStyle w:val="InternetLink"/>
            <w:rFonts w:ascii="Times New Roman;sans-serif" w:hAnsi="Times New Roman;sans-serif"/>
            <w:b w:val="false"/>
            <w:color w:val="0000FF"/>
            <w:sz w:val="20"/>
            <w:u w:val="single"/>
          </w:rPr>
          <w:t>Form 10-K</w:t>
        </w:r>
      </w:hyperlink>
      <w:r>
        <w:rPr>
          <w:color w:val="000000"/>
        </w:rPr>
        <w:t xml:space="preserve"> </w:t>
      </w:r>
      <w:r>
        <w:rPr>
          <w:rFonts w:ascii="Times New Roman;sans-serif" w:hAnsi="Times New Roman;sans-serif"/>
          <w:b w:val="false"/>
          <w:color w:val="000000"/>
          <w:sz w:val="20"/>
        </w:rPr>
        <w:t>for the year ended December 31, 2023, filed with the SEC on February 28, 2024;</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Item 1.01 and 9.01 Current Report on </w:t>
      </w:r>
      <w:hyperlink r:id="rId4">
        <w:r>
          <w:rPr>
            <w:rStyle w:val="InternetLink"/>
            <w:rFonts w:ascii="Times New Roman;sans-serif" w:hAnsi="Times New Roman;sans-serif"/>
            <w:b w:val="false"/>
            <w:color w:val="0000FF"/>
            <w:sz w:val="20"/>
            <w:u w:val="single"/>
          </w:rPr>
          <w:t>Form 8-K</w:t>
        </w:r>
      </w:hyperlink>
      <w:r>
        <w:rPr>
          <w:color w:val="000000"/>
        </w:rPr>
        <w:t xml:space="preserve"> </w:t>
      </w:r>
      <w:r>
        <w:rPr>
          <w:rFonts w:ascii="Times New Roman;sans-serif" w:hAnsi="Times New Roman;sans-serif"/>
          <w:b w:val="false"/>
          <w:color w:val="000000"/>
          <w:sz w:val="20"/>
        </w:rPr>
        <w:t>filed with the SEC on February 28, 2024;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description of our common stock contained in the Registration Statement on </w:t>
      </w:r>
      <w:hyperlink r:id="rId5">
        <w:r>
          <w:rPr>
            <w:rStyle w:val="InternetLink"/>
            <w:rFonts w:ascii="Times New Roman;sans-serif" w:hAnsi="Times New Roman;sans-serif"/>
            <w:b w:val="false"/>
            <w:color w:val="0000FF"/>
            <w:sz w:val="20"/>
            <w:u w:val="single"/>
          </w:rPr>
          <w:t>Form 8-A</w:t>
        </w:r>
      </w:hyperlink>
      <w:r>
        <w:rPr>
          <w:color w:val="000000"/>
        </w:rPr>
        <w:t xml:space="preserve"> </w:t>
      </w:r>
      <w:r>
        <w:rPr>
          <w:rFonts w:ascii="Times New Roman;sans-serif" w:hAnsi="Times New Roman;sans-serif"/>
          <w:b w:val="false"/>
          <w:color w:val="000000"/>
          <w:sz w:val="20"/>
        </w:rPr>
        <w:t>relating thereto, filed with the SEC on August 6, 2020, including any amendment or report filed for the purpose of updating such description.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You may request a copy of these filings, at no cost, by writing or telephoning us at the following address and telephone number: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Nautilus Biotechnology,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2701 Eastlake Avenue East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Seattle, Washington 98102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Attn: Investor Relations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(206) 333-2001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S-16</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PROSPECTUS</w:t>
      </w:r>
    </w:p>
    <w:p>
      <w:pPr>
        <w:pStyle w:val="TextBody"/>
        <w:bidi w:val="0"/>
        <w:spacing w:before="0" w:after="180"/>
        <w:jc w:val="center"/>
        <w:rPr/>
      </w:pPr>
      <w:r>
        <w:rPr/>
        <w:drawing>
          <wp:inline distT="0" distB="0" distL="0" distR="0">
            <wp:extent cx="2743200" cy="866775"/>
            <wp:effectExtent l="0" t="0" r="0" b="0"/>
            <wp:docPr id="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descr=""/>
                    <pic:cNvPicPr>
                      <a:picLocks noChangeAspect="1" noChangeArrowheads="1"/>
                    </pic:cNvPicPr>
                  </pic:nvPicPr>
                  <pic:blipFill>
                    <a:blip r:embed="rId6"/>
                    <a:stretch>
                      <a:fillRect/>
                    </a:stretch>
                  </pic:blipFill>
                  <pic:spPr bwMode="auto">
                    <a:xfrm>
                      <a:off x="0" y="0"/>
                      <a:ext cx="2743200" cy="866775"/>
                    </a:xfrm>
                    <a:prstGeom prst="rect">
                      <a:avLst/>
                    </a:prstGeom>
                  </pic:spPr>
                </pic:pic>
              </a:graphicData>
            </a:graphic>
          </wp:inline>
        </w:drawing>
      </w:r>
    </w:p>
    <w:p>
      <w:pPr>
        <w:pStyle w:val="TextBody"/>
        <w:bidi w:val="0"/>
        <w:spacing w:lineRule="auto" w:line="288" w:before="0" w:after="180"/>
        <w:jc w:val="center"/>
        <w:rPr>
          <w:rFonts w:ascii="Times New Roman;sans-serif" w:hAnsi="Times New Roman;sans-serif"/>
          <w:b/>
          <w:color w:val="000000"/>
          <w:sz w:val="28"/>
        </w:rPr>
      </w:pPr>
      <w:r>
        <w:rPr>
          <w:rFonts w:ascii="Times New Roman;sans-serif" w:hAnsi="Times New Roman;sans-serif"/>
          <w:b/>
          <w:color w:val="000000"/>
          <w:sz w:val="28"/>
        </w:rPr>
        <w:t>Nautilus Biotechnology, Inc.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$300,000,000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Debt Securities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Depositary Shares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Warrants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Subscription Rights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Purchase Contracts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Units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$300,000,000.</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Select Market under the symbol “NAUT.” Each prospectus supplement will indicate whether the securities offered thereby will be listed on any securities exchange.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and a “smaller reporting company” as defined under the federal securities laws, and, as such, may elect to comply with certain reduced public company reporting requirements for this and future filings. We will provide information in any applicable prospectus supplement regarding any listing of securities other than shares of our common stock on any securities exchange.</w:t>
      </w:r>
    </w:p>
    <w:p>
      <w:pPr>
        <w:pStyle w:val="TextBody"/>
        <w:bidi w:val="0"/>
        <w:spacing w:lineRule="auto" w:line="288" w:before="0" w:after="180"/>
        <w:jc w:val="left"/>
        <w:rPr/>
      </w:pPr>
      <w:r>
        <w:rPr>
          <w:rFonts w:ascii="Times New Roman;sans-serif" w:hAnsi="Times New Roman;sans-serif"/>
          <w:b/>
          <w:color w:val="000000"/>
          <w:sz w:val="20"/>
        </w:rPr>
        <w:t xml:space="preserve">Investing in our securities involves risks. Please carefully read the information under the headings “Risk Factors” beginning on page </w:t>
      </w:r>
      <w:hyperlink w:anchor="i3777088f63bd4c7784a8b6dba99aa1f7_99">
        <w:r>
          <w:rPr>
            <w:rStyle w:val="InternetLink"/>
            <w:rFonts w:ascii="Times New Roman;sans-serif" w:hAnsi="Times New Roman;sans-serif"/>
            <w:b/>
            <w:color w:val="0000FF"/>
            <w:sz w:val="20"/>
            <w:u w:val="single"/>
          </w:rPr>
          <w:t>4</w:t>
        </w:r>
      </w:hyperlink>
      <w:r>
        <w:rPr>
          <w:color w:val="000000"/>
        </w:rPr>
        <w:t xml:space="preserve"> </w:t>
      </w:r>
      <w:r>
        <w:rPr>
          <w:rFonts w:ascii="Times New Roman;sans-serif" w:hAnsi="Times New Roman;sans-serif"/>
          <w:b/>
          <w:color w:val="000000"/>
          <w:sz w:val="20"/>
        </w:rPr>
        <w:t>of this prospectus and “Item 1A – Risk Factors” of our most recent report on Form 10-K or 10-Q that is incorporated by reference in this prospectus before you invest in our securities.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date of this prospectus is March 6,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3826" w:type="dxa"/>
        <w:jc w:val="left"/>
        <w:tblInd w:w="0" w:type="dxa"/>
        <w:tblLayout w:type="fixed"/>
        <w:tblCellMar>
          <w:top w:w="28" w:type="dxa"/>
          <w:left w:w="28" w:type="dxa"/>
          <w:bottom w:w="28" w:type="dxa"/>
          <w:right w:w="28" w:type="dxa"/>
        </w:tblCellMar>
      </w:tblPr>
      <w:tblGrid>
        <w:gridCol w:w="1202"/>
        <w:gridCol w:w="1054"/>
        <w:gridCol w:w="1059"/>
        <w:gridCol w:w="149"/>
        <w:gridCol w:w="149"/>
        <w:gridCol w:w="213"/>
      </w:tblGrid>
      <w:tr>
        <w:trPr/>
        <w:tc>
          <w:tcPr>
            <w:tcW w:w="120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777088f63bd4c7784a8b6dba99aa1f7_73">
              <w:r>
                <w:rPr>
                  <w:rStyle w:val="InternetLink"/>
                  <w:rFonts w:ascii="Times New Roman;sans-serif" w:hAnsi="Times New Roman;sans-serif"/>
                  <w:b w:val="false"/>
                  <w:strike w:val="false"/>
                  <w:dstrike w:val="false"/>
                  <w:color w:val="0000FF"/>
                  <w:sz w:val="20"/>
                  <w:u w:val="none"/>
                  <w:effect w:val="none"/>
                </w:rPr>
                <w:t>About this Prospectus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3777088f63bd4c7784a8b6dba99aa1f7_73">
              <w:r>
                <w:rPr>
                  <w:rStyle w:val="InternetLink"/>
                  <w:rFonts w:ascii="Times New Roman;sans-serif" w:hAnsi="Times New Roman;sans-serif"/>
                  <w:b w:val="false"/>
                  <w:strike w:val="false"/>
                  <w:dstrike w:val="false"/>
                  <w:color w:val="0000FF"/>
                  <w:sz w:val="20"/>
                  <w:u w:val="none"/>
                  <w:effect w:val="none"/>
                </w:rPr>
                <w:t>ii</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777088f63bd4c7784a8b6dba99aa1f7_86">
              <w:r>
                <w:rPr>
                  <w:rStyle w:val="InternetLink"/>
                  <w:rFonts w:ascii="Times New Roman;sans-serif" w:hAnsi="Times New Roman;sans-serif"/>
                  <w:b w:val="false"/>
                  <w:strike w:val="false"/>
                  <w:dstrike w:val="false"/>
                  <w:color w:val="0000FF"/>
                  <w:sz w:val="20"/>
                  <w:u w:val="none"/>
                  <w:effect w:val="none"/>
                </w:rPr>
                <w:t>Prospectus 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86">
              <w:r>
                <w:rPr>
                  <w:rStyle w:val="InternetLink"/>
                  <w:rFonts w:ascii="Times New Roman;sans-serif" w:hAnsi="Times New Roman;sans-serif"/>
                  <w:b w:val="false"/>
                  <w:strike w:val="false"/>
                  <w:dstrike w:val="false"/>
                  <w:color w:val="0000FF"/>
                  <w:sz w:val="20"/>
                  <w:u w:val="none"/>
                  <w:effect w:val="none"/>
                </w:rPr>
                <w:t>1</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777088f63bd4c7784a8b6dba99aa1f7_99">
              <w:r>
                <w:rPr>
                  <w:rStyle w:val="InternetLink"/>
                  <w:rFonts w:ascii="Times New Roman;sans-serif" w:hAnsi="Times New Roman;sans-serif"/>
                  <w:b w:val="false"/>
                  <w:strike w:val="false"/>
                  <w:dstrike w:val="false"/>
                  <w:color w:val="0000FF"/>
                  <w:sz w:val="20"/>
                  <w:u w:val="none"/>
                  <w:effect w:val="non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99">
              <w:r>
                <w:rPr>
                  <w:rStyle w:val="InternetLink"/>
                  <w:rFonts w:ascii="Times New Roman;sans-serif" w:hAnsi="Times New Roman;sans-serif"/>
                  <w:b w:val="false"/>
                  <w:strike w:val="false"/>
                  <w:dstrike w:val="false"/>
                  <w:color w:val="0000FF"/>
                  <w:sz w:val="20"/>
                  <w:u w:val="none"/>
                  <w:effect w:val="none"/>
                </w:rPr>
                <w:t>4</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777088f63bd4c7784a8b6dba99aa1f7_112">
              <w:r>
                <w:rPr>
                  <w:rStyle w:val="InternetLink"/>
                  <w:rFonts w:ascii="Times New Roman;sans-serif" w:hAnsi="Times New Roman;sans-serif"/>
                  <w:b w:val="false"/>
                  <w:strike w:val="false"/>
                  <w:dstrike w:val="false"/>
                  <w:color w:val="0000FF"/>
                  <w:sz w:val="20"/>
                  <w:u w:val="none"/>
                  <w:effect w:val="none"/>
                </w:rPr>
                <w:t>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112">
              <w:r>
                <w:rPr>
                  <w:rStyle w:val="InternetLink"/>
                  <w:rFonts w:ascii="Times New Roman;sans-serif" w:hAnsi="Times New Roman;sans-serif"/>
                  <w:b w:val="false"/>
                  <w:strike w:val="false"/>
                  <w:dstrike w:val="false"/>
                  <w:color w:val="0000FF"/>
                  <w:sz w:val="20"/>
                  <w:u w:val="none"/>
                  <w:effect w:val="none"/>
                </w:rPr>
                <w:t>5</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777088f63bd4c7784a8b6dba99aa1f7_125">
              <w:r>
                <w:rPr>
                  <w:rStyle w:val="InternetLink"/>
                  <w:rFonts w:ascii="Times New Roman;sans-serif" w:hAnsi="Times New Roman;sans-serif"/>
                  <w:b w:val="false"/>
                  <w:strike w:val="false"/>
                  <w:dstrike w:val="false"/>
                  <w:color w:val="0000FF"/>
                  <w:sz w:val="20"/>
                  <w:u w:val="none"/>
                  <w:effect w:val="non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125">
              <w:r>
                <w:rPr>
                  <w:rStyle w:val="InternetLink"/>
                  <w:rFonts w:ascii="Times New Roman;sans-serif" w:hAnsi="Times New Roman;sans-serif"/>
                  <w:b w:val="false"/>
                  <w:strike w:val="false"/>
                  <w:dstrike w:val="false"/>
                  <w:color w:val="0000FF"/>
                  <w:sz w:val="20"/>
                  <w:u w:val="none"/>
                  <w:effect w:val="none"/>
                </w:rPr>
                <w:t>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777088f63bd4c7784a8b6dba99aa1f7_138">
              <w:r>
                <w:rPr>
                  <w:rStyle w:val="InternetLink"/>
                  <w:rFonts w:ascii="Times New Roman;sans-serif" w:hAnsi="Times New Roman;sans-serif"/>
                  <w:b w:val="false"/>
                  <w:strike w:val="false"/>
                  <w:dstrike w:val="false"/>
                  <w:color w:val="0000FF"/>
                  <w:sz w:val="20"/>
                  <w:u w:val="none"/>
                  <w:effect w:val="none"/>
                </w:rPr>
                <w:t>Description of Capital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138">
              <w:r>
                <w:rPr>
                  <w:rStyle w:val="InternetLink"/>
                  <w:rFonts w:ascii="Times New Roman;sans-serif" w:hAnsi="Times New Roman;sans-serif"/>
                  <w:b w:val="false"/>
                  <w:strike w:val="false"/>
                  <w:dstrike w:val="false"/>
                  <w:color w:val="0000FF"/>
                  <w:sz w:val="20"/>
                  <w:u w:val="none"/>
                  <w:effect w:val="none"/>
                </w:rPr>
                <w:t>7</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777088f63bd4c7784a8b6dba99aa1f7_195">
              <w:r>
                <w:rPr>
                  <w:rStyle w:val="InternetLink"/>
                  <w:rFonts w:ascii="Times New Roman;sans-serif" w:hAnsi="Times New Roman;sans-serif"/>
                  <w:b w:val="false"/>
                  <w:strike w:val="false"/>
                  <w:dstrike w:val="false"/>
                  <w:color w:val="0000FF"/>
                  <w:sz w:val="20"/>
                  <w:u w:val="none"/>
                  <w:effect w:val="none"/>
                </w:rPr>
                <w:t>Description of Debt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195">
              <w:r>
                <w:rPr>
                  <w:rStyle w:val="InternetLink"/>
                  <w:rFonts w:ascii="Times New Roman;sans-serif" w:hAnsi="Times New Roman;sans-serif"/>
                  <w:b w:val="false"/>
                  <w:strike w:val="false"/>
                  <w:dstrike w:val="false"/>
                  <w:color w:val="0000FF"/>
                  <w:sz w:val="20"/>
                  <w:u w:val="none"/>
                  <w:effect w:val="none"/>
                </w:rPr>
                <w:t>8</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777088f63bd4c7784a8b6dba99aa1f7_210">
              <w:r>
                <w:rPr>
                  <w:rStyle w:val="InternetLink"/>
                  <w:rFonts w:ascii="Times New Roman;sans-serif" w:hAnsi="Times New Roman;sans-serif"/>
                  <w:b w:val="false"/>
                  <w:strike w:val="false"/>
                  <w:dstrike w:val="false"/>
                  <w:color w:val="0000FF"/>
                  <w:sz w:val="20"/>
                  <w:u w:val="none"/>
                  <w:effect w:val="none"/>
                </w:rPr>
                <w:t>Description of Depositary Shares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210">
              <w:r>
                <w:rPr>
                  <w:rStyle w:val="InternetLink"/>
                  <w:rFonts w:ascii="Times New Roman;sans-serif" w:hAnsi="Times New Roman;sans-serif"/>
                  <w:b w:val="false"/>
                  <w:strike w:val="false"/>
                  <w:dstrike w:val="false"/>
                  <w:color w:val="0000FF"/>
                  <w:sz w:val="20"/>
                  <w:u w:val="none"/>
                  <w:effect w:val="none"/>
                </w:rPr>
                <w:t>16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777088f63bd4c7784a8b6dba99aa1f7_225">
              <w:r>
                <w:rPr>
                  <w:rStyle w:val="InternetLink"/>
                  <w:rFonts w:ascii="Times New Roman;sans-serif" w:hAnsi="Times New Roman;sans-serif"/>
                  <w:b w:val="false"/>
                  <w:strike w:val="false"/>
                  <w:dstrike w:val="false"/>
                  <w:color w:val="0000FF"/>
                  <w:sz w:val="20"/>
                  <w:u w:val="none"/>
                  <w:effect w:val="none"/>
                </w:rPr>
                <w:t>Description of Warrants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225">
              <w:r>
                <w:rPr>
                  <w:rStyle w:val="InternetLink"/>
                  <w:rFonts w:ascii="Times New Roman;sans-serif" w:hAnsi="Times New Roman;sans-serif"/>
                  <w:b w:val="false"/>
                  <w:strike w:val="false"/>
                  <w:dstrike w:val="false"/>
                  <w:color w:val="0000FF"/>
                  <w:sz w:val="20"/>
                  <w:u w:val="none"/>
                  <w:effect w:val="none"/>
                </w:rPr>
                <w:t>19</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777088f63bd4c7784a8b6dba99aa1f7_240">
              <w:r>
                <w:rPr>
                  <w:rStyle w:val="InternetLink"/>
                  <w:rFonts w:ascii="Times New Roman;sans-serif" w:hAnsi="Times New Roman;sans-serif"/>
                  <w:b w:val="false"/>
                  <w:strike w:val="false"/>
                  <w:dstrike w:val="false"/>
                  <w:color w:val="0000FF"/>
                  <w:sz w:val="20"/>
                  <w:u w:val="none"/>
                  <w:effect w:val="none"/>
                </w:rPr>
                <w:t>Description of Subscription Rights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240">
              <w:r>
                <w:rPr>
                  <w:rStyle w:val="InternetLink"/>
                  <w:rFonts w:ascii="Times New Roman;sans-serif" w:hAnsi="Times New Roman;sans-serif"/>
                  <w:b w:val="false"/>
                  <w:strike w:val="false"/>
                  <w:dstrike w:val="false"/>
                  <w:color w:val="0000FF"/>
                  <w:sz w:val="20"/>
                  <w:u w:val="none"/>
                  <w:effect w:val="none"/>
                </w:rPr>
                <w:t>20</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777088f63bd4c7784a8b6dba99aa1f7_255">
              <w:r>
                <w:rPr>
                  <w:rStyle w:val="InternetLink"/>
                  <w:rFonts w:ascii="Times New Roman;sans-serif" w:hAnsi="Times New Roman;sans-serif"/>
                  <w:b w:val="false"/>
                  <w:strike w:val="false"/>
                  <w:dstrike w:val="false"/>
                  <w:color w:val="0000FF"/>
                  <w:sz w:val="20"/>
                  <w:u w:val="none"/>
                  <w:effect w:val="none"/>
                </w:rPr>
                <w:t>Description of Purchase Contracts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255">
              <w:r>
                <w:rPr>
                  <w:rStyle w:val="InternetLink"/>
                  <w:rFonts w:ascii="Times New Roman;sans-serif" w:hAnsi="Times New Roman;sans-serif"/>
                  <w:b w:val="false"/>
                  <w:strike w:val="false"/>
                  <w:dstrike w:val="false"/>
                  <w:color w:val="0000FF"/>
                  <w:sz w:val="20"/>
                  <w:u w:val="none"/>
                  <w:effect w:val="none"/>
                </w:rPr>
                <w:t>21</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777088f63bd4c7784a8b6dba99aa1f7_270">
              <w:r>
                <w:rPr>
                  <w:rStyle w:val="InternetLink"/>
                  <w:rFonts w:ascii="Times New Roman;sans-serif" w:hAnsi="Times New Roman;sans-serif"/>
                  <w:b w:val="false"/>
                  <w:strike w:val="false"/>
                  <w:dstrike w:val="false"/>
                  <w:color w:val="0000FF"/>
                  <w:sz w:val="20"/>
                  <w:u w:val="none"/>
                  <w:effect w:val="none"/>
                </w:rPr>
                <w:t>Description of Units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270">
              <w:r>
                <w:rPr>
                  <w:rStyle w:val="InternetLink"/>
                  <w:rFonts w:ascii="Times New Roman;sans-serif" w:hAnsi="Times New Roman;sans-serif"/>
                  <w:b w:val="false"/>
                  <w:strike w:val="false"/>
                  <w:dstrike w:val="false"/>
                  <w:color w:val="0000FF"/>
                  <w:sz w:val="20"/>
                  <w:u w:val="none"/>
                  <w:effect w:val="none"/>
                </w:rPr>
                <w:t>22</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777088f63bd4c7784a8b6dba99aa1f7_285">
              <w:r>
                <w:rPr>
                  <w:rStyle w:val="InternetLink"/>
                  <w:rFonts w:ascii="Times New Roman;sans-serif" w:hAnsi="Times New Roman;sans-serif"/>
                  <w:b w:val="false"/>
                  <w:strike w:val="false"/>
                  <w:dstrike w:val="false"/>
                  <w:color w:val="0000FF"/>
                  <w:sz w:val="20"/>
                  <w:u w:val="none"/>
                  <w:effect w:val="non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285">
              <w:r>
                <w:rPr>
                  <w:rStyle w:val="InternetLink"/>
                  <w:rFonts w:ascii="Times New Roman;sans-serif" w:hAnsi="Times New Roman;sans-serif"/>
                  <w:b w:val="false"/>
                  <w:strike w:val="false"/>
                  <w:dstrike w:val="false"/>
                  <w:color w:val="0000FF"/>
                  <w:sz w:val="20"/>
                  <w:u w:val="none"/>
                  <w:effect w:val="none"/>
                </w:rPr>
                <w:t>23</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777088f63bd4c7784a8b6dba99aa1f7_300">
              <w:r>
                <w:rPr>
                  <w:rStyle w:val="InternetLink"/>
                  <w:rFonts w:ascii="Times New Roman;sans-serif" w:hAnsi="Times New Roman;sans-serif"/>
                  <w:b w:val="false"/>
                  <w:strike w:val="false"/>
                  <w:dstrike w:val="false"/>
                  <w:color w:val="0000FF"/>
                  <w:sz w:val="20"/>
                  <w:u w:val="none"/>
                  <w:effect w:val="non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300">
              <w:r>
                <w:rPr>
                  <w:rStyle w:val="InternetLink"/>
                  <w:rFonts w:ascii="Times New Roman;sans-serif" w:hAnsi="Times New Roman;sans-serif"/>
                  <w:b w:val="false"/>
                  <w:strike w:val="false"/>
                  <w:dstrike w:val="false"/>
                  <w:color w:val="0000FF"/>
                  <w:sz w:val="20"/>
                  <w:u w:val="none"/>
                  <w:effect w:val="none"/>
                </w:rPr>
                <w:t>26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777088f63bd4c7784a8b6dba99aa1f7_315">
              <w:r>
                <w:rPr>
                  <w:rStyle w:val="InternetLink"/>
                  <w:rFonts w:ascii="Times New Roman;sans-serif" w:hAnsi="Times New Roman;sans-serif"/>
                  <w:b w:val="false"/>
                  <w:strike w:val="false"/>
                  <w:dstrike w:val="false"/>
                  <w:color w:val="0000FF"/>
                  <w:sz w:val="20"/>
                  <w:u w:val="none"/>
                  <w:effect w:val="non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315">
              <w:r>
                <w:rPr>
                  <w:rStyle w:val="InternetLink"/>
                  <w:rFonts w:ascii="Times New Roman;sans-serif" w:hAnsi="Times New Roman;sans-serif"/>
                  <w:b w:val="false"/>
                  <w:strike w:val="false"/>
                  <w:dstrike w:val="false"/>
                  <w:color w:val="0000FF"/>
                  <w:sz w:val="20"/>
                  <w:u w:val="none"/>
                  <w:effect w:val="none"/>
                </w:rPr>
                <w:t>26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777088f63bd4c7784a8b6dba99aa1f7_331">
              <w:r>
                <w:rPr>
                  <w:rStyle w:val="InternetLink"/>
                  <w:rFonts w:ascii="Times New Roman;sans-serif" w:hAnsi="Times New Roman;sans-serif"/>
                  <w:b w:val="false"/>
                  <w:strike w:val="false"/>
                  <w:dstrike w:val="false"/>
                  <w:color w:val="0000FF"/>
                  <w:sz w:val="20"/>
                  <w:u w:val="none"/>
                  <w:effect w:val="none"/>
                </w:rPr>
                <w:t>Where You Can Find More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331">
              <w:r>
                <w:rPr>
                  <w:rStyle w:val="InternetLink"/>
                  <w:rFonts w:ascii="Times New Roman;sans-serif" w:hAnsi="Times New Roman;sans-serif"/>
                  <w:b w:val="false"/>
                  <w:strike w:val="false"/>
                  <w:dstrike w:val="false"/>
                  <w:color w:val="0000FF"/>
                  <w:sz w:val="20"/>
                  <w:u w:val="none"/>
                  <w:effect w:val="none"/>
                </w:rPr>
                <w:t>26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777088f63bd4c7784a8b6dba99aa1f7_346">
              <w:r>
                <w:rPr>
                  <w:rStyle w:val="InternetLink"/>
                  <w:rFonts w:ascii="Times New Roman;sans-serif" w:hAnsi="Times New Roman;sans-serif"/>
                  <w:b w:val="false"/>
                  <w:strike w:val="false"/>
                  <w:dstrike w:val="false"/>
                  <w:color w:val="0000FF"/>
                  <w:sz w:val="20"/>
                  <w:u w:val="none"/>
                  <w:effect w:val="none"/>
                </w:rPr>
                <w:t>Incorporation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7088f63bd4c7784a8b6dba99aa1f7_346">
              <w:r>
                <w:rPr>
                  <w:rStyle w:val="InternetLink"/>
                  <w:rFonts w:ascii="Times New Roman;sans-serif" w:hAnsi="Times New Roman;sans-serif"/>
                  <w:b w:val="false"/>
                  <w:strike w:val="false"/>
                  <w:dstrike w:val="false"/>
                  <w:color w:val="0000FF"/>
                  <w:sz w:val="20"/>
                  <w:u w:val="none"/>
                  <w:effect w:val="none"/>
                </w:rPr>
                <w:t>27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ABOUT THIS PROSPECTUS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 for an aggregate offering price up to $300,000,000.</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prospectus provides you with a general description of the securities that may be offered. Each time we sell securities, we will provide one or more prospectus supplements that will contain specific information about the terms of the offering. The prospectus supplement may also add, update or change information contained in this prospectus. Before you invest in our securities, you should read both this prospectus and any applicable prospectus supplement together with the additional information described in the sections titled “Where You Can Find More Information” and “Incorporation by Reference.”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PROSPECTUS SUMMARY</w:t>
      </w:r>
    </w:p>
    <w:p>
      <w:pPr>
        <w:pStyle w:val="TextBody"/>
        <w:bidi w:val="0"/>
        <w:spacing w:lineRule="auto" w:line="288" w:before="0" w:after="180"/>
        <w:jc w:val="left"/>
        <w:rPr>
          <w:rFonts w:ascii="Times New Roman;sans-serif" w:hAnsi="Times New Roman;sans-serif"/>
          <w:b w:val="false"/>
          <w:i/>
          <w:color w:val="000000"/>
          <w:sz w:val="20"/>
          <w:bdr w:val="single" w:sz="8" w:space="36" w:color="000000"/>
        </w:rPr>
      </w:pPr>
      <w:r>
        <w:rPr>
          <w:rFonts w:ascii="Times New Roman;sans-serif" w:hAnsi="Times New Roman;sans-serif"/>
          <w:b w:val="false"/>
          <w:i/>
          <w:color w:val="000000"/>
          <w:sz w:val="20"/>
          <w:bdr w:val="single" w:sz="8" w:space="36" w:color="000000"/>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in the section titled “Risk Factors” and the financial statements and related notes and other information that we incorporate by reference herein, including our Annual Report on Form 10-K and our Quarterly Reports on Form 10-Q. Unless the context indicates otherwise, references in this prospectus to “Nautilus Biotechnology, Inc.,” “we,” “our” and “us” refer, collectively, to Nautilus Biotechnology, Inc., a Delaware corporation, and its subsidiaries taken as a whole.</w:t>
      </w: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Company Overview</w: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 </w: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By leveraging our novel design coupled with advanced machine learning software, we believe our Nautilus platform, which includes our end-to-end solution comprised of the proteome analysis system, consumables, and software, has the potential to rapidly and reproducibly identify up to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 </w:t>
      </w: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Corporate Information</w: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were incorporated as a Cayman Islands exempted company in March 2020 as a blank check company under the name ARYA Sciences Acquisition Corp III (“ARYA”). On June 9, 2021, we consummated a business combination pursuant to the terms of that certain Business Combination Agreement, dated as of February 7, 2021 (the “Business Combination Agreement”), by and among ARYA, Mako Merger Sub, Inc., a Delaware corporation and wholly-owned subsidiary of ARYA, and Nautilus Subsidiary, Inc., a Delaware corporation (f/k/a Nautilus Biotechnology, Inc.). Pursuant to the terms of the Business Combination Agreement, (i) we changed our jurisdiction of incorporation by deregistering as a Cayman Islands exempted company and continuing and domesticating as a corporation incorporated under the laws of the State of Delaware, upon which we changed our name to Nautilus Biotechnology, Inc.</w: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Our principal executive offices are located at 2701 Eastlake Avenue East Seattle, Washington, 98102, and our telephone number is (206) 333-2001. Our investor relations website is located at https://investors.nautilus.bio/. </w:t>
      </w:r>
    </w:p>
    <w:p>
      <w:pPr>
        <w:pStyle w:val="TextBody"/>
        <w:bidi w:val="0"/>
        <w:spacing w:before="0" w:after="18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Information contained on the website is not incorporated by reference into this prospectus or any other filings we make with the SEC.</w: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in addition to following press releases, SEC filings and public conference calls and webcasts. We also make available, free of charge, on our investor relations website under “Financial Information—SEC Filings,” our Annual Reports on Form 10-K, Quarterly Reports on Form 10-Q, Current Reports on Form 8-K and amendments to these reports as soon as reasonably practicable after electronically filing or furnishing those reports to the SEC.</w:t>
      </w: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The Securities That May Be Offered</w:t>
      </w:r>
    </w:p>
    <w:p>
      <w:pPr>
        <w:pStyle w:val="TextBody"/>
        <w:bidi w:val="0"/>
        <w:spacing w:lineRule="auto" w:line="288" w:before="0" w:after="180"/>
        <w:jc w:val="left"/>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We may offer or sell common stock, preferred stock, depositary shares, debt securities, warrants, subscription rights, purchase contracts and units in one or more offerings and in any combination. The aggregate offering price of the securities we sell pursuant to this prospectus will not exceed $300,000,000. Each time securities are offered with this prospectus, we will provide a prospectus supplement that will describe the specific amounts, prices and terms of the securities being offered and the net proceeds we expect to receive from that sale.</w:t>
      </w:r>
    </w:p>
    <w:p>
      <w:pPr>
        <w:pStyle w:val="TextBody"/>
        <w:bidi w:val="0"/>
        <w:spacing w:lineRule="auto" w:line="288" w:before="0" w:after="180"/>
        <w:jc w:val="left"/>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The securities may be sold to or through underwriters, dealers or agents or directly to purchasers or as otherwise set forth in the section titled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pStyle w:val="TextBody"/>
        <w:bidi w:val="0"/>
        <w:spacing w:lineRule="auto" w:line="288" w:before="0" w:after="18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Common Stock</w:t>
      </w:r>
    </w:p>
    <w:p>
      <w:pPr>
        <w:pStyle w:val="TextBody"/>
        <w:bidi w:val="0"/>
        <w:spacing w:lineRule="auto" w:line="288" w:before="0" w:after="180"/>
        <w:jc w:val="left"/>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We may offer shares of our common stock, par value $0.0001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w:t>
      </w:r>
    </w:p>
    <w:p>
      <w:pPr>
        <w:pStyle w:val="TextBody"/>
        <w:bidi w:val="0"/>
        <w:spacing w:lineRule="auto" w:line="288" w:before="0" w:after="18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Preferred Stock</w:t>
      </w:r>
    </w:p>
    <w:p>
      <w:pPr>
        <w:pStyle w:val="TextBody"/>
        <w:bidi w:val="0"/>
        <w:spacing w:lineRule="auto" w:line="288" w:before="0" w:after="180"/>
        <w:jc w:val="left"/>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pStyle w:val="TextBody"/>
        <w:bidi w:val="0"/>
        <w:spacing w:lineRule="auto" w:line="288" w:before="0" w:after="18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Depositary Shares</w:t>
      </w:r>
    </w:p>
    <w:p>
      <w:pPr>
        <w:pStyle w:val="TextBody"/>
        <w:bidi w:val="0"/>
        <w:spacing w:lineRule="auto" w:line="288" w:before="0" w:after="180"/>
        <w:jc w:val="left"/>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We may offer depositary shares evidenced by depositary receipts, with each depositary share representing a fractional interest in a share of a particular series of preferred stock issued and deposited with a depositary to be designated by us. 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pStyle w:val="TextBody"/>
        <w:bidi w:val="0"/>
        <w:spacing w:lineRule="auto" w:line="288" w:before="0" w:after="18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Debt Securities</w:t>
      </w:r>
    </w:p>
    <w:p>
      <w:pPr>
        <w:pStyle w:val="TextBody"/>
        <w:bidi w:val="0"/>
        <w:spacing w:lineRule="auto" w:line="288" w:before="0" w:after="180"/>
        <w:jc w:val="left"/>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 xml:space="preserve">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w:t>
      </w:r>
    </w:p>
    <w:p>
      <w:pPr>
        <w:pStyle w:val="TextBody"/>
        <w:bidi w:val="0"/>
        <w:spacing w:before="0" w:after="18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offer debt securities that are convertible into shares of our common stock or other securities.</w:t>
      </w:r>
    </w:p>
    <w:p>
      <w:pPr>
        <w:pStyle w:val="TextBody"/>
        <w:bidi w:val="0"/>
        <w:spacing w:lineRule="auto" w:line="288" w:before="0" w:after="180"/>
        <w:jc w:val="left"/>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pStyle w:val="TextBody"/>
        <w:bidi w:val="0"/>
        <w:spacing w:lineRule="auto" w:line="288" w:before="0" w:after="18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Warrants</w:t>
      </w:r>
    </w:p>
    <w:p>
      <w:pPr>
        <w:pStyle w:val="TextBody"/>
        <w:bidi w:val="0"/>
        <w:spacing w:lineRule="auto" w:line="288" w:before="0" w:after="180"/>
        <w:jc w:val="left"/>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We may offer warrants for the purchase of common stock, preferred stock, debt securities or depositary shares. We may offer warrants independently or together with other securities.</w:t>
      </w:r>
    </w:p>
    <w:p>
      <w:pPr>
        <w:pStyle w:val="TextBody"/>
        <w:bidi w:val="0"/>
        <w:spacing w:lineRule="auto" w:line="288" w:before="0" w:after="18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Subscription Rights</w:t>
      </w:r>
    </w:p>
    <w:p>
      <w:pPr>
        <w:pStyle w:val="TextBody"/>
        <w:bidi w:val="0"/>
        <w:spacing w:lineRule="auto" w:line="288" w:before="0" w:after="180"/>
        <w:jc w:val="left"/>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We may offer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pStyle w:val="TextBody"/>
        <w:bidi w:val="0"/>
        <w:spacing w:lineRule="auto" w:line="288" w:before="0" w:after="18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Purchase Contracts</w:t>
      </w:r>
    </w:p>
    <w:p>
      <w:pPr>
        <w:pStyle w:val="TextBody"/>
        <w:bidi w:val="0"/>
        <w:spacing w:lineRule="auto" w:line="288" w:before="0" w:after="180"/>
        <w:jc w:val="left"/>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We may offer purchase contracts, including contracts obligating holders or us to purchase from the other a specific or variable number of securities at a future date or dates.</w:t>
      </w:r>
    </w:p>
    <w:p>
      <w:pPr>
        <w:pStyle w:val="TextBody"/>
        <w:bidi w:val="0"/>
        <w:spacing w:lineRule="auto" w:line="288" w:before="0" w:after="18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Units</w:t>
      </w:r>
    </w:p>
    <w:p>
      <w:pPr>
        <w:pStyle w:val="TextBody"/>
        <w:bidi w:val="0"/>
        <w:spacing w:lineRule="auto" w:line="288" w:before="0" w:after="180"/>
        <w:jc w:val="left"/>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We may offer units comprised of one or more of the other classes of securities described in this prospectus in any combination. Each unit will be issued so that the holder of the unit is also the holder of each security included in the unit.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risk factors discussed in the section of the applicable prospectus supplement titled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in our most recent Quarterly Report on Form 10-Q filed subsequent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or the Securities Act,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will set forth in the prospectus supplement our intended use for the net proceeds received from the sale of any securities. We will retain broad discretion over the use of the net proceeds to us from the sale of our securities under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CAPITAL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description of our capital stock is incorporated by reference to Exhibit 4.2 to our Annual Report on Form 10-K for the fiscal year ended December 31, 2022, filed with the SEC on February 23,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DEBT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offer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debt securities will be issued under an indenture between us and a trustee to be identified in an accompanying prospectus supplement. We have summarized material provisions of the debt securities and select portions of the indenture below. The indenture will be qualified under the Trust Indenture Act of 1939, as amended, or the Trust Indenture Act. The summary is not complete and is subject to, and qualified in its entirety by reference to, all of the provisions of the indenture applicable to a particular series of debt securities. The form of the indenture has been filed as an exhibit to the registration statement of which this prospectus forms a part and you should read the indenture for provisions that may be important to you. Supplemental indentures and forms of debt securities containing the terms of the debt securities being offered will be filed as exhibits to the registration statement of which this prospectus is a part or will be incorporated by reference from reports that we file with the SEC, as applicable. Capitalized terms used in the summary and not defined herein have the meanings specified in the indenture. Unless the context requires otherwise, whenever we refer to an indenture, we also are referring to any supplemental indentures or forms of debt securities that specify the terms of a particular series of debt securities.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terms of the debt securities, including, if applicable: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title and ranking of the debt securities (including the terms of any subordination provisions);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price or prices (expressed as a percentage of the principal amount) at which we will sell the debt securities, including the portion of the principal amount of such debt securities that is convertible into another security or the method by which any such portion will be determined, which may be sold at a discount below their stated principal amount;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limit upon the aggregate principal amount of the debt securities;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date or dates on which the principal of the securities of the series is payable;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right, if any, to defer payments of interest and the maximum length of such deferral period;</w:t>
      </w:r>
    </w:p>
    <w:p>
      <w:pPr>
        <w:pStyle w:val="TextBody"/>
        <w:bidi w:val="0"/>
        <w:spacing w:before="0" w:after="18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period or periods within which, the price or prices at which, and the terms and conditions upon which, we may redeem the debt securities, in whole or in part, at our option, and the manner in which any election by us to redeem the debt securities will be evidenced;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obligation we have to repurchase the debt securities pursuant to any sinking fund or analogous provisions or at the option of a holder of debt securities and the period or periods within which, the price or prices at which and the terms and conditions upon which securities of the series shall be repurchased, in whole or in part, pursuant to such obligation;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provisions, if any, relating to conversion or exchange of any debt securities of such series into our common stock or other securities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denominations in which the debt securities will be issued, if other than denominations of $1,000, and any integral multiple thereof;</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whether the debt securities will be issued in the form of certificated debt securities or global debt securities (including the terms pertaining to the exchange of any such securities);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portion of principal amount of the debt securities payable upon declaration of acceleration of the maturity date, if other than the principal amount;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designation of the currency, currencies or currency units in which payment of principal of, premium and interest on the debt securities will be made and, if other than that or those in which the debt securities are denominated, the manner in which the exchange rate with respect to these payments will be determined;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manner in which the amounts of payment of principal or premium or interest, if any, on the debt securities will be determined, if these amounts may be determined by reference to an index based on a currency or currencies or by reference to a commodity, commodity index, stock exchange index or financial index;</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provisions relating to any security provided for the debt securities;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addition to, deletion of, or change in the covenants or Events of Default described in this prospectus or in the indenture with respect to the debt securities and any change in the acceleration provisions described in this prospectus or in the indenture with respect to the debt securities;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depositaries, interest rate calculation agents, exchange rate calculation agents or other agents with respect to the debt securities;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there is more than one trustee or a different trustee, the identity of the trustee and, if not the trustee, the identity of each security registrar, paying agent or authenticating agent with respect to such debt securities;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whether any of our direct or indirect subsidiaries will guarantee the debt securities of that series, including the terms of subordination, if any, of such guarantees.</w:t>
      </w:r>
    </w:p>
    <w:p>
      <w:pPr>
        <w:pStyle w:val="TextBody"/>
        <w:bidi w:val="0"/>
        <w:spacing w:before="0" w:after="18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offer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Transfer and Exchange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in the section titled “—Global Debt Securities and Book-Entry System,” book-entry debt securities will not be issuable in certificated form.</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Certificated Debt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Global Debt Securities and Book-Entry System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Each global debt security representing book-entry debt securities will be deposited with, or on behalf of, the depositary, and registered in the name of the depositary or a nominee of the depositary.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Covenants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will set forth in the applicable prospectus supplement any restrictive covenants applicable to any issue or series of debt securities.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 Protection in the Event of a Change of Control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Unless we state otherwise in the applicable prospectus supplement, the debt securities will not contain any provisions which may provide holders of the debt securities protection in the event we have a change in control or in the event of a highly leveraged transaction (whether or not such transaction results in a change in control) which could adversely affect holders of debt securities.</w:t>
      </w:r>
    </w:p>
    <w:p>
      <w:pPr>
        <w:pStyle w:val="TextBody"/>
        <w:bidi w:val="0"/>
        <w:spacing w:before="0" w:after="18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Consolidation, Merger and Sale of Assets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consolidate with or merge with or into, or convey, transfer or lease all or substantially all of our properties and assets to any person, which we refer to as a successor person, unless: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immediately after giving effect to the transaction, no Default or Event of Default, shall have occurred and be continuing.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Notwithstanding the above, any of our subsidiaries may consolidate with, merge into or transfer all or part of its properties to us.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Events of Default</w:t>
      </w:r>
    </w:p>
    <w:p>
      <w:pPr>
        <w:pStyle w:val="TextBody"/>
        <w:bidi w:val="0"/>
        <w:spacing w:lineRule="auto" w:line="288" w:before="0" w:after="180"/>
        <w:jc w:val="left"/>
        <w:rPr>
          <w:color w:val="000000"/>
        </w:rPr>
      </w:pPr>
      <w:r>
        <w:rPr>
          <w:color w:val="000000"/>
        </w:rPr>
        <w:t>“</w:t>
      </w:r>
      <w:r>
        <w:rPr>
          <w:rFonts w:ascii="Times New Roman;sans-serif" w:hAnsi="Times New Roman;sans-serif"/>
          <w:b w:val="false"/>
          <w:color w:val="000000"/>
          <w:sz w:val="20"/>
        </w:rPr>
        <w:t>Event of Default” means with respect to any series of debt securities, any of the following: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default in the payment of principal of any security of that series at its maturity;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certain voluntary or involuntary events of bankruptcy, insolvency or reorganization of us;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any other Event of Default provided with respect to debt securities of that series that is described in the applicable prospectus supplement.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Event of Default with respect to debt securities of any series at the time outstanding occurs and is continuing (except an Event of Default resulting from certain events of bankruptcy, insolvency, or reorganization as described below),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w:t>
      </w:r>
    </w:p>
    <w:p>
      <w:pPr>
        <w:pStyle w:val="TextBody"/>
        <w:bidi w:val="0"/>
        <w:spacing w:before="0" w:after="18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that holder has previously given to the trustee written notice of a continuing Event of Default with respect to debt securities of that series;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Modification and Waiver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and the trustee may modify, amend or supplement the indenture or the debt securities of any series without the consent of any holder of any debt security: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to cure any ambiguity, defect or inconsistency;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to comply with covenants in the indenture described in the section titled “—Consolidation, Merger and Sale of Assets”;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to provide for uncertificated securities in addition to or in place of certificated securities;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to add guarantees with respect to debt securities of any series or secure debt securities of any series;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to surrender any of our rights or powers under the indenture;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to add covenants or events of default for the benefit of the holders of debt securities of any series;</w:t>
      </w:r>
    </w:p>
    <w:p>
      <w:pPr>
        <w:pStyle w:val="TextBody"/>
        <w:bidi w:val="0"/>
        <w:spacing w:before="0" w:after="18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to comply with the applicable procedures of the applicable depositary;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to make any change that does not adversely affect the rights of any holder of debt securities;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to provide for the issuance of, and establish the form and terms and conditions of debt securities of, any series as permitted by the indenture;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to effect the appointment of a successor trustee with respect to the debt securities of any series and to add to or change any of the provisions of the indenture to provide for or facilitate administration by more than one trustee; or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to comply with requirements of the SEC in order to effect or maintain the qualification of the indenture under the Trust Indenture Act.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reduce the amount of debt securities whose holders must consent to an amendment, supplement or waiver;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reduce the rate of or extend the time for payment of interest (including default interest) on any debt security;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reduce the principal of, or premium on, or change the fixed maturity of any debt security, or reduce the amount of, or postpone the date fixed for, the payment of any sinking fund or analogous obligation with respect to any series of debt securities;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reduce the principal amount of discount securities payable upon acceleration of maturity;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make the principal of or premium or interest on any debt security payable in currency other than that stated in the debt security;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waive a redemption payment with respect to any debt security.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before="0" w:after="18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Defeasance of Debt Securities and Certain Covenants in Certain Circumstances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Legal Defeasance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 will provide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Defeasance of Certain Covenants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 will provide that, unless otherwise provided by the terms of the applicable series of debt securities, upon compliance with certain conditions: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may omit to comply with the covenant described in the section titled “—Consolidation, Merger and Sale of Assets” and certain other covenants set forth in the indenture, as well as any additional covenants which may be set forth in the applicable prospectus supplement;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omission to comply with those covenants will not constitute a Default or an Event of Default with respect to the debt securities of that series.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refer to this as covenant defeasance. The conditions include: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such deposit will not result in a breach or violation of, or constitute a default under the indenture or any other agreement to which we are a party;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no Default or Event of Default with respect to the applicable series of debt securities shall have occurred or is continuing on the date of such deposit;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w:t>
      </w:r>
    </w:p>
    <w:p>
      <w:pPr>
        <w:pStyle w:val="TextBody"/>
        <w:bidi w:val="0"/>
        <w:spacing w:before="0" w:after="18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 Personal Liability of Directors, Officers, Employees or Stockholders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Governing Law</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 and the debt securities, including any claim or controversy arising out of or relating to the indenture or the securities, will be governed by the laws of the State of New York.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DEPOSITARY SHARES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offer depositary shares representing a fractional interest in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Dividends and Other Distributions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Liquidation Preference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Withdrawal of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pStyle w:val="TextBody"/>
        <w:bidi w:val="0"/>
        <w:spacing w:before="0" w:after="18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Redemption of Depositary Shares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Voting the Preferred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Charges of the Depositary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Amendment and Termination of the Deposit Agreement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all outstanding depositary shares have been redeemed; or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there has been a final distribution of the preferred stock in connection with our dissolution and such distribution has been made to all the holders of depositary shares. </w:t>
      </w:r>
    </w:p>
    <w:p>
      <w:pPr>
        <w:pStyle w:val="TextBody"/>
        <w:bidi w:val="0"/>
        <w:spacing w:before="0" w:after="18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Resignation and Removal of Depositary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Notices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Limitation of Liability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WARRANTS</w:t>
      </w:r>
    </w:p>
    <w:p>
      <w:pPr>
        <w:pStyle w:val="TextBody"/>
        <w:bidi w:val="0"/>
        <w:spacing w:lineRule="auto" w:line="288" w:before="0" w:after="180"/>
        <w:jc w:val="left"/>
        <w:rPr/>
      </w:pPr>
      <w:r>
        <w:rPr>
          <w:rFonts w:ascii="Times New Roman;sans-serif" w:hAnsi="Times New Roman;sans-serif"/>
          <w:b w:val="false"/>
          <w:color w:val="000000"/>
          <w:sz w:val="20"/>
        </w:rPr>
        <w:t xml:space="preserve">We may offer warrants to purchase </w:t>
      </w:r>
      <w:r>
        <w:rPr>
          <w:rFonts w:ascii="Times New Roman;sans-serif" w:hAnsi="Times New Roman;sans-serif"/>
          <w:b w:val="false"/>
          <w:color w:val="000000"/>
          <w:sz w:val="20"/>
          <w:shd w:fill="FFFFFF" w:val="clear"/>
        </w:rPr>
        <w:t>debt securities, preferred stock, depositary shares or common stock</w:t>
      </w:r>
      <w:r>
        <w:rPr>
          <w:rFonts w:ascii="Times New Roman;sans-serif" w:hAnsi="Times New Roman;sans-serif"/>
          <w:b w:val="false"/>
          <w:color w:val="000000"/>
          <w:sz w:val="20"/>
        </w:rPr>
        <w:t xml:space="preserve">. We may offer warrants separately or together with one or more additional warrants, </w:t>
      </w:r>
      <w:r>
        <w:rPr>
          <w:rFonts w:ascii="Times New Roman;sans-serif" w:hAnsi="Times New Roman;sans-serif"/>
          <w:b w:val="false"/>
          <w:color w:val="000000"/>
          <w:sz w:val="20"/>
          <w:shd w:fill="FFFFFF" w:val="clear"/>
        </w:rPr>
        <w:t>debt securities, preferred stock, depositary shares or common stock</w:t>
      </w:r>
      <w:r>
        <w:rPr>
          <w:rFonts w:ascii="Times New Roman;sans-serif" w:hAnsi="Times New Roman;sans-serif"/>
          <w:b w:val="false"/>
          <w:color w:val="000000"/>
          <w:sz w:val="20"/>
        </w:rPr>
        <w:t>,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specific designation and aggregate number of, and the offering price at which we will issue, the warrants;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currency or currency units in which the offering price, if any, and the exercise price are payable;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date on which the right to exercise the warrants will begin and the date on which that right will expire or, if you may not continuously exercise the warrants throughout that period, the specific date or dates on which you may exercise the warrants;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whether the warrants are to be sold separately or with other securities as parts of units;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whether the warrants will be issued in definitive or global form or in any combination of these forms, although, in any case, the form of a warrant included in a unit will correspond to the form of the unit and of any security included in that unit;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applicable material U.S. federal income tax consequences;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identity of the warrant agent for the warrants and of any other depositaries, execution or paying agents, transfer agents, registrars or other agents;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proposed listing, if any, of the warrants or any securities purchasable upon exercise of the warrants on any securities exchange;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designation and terms of any equity securities purchasable upon exercise of the warrants;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designation, aggregate principal amount, currency and terms of any debt securities that may be purchased upon exercise of the warrants;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applicable, the designation and terms of the debt securities, preferred stock, depositary shares or common stock with which the warrants are issued and the number of warrants issued with each security;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applicable, the date from and after which any warrants issued as part of a unit and the related debt securities, preferred stock, depositary shares or common stock will be separately transferable;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number of shares of preferred stock, the number of depositary shares or the number of shares of common stock purchasable upon exercise of a warrant and the price at which those shares may be purchased;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applicable, the minimum or maximum amount of the warrants that may be exercised at any one time;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information with respect to book-entry procedures, if any;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antidilution provisions, and other provisions for changes to or adjustment in the exercise price, of the warrants, if any;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redemption or call provisions;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additional terms of the warrants, including terms, procedures and limitations relating to the exchange or exercise of the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SUBSCRIPTION RIGHTS</w:t>
      </w:r>
    </w:p>
    <w:p>
      <w:pPr>
        <w:pStyle w:val="TextBody"/>
        <w:bidi w:val="0"/>
        <w:spacing w:lineRule="auto" w:line="288" w:before="0" w:after="180"/>
        <w:jc w:val="left"/>
        <w:rPr/>
      </w:pPr>
      <w:r>
        <w:rPr>
          <w:rFonts w:ascii="Times New Roman;sans-serif" w:hAnsi="Times New Roman;sans-serif"/>
          <w:b w:val="false"/>
          <w:color w:val="000000"/>
          <w:sz w:val="20"/>
        </w:rPr>
        <w:t xml:space="preserve">We may offer subscription rights to purchase our </w:t>
      </w:r>
      <w:r>
        <w:rPr>
          <w:rFonts w:ascii="Times New Roman;sans-serif" w:hAnsi="Times New Roman;sans-serif"/>
          <w:b w:val="false"/>
          <w:color w:val="000000"/>
          <w:sz w:val="20"/>
          <w:shd w:fill="FFFFFF" w:val="clear"/>
        </w:rPr>
        <w:t>common stock, preferred stock, debt securities, depositary shares, warrants or units consisting of some or all of these securities</w:t>
      </w:r>
      <w:r>
        <w:rPr>
          <w:rFonts w:ascii="Times New Roman;sans-serif" w:hAnsi="Times New Roman;sans-serif"/>
          <w:b w:val="false"/>
          <w:color w:val="000000"/>
          <w:sz w:val="20"/>
        </w:rPr>
        <w:t>.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prospectus supplement relating to any subscription rights we offer, if any, will, to the extent applicable, include specific terms relating to the offering, including some or all of the following: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price, if any, for the subscription rights;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exercise price payable for our common stock, preferred stock, debt securities, depositary shares, warrants or units consisting of some or all of these securities upon the exercise of the subscription rights;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number of subscription rights to be issued to each stockholder;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number and terms of our common stock, preferred stock, debt securities, depositary shares, warrants or units consisting of some or all of these securities which may be purchased per each subscription right;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extent to which the subscription rights are transferable;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other terms of the subscription rights, including the terms, procedures and limitations relating to the exchange and exercise of the subscription rights;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date on which the right to exercise the subscription rights shall commence, and the date on which the subscription rights shall expire;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extent to which the subscription rights may include an over-subscription privilege with respect to unsubscribed securities or an over-allotment privilege to the extent the securities are fully subscribed;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applicable, the material terms of any standby underwriting or purchase arrangement which may be entered into by us in connection with the offering of subscription rights.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titled “Where You Can Find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PURCHASE CONTRACTS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offer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we offer any purchase contracts, certain terms of that series of purchase contracts will be described in the applicable prospectus supplement, including, without limitation, the following: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price of the securities or other property subject to the purchase contracts (which may be determined by reference to a specific formula described in the purchase contracts);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whether the purchase contracts are issued separately, or as a part of units each consisting of a purchase contract and one or more of our other securities, including U.S. Treasury securities, securing the holder’s obligations under the purchase contract;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requirement for us to make periodic payments to holders or vice versa, and whether the payments are unsecured or pre-funded;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provisions relating to any security provided for the purchase contracts;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whether the purchase contracts are to be prepaid or not;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whether the purchase contracts are to be settled by delivery, or by reference or linkage to the value, performance or level of the securities subject to purchase under the purchase contract;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acceleration, cancellation, termination or other provisions relating to the settlement of the purchase contracts;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 discussion of certain U.S. federal income tax considerations applicable to the purchase contracts;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whether the purchase contracts will be issued in fully registered or global form;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other terms of the purchase contracts and any securities subject to such purchase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UNITS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offer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titled “Where You Can Find More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prospectus supplement relating to any particular issuance of units will describe the terms of those units, including, to the extent applicable, the following: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designation and terms of the units and the securities comprising the units, including whether and under what circumstances those securities may be held or transferred separately;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provision for the issuance, payment, settlement, transfer or exchange of the units or of the securities comprising the units;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whether the units will be issued in fully registered or global 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PLAN OF DISTRIBUTION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sell securities: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through underwriters;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through dealers;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through agents;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directly to purchasers; or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through a combination of any of these methods of sale.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issue the securities as a dividend or distribution or in a subscription rights offering to our existing securityholders.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distribution of the securities may be effected from time to time in one or more transactions: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at a fixed price or prices that may be changed from time to time;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at market prices prevailing at the time of sale;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at prices related to such prevailing market prices; or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at negotiated prices.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Each prospectus supplement will describe the method of distribution of the securities and any applicable restrictions.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prospectus supplement with respect to the securities of a particular series will describe the terms of the offering of the securities, including the following: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name of the agent or any underwriters;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public offering or purchase price;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discounts and commissions to be allowed or paid to the agent or underwriters;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all other items constituting underwriting compensation;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discounts and commissions to be allowed or paid to dealers;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exchanges on which the securities will be listed.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pStyle w:val="TextBody"/>
        <w:bidi w:val="0"/>
        <w:spacing w:before="0" w:after="18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Agents, underwriters, dealers and other persons may be entitled under agreements that they may enter into with us to indemnification by us against certain civil liabilities, including liabilities under the Securities Act.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purchase by an institution of the securities covered under that contract shall not at the time of delivery be prohibited under the laws of the jurisdiction to which that institution is subject;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the securities are also being sold to underwriters acting as principals for their own account, the underwriters shall have purchased such securities not sold for delayed delivery.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underwriters and other persons acting as agents will not have any responsibility in respect of the validity or performance of delayed delivery contracts.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pStyle w:val="TextBody"/>
        <w:bidi w:val="0"/>
        <w:spacing w:before="0" w:after="18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0" w:after="180"/>
        <w:jc w:val="left"/>
        <w:rPr/>
      </w:pPr>
      <w:r>
        <w:rPr>
          <w:rFonts w:ascii="Times New Roman;sans-serif" w:hAnsi="Times New Roman;sans-serif"/>
          <w:b w:val="false"/>
          <w:color w:val="000000"/>
          <w:sz w:val="20"/>
        </w:rPr>
        <w:t>The validity of the securities offered hereby will be passed upon for us by Wilson Sonsini Goodrich &amp; Rosati, Professional Corporation, Palo Alto, California. Additional legal matters may be passed on for us, or any underwriters, dealers or agents, by counsel that we will name in the applicable prospectus supplement.</w:t>
      </w:r>
      <w:r>
        <w:rPr>
          <w:color w:val="000000"/>
          <w:shd w:fill="FFFFFF" w:val="clear"/>
        </w:rPr>
        <w:t xml:space="preserve"> </w:t>
      </w:r>
      <w:r>
        <w:rPr>
          <w:rFonts w:ascii="Times New Roman;sans-serif" w:hAnsi="Times New Roman;sans-serif"/>
          <w:b w:val="false"/>
          <w:color w:val="000000"/>
          <w:sz w:val="20"/>
          <w:shd w:fill="FFFFFF" w:val="clear"/>
        </w:rPr>
        <w:t xml:space="preserve">Certain members of, and investment partnerships comprised of members of, and persons associated with, Wilson Sonsini Goodrich &amp; Rosati, P.C. own less than 0.2% of our </w:t>
      </w:r>
      <w:r>
        <w:rPr>
          <w:rFonts w:ascii="Times New Roman;sans-serif" w:hAnsi="Times New Roman;sans-serif"/>
          <w:b w:val="false"/>
          <w:color w:val="000000"/>
          <w:sz w:val="20"/>
        </w:rPr>
        <w:t>common stock</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EXPERTS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WHERE YOU CAN FIND MORE INFORMATION</w:t>
      </w:r>
    </w:p>
    <w:p>
      <w:pPr>
        <w:pStyle w:val="TextBody"/>
        <w:bidi w:val="0"/>
        <w:spacing w:lineRule="auto" w:line="288" w:before="0" w:after="180"/>
        <w:jc w:val="left"/>
        <w:rPr/>
      </w:pPr>
      <w:r>
        <w:rPr>
          <w:rFonts w:ascii="Times New Roman;sans-serif" w:hAnsi="Times New Roman;sans-serif"/>
          <w:b w:val="false"/>
          <w:color w:val="000000"/>
          <w:sz w:val="20"/>
        </w:rPr>
        <w:t xml:space="preserve">We file annual, quarterly and current reports, proxy statements and other information with the SEC. Our SEC filings are available to the public over the Internet at the SEC’s website at </w:t>
      </w:r>
      <w:r>
        <w:rPr>
          <w:rFonts w:ascii="Times New Roman;sans-serif" w:hAnsi="Times New Roman;sans-serif"/>
          <w:b w:val="false"/>
          <w:i/>
          <w:color w:val="000000"/>
          <w:sz w:val="20"/>
        </w:rPr>
        <w:t>www.sec.gov</w:t>
      </w:r>
      <w:r>
        <w:rPr>
          <w:rFonts w:ascii="Times New Roman;sans-serif" w:hAnsi="Times New Roman;sans-serif"/>
          <w:b w:val="false"/>
          <w:color w:val="000000"/>
          <w:sz w:val="20"/>
        </w:rPr>
        <w:t xml:space="preserve">. Copies of certain information filed by us with the SEC are also available on our website at </w:t>
      </w:r>
      <w:r>
        <w:rPr>
          <w:rFonts w:ascii="Times New Roman;sans-serif" w:hAnsi="Times New Roman;sans-serif"/>
          <w:b w:val="false"/>
          <w:i/>
          <w:color w:val="000000"/>
          <w:sz w:val="20"/>
        </w:rPr>
        <w:t>https://www.nautilus.bio/</w:t>
      </w:r>
      <w:r>
        <w:rPr>
          <w:rFonts w:ascii="Times New Roman;sans-serif" w:hAnsi="Times New Roman;sans-serif"/>
          <w:b w:val="false"/>
          <w:color w:val="000000"/>
          <w:sz w:val="20"/>
        </w:rPr>
        <w:t>. Information accessible on or through our website is not a part of this prospectus.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INCORPORATION BY REFERENCE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Annual Report on </w:t>
      </w:r>
      <w:hyperlink r:id="rId7">
        <w:r>
          <w:rPr>
            <w:rStyle w:val="InternetLink"/>
          </w:rPr>
          <w:t>Form 10</w:t>
        </w:r>
      </w:hyperlink>
      <w:hyperlink r:id="rId8">
        <w:r>
          <w:rPr>
            <w:rStyle w:val="InternetLink"/>
          </w:rPr>
          <w:t>-K</w:t>
        </w:r>
      </w:hyperlink>
      <w:r>
        <w:rPr>
          <w:color w:val="000000"/>
        </w:rPr>
        <w:t xml:space="preserve"> </w:t>
      </w:r>
      <w:r>
        <w:rPr>
          <w:rFonts w:ascii="Times New Roman;sans-serif" w:hAnsi="Times New Roman;sans-serif"/>
          <w:b w:val="false"/>
          <w:color w:val="000000"/>
          <w:sz w:val="20"/>
        </w:rPr>
        <w:t xml:space="preserve">for the year ended December 31, 2023, filed with the SEC on February 28, 2024;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Item 1.01 and 9.01 Current Report on </w:t>
      </w:r>
      <w:hyperlink r:id="rId9">
        <w:r>
          <w:rPr>
            <w:rStyle w:val="InternetLink"/>
            <w:rFonts w:ascii="Times New Roman;sans-serif" w:hAnsi="Times New Roman;sans-serif"/>
            <w:b w:val="false"/>
            <w:color w:val="0000FF"/>
            <w:sz w:val="20"/>
            <w:u w:val="single"/>
          </w:rPr>
          <w:t>Form 8-K</w:t>
        </w:r>
      </w:hyperlink>
      <w:r>
        <w:rPr>
          <w:color w:val="000000"/>
        </w:rPr>
        <w:t xml:space="preserve"> </w:t>
      </w:r>
      <w:r>
        <w:rPr>
          <w:rFonts w:ascii="Times New Roman;sans-serif" w:hAnsi="Times New Roman;sans-serif"/>
          <w:b w:val="false"/>
          <w:color w:val="000000"/>
          <w:sz w:val="20"/>
        </w:rPr>
        <w:t>filed with the SEC on February 28, 2024;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description of our common stock contained in the Registration Statement on </w:t>
      </w:r>
      <w:hyperlink r:id="rId10">
        <w:r>
          <w:rPr>
            <w:rStyle w:val="InternetLink"/>
            <w:rFonts w:ascii="Times New Roman;sans-serif" w:hAnsi="Times New Roman;sans-serif"/>
            <w:b w:val="false"/>
            <w:color w:val="0000FF"/>
            <w:sz w:val="20"/>
            <w:u w:val="single"/>
          </w:rPr>
          <w:t>Form 8-A</w:t>
        </w:r>
      </w:hyperlink>
      <w:r>
        <w:rPr>
          <w:color w:val="000000"/>
        </w:rPr>
        <w:t xml:space="preserve"> </w:t>
      </w:r>
      <w:r>
        <w:rPr>
          <w:rFonts w:ascii="Times New Roman;sans-serif" w:hAnsi="Times New Roman;sans-serif"/>
          <w:b w:val="false"/>
          <w:color w:val="000000"/>
          <w:sz w:val="20"/>
        </w:rPr>
        <w:t>relating thereto, filed with the SEC on August 6, 2020, including any amendment or report filed for the purpose of updating such description.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You may request a copy of these filings, at no cost, by writing or telephoning us at the following address and telephone number: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Nautilus Biotechnology,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2701 Eastlake Avenue East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Seattle, Washington 98102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Attn: Investor Relations</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(206) 333-2001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720"/>
        <w:jc w:val="center"/>
        <w:rPr/>
      </w:pPr>
      <w:r>
        <w:rPr/>
        <w:drawing>
          <wp:inline distT="0" distB="0" distL="0" distR="0">
            <wp:extent cx="1905000" cy="523875"/>
            <wp:effectExtent l="0" t="0" r="0" b="0"/>
            <wp:docPr id="5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 descr=""/>
                    <pic:cNvPicPr>
                      <a:picLocks noChangeAspect="1" noChangeArrowheads="1"/>
                    </pic:cNvPicPr>
                  </pic:nvPicPr>
                  <pic:blipFill>
                    <a:blip r:embed="rId11"/>
                    <a:stretch>
                      <a:fillRect/>
                    </a:stretch>
                  </pic:blipFill>
                  <pic:spPr bwMode="auto">
                    <a:xfrm>
                      <a:off x="0" y="0"/>
                      <a:ext cx="1905000" cy="523875"/>
                    </a:xfrm>
                    <a:prstGeom prst="rect">
                      <a:avLst/>
                    </a:prstGeom>
                  </pic:spPr>
                </pic:pic>
              </a:graphicData>
            </a:graphic>
          </wp:inline>
        </w:drawing>
      </w:r>
    </w:p>
    <w:p>
      <w:pPr>
        <w:pStyle w:val="TextBody"/>
        <w:bidi w:val="0"/>
        <w:spacing w:lineRule="auto" w:line="288" w:before="0" w:after="720"/>
        <w:jc w:val="center"/>
        <w:rPr>
          <w:rFonts w:ascii="Times New Roman;sans-serif" w:hAnsi="Times New Roman;sans-serif"/>
          <w:b/>
          <w:color w:val="000000"/>
          <w:sz w:val="36"/>
        </w:rPr>
      </w:pPr>
      <w:r>
        <w:rPr>
          <w:rFonts w:ascii="Times New Roman;sans-serif" w:hAnsi="Times New Roman;sans-serif"/>
          <w:b/>
          <w:color w:val="000000"/>
          <w:sz w:val="36"/>
        </w:rPr>
        <w:t xml:space="preserve">Up to $125,000,000 </w:t>
      </w:r>
    </w:p>
    <w:p>
      <w:pPr>
        <w:pStyle w:val="TextBody"/>
        <w:bidi w:val="0"/>
        <w:spacing w:lineRule="auto" w:line="288" w:before="0" w:after="1080"/>
        <w:jc w:val="center"/>
        <w:rPr>
          <w:rFonts w:ascii="Times New Roman;sans-serif" w:hAnsi="Times New Roman;sans-serif"/>
          <w:b/>
          <w:color w:val="000000"/>
          <w:sz w:val="28"/>
        </w:rPr>
      </w:pPr>
      <w:r>
        <w:rPr>
          <w:rFonts w:ascii="Times New Roman;sans-serif" w:hAnsi="Times New Roman;sans-serif"/>
          <w:b/>
          <w:color w:val="000000"/>
          <w:sz w:val="28"/>
        </w:rPr>
        <w:t xml:space="preserve">Common Stock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PROSPECTUS SUPPLEMENT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540"/>
        <w:jc w:val="center"/>
        <w:rPr>
          <w:rFonts w:ascii="Times New Roman;sans-serif" w:hAnsi="Times New Roman;sans-serif"/>
          <w:b/>
          <w:color w:val="000000"/>
          <w:sz w:val="32"/>
        </w:rPr>
      </w:pPr>
      <w:r>
        <w:rPr>
          <w:rFonts w:ascii="Times New Roman;sans-serif" w:hAnsi="Times New Roman;sans-serif"/>
          <w:b/>
          <w:color w:val="000000"/>
          <w:sz w:val="32"/>
        </w:rPr>
        <w:t>TD Cowen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400"/>
        <w:jc w:val="center"/>
        <w:rPr>
          <w:color w:val="000000"/>
        </w:rPr>
      </w:pPr>
      <w:r>
        <w:rPr>
          <w:color w:val="000000"/>
        </w:rPr>
        <w:t>      </w:t>
      </w:r>
      <w:r>
        <w:rPr>
          <w:rFonts w:ascii="Times New Roman;sans-serif" w:hAnsi="Times New Roman;sans-serif"/>
          <w:b/>
          <w:color w:val="000000"/>
          <w:sz w:val="20"/>
        </w:rPr>
        <w:t xml:space="preserve">March 6, 2024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08805/000180880524000005/naut-20231231.htm" TargetMode="External"/><Relationship Id="rId4" Type="http://schemas.openxmlformats.org/officeDocument/2006/relationships/hyperlink" Target="https://www.sec.gov/Archives/edgar/data/1808805/000162828024007395/naut-20240228.htm" TargetMode="External"/><Relationship Id="rId5" Type="http://schemas.openxmlformats.org/officeDocument/2006/relationships/hyperlink" Target="https://www.sec.gov/Archives/edgar/data/1808805/000114036120017640/nt10013610x6_8a12b.htm" TargetMode="External"/><Relationship Id="rId6" Type="http://schemas.openxmlformats.org/officeDocument/2006/relationships/image" Target="media/image1.jpeg"/><Relationship Id="rId7" Type="http://schemas.openxmlformats.org/officeDocument/2006/relationships/hyperlink" Target="https://www.sec.gov/Archives/edgar/data/1808805/000180880524000005/naut-20231231.htm" TargetMode="External"/><Relationship Id="rId8" Type="http://schemas.openxmlformats.org/officeDocument/2006/relationships/hyperlink" Target="https://www.sec.gov/Archives/edgar/data/1808805/000180880524000005/naut-20231231.htm" TargetMode="External"/><Relationship Id="rId9" Type="http://schemas.openxmlformats.org/officeDocument/2006/relationships/hyperlink" Target="https://www.sec.gov/Archives/edgar/data/1808805/000162828024007395/naut-20240228.htm" TargetMode="External"/><Relationship Id="rId10" Type="http://schemas.openxmlformats.org/officeDocument/2006/relationships/hyperlink" Target="https://www.sec.gov/Archives/edgar/data/1808805/000114036120017640/nt10013610x6_8a12b.htm" TargetMode="External"/><Relationship Id="rId11" Type="http://schemas.openxmlformats.org/officeDocument/2006/relationships/image" Target="media/image2.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Pages>
  <Words>21786</Words>
  <Characters>114594</Characters>
  <CharactersWithSpaces>135841</CharactersWithSpaces>
  <Paragraphs>628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