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1123950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1146810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1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28, 2025</w:t>
      </w:r>
    </w:p>
    <w:p>
      <w:pPr>
        <w:spacing w:after="0" w:line="1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40" w:orient="portrait"/>
          <w:cols w:equalWidth="0" w:num="1">
            <w:col w:w="10580"/>
          </w:cols>
          <w:pgMar w:left="660" w:top="1440" w:right="660" w:bottom="1440" w:gutter="0" w:footer="0" w:header="0"/>
        </w:sectPr>
      </w:pPr>
    </w:p>
    <w:p>
      <w:pPr>
        <w:spacing w:after="0" w:line="156"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001-39434</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98-1541723</w:t>
      </w:r>
    </w:p>
    <w:p>
      <w:pPr>
        <w:spacing w:after="0" w:line="44" w:lineRule="exact"/>
        <w:rPr>
          <w:sz w:val="24"/>
          <w:szCs w:val="24"/>
          <w:color w:val="auto"/>
        </w:rPr>
      </w:pPr>
    </w:p>
    <w:p>
      <w:pPr>
        <w:sectPr>
          <w:pgSz w:w="11900" w:h="16840" w:orient="portrait"/>
          <w:cols w:equalWidth="0" w:num="3">
            <w:col w:w="4240" w:space="720"/>
            <w:col w:w="2780" w:space="720"/>
            <w:col w:w="2120"/>
          </w:cols>
          <w:pgMar w:left="660" w:top="1440" w:right="660" w:bottom="1440" w:gutter="0" w:footer="0" w:header="0"/>
          <w:type w:val="continuous"/>
        </w:sectPr>
      </w:pPr>
    </w:p>
    <w:p>
      <w:pPr>
        <w:jc w:val="center"/>
        <w:ind w:right="300"/>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40" w:orient="portrait"/>
          <w:cols w:equalWidth="0" w:num="3">
            <w:col w:w="3780" w:space="720"/>
            <w:col w:w="3080" w:space="720"/>
            <w:col w:w="2280"/>
          </w:cols>
          <w:pgMar w:left="660" w:top="1440" w:right="660" w:bottom="1440" w:gutter="0" w:footer="0" w:header="0"/>
          <w:type w:val="continuous"/>
        </w:sectPr>
      </w:pPr>
    </w:p>
    <w:p>
      <w:pPr>
        <w:spacing w:after="0" w:line="52"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2701 Eastlake Avenue East</w:t>
      </w:r>
    </w:p>
    <w:p>
      <w:pPr>
        <w:spacing w:after="0" w:line="12"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6"/>
          <w:szCs w:val="16"/>
          <w:b w:val="1"/>
          <w:bCs w:val="1"/>
          <w:color w:val="auto"/>
        </w:rPr>
        <w:t>Seattle, Washington</w:t>
      </w:r>
    </w:p>
    <w:p>
      <w:pPr>
        <w:jc w:val="center"/>
        <w:ind w:right="15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98102</w:t>
      </w:r>
    </w:p>
    <w:p>
      <w:pPr>
        <w:spacing w:after="0" w:line="1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40" w:orient="portrait"/>
          <w:cols w:equalWidth="0" w:num="2">
            <w:col w:w="6860" w:space="720"/>
            <w:col w:w="3000"/>
          </w:cols>
          <w:pgMar w:left="660" w:top="1440" w:right="660" w:bottom="1440" w:gutter="0" w:footer="0" w:header="0"/>
          <w:type w:val="continuous"/>
        </w:sectPr>
      </w:pP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(206) 333-2001</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26" w:lineRule="exact"/>
        <w:rPr>
          <w:sz w:val="24"/>
          <w:szCs w:val="24"/>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9" w:lineRule="exact"/>
        <w:rPr>
          <w:sz w:val="24"/>
          <w:szCs w:val="24"/>
          <w:color w:val="auto"/>
        </w:rPr>
      </w:pPr>
    </w:p>
    <w:p>
      <w:pPr>
        <w:ind w:left="380" w:hanging="362"/>
        <w:spacing w:after="0"/>
        <w:tabs>
          <w:tab w:leader="none" w:pos="380" w:val="left"/>
        </w:tabs>
        <w:numPr>
          <w:ilvl w:val="0"/>
          <w:numId w:val="1"/>
        </w:numPr>
        <w:rPr>
          <w:rFonts w:ascii="Wingdings" w:cs="Wingdings" w:eastAsia="Wingdings" w:hAnsi="Wingdings"/>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Wingdings" w:cs="Wingdings" w:eastAsia="Wingdings" w:hAnsi="Wingdings"/>
          <w:sz w:val="16"/>
          <w:szCs w:val="16"/>
          <w:color w:val="auto"/>
        </w:rPr>
      </w:pPr>
    </w:p>
    <w:p>
      <w:pPr>
        <w:ind w:left="380" w:hanging="362"/>
        <w:spacing w:after="0"/>
        <w:tabs>
          <w:tab w:leader="none" w:pos="380" w:val="left"/>
        </w:tabs>
        <w:numPr>
          <w:ilvl w:val="0"/>
          <w:numId w:val="1"/>
        </w:numPr>
        <w:rPr>
          <w:rFonts w:ascii="Wingdings" w:cs="Wingdings" w:eastAsia="Wingdings" w:hAnsi="Wingdings"/>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Wingdings" w:cs="Wingdings" w:eastAsia="Wingdings" w:hAnsi="Wingdings"/>
          <w:sz w:val="16"/>
          <w:szCs w:val="16"/>
          <w:color w:val="auto"/>
        </w:rPr>
      </w:pPr>
    </w:p>
    <w:p>
      <w:pPr>
        <w:ind w:left="380" w:hanging="362"/>
        <w:spacing w:after="0"/>
        <w:tabs>
          <w:tab w:leader="none" w:pos="380" w:val="left"/>
        </w:tabs>
        <w:numPr>
          <w:ilvl w:val="0"/>
          <w:numId w:val="1"/>
        </w:numPr>
        <w:rPr>
          <w:rFonts w:ascii="Wingdings" w:cs="Wingdings" w:eastAsia="Wingdings" w:hAnsi="Wingdings"/>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Wingdings" w:cs="Wingdings" w:eastAsia="Wingdings" w:hAnsi="Wingdings"/>
          <w:sz w:val="16"/>
          <w:szCs w:val="16"/>
          <w:color w:val="auto"/>
        </w:rPr>
      </w:pPr>
    </w:p>
    <w:p>
      <w:pPr>
        <w:ind w:left="380" w:hanging="362"/>
        <w:spacing w:after="0"/>
        <w:tabs>
          <w:tab w:leader="none" w:pos="380" w:val="left"/>
        </w:tabs>
        <w:numPr>
          <w:ilvl w:val="0"/>
          <w:numId w:val="1"/>
        </w:numPr>
        <w:rPr>
          <w:rFonts w:ascii="Wingdings" w:cs="Wingdings" w:eastAsia="Wingdings" w:hAnsi="Wingdings"/>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337"/>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80" w:type="dxa"/>
            <w:vAlign w:val="bottom"/>
          </w:tcPr>
          <w:p>
            <w:pPr>
              <w:spacing w:after="0"/>
              <w:rPr>
                <w:sz w:val="24"/>
                <w:szCs w:val="24"/>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80" w:type="dxa"/>
            <w:vAlign w:val="bottom"/>
          </w:tcPr>
          <w:p>
            <w:pPr>
              <w:spacing w:after="0"/>
              <w:rPr>
                <w:sz w:val="24"/>
                <w:szCs w:val="24"/>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219"/>
        </w:trPr>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Common Stock, par value $0.0001 per share</w:t>
            </w:r>
          </w:p>
        </w:tc>
        <w:tc>
          <w:tcPr>
            <w:tcW w:w="8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NAUT</w:t>
            </w:r>
          </w:p>
        </w:tc>
        <w:tc>
          <w:tcPr>
            <w:tcW w:w="8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The Nasdaq Stock Market LLC</w:t>
            </w:r>
          </w:p>
        </w:tc>
      </w:tr>
    </w:tbl>
    <w:p>
      <w:pPr>
        <w:spacing w:after="0" w:line="181" w:lineRule="exact"/>
        <w:rPr>
          <w:sz w:val="24"/>
          <w:szCs w:val="24"/>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color w:val="auto"/>
        </w:rPr>
        <w:t>x</w:t>
      </w:r>
    </w:p>
    <w:p>
      <w:pPr>
        <w:spacing w:after="0" w:line="116" w:lineRule="exact"/>
        <w:rPr>
          <w:sz w:val="24"/>
          <w:szCs w:val="24"/>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673100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76200</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99060</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1" w:name="page2"/>
    <w:bookmarkEnd w:id="1"/>
    <w:p>
      <w:pPr>
        <w:spacing w:after="0" w:line="1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94"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On October 28, 2025, Nautilus Biotechnology, Inc. (the “Company”) issued a press release reporting its financial results for the quarter ended September 30, 2025. A copy of the press release is furnished herewith as Exhibit 99.1 to this Current Report on Form 8-K.</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92" w:lineRule="exact"/>
        <w:rPr>
          <w:sz w:val="20"/>
          <w:szCs w:val="20"/>
          <w:color w:val="auto"/>
        </w:rPr>
      </w:pPr>
    </w:p>
    <w:p>
      <w:pPr>
        <w:ind w:left="360" w:hanging="354"/>
        <w:spacing w:after="0"/>
        <w:tabs>
          <w:tab w:leader="none" w:pos="36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7" w:lineRule="exact"/>
        <w:rPr>
          <w:sz w:val="20"/>
          <w:szCs w:val="20"/>
          <w:color w:val="auto"/>
        </w:rPr>
      </w:pPr>
    </w:p>
    <w:p>
      <w:pPr>
        <w:ind w:left="20"/>
        <w:spacing w:after="0"/>
        <w:tabs>
          <w:tab w:leader="none" w:pos="1080" w:val="left"/>
        </w:tabs>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6"/>
            <w:szCs w:val="16"/>
            <w:u w:val="single" w:color="auto"/>
            <w:color w:val="0000FF"/>
          </w:rPr>
          <w:t>99.1</w:t>
        </w:r>
      </w:hyperlink>
      <w:r>
        <w:rPr>
          <w:rFonts w:ascii="Times New Roman" w:cs="Times New Roman" w:eastAsia="Times New Roman" w:hAnsi="Times New Roman"/>
          <w:sz w:val="16"/>
          <w:szCs w:val="16"/>
          <w:u w:val="single" w:color="auto"/>
          <w:color w:val="0000FF"/>
        </w:rPr>
        <w:tab/>
      </w:r>
      <w:hyperlink w:anchor="page1">
        <w:r>
          <w:rPr>
            <w:rFonts w:ascii="Times New Roman" w:cs="Times New Roman" w:eastAsia="Times New Roman" w:hAnsi="Times New Roman"/>
            <w:sz w:val="14"/>
            <w:szCs w:val="14"/>
            <w:u w:val="single" w:color="auto"/>
            <w:color w:val="0000FF"/>
          </w:rPr>
          <w:t>Press Release dated October 28, 2025.</w:t>
        </w:r>
      </w:hyperlink>
    </w:p>
    <w:p>
      <w:pPr>
        <w:spacing w:after="0" w:line="20" w:lineRule="exact"/>
        <w:rPr>
          <w:sz w:val="20"/>
          <w:szCs w:val="20"/>
          <w:color w:val="auto"/>
        </w:rPr>
      </w:pPr>
    </w:p>
    <w:p>
      <w:pPr>
        <w:ind w:left="1100" w:hanging="1082"/>
        <w:spacing w:after="0"/>
        <w:tabs>
          <w:tab w:leader="none" w:pos="11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 the Inline XBRL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20" w:lineRule="exact"/>
        <w:rPr>
          <w:rFonts w:ascii="Times New Roman" w:cs="Times New Roman" w:eastAsia="Times New Roman" w:hAnsi="Times New Roman"/>
          <w:sz w:val="16"/>
          <w:szCs w:val="16"/>
          <w:color w:val="auto"/>
        </w:rPr>
      </w:pPr>
    </w:p>
    <w:p>
      <w:pPr>
        <w:ind w:left="52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94"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October 28, 2025</w:t>
      </w:r>
    </w:p>
    <w:p>
      <w:pPr>
        <w:spacing w:after="0" w:line="2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NAUTILUS BIOTECHNOLOGY, INC.</w:t>
      </w:r>
    </w:p>
    <w:p>
      <w:pPr>
        <w:spacing w:after="0" w:line="190" w:lineRule="exact"/>
        <w:rPr>
          <w:sz w:val="20"/>
          <w:szCs w:val="20"/>
          <w:color w:val="auto"/>
        </w:rPr>
      </w:pPr>
    </w:p>
    <w:tbl>
      <w:tblPr>
        <w:tblLayout w:type="fixed"/>
        <w:tblInd w:w="5480" w:type="dxa"/>
        <w:tblCellMar>
          <w:top w:w="0" w:type="dxa"/>
          <w:left w:w="0" w:type="dxa"/>
          <w:bottom w:w="0" w:type="dxa"/>
          <w:right w:w="0" w:type="dxa"/>
        </w:tblCellMar>
      </w:tblPr>
      <w:tr>
        <w:trPr>
          <w:trHeight w:val="203"/>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Sujal Patel</w:t>
            </w:r>
          </w:p>
        </w:tc>
      </w:tr>
      <w:tr>
        <w:trPr>
          <w:trHeight w:val="197"/>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Sujal Patel</w:t>
            </w:r>
          </w:p>
        </w:tc>
      </w:tr>
      <w:tr>
        <w:trPr>
          <w:trHeight w:val="203"/>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40" w:orient="portrait"/>
          <w:cols w:equalWidth="0" w:num="1">
            <w:col w:w="10560"/>
          </w:cols>
          <w:pgMar w:left="660" w:top="1275" w:right="68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Nautilus Biotechnology Reports Third Quarter 2025 Financial Results</w:t>
      </w:r>
    </w:p>
    <w:p>
      <w:pPr>
        <w:spacing w:after="0" w:line="18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SEATTLE, WA, </w:t>
      </w:r>
      <w:r>
        <w:rPr>
          <w:rFonts w:ascii="Times New Roman" w:cs="Times New Roman" w:eastAsia="Times New Roman" w:hAnsi="Times New Roman"/>
          <w:sz w:val="16"/>
          <w:szCs w:val="16"/>
          <w:color w:val="auto"/>
        </w:rPr>
        <w:t>October 28, 2025 – Nautilus Biotechnology, Inc. (NASDAQ: NAUT; or “Nautilus”), a company pioneering a single-molecule proteome analysis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platform, today reported financial results for the third quarter ended September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Quarter 2025 Business Highlights</w:t>
      </w:r>
    </w:p>
    <w:p>
      <w:pPr>
        <w:spacing w:after="0" w:line="226" w:lineRule="exact"/>
        <w:rPr>
          <w:sz w:val="20"/>
          <w:szCs w:val="20"/>
          <w:color w:val="auto"/>
        </w:rPr>
      </w:pPr>
    </w:p>
    <w:p>
      <w:pPr>
        <w:ind w:left="580" w:right="620" w:hanging="286"/>
        <w:spacing w:after="0" w:line="246" w:lineRule="auto"/>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progress was made in processing Tau proteoform samples from collaborators in support of our goals of product validation and growing our publications. We expect to share this data at the upcoming World HUPO conference.</w:t>
      </w:r>
    </w:p>
    <w:p>
      <w:pPr>
        <w:ind w:left="580" w:hanging="286"/>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progress was made in the development of a new broadscale assay format, which is intended to support our forthcoming commercial launch in late 2026.</w:t>
      </w:r>
    </w:p>
    <w:p>
      <w:pPr>
        <w:spacing w:after="0" w:line="19" w:lineRule="exact"/>
        <w:rPr>
          <w:rFonts w:ascii="Times New Roman" w:cs="Times New Roman" w:eastAsia="Times New Roman" w:hAnsi="Times New Roman"/>
          <w:sz w:val="14"/>
          <w:szCs w:val="14"/>
          <w:color w:val="auto"/>
        </w:rPr>
      </w:pPr>
    </w:p>
    <w:p>
      <w:pPr>
        <w:ind w:left="580" w:hanging="28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launch our early access program with Tau proteoforms in the first half of 2026.</w:t>
      </w:r>
    </w:p>
    <w:p>
      <w:pPr>
        <w:spacing w:after="0" w:line="20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“In Q3, Nautilus maintained disciplined execution and delivered meaningful progress across our platform, strategic collaborations, and operational initiatives—all aligned with our path toward commercialization in late 2026,” said Sujal Patel, CEO of Nautilus Biotechnology. “Our near-term focus is on the successful launch of our early access program, beginning with Tau proteoforms in the first half of 2026 and expanding to broadscale capabilities later in the year. These milestones are critical steps toward enabling customers to experience the value of our technology and advancing toward full commercial availability.”</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Quarter 2025 Financial Results</w:t>
      </w:r>
    </w:p>
    <w:p>
      <w:pPr>
        <w:spacing w:after="0" w:line="190"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Operating expenses were $15.5 million for the third quarter of 2025, a 19% decrease compared to $19.1 million for the corresponding prior year period. The decrease in operating expenses is attributable to operating efficiencies, lower development-related costs, and decreased salaries, related benefits and stock-based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 was $13.6 million for the third quarter of 2025, as compared to the net loss of $16.4 million for the corresponding prior year period.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cash equivalents, and investments were $168.5 million as of September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Webcast and Conference Call Information</w:t>
      </w:r>
    </w:p>
    <w:p>
      <w:pPr>
        <w:spacing w:after="0" w:line="19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 xml:space="preserve">Nautilus will host a conference call to discuss the third quarter 2025 financial results, business developments and outlook before market open on Tuesday, October 28, 2025, at 5:30 AM Pacific Time / 8:30 AM Eastern Time. Live audio of the webcast will be available on the “Investors” section of the company website at: </w:t>
      </w:r>
      <w:r>
        <w:rPr>
          <w:rFonts w:ascii="Times New Roman" w:cs="Times New Roman" w:eastAsia="Times New Roman" w:hAnsi="Times New Roman"/>
          <w:sz w:val="16"/>
          <w:szCs w:val="16"/>
          <w:u w:val="single" w:color="auto"/>
          <w:color w:val="0563C1"/>
        </w:rPr>
        <w:t>www.nautilus.bio</w:t>
      </w:r>
      <w:r>
        <w:rPr>
          <w:rFonts w:ascii="Times New Roman" w:cs="Times New Roman" w:eastAsia="Times New Roman" w:hAnsi="Times New Roman"/>
          <w:sz w:val="16"/>
          <w:szCs w:val="16"/>
          <w:color w:val="000000"/>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Nautilus Biotechnology, Inc.</w:t>
      </w:r>
    </w:p>
    <w:p>
      <w:pPr>
        <w:spacing w:after="0" w:line="19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90"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This press release contains forward -looking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580"/>
          </w:cols>
          <w:pgMar w:left="660" w:top="555" w:right="660" w:bottom="1440" w:gutter="0" w:footer="0" w:header="0"/>
        </w:sectPr>
      </w:pPr>
    </w:p>
    <w:bookmarkStart w:id="4" w:name="page5"/>
    <w:bookmarkEnd w:id="4"/>
    <w:p>
      <w:pPr>
        <w:spacing w:after="0" w:line="200" w:lineRule="exact"/>
        <w:rPr>
          <w:sz w:val="20"/>
          <w:szCs w:val="20"/>
          <w:color w:val="auto"/>
        </w:rPr>
      </w:pPr>
    </w:p>
    <w:p>
      <w:pPr>
        <w:spacing w:after="0" w:line="2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regarding operating expenses and cash runway; expectations with respect to any revenue timing or projections; expectations with respect to the development required for and the timing of the launch of Nautilus’ product platform and full commercial availability; the functionality and performance of Nautilus’ product platform, its potential impact on providing proteome or proteoform access, pharmaceutical development and drug discovery, expanding research horizons, and enabling scientific explorations and discovery; expectations regarding platform specifications required by potential customers and partners and the timeline for adoption of Nautilus’ platform by researchers;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10 -Q to be filed for the quarter ended September 30, 2025 and our other filings with the SEC. The forward -looking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Information</w:t>
      </w:r>
    </w:p>
    <w:p>
      <w:pPr>
        <w:spacing w:after="0" w:line="226"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Contact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press@nautilus.bio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investorrelations@nautilus.bio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10580"/>
          </w:cols>
          <w:pgMar w:left="660" w:top="1440" w:right="66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b w:val="1"/>
          <w:bCs w:val="1"/>
          <w:color w:val="auto"/>
        </w:rPr>
        <w:t>Nautilus Biotechnology, Inc.</w:t>
      </w:r>
    </w:p>
    <w:p>
      <w:pPr>
        <w:spacing w:after="0" w:line="224" w:lineRule="auto"/>
        <w:rPr>
          <w:sz w:val="20"/>
          <w:szCs w:val="20"/>
          <w:color w:val="auto"/>
        </w:rPr>
      </w:pPr>
      <w:r>
        <w:rPr>
          <w:rFonts w:ascii="Times New Roman" w:cs="Times New Roman" w:eastAsia="Times New Roman" w:hAnsi="Times New Roman"/>
          <w:sz w:val="19"/>
          <w:szCs w:val="19"/>
          <w:b w:val="1"/>
          <w:bCs w:val="1"/>
          <w:color w:val="auto"/>
        </w:rPr>
        <w:t>Condensed Consolidated Balance Sheets</w:t>
      </w:r>
    </w:p>
    <w:p>
      <w:pPr>
        <w:spacing w:after="0"/>
        <w:rPr>
          <w:sz w:val="20"/>
          <w:szCs w:val="20"/>
          <w:color w:val="auto"/>
        </w:rPr>
      </w:pPr>
      <w:r>
        <w:rPr>
          <w:rFonts w:ascii="Times New Roman" w:cs="Times New Roman" w:eastAsia="Times New Roman" w:hAnsi="Times New Roman"/>
          <w:sz w:val="19"/>
          <w:szCs w:val="19"/>
          <w:b w:val="1"/>
          <w:bCs w:val="1"/>
          <w:color w:val="auto"/>
        </w:rPr>
        <w:t>As of September 30, 2025 and December 31, 2024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0" w:type="dxa"/>
        <w:tblCellMar>
          <w:top w:w="0" w:type="dxa"/>
          <w:left w:w="0" w:type="dxa"/>
          <w:bottom w:w="0" w:type="dxa"/>
          <w:right w:w="0" w:type="dxa"/>
        </w:tblCellMar>
      </w:tblPr>
      <w:tr>
        <w:trPr>
          <w:trHeight w:val="174"/>
        </w:trPr>
        <w:tc>
          <w:tcPr>
            <w:tcW w:w="7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4"/>
        </w:trPr>
        <w:tc>
          <w:tcPr>
            <w:tcW w:w="7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23,875</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27,646</w:t>
            </w:r>
          </w:p>
        </w:tc>
      </w:tr>
      <w:tr>
        <w:trPr>
          <w:trHeight w:val="205"/>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107,552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102,247</w:t>
            </w:r>
          </w:p>
        </w:tc>
      </w:tr>
      <w:tr>
        <w:trPr>
          <w:trHeight w:val="204"/>
        </w:trPr>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2,898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w:t>
            </w:r>
          </w:p>
        </w:tc>
      </w:tr>
      <w:tr>
        <w:trPr>
          <w:trHeight w:val="197"/>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134,325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132,826</w:t>
            </w:r>
          </w:p>
        </w:tc>
      </w:tr>
      <w:tr>
        <w:trPr>
          <w:trHeight w:val="20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w:t>
            </w: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24,727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28,256</w:t>
            </w:r>
          </w:p>
        </w:tc>
      </w:tr>
      <w:tr>
        <w:trPr>
          <w:trHeight w:val="20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6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37,059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76,405</w:t>
            </w: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1,180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196"/>
        </w:trPr>
        <w:tc>
          <w:tcPr>
            <w:tcW w:w="7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200,915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242,743</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9"/>
        </w:trPr>
        <w:tc>
          <w:tcPr>
            <w:tcW w:w="72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0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5"/>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893</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04"/>
        </w:trPr>
        <w:tc>
          <w:tcPr>
            <w:tcW w:w="7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6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3,880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r>
      <w:tr>
        <w:trPr>
          <w:trHeight w:val="205"/>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4,209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w:t>
            </w:r>
          </w:p>
        </w:tc>
      </w:tr>
      <w:tr>
        <w:trPr>
          <w:trHeight w:val="196"/>
        </w:trPr>
        <w:tc>
          <w:tcPr>
            <w:tcW w:w="7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8,982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w:t>
            </w:r>
          </w:p>
        </w:tc>
      </w:tr>
      <w:tr>
        <w:trPr>
          <w:trHeight w:val="205"/>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22,794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26,381</w:t>
            </w:r>
          </w:p>
        </w:tc>
      </w:tr>
      <w:tr>
        <w:trPr>
          <w:trHeight w:val="196"/>
        </w:trPr>
        <w:tc>
          <w:tcPr>
            <w:tcW w:w="7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31,776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34,013</w:t>
            </w:r>
          </w:p>
        </w:tc>
      </w:tr>
      <w:tr>
        <w:trPr>
          <w:trHeight w:val="197"/>
        </w:trPr>
        <w:tc>
          <w:tcPr>
            <w:tcW w:w="7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5"/>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5"/>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487,165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481,679</w:t>
            </w:r>
          </w:p>
        </w:tc>
      </w:tr>
      <w:tr>
        <w:trPr>
          <w:trHeight w:val="204"/>
        </w:trPr>
        <w:tc>
          <w:tcPr>
            <w:tcW w:w="7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5"/>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(318,239)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(273,019)</w:t>
            </w:r>
          </w:p>
        </w:tc>
      </w:tr>
      <w:tr>
        <w:trPr>
          <w:trHeight w:val="196"/>
        </w:trPr>
        <w:tc>
          <w:tcPr>
            <w:tcW w:w="7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169,139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208,730</w:t>
            </w:r>
          </w:p>
        </w:tc>
      </w:tr>
      <w:tr>
        <w:trPr>
          <w:trHeight w:val="222"/>
        </w:trPr>
        <w:tc>
          <w:tcPr>
            <w:tcW w:w="7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200,915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242,743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10440"/>
          </w:cols>
          <w:pgMar w:left="680" w:top="588" w:right="78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9"/>
          <w:szCs w:val="19"/>
          <w:b w:val="1"/>
          <w:bCs w:val="1"/>
          <w:color w:val="auto"/>
        </w:rPr>
        <w:t>Nautilus Biotechnology, Inc.</w:t>
      </w:r>
    </w:p>
    <w:p>
      <w:pPr>
        <w:ind w:left="20"/>
        <w:spacing w:after="0" w:line="210" w:lineRule="auto"/>
        <w:rPr>
          <w:sz w:val="20"/>
          <w:szCs w:val="20"/>
          <w:color w:val="auto"/>
        </w:rPr>
      </w:pPr>
      <w:r>
        <w:rPr>
          <w:rFonts w:ascii="Times New Roman" w:cs="Times New Roman" w:eastAsia="Times New Roman" w:hAnsi="Times New Roman"/>
          <w:sz w:val="19"/>
          <w:szCs w:val="19"/>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Three and Nine Months Ended September 30, 2025 and 2024 (Unaudited)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7"/>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data)</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3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12,288</w:t>
            </w:r>
          </w:p>
        </w:tc>
        <w:tc>
          <w:tcPr>
            <w:tcW w:w="3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31,535</w:t>
            </w:r>
          </w:p>
        </w:tc>
        <w:tc>
          <w:tcPr>
            <w:tcW w:w="36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37,654</w:t>
            </w:r>
          </w:p>
        </w:tc>
        <w:tc>
          <w:tcPr>
            <w:tcW w:w="0" w:type="dxa"/>
            <w:vAlign w:val="bottom"/>
          </w:tcPr>
          <w:p>
            <w:pPr>
              <w:spacing w:after="0"/>
              <w:rPr>
                <w:sz w:val="1"/>
                <w:szCs w:val="1"/>
                <w:color w:val="auto"/>
              </w:rPr>
            </w:pPr>
          </w:p>
        </w:tc>
      </w:tr>
      <w:tr>
        <w:trPr>
          <w:trHeight w:val="205"/>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6,812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19,878</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23,842</w:t>
            </w:r>
          </w:p>
        </w:tc>
        <w:tc>
          <w:tcPr>
            <w:tcW w:w="0" w:type="dxa"/>
            <w:vAlign w:val="bottom"/>
          </w:tcPr>
          <w:p>
            <w:pPr>
              <w:spacing w:after="0"/>
              <w:rPr>
                <w:sz w:val="1"/>
                <w:szCs w:val="1"/>
                <w:color w:val="auto"/>
              </w:rPr>
            </w:pPr>
          </w:p>
        </w:tc>
      </w:tr>
      <w:tr>
        <w:trPr>
          <w:trHeight w:val="196"/>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51,413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61,496</w:t>
            </w:r>
          </w:p>
        </w:tc>
        <w:tc>
          <w:tcPr>
            <w:tcW w:w="0" w:type="dxa"/>
            <w:vAlign w:val="bottom"/>
          </w:tcPr>
          <w:p>
            <w:pPr>
              <w:spacing w:after="0"/>
              <w:rPr>
                <w:sz w:val="1"/>
                <w:szCs w:val="1"/>
                <w:color w:val="auto"/>
              </w:rPr>
            </w:pPr>
          </w:p>
        </w:tc>
      </w:tr>
      <w:tr>
        <w:trPr>
          <w:trHeight w:val="20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6,214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8,349</w:t>
            </w:r>
          </w:p>
        </w:tc>
        <w:tc>
          <w:tcPr>
            <w:tcW w:w="0" w:type="dxa"/>
            <w:vAlign w:val="bottom"/>
          </w:tcPr>
          <w:p>
            <w:pPr>
              <w:spacing w:after="0"/>
              <w:rPr>
                <w:sz w:val="1"/>
                <w:szCs w:val="1"/>
                <w:color w:val="auto"/>
              </w:rPr>
            </w:pPr>
          </w:p>
        </w:tc>
      </w:tr>
      <w:tr>
        <w:trPr>
          <w:trHeight w:val="205"/>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income</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2,654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6,193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8,310</w:t>
            </w:r>
          </w:p>
        </w:tc>
        <w:tc>
          <w:tcPr>
            <w:tcW w:w="0" w:type="dxa"/>
            <w:vAlign w:val="bottom"/>
          </w:tcPr>
          <w:p>
            <w:pPr>
              <w:spacing w:after="0"/>
              <w:rPr>
                <w:sz w:val="1"/>
                <w:szCs w:val="1"/>
                <w:color w:val="auto"/>
              </w:rPr>
            </w:pPr>
          </w:p>
        </w:tc>
      </w:tr>
      <w:tr>
        <w:trPr>
          <w:trHeight w:val="22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980" w:type="dxa"/>
            <w:vAlign w:val="bottom"/>
            <w:tcBorders>
              <w:top w:val="single" w:sz="8" w:color="CCEEFF"/>
            </w:tcBorders>
            <w:vMerge w:val="continue"/>
          </w:tcPr>
          <w:p>
            <w:pPr>
              <w:spacing w:after="0"/>
              <w:rPr>
                <w:sz w:val="14"/>
                <w:szCs w:val="14"/>
                <w:color w:val="auto"/>
              </w:rPr>
            </w:pPr>
          </w:p>
        </w:tc>
        <w:tc>
          <w:tcPr>
            <w:tcW w:w="220" w:type="dxa"/>
            <w:vAlign w:val="bottom"/>
            <w:tcBorders>
              <w:top w:val="single" w:sz="8" w:color="auto"/>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(0.11)</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(0.13)</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(0.36)</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9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Weighted-average shares used in computing net loss per share attributable to</w:t>
            </w:r>
          </w:p>
        </w:tc>
        <w:tc>
          <w:tcPr>
            <w:tcW w:w="22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126,305,122</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125,452,572</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126,218,587</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125,302,440</w:t>
            </w:r>
          </w:p>
        </w:tc>
        <w:tc>
          <w:tcPr>
            <w:tcW w:w="0" w:type="dxa"/>
            <w:vAlign w:val="bottom"/>
          </w:tcPr>
          <w:p>
            <w:pPr>
              <w:spacing w:after="0"/>
              <w:rPr>
                <w:sz w:val="1"/>
                <w:szCs w:val="1"/>
                <w:color w:val="auto"/>
              </w:rPr>
            </w:pPr>
          </w:p>
        </w:tc>
      </w:tr>
      <w:tr>
        <w:trPr>
          <w:trHeight w:val="200"/>
        </w:trPr>
        <w:tc>
          <w:tcPr>
            <w:tcW w:w="4980" w:type="dxa"/>
            <w:vAlign w:val="bottom"/>
            <w:tcBorders>
              <w:bottom w:val="single" w:sz="8" w:color="CCEEFF"/>
            </w:tcBorders>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common stockholders, basic and diluted</w:t>
            </w: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10560"/>
          </w:cols>
          <w:pgMar w:left="660" w:top="588" w:right="68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b w:val="1"/>
          <w:bCs w:val="1"/>
          <w:color w:val="auto"/>
        </w:rPr>
        <w:t>Nautilus Biotechnology, Inc.</w:t>
      </w:r>
    </w:p>
    <w:p>
      <w:pPr>
        <w:spacing w:after="0" w:line="210" w:lineRule="auto"/>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Nine Months Ended September 30, 2025 and 2024 (Unaudited)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7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4"/>
        </w:trPr>
        <w:tc>
          <w:tcPr>
            <w:tcW w:w="76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9"/>
        </w:trPr>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5"/>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(45,220)</w:t>
            </w:r>
          </w:p>
        </w:tc>
        <w:tc>
          <w:tcPr>
            <w:tcW w:w="4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(53,186)</w:t>
            </w:r>
          </w:p>
        </w:tc>
      </w:tr>
      <w:tr>
        <w:trPr>
          <w:trHeight w:val="204"/>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7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5,373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9,577</w:t>
            </w:r>
          </w:p>
        </w:tc>
      </w:tr>
      <w:tr>
        <w:trPr>
          <w:trHeight w:val="204"/>
        </w:trPr>
        <w:tc>
          <w:tcPr>
            <w:tcW w:w="7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2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3,529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3,257</w:t>
            </w:r>
          </w:p>
        </w:tc>
      </w:tr>
      <w:tr>
        <w:trPr>
          <w:trHeight w:val="205"/>
        </w:trPr>
        <w:tc>
          <w:tcPr>
            <w:tcW w:w="7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1,543</w:t>
            </w:r>
          </w:p>
        </w:tc>
      </w:tr>
      <w:tr>
        <w:trPr>
          <w:trHeight w:val="204"/>
        </w:trPr>
        <w:tc>
          <w:tcPr>
            <w:tcW w:w="7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 (accretion) of premium (discount) on securities, net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r>
      <w:tr>
        <w:trPr>
          <w:trHeight w:val="205"/>
        </w:trPr>
        <w:tc>
          <w:tcPr>
            <w:tcW w:w="7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4"/>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5"/>
        </w:trPr>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4"/>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1,332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205"/>
        </w:trPr>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w:t>
            </w:r>
          </w:p>
        </w:tc>
      </w:tr>
      <w:tr>
        <w:trPr>
          <w:trHeight w:val="196"/>
        </w:trPr>
        <w:tc>
          <w:tcPr>
            <w:tcW w:w="76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(44,836)</w:t>
            </w:r>
          </w:p>
        </w:tc>
      </w:tr>
      <w:tr>
        <w:trPr>
          <w:trHeight w:val="185"/>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4"/>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maturities of securities</w:t>
            </w:r>
          </w:p>
        </w:tc>
        <w:tc>
          <w:tcPr>
            <w:tcW w:w="2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74,241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90,410</w:t>
            </w:r>
          </w:p>
        </w:tc>
      </w:tr>
      <w:tr>
        <w:trPr>
          <w:trHeight w:val="205"/>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securities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(59,398)</w:t>
            </w:r>
          </w:p>
        </w:tc>
      </w:tr>
      <w:tr>
        <w:trPr>
          <w:trHeight w:val="204"/>
        </w:trPr>
        <w:tc>
          <w:tcPr>
            <w:tcW w:w="7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r>
      <w:tr>
        <w:trPr>
          <w:trHeight w:val="197"/>
        </w:trPr>
        <w:tc>
          <w:tcPr>
            <w:tcW w:w="7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34,437</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29,144</w:t>
            </w:r>
          </w:p>
        </w:tc>
      </w:tr>
      <w:tr>
        <w:trPr>
          <w:trHeight w:val="184"/>
        </w:trPr>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04"/>
        </w:trPr>
        <w:tc>
          <w:tcPr>
            <w:tcW w:w="7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197"/>
        </w:trPr>
        <w:tc>
          <w:tcPr>
            <w:tcW w:w="7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196"/>
        </w:trPr>
        <w:tc>
          <w:tcPr>
            <w:tcW w:w="7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(14,988)</w:t>
            </w:r>
          </w:p>
        </w:tc>
      </w:tr>
      <w:tr>
        <w:trPr>
          <w:trHeight w:val="217"/>
        </w:trPr>
        <w:tc>
          <w:tcPr>
            <w:tcW w:w="7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4"/>
        </w:trPr>
        <w:tc>
          <w:tcPr>
            <w:tcW w:w="7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28,648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20,399</w:t>
            </w:r>
          </w:p>
        </w:tc>
      </w:tr>
      <w:tr>
        <w:trPr>
          <w:trHeight w:val="221"/>
        </w:trPr>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24,877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5,411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10540"/>
          </w:cols>
          <w:pgMar w:left="680" w:top="588" w:right="680" w:bottom="1440" w:gutter="0" w:footer="0" w:header="0"/>
        </w:sectPr>
      </w:pPr>
    </w:p>
    <w:bookmarkStart w:id="8" w:name="page9"/>
    <w:bookmarkEnd w:id="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2025-10-28T05:16:50Z</dcterms:created>
  <dcterms:modified xsi:type="dcterms:W3CDTF">2025-10-28T05:16:50Z</dcterms:modified>
</cp:coreProperties>
</file>