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802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8028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gridSpan w:val="2"/>
            <w:vMerge w:val="restart"/>
          </w:tcPr>
          <w:p>
            <w:pPr>
              <w:spacing w:after="0" w:line="181" w:lineRule="exact"/>
              <w:rPr>
                <w:rFonts w:ascii="Arial" w:cs="Arial" w:eastAsia="Arial" w:hAnsi="Arial"/>
                <w:sz w:val="16"/>
                <w:szCs w:val="16"/>
                <w:color w:val="0000EE"/>
                <w:w w:val="92"/>
              </w:rPr>
            </w:pPr>
            <w:hyperlink r:id="rId11">
              <w:r>
                <w:rPr>
                  <w:rFonts w:ascii="Arial" w:cs="Arial" w:eastAsia="Arial" w:hAnsi="Arial"/>
                  <w:sz w:val="16"/>
                  <w:szCs w:val="16"/>
                  <w:color w:val="0000EE"/>
                  <w:w w:val="92"/>
                </w:rPr>
                <w:t>Murphy Matthew B.</w:t>
              </w:r>
            </w:hyperlink>
          </w:p>
        </w:tc>
        <w:tc>
          <w:tcPr>
            <w:tcW w:w="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Borders>
              <w:bottom w:val="single" w:sz="8" w:color="0000EE"/>
            </w:tcBorders>
            <w:gridSpan w:val="2"/>
            <w:vMerge w:val="continue"/>
          </w:tcPr>
          <w:p>
            <w:pPr>
              <w:spacing w:after="0"/>
              <w:rPr>
                <w:sz w:val="9"/>
                <w:szCs w:val="9"/>
                <w:color w:val="auto"/>
              </w:rPr>
            </w:pPr>
          </w:p>
        </w:tc>
        <w:tc>
          <w:tcPr>
            <w:tcW w:w="70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70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Nautilus Biotechnology,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NAUT</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NAUTILUS BIOTECHNOLOGY,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425 PONTIUS AVE N, STE 202</w:t>
      </w:r>
    </w:p>
    <w:p>
      <w:pPr>
        <w:spacing w:after="0" w:line="226"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3"/>
          <w:szCs w:val="13"/>
          <w:color w:val="0000FF"/>
        </w:rPr>
        <w:t>SEATTLE</w:t>
      </w:r>
      <w:r>
        <w:rPr>
          <w:sz w:val="20"/>
          <w:szCs w:val="20"/>
          <w:color w:val="auto"/>
        </w:rPr>
        <w:tab/>
      </w:r>
      <w:r>
        <w:rPr>
          <w:rFonts w:ascii="Arial" w:cs="Arial" w:eastAsia="Arial" w:hAnsi="Arial"/>
          <w:sz w:val="13"/>
          <w:szCs w:val="13"/>
          <w:color w:val="0000FF"/>
        </w:rPr>
        <w:t>WA</w:t>
      </w:r>
      <w:r>
        <w:rPr>
          <w:sz w:val="20"/>
          <w:szCs w:val="20"/>
          <w:color w:val="auto"/>
        </w:rPr>
        <w:tab/>
      </w:r>
      <w:r>
        <w:rPr>
          <w:rFonts w:ascii="Arial" w:cs="Arial" w:eastAsia="Arial" w:hAnsi="Arial"/>
          <w:sz w:val="11"/>
          <w:szCs w:val="11"/>
          <w:color w:val="0000FF"/>
        </w:rPr>
        <w:t>98109</w:t>
      </w:r>
    </w:p>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1165"/>
        <w:spacing w:after="0"/>
        <w:rPr>
          <w:sz w:val="20"/>
          <w:szCs w:val="20"/>
          <w:color w:val="auto"/>
        </w:rPr>
      </w:pPr>
      <w:r>
        <w:rPr>
          <w:rFonts w:ascii="Arial" w:cs="Arial" w:eastAsia="Arial" w:hAnsi="Arial"/>
          <w:sz w:val="13"/>
          <w:szCs w:val="13"/>
          <w:color w:val="0000FF"/>
        </w:rPr>
        <w:t>General Counsel</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39"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5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3"/>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30"/>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2C2C2C"/>
            </w:tcBorders>
          </w:tcPr>
          <w:p>
            <w:pPr>
              <w:spacing w:after="0"/>
              <w:rPr>
                <w:sz w:val="21"/>
                <w:szCs w:val="21"/>
                <w:color w:val="auto"/>
              </w:rPr>
            </w:pPr>
          </w:p>
        </w:tc>
        <w:tc>
          <w:tcPr>
            <w:tcW w:w="36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1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1640" w:type="dxa"/>
            <w:vAlign w:val="bottom"/>
            <w:tcBorders>
              <w:bottom w:val="single" w:sz="8" w:color="2C2C2C"/>
            </w:tcBorders>
          </w:tcPr>
          <w:p>
            <w:pPr>
              <w:jc w:val="right"/>
              <w:ind w:right="486"/>
              <w:spacing w:after="0"/>
              <w:rPr>
                <w:sz w:val="20"/>
                <w:szCs w:val="20"/>
                <w:color w:val="auto"/>
              </w:rPr>
            </w:pPr>
            <w:r>
              <w:rPr>
                <w:rFonts w:ascii="Arial" w:cs="Arial" w:eastAsia="Arial" w:hAnsi="Arial"/>
                <w:sz w:val="13"/>
                <w:szCs w:val="13"/>
                <w:color w:val="0000FF"/>
              </w:rPr>
              <w:t>29,140</w:t>
            </w:r>
          </w:p>
        </w:tc>
        <w:tc>
          <w:tcPr>
            <w:tcW w:w="1140" w:type="dxa"/>
            <w:vAlign w:val="bottom"/>
            <w:tcBorders>
              <w:bottom w:val="single" w:sz="8" w:color="2C2C2C"/>
            </w:tcBorders>
          </w:tcPr>
          <w:p>
            <w:pPr>
              <w:ind w:left="920"/>
              <w:spacing w:after="0"/>
              <w:rPr>
                <w:sz w:val="20"/>
                <w:szCs w:val="20"/>
                <w:color w:val="auto"/>
              </w:rPr>
            </w:pPr>
            <w:r>
              <w:rPr>
                <w:rFonts w:ascii="Arial" w:cs="Arial" w:eastAsia="Arial" w:hAnsi="Arial"/>
                <w:sz w:val="13"/>
                <w:szCs w:val="13"/>
                <w:color w:val="0000FF"/>
              </w:rPr>
              <w:t>I</w:t>
            </w:r>
          </w:p>
        </w:tc>
        <w:tc>
          <w:tcPr>
            <w:tcW w:w="1680" w:type="dxa"/>
            <w:vAlign w:val="bottom"/>
            <w:tcBorders>
              <w:bottom w:val="single" w:sz="8" w:color="2C2C2C"/>
            </w:tcBorders>
            <w:gridSpan w:val="5"/>
          </w:tcPr>
          <w:p>
            <w:pPr>
              <w:ind w:left="440"/>
              <w:spacing w:after="0"/>
              <w:rPr>
                <w:sz w:val="20"/>
                <w:szCs w:val="20"/>
                <w:color w:val="auto"/>
              </w:rPr>
            </w:pPr>
            <w:r>
              <w:rPr>
                <w:rFonts w:ascii="Arial" w:cs="Arial" w:eastAsia="Arial" w:hAnsi="Arial"/>
                <w:sz w:val="13"/>
                <w:szCs w:val="13"/>
                <w:color w:val="0000FF"/>
              </w:rPr>
              <w:t>See Footnote</w:t>
            </w:r>
            <w:r>
              <w:rPr>
                <w:rFonts w:ascii="Arial" w:cs="Arial" w:eastAsia="Arial" w:hAnsi="Arial"/>
                <w:sz w:val="16"/>
                <w:szCs w:val="16"/>
                <w:color w:val="008000"/>
                <w:vertAlign w:val="superscript"/>
              </w:rPr>
              <w:t>(1)</w:t>
            </w:r>
          </w:p>
        </w:tc>
        <w:tc>
          <w:tcPr>
            <w:tcW w:w="1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360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4020" w:type="dxa"/>
            <w:vAlign w:val="bottom"/>
            <w:tcBorders>
              <w:top w:val="single" w:sz="8" w:color="2C2C2C"/>
            </w:tcBorders>
            <w:gridSpan w:val="4"/>
          </w:tcPr>
          <w:p>
            <w:pPr>
              <w:ind w:left="24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78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20" w:type="dxa"/>
            <w:vAlign w:val="bottom"/>
            <w:tcBorders>
              <w:top w:val="single" w:sz="8" w:color="2C2C2C"/>
            </w:tcBorders>
          </w:tcPr>
          <w:p>
            <w:pPr>
              <w:spacing w:after="0"/>
              <w:rPr>
                <w:sz w:val="13"/>
                <w:szCs w:val="13"/>
                <w:color w:val="auto"/>
              </w:rPr>
            </w:pPr>
          </w:p>
        </w:tc>
        <w:tc>
          <w:tcPr>
            <w:tcW w:w="156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140" w:type="dxa"/>
            <w:vAlign w:val="bottom"/>
            <w:gridSpan w:val="5"/>
          </w:tcPr>
          <w:p>
            <w:pPr>
              <w:ind w:left="10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120" w:type="dxa"/>
            <w:vAlign w:val="bottom"/>
          </w:tcPr>
          <w:p>
            <w:pPr>
              <w:spacing w:after="0"/>
              <w:rPr>
                <w:sz w:val="11"/>
                <w:szCs w:val="11"/>
                <w:color w:val="auto"/>
              </w:rPr>
            </w:pP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1"/>
                <w:szCs w:val="11"/>
                <w:color w:val="auto"/>
              </w:rPr>
            </w:pPr>
          </w:p>
        </w:tc>
        <w:tc>
          <w:tcPr>
            <w:tcW w:w="880" w:type="dxa"/>
            <w:vAlign w:val="bottom"/>
            <w:gridSpan w:val="3"/>
          </w:tcPr>
          <w:p>
            <w:pPr>
              <w:ind w:left="2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gridSpan w:val="2"/>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60" w:type="dxa"/>
            <w:vAlign w:val="bottom"/>
            <w:gridSpan w:val="5"/>
          </w:tcPr>
          <w:p>
            <w:pPr>
              <w:ind w:left="2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80" w:type="dxa"/>
            <w:vAlign w:val="bottom"/>
            <w:gridSpan w:val="3"/>
          </w:tcPr>
          <w:p>
            <w:pPr>
              <w:ind w:left="2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80" w:type="dxa"/>
            <w:vAlign w:val="bottom"/>
            <w:gridSpan w:val="3"/>
            <w:vMerge w:val="restart"/>
          </w:tcPr>
          <w:p>
            <w:pPr>
              <w:ind w:left="2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80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5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8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3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380" w:type="dxa"/>
            <w:vAlign w:val="bottom"/>
            <w:gridSpan w:val="3"/>
          </w:tcPr>
          <w:p>
            <w:pPr>
              <w:ind w:left="20"/>
              <w:spacing w:after="0"/>
              <w:rPr>
                <w:sz w:val="20"/>
                <w:szCs w:val="20"/>
                <w:color w:val="auto"/>
              </w:rPr>
            </w:pPr>
            <w:r>
              <w:rPr>
                <w:rFonts w:ascii="Arial" w:cs="Arial" w:eastAsia="Arial" w:hAnsi="Arial"/>
                <w:sz w:val="10"/>
                <w:szCs w:val="10"/>
                <w:color w:val="008000"/>
                <w:w w:val="91"/>
              </w:rPr>
              <w:t>1. Shares held by the Murphy Family Trust. The reporting person is the Trustee of the Murphy Family Trust.</w:t>
            </w: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Arial" w:cs="Arial" w:eastAsia="Arial" w:hAnsi="Arial"/>
                <w:sz w:val="13"/>
                <w:szCs w:val="13"/>
                <w:b w:val="1"/>
                <w:bCs w:val="1"/>
                <w:color w:val="auto"/>
              </w:rPr>
              <w:t>Remarks: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color w:val="008000"/>
              </w:rPr>
              <w:t>Exhibit 24: Power of Attorney</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40" w:type="dxa"/>
            <w:vAlign w:val="bottom"/>
            <w:gridSpan w:val="3"/>
          </w:tcPr>
          <w:p>
            <w:pPr>
              <w:spacing w:after="0"/>
              <w:rPr>
                <w:sz w:val="20"/>
                <w:szCs w:val="20"/>
                <w:color w:val="auto"/>
              </w:rPr>
            </w:pPr>
            <w:r>
              <w:rPr>
                <w:rFonts w:ascii="Arial" w:cs="Arial" w:eastAsia="Arial" w:hAnsi="Arial"/>
                <w:sz w:val="13"/>
                <w:szCs w:val="13"/>
                <w:color w:val="0000FF"/>
                <w:w w:val="92"/>
              </w:rPr>
              <w:t>/s/ Anna Mowry, as Attorney-in-Fact</w:t>
            </w:r>
          </w:p>
        </w:tc>
        <w:tc>
          <w:tcPr>
            <w:tcW w:w="880" w:type="dxa"/>
            <w:vAlign w:val="bottom"/>
            <w:gridSpan w:val="3"/>
          </w:tcPr>
          <w:p>
            <w:pPr>
              <w:ind w:left="260"/>
              <w:spacing w:after="0"/>
              <w:rPr>
                <w:sz w:val="20"/>
                <w:szCs w:val="20"/>
                <w:color w:val="auto"/>
              </w:rPr>
            </w:pPr>
            <w:r>
              <w:rPr>
                <w:rFonts w:ascii="Arial" w:cs="Arial" w:eastAsia="Arial" w:hAnsi="Arial"/>
                <w:sz w:val="13"/>
                <w:szCs w:val="13"/>
                <w:color w:val="0000FF"/>
                <w:w w:val="92"/>
              </w:rPr>
              <w:t>06/09/2021</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960" w:type="dxa"/>
            <w:vAlign w:val="bottom"/>
            <w:gridSpan w:val="4"/>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00" w:type="dxa"/>
            <w:vAlign w:val="bottom"/>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0" w:type="dxa"/>
            <w:vAlign w:val="bottom"/>
            <w:gridSpan w:val="5"/>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740" w:type="dxa"/>
            <w:vAlign w:val="bottom"/>
            <w:gridSpan w:val="6"/>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Sujal Patel</w:t>
      </w:r>
    </w:p>
    <w:p>
      <w:pPr>
        <w:spacing w:after="0" w:line="153" w:lineRule="exact"/>
        <w:rPr>
          <w:sz w:val="20"/>
          <w:szCs w:val="20"/>
          <w:color w:val="auto"/>
        </w:rPr>
      </w:pPr>
    </w:p>
    <w:p>
      <w:pPr>
        <w:ind w:left="460" w:hanging="460"/>
        <w:spacing w:after="0"/>
        <w:tabs>
          <w:tab w:leader="none" w:pos="4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Matthew B. Murphy</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Matthew B. Murphy</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65778"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2021-06-09T20:46:00Z</dcterms:created>
  <dcterms:modified xsi:type="dcterms:W3CDTF">2021-06-09T20:46:00Z</dcterms:modified>
</cp:coreProperties>
</file>