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2025</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8"/>
                <w:szCs w:val="18"/>
                <w:b w:val="1"/>
                <w:bCs w:val="1"/>
                <w:color w:val="auto"/>
              </w:rPr>
              <w:t>98-1541723</w:t>
            </w:r>
          </w:p>
        </w:tc>
      </w:tr>
      <w:tr>
        <w:trPr>
          <w:trHeight w:val="291"/>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80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rPr>
              <w:t>(Commission File Number)</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460" w:type="dxa"/>
            <w:vAlign w:val="bottom"/>
          </w:tcPr>
          <w:p>
            <w:pPr>
              <w:jc w:val="center"/>
              <w:ind w:right="1673"/>
              <w:spacing w:after="0"/>
              <w:rPr>
                <w:sz w:val="20"/>
                <w:szCs w:val="20"/>
                <w:color w:val="auto"/>
              </w:rPr>
            </w:pPr>
            <w:r>
              <w:rPr>
                <w:rFonts w:ascii="Times New Roman" w:cs="Times New Roman" w:eastAsia="Times New Roman" w:hAnsi="Times New Roman"/>
                <w:sz w:val="16"/>
                <w:szCs w:val="16"/>
                <w:color w:val="auto"/>
              </w:rPr>
              <w:t>of incorporation)</w:t>
            </w:r>
          </w:p>
        </w:tc>
        <w:tc>
          <w:tcPr>
            <w:tcW w:w="2800" w:type="dxa"/>
            <w:vAlign w:val="bottom"/>
          </w:tcPr>
          <w:p>
            <w:pPr>
              <w:spacing w:after="0"/>
              <w:rPr>
                <w:sz w:val="18"/>
                <w:szCs w:val="18"/>
                <w:color w:val="auto"/>
              </w:rPr>
            </w:pP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861"/>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Seattle</w:t>
            </w:r>
            <w:r>
              <w:rPr>
                <w:rFonts w:ascii="Arial" w:cs="Arial" w:eastAsia="Arial" w:hAnsi="Arial"/>
                <w:sz w:val="18"/>
                <w:szCs w:val="18"/>
                <w:color w:val="auto"/>
                <w:w w:val="99"/>
              </w:rPr>
              <w:t>,</w:t>
            </w:r>
            <w:r>
              <w:rPr>
                <w:rFonts w:ascii="Times New Roman" w:cs="Times New Roman" w:eastAsia="Times New Roman" w:hAnsi="Times New Roman"/>
                <w:sz w:val="18"/>
                <w:szCs w:val="18"/>
                <w:b w:val="1"/>
                <w:bCs w:val="1"/>
                <w:color w:val="auto"/>
                <w:w w:val="99"/>
              </w:rPr>
              <w:t xml:space="preserve"> Washington</w:t>
            </w:r>
          </w:p>
        </w:tc>
        <w:tc>
          <w:tcPr>
            <w:tcW w:w="2800" w:type="dxa"/>
            <w:vAlign w:val="bottom"/>
          </w:tcPr>
          <w:p>
            <w:pPr>
              <w:spacing w:after="0"/>
              <w:rPr>
                <w:sz w:val="17"/>
                <w:szCs w:val="17"/>
                <w:color w:val="auto"/>
              </w:rPr>
            </w:pPr>
          </w:p>
        </w:tc>
        <w:tc>
          <w:tcPr>
            <w:tcW w:w="2760" w:type="dxa"/>
            <w:vAlign w:val="bottom"/>
          </w:tcPr>
          <w:p>
            <w:pPr>
              <w:jc w:val="right"/>
              <w:ind w:right="1355"/>
              <w:spacing w:after="0" w:line="200" w:lineRule="exact"/>
              <w:rPr>
                <w:sz w:val="20"/>
                <w:szCs w:val="20"/>
                <w:color w:val="auto"/>
              </w:rPr>
            </w:pPr>
            <w:r>
              <w:rPr>
                <w:rFonts w:ascii="Times New Roman" w:cs="Times New Roman" w:eastAsia="Times New Roman" w:hAnsi="Times New Roman"/>
                <w:sz w:val="18"/>
                <w:szCs w:val="18"/>
                <w:b w:val="1"/>
                <w:bCs w:val="1"/>
                <w:color w:val="auto"/>
              </w:rPr>
              <w:t>98102</w:t>
            </w:r>
          </w:p>
        </w:tc>
      </w:tr>
      <w:tr>
        <w:trPr>
          <w:trHeight w:val="234"/>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2760" w:type="dxa"/>
            <w:vAlign w:val="bottom"/>
          </w:tcPr>
          <w:p>
            <w:pPr>
              <w:jc w:val="center"/>
              <w:ind w:right="4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November 3, 2025, Nautilus Biotechnology, Inc. (the “Company”) received a written notice from the Listing Qualifications staff (the “Staff”) of The Nasdaq Stock Market LLC (“Nasdaq”) informing the Company that it has regained compliance with Nasdaq’s Listing Rule 5550(a)(2) for continued listing on The Nasdaq Capital Market, as the closing bid price of the Company’s common stock had met or exceeded $1.00 per share for a minimum of ten consecutive business days and that the matter is now closed.</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with the Securities and Exchange Commission on May 2, 2025, the Company received a letter from the Staff indicating that, based upon the closing bid price of shares of the Company’s common stock for the 30 consecutive business day period between March 19, 2025, through April 30, 2025, the Company did not meet the minimum bid price of $1.00 per share required for continued listing on the Nasdaq Global Select Market pursuant to Nasdaq Listing Rule 5450(a)(1) (the “Minimum Bid Price Requirement”). Pursuant to Listing Rule 5810(c)(3) (A), the Company was granted 180 calendar days, or until October 28, 2025, to regain compliance with the Minimum Bid Price Requirement. Subsequently, on October 29, 2025, the Company transferred to The Nasdaq Capital Market and was afforded the remainder of The Nasdaq Capital Market’s second 180 calendar day compliance period, or until April 27, 2026, to regain compliance with the Minimum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2025</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2025-11-04T05:10:36Z</dcterms:created>
  <dcterms:modified xsi:type="dcterms:W3CDTF">2025-11-04T05:10:36Z</dcterms:modified>
</cp:coreProperties>
</file>