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line="230" w:lineRule="auto"/>
        <w:rPr>
          <w:sz w:val="20"/>
          <w:szCs w:val="20"/>
          <w:color w:val="auto"/>
        </w:rPr>
      </w:pPr>
      <w:r>
        <w:rPr>
          <w:rFonts w:ascii="Arial" w:cs="Arial" w:eastAsia="Arial" w:hAnsi="Arial"/>
          <w:sz w:val="22"/>
          <w:szCs w:val="22"/>
          <w:b w:val="1"/>
          <w:bCs w:val="1"/>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 III</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3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001-39434</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98-1541723</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833"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35" w:right="339" w:bottom="833"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(212) 284-2300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15"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w:t>
      </w:r>
    </w:p>
    <w:p>
      <w:pPr>
        <w:spacing w:after="0" w:line="20" w:lineRule="exact"/>
        <w:rPr>
          <w:sz w:val="24"/>
          <w:szCs w:val="24"/>
          <w:color w:val="auto"/>
        </w:rPr>
      </w:pPr>
    </w:p>
    <w:p>
      <w:pPr>
        <w:spacing w:after="0"/>
        <w:rPr>
          <w:sz w:val="20"/>
          <w:szCs w:val="20"/>
          <w:color w:val="auto"/>
        </w:rPr>
      </w:pPr>
      <w:r>
        <w:rPr>
          <w:rFonts w:ascii="Arial" w:cs="Arial" w:eastAsia="Arial" w:hAnsi="Arial"/>
          <w:sz w:val="22"/>
          <w:szCs w:val="22"/>
          <w:color w:val="auto"/>
        </w:rPr>
        <w:t>Registrant under any of the following provisions:</w:t>
      </w:r>
    </w:p>
    <w:p>
      <w:pPr>
        <w:spacing w:after="0" w:line="2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06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406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3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on which registered</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Class A Ordinary Shares, par value $0.0001</w:t>
            </w:r>
          </w:p>
        </w:tc>
        <w:tc>
          <w:tcPr>
            <w:tcW w:w="338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7"/>
              </w:rPr>
              <w:t>ARYA</w:t>
            </w:r>
          </w:p>
        </w:tc>
        <w:tc>
          <w:tcPr>
            <w:tcW w:w="3800" w:type="dxa"/>
            <w:vAlign w:val="bottom"/>
          </w:tcPr>
          <w:p>
            <w:pPr>
              <w:jc w:val="center"/>
              <w:ind w:left="50"/>
              <w:spacing w:after="0" w:line="201" w:lineRule="exact"/>
              <w:rPr>
                <w:sz w:val="20"/>
                <w:szCs w:val="20"/>
                <w:color w:val="auto"/>
              </w:rPr>
            </w:pPr>
            <w:r>
              <w:rPr>
                <w:rFonts w:ascii="Arial" w:cs="Arial" w:eastAsia="Arial" w:hAnsi="Arial"/>
                <w:sz w:val="18"/>
                <w:szCs w:val="18"/>
                <w:color w:val="auto"/>
                <w:w w:val="89"/>
              </w:rPr>
              <w:t>The Nasdaq Capital</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per Share</w:t>
            </w:r>
          </w:p>
        </w:tc>
        <w:tc>
          <w:tcPr>
            <w:tcW w:w="3380" w:type="dxa"/>
            <w:vAlign w:val="bottom"/>
          </w:tcPr>
          <w:p>
            <w:pPr>
              <w:spacing w:after="0"/>
              <w:rPr>
                <w:sz w:val="20"/>
                <w:szCs w:val="20"/>
                <w:color w:val="auto"/>
              </w:rPr>
            </w:pPr>
          </w:p>
        </w:tc>
        <w:tc>
          <w:tcPr>
            <w:tcW w:w="3800" w:type="dxa"/>
            <w:vAlign w:val="bottom"/>
          </w:tcPr>
          <w:p>
            <w:pPr>
              <w:jc w:val="center"/>
              <w:ind w:left="70"/>
              <w:spacing w:after="0"/>
              <w:rPr>
                <w:sz w:val="20"/>
                <w:szCs w:val="20"/>
                <w:color w:val="auto"/>
              </w:rPr>
            </w:pPr>
            <w:r>
              <w:rPr>
                <w:rFonts w:ascii="Arial" w:cs="Arial" w:eastAsia="Arial" w:hAnsi="Arial"/>
                <w:sz w:val="18"/>
                <w:szCs w:val="18"/>
                <w:color w:val="auto"/>
                <w:w w:val="94"/>
              </w:rPr>
              <w:t>Market</w:t>
            </w:r>
          </w:p>
        </w:tc>
      </w:tr>
      <w:tr>
        <w:trPr>
          <w:trHeight w:val="216"/>
        </w:trPr>
        <w:tc>
          <w:tcPr>
            <w:tcW w:w="40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bl>
    <w:p>
      <w:pPr>
        <w:spacing w:after="0" w:line="222" w:lineRule="exact"/>
        <w:rPr>
          <w:sz w:val="24"/>
          <w:szCs w:val="24"/>
          <w:color w:val="auto"/>
        </w:rPr>
      </w:pPr>
    </w:p>
    <w:p>
      <w:pPr>
        <w:ind w:right="380"/>
        <w:spacing w:after="0" w:line="250"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or Rule 12b-2 of the Securities Exchange Act of 1934.</w:t>
      </w:r>
    </w:p>
    <w:p>
      <w:pPr>
        <w:spacing w:after="0" w:line="17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3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previously disclosed, on February 7, 2021, ARYA Sciences Acquisition Corp III (“ARYA”) entered into a Business Combination Agreement (the “Business Combination Agreement”) with Nautilus Biotechnology, Inc. (“Nautilus”), among others. A copy of the Business Combination Agreement was attached as Exhibit 2.1 to ARYA’s Current Report on Form 8-K, filed with the Securities and Exchange Commission (“SEC”) on February 8, 2021.</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Following the entry into the Business Combination Agreement, ARYA received four letters (the “Shareholder Letters”) from purported shareholders of ARYA claiming certain allegedly material omissions in its preliminary proxy statement/prospectus filed on March 26, 2021 (as amended, the “Proxy Statement”) in connection with the transactions contemplated by the Business Combination Agreement (together, the “Business Combination”).</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While ARYA believes that the disclosures set forth in the Proxy Statement comply fully with applicable law, in order to moot the plaintiffs’ disclosure claims in the Shareholder Letters, to avoid nuisance, cost and distraction, and to preclude any efforts to delay the closing of the Business Combination, ARYA has determined to voluntarily supplement the Proxy Statement with the supplemental disclosures set forth below (the “Supplemental Disclosures”). Nothing in the Supplemental Disclosures shall be deemed an admission of the legal necessity or materiality under applicable laws of any of the disclosures set forth herein. To the contrary, ARYA specifically denies all allegations in the Shareholder Letters that any additional disclosure was or is required. ARYA believes the Shareholder Letters are without merit.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Disclosures to Proxy Statement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supplemental information should be read in conjunction with the Proxy Statement, which should be read in its entirety. All page references are to pages in the Proxy Statement, and terms used below, unless otherwise defined, have the meanings set forth in the Proxy Statement. Underlined text shows text being added to a referenced disclosure in the Proxy Statement.</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The following disclosure replaces the third paragraph under the heading “Background to the Business Combination” on page 108 of the Proxy Statement.</w:t>
      </w:r>
    </w:p>
    <w:p>
      <w:pPr>
        <w:spacing w:after="0" w:line="202" w:lineRule="exact"/>
        <w:rPr>
          <w:sz w:val="20"/>
          <w:szCs w:val="20"/>
          <w:color w:val="auto"/>
        </w:rPr>
      </w:pPr>
    </w:p>
    <w:p>
      <w:pPr>
        <w:ind w:left="660" w:right="300"/>
        <w:spacing w:after="0" w:line="248" w:lineRule="auto"/>
        <w:rPr>
          <w:sz w:val="20"/>
          <w:szCs w:val="20"/>
          <w:color w:val="auto"/>
        </w:rPr>
      </w:pPr>
      <w:r>
        <w:rPr>
          <w:rFonts w:ascii="Arial" w:cs="Arial" w:eastAsia="Arial" w:hAnsi="Arial"/>
          <w:sz w:val="21"/>
          <w:szCs w:val="21"/>
          <w:color w:val="auto"/>
        </w:rPr>
        <w:t xml:space="preserve">On December 16, 2020, Nautilus executed a non-disclosure agreement with ARYA, pursuant to which ARYA and Nautilus agreed to exchange confidential information for purposes of further evaluating and, each party saw fit, negotiating, pursuing and consummating a potential business combination transaction. </w:t>
      </w:r>
      <w:r>
        <w:rPr>
          <w:rFonts w:ascii="Arial" w:cs="Arial" w:eastAsia="Arial" w:hAnsi="Arial"/>
          <w:sz w:val="21"/>
          <w:szCs w:val="21"/>
          <w:u w:val="single" w:color="auto"/>
          <w:color w:val="auto"/>
        </w:rPr>
        <w:t>Such non-disclosure agreement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contained customary terms for a special purpose acquisition company and a private company target, including confidentiality provisions and use restrictions for information provided by the target and exceptions to such provisions. ARYA did not enter into any other non-disclosure agreements.</w:t>
      </w:r>
    </w:p>
    <w:p>
      <w:pPr>
        <w:spacing w:after="0" w:line="204"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b w:val="1"/>
          <w:bCs w:val="1"/>
          <w:i w:val="1"/>
          <w:iCs w:val="1"/>
          <w:color w:val="auto"/>
        </w:rPr>
        <w:t>The following disclosure replaces the fourth paragraph under the heading “Background to the Business Combination” on page 108 of the Proxy Statement.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December 17, 2020, representatives of ARYA, K&amp;E, Jefferies LLC (“</w:t>
      </w:r>
      <w:r>
        <w:rPr>
          <w:rFonts w:ascii="Arial" w:cs="Arial" w:eastAsia="Arial" w:hAnsi="Arial"/>
          <w:sz w:val="19"/>
          <w:szCs w:val="19"/>
          <w:u w:val="single" w:color="auto"/>
          <w:color w:val="auto"/>
        </w:rPr>
        <w:t>Jefferies</w:t>
      </w:r>
      <w:r>
        <w:rPr>
          <w:rFonts w:ascii="Arial" w:cs="Arial" w:eastAsia="Arial" w:hAnsi="Arial"/>
          <w:sz w:val="19"/>
          <w:szCs w:val="19"/>
          <w:color w:val="auto"/>
        </w:rPr>
        <w:t>”) and Goldman Sachs &amp; Co. LLC</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Goldman</w:t>
      </w:r>
      <w:r>
        <w:rPr>
          <w:rFonts w:ascii="Arial" w:cs="Arial" w:eastAsia="Arial" w:hAnsi="Arial"/>
          <w:sz w:val="21"/>
          <w:szCs w:val="21"/>
          <w:color w:val="auto"/>
        </w:rPr>
        <w:t>”), as placement agents in connection with the PIPE Financing and financial advisors to ARYA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Placement Agents</w:t>
      </w:r>
      <w:r>
        <w:rPr>
          <w:rFonts w:ascii="Arial" w:cs="Arial" w:eastAsia="Arial" w:hAnsi="Arial"/>
          <w:sz w:val="19"/>
          <w:szCs w:val="19"/>
          <w:color w:val="auto"/>
        </w:rPr>
        <w:t>”), Skadden, Arps, Slate Meagher &amp; Flom LLP (“</w:t>
      </w:r>
      <w:r>
        <w:rPr>
          <w:rFonts w:ascii="Arial" w:cs="Arial" w:eastAsia="Arial" w:hAnsi="Arial"/>
          <w:sz w:val="19"/>
          <w:szCs w:val="19"/>
          <w:u w:val="single" w:color="auto"/>
          <w:color w:val="auto"/>
        </w:rPr>
        <w:t>Skadden</w:t>
      </w:r>
      <w:r>
        <w:rPr>
          <w:rFonts w:ascii="Arial" w:cs="Arial" w:eastAsia="Arial" w:hAnsi="Arial"/>
          <w:sz w:val="19"/>
          <w:szCs w:val="19"/>
          <w:color w:val="auto"/>
        </w:rPr>
        <w:t>”), as counsel to Jefferies and Goldman,</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Nautilus, Morgan Stanley &amp; Co. LLC (“</w:t>
      </w:r>
      <w:r>
        <w:rPr>
          <w:rFonts w:ascii="Arial" w:cs="Arial" w:eastAsia="Arial" w:hAnsi="Arial"/>
          <w:sz w:val="19"/>
          <w:szCs w:val="19"/>
          <w:u w:val="single" w:color="auto"/>
          <w:color w:val="auto"/>
        </w:rPr>
        <w:t>Morgan Stanley</w:t>
      </w:r>
      <w:r>
        <w:rPr>
          <w:rFonts w:ascii="Arial" w:cs="Arial" w:eastAsia="Arial" w:hAnsi="Arial"/>
          <w:sz w:val="19"/>
          <w:szCs w:val="19"/>
          <w:color w:val="auto"/>
        </w:rPr>
        <w:t>”), as financial advisor to Nautilus, and Wilson Sonsini conducted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meeting telephonically during which the parties and their respective representatives and advisors discussed the timeline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and process to signing definitive agreements providing for a potential business combination, and discussed and tentatively</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agreed on a work plan ultimately leading to such definitive agreements in late January or early February 2021. In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connection with the consummation of the Business Combination, Jefferies and Goldman will be entitled to (i) </w:t>
      </w:r>
      <w:r>
        <w:rPr>
          <w:rFonts w:ascii="Arial" w:cs="Arial" w:eastAsia="Arial" w:hAnsi="Arial"/>
          <w:sz w:val="21"/>
          <w:szCs w:val="21"/>
          <w:u w:val="single" w:color="auto"/>
          <w:color w:val="auto"/>
        </w:rPr>
        <w:t>an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aggregate of $5,232,500 in</w:t>
      </w:r>
      <w:r>
        <w:rPr>
          <w:rFonts w:ascii="Arial" w:cs="Arial" w:eastAsia="Arial" w:hAnsi="Arial"/>
          <w:sz w:val="19"/>
          <w:szCs w:val="19"/>
          <w:color w:val="auto"/>
        </w:rPr>
        <w:t xml:space="preserve"> deferred underwriting compensation, as set forth in the registration statement for ARYA’s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initial public offering, and (ii) customary fees in connection with the PIPE Financing and Business Combination. These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fees will be paid at the closing of the Business Combination, and are conditioned upon the successful completion of the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Business Combination; if the Business Combination does not close, Jefferies and Goldman will not be entitled to such</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fees. </w:t>
      </w:r>
      <w:r>
        <w:rPr>
          <w:rFonts w:ascii="Arial" w:cs="Arial" w:eastAsia="Arial" w:hAnsi="Arial"/>
          <w:sz w:val="21"/>
          <w:szCs w:val="21"/>
          <w:u w:val="single" w:color="auto"/>
          <w:color w:val="auto"/>
        </w:rPr>
        <w:t>Neither of the Placement Agents performed any analyses in connection with the ARYA Board’s review of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300"/>
        <w:spacing w:after="0" w:line="251" w:lineRule="auto"/>
        <w:rPr>
          <w:sz w:val="20"/>
          <w:szCs w:val="20"/>
          <w:color w:val="auto"/>
        </w:rPr>
      </w:pPr>
      <w:r>
        <w:rPr>
          <w:rFonts w:ascii="Arial" w:cs="Arial" w:eastAsia="Arial" w:hAnsi="Arial"/>
          <w:sz w:val="22"/>
          <w:szCs w:val="22"/>
          <w:b w:val="1"/>
          <w:bCs w:val="1"/>
          <w:i w:val="1"/>
          <w:iCs w:val="1"/>
          <w:color w:val="auto"/>
        </w:rPr>
        <w:t>The following disclosure replaces the second paragraph under the heading “Background to the Business Combination” on page 107 of the Proxy Statement.</w:t>
      </w:r>
    </w:p>
    <w:p>
      <w:pPr>
        <w:spacing w:after="0" w:line="200" w:lineRule="exact"/>
        <w:rPr>
          <w:sz w:val="20"/>
          <w:szCs w:val="20"/>
          <w:color w:val="auto"/>
        </w:rPr>
      </w:pPr>
    </w:p>
    <w:p>
      <w:pPr>
        <w:ind w:left="660" w:right="60"/>
        <w:spacing w:after="0" w:line="269" w:lineRule="auto"/>
        <w:rPr>
          <w:sz w:val="20"/>
          <w:szCs w:val="20"/>
          <w:color w:val="auto"/>
        </w:rPr>
      </w:pPr>
      <w:r>
        <w:rPr>
          <w:rFonts w:ascii="Arial" w:cs="Arial" w:eastAsia="Arial" w:hAnsi="Arial"/>
          <w:sz w:val="19"/>
          <w:szCs w:val="19"/>
          <w:color w:val="auto"/>
        </w:rPr>
        <w:t xml:space="preserve">Between December 12, 2020 and December 14, 2020, representatives of ARYA and Kirkland &amp; Ellis LLP (“K&amp;E”), counsel to ARYA, on the one hand, and representatives of Nautilus and Wilson Sonsini Goodrich &amp; Rosati (“Wilson Sonsini”), counsel to Nautilus, on the other hand, held multiple calls and exchanged multiple revised drafts of the term sheet. Over the same period of time, the representatives and advisors for ARYA and Nautilus held numerous conference calls regarding the revised drafts of the term sheet and came to agreement on the outstanding business issues, including, among others: (a) the pre-transaction equity value of Nautilus (which the parties agreed would be a fixed equity value of $900 million with no adjustments, subject to confirmatory due diligence and appropriate representations, warranties and covenants (and related closing bring-down standards) to provide additional comfort that there are not significant change of control payments or other shareholder “leakage” related to the transaction); (b) the key closing conditions (including the amount and components of the minimum proceeds condition and whether such condition would be mutual or one-way); (c) the post-closing ARYA Board composition (which the parties agreed would be a nine person board of directors, consisting of six existing directors or observers of the Nautilus board of directors, one individual designated by Sponsor and two “independent” directors to be designated by Nautilus and reasonably acceptable to Sponsor) and the post-closing governance structure of the combined company; and (d) the post-closing incentive equity plans (which the parties agreed would consist of an incentive equity plan and an employee stock purchase plan, with the respective sizes and terms being agreed to by the parties and taking into account the recommendations of an independent compensation consultation engaged by Nautilus that is familiar with the implementation of incentive plans in technology and life sciences initial public offerings). </w:t>
      </w:r>
      <w:r>
        <w:rPr>
          <w:rFonts w:ascii="Arial" w:cs="Arial" w:eastAsia="Arial" w:hAnsi="Arial"/>
          <w:sz w:val="19"/>
          <w:szCs w:val="19"/>
          <w:u w:val="single" w:color="auto"/>
          <w:color w:val="auto"/>
        </w:rPr>
        <w:t>In connection with these negotiations, ARYA and Nautilus also agreed that no current officers of ARYA</w:t>
      </w:r>
      <w:r>
        <w:rPr>
          <w:rFonts w:ascii="Arial" w:cs="Arial" w:eastAsia="Arial" w:hAnsi="Arial"/>
          <w:sz w:val="19"/>
          <w:szCs w:val="19"/>
          <w:color w:val="auto"/>
        </w:rPr>
        <w:t xml:space="preserve"> </w:t>
      </w:r>
      <w:r>
        <w:rPr>
          <w:rFonts w:ascii="Arial" w:cs="Arial" w:eastAsia="Arial" w:hAnsi="Arial"/>
          <w:sz w:val="19"/>
          <w:szCs w:val="19"/>
          <w:u w:val="single" w:color="auto"/>
          <w:color w:val="auto"/>
        </w:rPr>
        <w:t>will serve as officers of the combined company and the current officers of ARYA will not otherwise be employees of the combined company, upon consummation of the Business Combination, and the directors (except for the individual designated by the Sponsor, who may be one of the current directors of ARYA) and officers of ARYA each will resign as a director and/or officer of ARYA, as applicable, in connection with the closing of the Business Combination.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Meeting Dial-in Information</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As previously announced, the extraordinary general meeting of ARYA shareholders (the “General Meeting”) will be held on Tuesday, June 8, 2021 at 9:00 a.m., New York City Time. On June 1, 2021, ARYA issued a press release announcing that, due to the public health and safety concerns related to the coronavirus (COVID-19) pandemic and recommendations and orders from federal and New York authorities, ARYA shareholders will be able to join the General Meeting remotely by teleconference. The purpose of the General Meeting is to vote on certain proposals relating to the previously announced Business Combination Agreement. A copy of the press release is furnished herewith as Exhibit 99.1 to this Current Report on Form 8-K.</w:t>
      </w:r>
    </w:p>
    <w:p>
      <w:pPr>
        <w:spacing w:after="0" w:line="177"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The General Meeting will be accessible by teleconference by dialing (833) 780-7941 (toll free-North America) or (704) 815-6180 (International) and by using the Conference ID 4491538. Shareholders will be able to ask questions to ARYA’s management via the conference line.</w:t>
      </w:r>
    </w:p>
    <w:p>
      <w:pPr>
        <w:spacing w:after="0" w:line="213" w:lineRule="exact"/>
        <w:rPr>
          <w:sz w:val="20"/>
          <w:szCs w:val="20"/>
          <w:color w:val="auto"/>
        </w:rPr>
      </w:pPr>
    </w:p>
    <w:p>
      <w:pPr>
        <w:ind w:right="780" w:firstLine="441"/>
        <w:spacing w:after="0" w:line="250" w:lineRule="auto"/>
        <w:rPr>
          <w:sz w:val="20"/>
          <w:szCs w:val="20"/>
          <w:color w:val="auto"/>
        </w:rPr>
      </w:pPr>
      <w:r>
        <w:rPr>
          <w:rFonts w:ascii="Arial" w:cs="Arial" w:eastAsia="Arial" w:hAnsi="Arial"/>
          <w:sz w:val="22"/>
          <w:szCs w:val="22"/>
          <w:color w:val="auto"/>
        </w:rPr>
        <w:t xml:space="preserve">All information about the General Meeting, including the definitive proxy statement/final prospectus, is available at </w:t>
      </w:r>
      <w:r>
        <w:rPr>
          <w:rFonts w:ascii="Arial" w:cs="Arial" w:eastAsia="Arial" w:hAnsi="Arial"/>
          <w:sz w:val="22"/>
          <w:szCs w:val="22"/>
          <w:u w:val="single" w:color="auto"/>
          <w:color w:val="auto"/>
        </w:rPr>
        <w:t>https://www.cstproxy.co /aryasciencesacquisitioncorpiii/sm2021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Additional Information</w:t>
      </w:r>
    </w:p>
    <w:p>
      <w:pPr>
        <w:spacing w:after="0" w:line="2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ARYA has filed, and the SEC has declared effective, a Registration Statement on Form S-4, containing a definitive proxy statement/final prospectus relating to the proposed Business Combination. ARYA has mailed the definitive proxy statement/final prospectus and other relevant documents to its shareholders of record. This communication is not a substitute for the definitive proxy statement/final prospectus or any other document that ARYA sent or will send to its shareholders in connection with the Business Combination. </w:t>
      </w:r>
      <w:r>
        <w:rPr>
          <w:rFonts w:ascii="Arial" w:cs="Arial" w:eastAsia="Arial" w:hAnsi="Arial"/>
          <w:sz w:val="19"/>
          <w:szCs w:val="19"/>
          <w:b w:val="1"/>
          <w:bCs w:val="1"/>
          <w:color w:val="auto"/>
        </w:rPr>
        <w:t>Investors and security holders of ARYA are advised to read the definitive proxy statement/final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prospectus in connection with ARYA’s solicitation of proxies for its extraordinary general meeting of shareholders to be held to approve the Business Combination (and related matters) because the definitive proxy statement/final prospectus contains important information about the Business Combination and the parties to the Business Combination. </w:t>
      </w:r>
      <w:r>
        <w:rPr>
          <w:rFonts w:ascii="Arial" w:cs="Arial" w:eastAsia="Arial" w:hAnsi="Arial"/>
          <w:sz w:val="19"/>
          <w:szCs w:val="19"/>
          <w:color w:val="auto"/>
        </w:rPr>
        <w:t>Shareholders are also able to obtain copies of the definitive proxy statement/final prospectus, without charge, at the SEC’s website at www.sec.gov or by directing a request to: 51 Astor Place, 10th Floor, New York, New York 10003.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22"/>
          <w:szCs w:val="22"/>
          <w:color w:val="auto"/>
        </w:rPr>
        <w:t>A list of the names of those directors and executive officers and a description of their interests</w:t>
      </w:r>
      <w:r>
        <w:rPr>
          <w:rFonts w:ascii="Arial" w:cs="Arial" w:eastAsia="Arial" w:hAnsi="Arial"/>
          <w:sz w:val="22"/>
          <w:szCs w:val="22"/>
          <w:b w:val="1"/>
          <w:bCs w:val="1"/>
          <w:color w:val="auto"/>
        </w:rPr>
        <w:t xml:space="preserve"> </w:t>
      </w:r>
      <w:r>
        <w:rPr>
          <w:rFonts w:ascii="Arial" w:cs="Arial" w:eastAsia="Arial" w:hAnsi="Arial"/>
          <w:sz w:val="22"/>
          <w:szCs w:val="22"/>
          <w:color w:val="auto"/>
        </w:rPr>
        <w:t>in ARYA is contained in the definitive proxy statement/final prospectus, which was filed with the SEC and is available free of charge at the SEC's website at www.sec.gov, or by directing a request to: 51 Astor Place, 10th Floor, New York, New York 10003.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22"/>
          <w:szCs w:val="22"/>
          <w:i w:val="1"/>
          <w:iCs w:val="1"/>
          <w:color w:val="auto"/>
        </w:rPr>
        <w:t>believe</w:t>
      </w:r>
      <w:r>
        <w:rPr>
          <w:rFonts w:ascii="Arial" w:cs="Arial" w:eastAsia="Arial" w:hAnsi="Arial"/>
          <w:sz w:val="22"/>
          <w:szCs w:val="22"/>
          <w:color w:val="auto"/>
        </w:rPr>
        <w:t>,” “</w:t>
      </w:r>
      <w:r>
        <w:rPr>
          <w:rFonts w:ascii="Arial" w:cs="Arial" w:eastAsia="Arial" w:hAnsi="Arial"/>
          <w:sz w:val="22"/>
          <w:szCs w:val="22"/>
          <w:i w:val="1"/>
          <w:iCs w:val="1"/>
          <w:color w:val="auto"/>
        </w:rPr>
        <w:t>may</w:t>
      </w:r>
      <w:r>
        <w:rPr>
          <w:rFonts w:ascii="Arial" w:cs="Arial" w:eastAsia="Arial" w:hAnsi="Arial"/>
          <w:sz w:val="22"/>
          <w:szCs w:val="22"/>
          <w:color w:val="auto"/>
        </w:rPr>
        <w:t>,” “</w:t>
      </w:r>
      <w:r>
        <w:rPr>
          <w:rFonts w:ascii="Arial" w:cs="Arial" w:eastAsia="Arial" w:hAnsi="Arial"/>
          <w:sz w:val="22"/>
          <w:szCs w:val="22"/>
          <w:i w:val="1"/>
          <w:iCs w:val="1"/>
          <w:color w:val="auto"/>
        </w:rPr>
        <w:t>will</w:t>
      </w:r>
      <w:r>
        <w:rPr>
          <w:rFonts w:ascii="Arial" w:cs="Arial" w:eastAsia="Arial" w:hAnsi="Arial"/>
          <w:sz w:val="22"/>
          <w:szCs w:val="22"/>
          <w:color w:val="auto"/>
        </w:rPr>
        <w:t>,” “</w:t>
      </w:r>
      <w:r>
        <w:rPr>
          <w:rFonts w:ascii="Arial" w:cs="Arial" w:eastAsia="Arial" w:hAnsi="Arial"/>
          <w:sz w:val="22"/>
          <w:szCs w:val="22"/>
          <w:i w:val="1"/>
          <w:iCs w:val="1"/>
          <w:color w:val="auto"/>
        </w:rPr>
        <w:t>estimate</w:t>
      </w:r>
      <w:r>
        <w:rPr>
          <w:rFonts w:ascii="Arial" w:cs="Arial" w:eastAsia="Arial" w:hAnsi="Arial"/>
          <w:sz w:val="22"/>
          <w:szCs w:val="22"/>
          <w:color w:val="auto"/>
        </w:rPr>
        <w:t>,” “</w:t>
      </w:r>
      <w:r>
        <w:rPr>
          <w:rFonts w:ascii="Arial" w:cs="Arial" w:eastAsia="Arial" w:hAnsi="Arial"/>
          <w:sz w:val="22"/>
          <w:szCs w:val="22"/>
          <w:i w:val="1"/>
          <w:iCs w:val="1"/>
          <w:color w:val="auto"/>
        </w:rPr>
        <w:t>continue</w:t>
      </w:r>
      <w:r>
        <w:rPr>
          <w:rFonts w:ascii="Arial" w:cs="Arial" w:eastAsia="Arial" w:hAnsi="Arial"/>
          <w:sz w:val="22"/>
          <w:szCs w:val="22"/>
          <w:color w:val="auto"/>
        </w:rPr>
        <w:t>,” “</w:t>
      </w:r>
      <w:r>
        <w:rPr>
          <w:rFonts w:ascii="Arial" w:cs="Arial" w:eastAsia="Arial" w:hAnsi="Arial"/>
          <w:sz w:val="22"/>
          <w:szCs w:val="22"/>
          <w:i w:val="1"/>
          <w:iCs w:val="1"/>
          <w:color w:val="auto"/>
        </w:rPr>
        <w:t>anticipate</w:t>
      </w:r>
      <w:r>
        <w:rPr>
          <w:rFonts w:ascii="Arial" w:cs="Arial" w:eastAsia="Arial" w:hAnsi="Arial"/>
          <w:sz w:val="22"/>
          <w:szCs w:val="22"/>
          <w:color w:val="auto"/>
        </w:rPr>
        <w:t>,” “</w:t>
      </w:r>
      <w:r>
        <w:rPr>
          <w:rFonts w:ascii="Arial" w:cs="Arial" w:eastAsia="Arial" w:hAnsi="Arial"/>
          <w:sz w:val="22"/>
          <w:szCs w:val="22"/>
          <w:i w:val="1"/>
          <w:iCs w:val="1"/>
          <w:color w:val="auto"/>
        </w:rPr>
        <w:t>intend</w:t>
      </w:r>
      <w:r>
        <w:rPr>
          <w:rFonts w:ascii="Arial" w:cs="Arial" w:eastAsia="Arial" w:hAnsi="Arial"/>
          <w:sz w:val="22"/>
          <w:szCs w:val="22"/>
          <w:color w:val="auto"/>
        </w:rPr>
        <w:t>,” “</w:t>
      </w:r>
      <w:r>
        <w:rPr>
          <w:rFonts w:ascii="Arial" w:cs="Arial" w:eastAsia="Arial" w:hAnsi="Arial"/>
          <w:sz w:val="22"/>
          <w:szCs w:val="22"/>
          <w:i w:val="1"/>
          <w:iCs w:val="1"/>
          <w:color w:val="auto"/>
        </w:rPr>
        <w:t>expect</w:t>
      </w:r>
      <w:r>
        <w:rPr>
          <w:rFonts w:ascii="Arial" w:cs="Arial" w:eastAsia="Arial" w:hAnsi="Arial"/>
          <w:sz w:val="22"/>
          <w:szCs w:val="22"/>
          <w:color w:val="auto"/>
        </w:rPr>
        <w:t>,” “</w:t>
      </w:r>
      <w:r>
        <w:rPr>
          <w:rFonts w:ascii="Arial" w:cs="Arial" w:eastAsia="Arial" w:hAnsi="Arial"/>
          <w:sz w:val="22"/>
          <w:szCs w:val="22"/>
          <w:i w:val="1"/>
          <w:iCs w:val="1"/>
          <w:color w:val="auto"/>
        </w:rPr>
        <w:t>should</w:t>
      </w:r>
      <w:r>
        <w:rPr>
          <w:rFonts w:ascii="Arial" w:cs="Arial" w:eastAsia="Arial" w:hAnsi="Arial"/>
          <w:sz w:val="22"/>
          <w:szCs w:val="22"/>
          <w:color w:val="auto"/>
        </w:rPr>
        <w:t>,” “</w:t>
      </w:r>
      <w:r>
        <w:rPr>
          <w:rFonts w:ascii="Arial" w:cs="Arial" w:eastAsia="Arial" w:hAnsi="Arial"/>
          <w:sz w:val="22"/>
          <w:szCs w:val="22"/>
          <w:i w:val="1"/>
          <w:iCs w:val="1"/>
          <w:color w:val="auto"/>
        </w:rPr>
        <w:t>would</w:t>
      </w:r>
      <w:r>
        <w:rPr>
          <w:rFonts w:ascii="Arial" w:cs="Arial" w:eastAsia="Arial" w:hAnsi="Arial"/>
          <w:sz w:val="22"/>
          <w:szCs w:val="22"/>
          <w:color w:val="auto"/>
        </w:rPr>
        <w:t>,” “</w:t>
      </w:r>
      <w:r>
        <w:rPr>
          <w:rFonts w:ascii="Arial" w:cs="Arial" w:eastAsia="Arial" w:hAnsi="Arial"/>
          <w:sz w:val="22"/>
          <w:szCs w:val="22"/>
          <w:i w:val="1"/>
          <w:iCs w:val="1"/>
          <w:color w:val="auto"/>
        </w:rPr>
        <w:t>plan</w:t>
      </w:r>
      <w:r>
        <w:rPr>
          <w:rFonts w:ascii="Arial" w:cs="Arial" w:eastAsia="Arial" w:hAnsi="Arial"/>
          <w:sz w:val="22"/>
          <w:szCs w:val="22"/>
          <w:color w:val="auto"/>
        </w:rPr>
        <w:t>,” “</w:t>
      </w:r>
      <w:r>
        <w:rPr>
          <w:rFonts w:ascii="Arial" w:cs="Arial" w:eastAsia="Arial" w:hAnsi="Arial"/>
          <w:sz w:val="22"/>
          <w:szCs w:val="22"/>
          <w:i w:val="1"/>
          <w:iCs w:val="1"/>
          <w:color w:val="auto"/>
        </w:rPr>
        <w:t>predict</w:t>
      </w:r>
      <w:r>
        <w:rPr>
          <w:rFonts w:ascii="Arial" w:cs="Arial" w:eastAsia="Arial" w:hAnsi="Arial"/>
          <w:sz w:val="22"/>
          <w:szCs w:val="22"/>
          <w:color w:val="auto"/>
        </w:rPr>
        <w:t>,” “</w:t>
      </w:r>
      <w:r>
        <w:rPr>
          <w:rFonts w:ascii="Arial" w:cs="Arial" w:eastAsia="Arial" w:hAnsi="Arial"/>
          <w:sz w:val="22"/>
          <w:szCs w:val="22"/>
          <w:i w:val="1"/>
          <w:iCs w:val="1"/>
          <w:color w:val="auto"/>
        </w:rPr>
        <w:t>potential</w:t>
      </w:r>
      <w:r>
        <w:rPr>
          <w:rFonts w:ascii="Arial" w:cs="Arial" w:eastAsia="Arial" w:hAnsi="Arial"/>
          <w:sz w:val="22"/>
          <w:szCs w:val="22"/>
          <w:color w:val="auto"/>
        </w:rPr>
        <w:t>,” “</w:t>
      </w:r>
      <w:r>
        <w:rPr>
          <w:rFonts w:ascii="Arial" w:cs="Arial" w:eastAsia="Arial" w:hAnsi="Arial"/>
          <w:sz w:val="22"/>
          <w:szCs w:val="22"/>
          <w:i w:val="1"/>
          <w:iCs w:val="1"/>
          <w:color w:val="auto"/>
        </w:rPr>
        <w:t>seem</w:t>
      </w:r>
      <w:r>
        <w:rPr>
          <w:rFonts w:ascii="Arial" w:cs="Arial" w:eastAsia="Arial" w:hAnsi="Arial"/>
          <w:sz w:val="22"/>
          <w:szCs w:val="22"/>
          <w:color w:val="auto"/>
        </w:rPr>
        <w:t>,” “</w:t>
      </w:r>
      <w:r>
        <w:rPr>
          <w:rFonts w:ascii="Arial" w:cs="Arial" w:eastAsia="Arial" w:hAnsi="Arial"/>
          <w:sz w:val="22"/>
          <w:szCs w:val="22"/>
          <w:i w:val="1"/>
          <w:iCs w:val="1"/>
          <w:color w:val="auto"/>
        </w:rPr>
        <w:t>seek</w:t>
      </w:r>
      <w:r>
        <w:rPr>
          <w:rFonts w:ascii="Arial" w:cs="Arial" w:eastAsia="Arial" w:hAnsi="Arial"/>
          <w:sz w:val="22"/>
          <w:szCs w:val="22"/>
          <w:color w:val="auto"/>
        </w:rPr>
        <w:t>,” “</w:t>
      </w:r>
      <w:r>
        <w:rPr>
          <w:rFonts w:ascii="Arial" w:cs="Arial" w:eastAsia="Arial" w:hAnsi="Arial"/>
          <w:sz w:val="22"/>
          <w:szCs w:val="22"/>
          <w:i w:val="1"/>
          <w:iCs w:val="1"/>
          <w:color w:val="auto"/>
        </w:rPr>
        <w:t>future</w:t>
      </w:r>
      <w:r>
        <w:rPr>
          <w:rFonts w:ascii="Arial" w:cs="Arial" w:eastAsia="Arial" w:hAnsi="Arial"/>
          <w:sz w:val="22"/>
          <w:szCs w:val="22"/>
          <w:color w:val="auto"/>
        </w:rPr>
        <w:t>,” “</w:t>
      </w:r>
      <w:r>
        <w:rPr>
          <w:rFonts w:ascii="Arial" w:cs="Arial" w:eastAsia="Arial" w:hAnsi="Arial"/>
          <w:sz w:val="22"/>
          <w:szCs w:val="22"/>
          <w:i w:val="1"/>
          <w:iCs w:val="1"/>
          <w:color w:val="auto"/>
        </w:rPr>
        <w:t>outlook</w:t>
      </w:r>
      <w:r>
        <w:rPr>
          <w:rFonts w:ascii="Arial" w:cs="Arial" w:eastAsia="Arial" w:hAnsi="Arial"/>
          <w:sz w:val="22"/>
          <w:szCs w:val="22"/>
          <w:color w:val="auto"/>
        </w:rPr>
        <w:t>” and similar expressions that predict or indicate future events or trends or that are not statements of historical matters.</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definitive proxy statement/final prospectus relating to the Business Combination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Disclaimer</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filed with this Current Report on Form 8-K.</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5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300"/>
        <w:spacing w:after="0"/>
        <w:tabs>
          <w:tab w:leader="none" w:pos="900" w:val="left"/>
        </w:tabs>
        <w:rPr>
          <w:rFonts w:ascii="Arial" w:cs="Arial" w:eastAsia="Arial" w:hAnsi="Arial"/>
          <w:sz w:val="18"/>
          <w:szCs w:val="18"/>
          <w:color w:val="0000EE"/>
        </w:rPr>
      </w:pPr>
      <w:hyperlink w:anchor="page7">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7"/>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7"/>
          <w:szCs w:val="17"/>
          <w:color w:val="auto"/>
        </w:rPr>
        <w:t>ARYA SCIENCES ACQUISITION CORP III</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1" w:right="919" w:bottom="1440" w:gutter="0" w:footer="0" w:header="0"/>
        </w:sectPr>
      </w:pPr>
    </w:p>
    <w:bookmarkStart w:id="6" w:name="page7"/>
    <w:bookmarkEnd w:id="6"/>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 Announces Extraordinary General Meeting Teleconference Details</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NEW YORK, NY, JUNE 1, 2021—ARYA Sciences Acquisition Corp III (“ARYA”) (Nasdaq: ARYA), today announced that, due to the public health and safety concerns related to the coronavirus (COVID-19) pandemic and recommendations and orders from federal and New York authorities, ARYA is strongly encouraging that shareholders attend the extraordinary general meeting of its shareholders on June 8, 2021 at 9:00 a.m., New York City Time (the “General Meeting”) remotely by teleconference rather than in person. The purpose of the General Meeting is to vote on certain proposals relating to the previously announced Business Combination Agreement, dated as of February 7, 2021 (the “Business Combination Agreement”), by and among ARYA, Nautilus Biotechnology, Inc. (“Nautilus”) and on the transactions contemplated thereby (the “Business Combination”).</w:t>
      </w:r>
    </w:p>
    <w:p>
      <w:pPr>
        <w:spacing w:after="0" w:line="173" w:lineRule="exact"/>
        <w:rPr>
          <w:sz w:val="20"/>
          <w:szCs w:val="20"/>
          <w:color w:val="auto"/>
        </w:rPr>
      </w:pPr>
    </w:p>
    <w:p>
      <w:pPr>
        <w:ind w:right="180" w:firstLine="648"/>
        <w:spacing w:after="0" w:line="243" w:lineRule="auto"/>
        <w:rPr>
          <w:sz w:val="20"/>
          <w:szCs w:val="20"/>
          <w:color w:val="auto"/>
        </w:rPr>
      </w:pPr>
      <w:r>
        <w:rPr>
          <w:rFonts w:ascii="Arial" w:cs="Arial" w:eastAsia="Arial" w:hAnsi="Arial"/>
          <w:sz w:val="22"/>
          <w:szCs w:val="22"/>
          <w:color w:val="auto"/>
        </w:rPr>
        <w:t xml:space="preserve">The General Meeting will be accessible by dialing </w:t>
      </w:r>
      <w:r>
        <w:rPr>
          <w:rFonts w:ascii="Arial" w:cs="Arial" w:eastAsia="Arial" w:hAnsi="Arial"/>
          <w:sz w:val="22"/>
          <w:szCs w:val="22"/>
          <w:b w:val="1"/>
          <w:bCs w:val="1"/>
          <w:color w:val="auto"/>
        </w:rPr>
        <w:t>(833) 780-7941</w:t>
      </w:r>
      <w:r>
        <w:rPr>
          <w:rFonts w:ascii="Arial" w:cs="Arial" w:eastAsia="Arial" w:hAnsi="Arial"/>
          <w:sz w:val="22"/>
          <w:szCs w:val="22"/>
          <w:color w:val="auto"/>
        </w:rPr>
        <w:t xml:space="preserve"> (toll free-North America) or </w:t>
      </w:r>
      <w:r>
        <w:rPr>
          <w:rFonts w:ascii="Arial" w:cs="Arial" w:eastAsia="Arial" w:hAnsi="Arial"/>
          <w:sz w:val="22"/>
          <w:szCs w:val="22"/>
          <w:b w:val="1"/>
          <w:bCs w:val="1"/>
          <w:color w:val="auto"/>
        </w:rPr>
        <w:t>(704) 815-6180</w:t>
      </w:r>
      <w:r>
        <w:rPr>
          <w:rFonts w:ascii="Arial" w:cs="Arial" w:eastAsia="Arial" w:hAnsi="Arial"/>
          <w:sz w:val="22"/>
          <w:szCs w:val="22"/>
          <w:color w:val="auto"/>
        </w:rPr>
        <w:t xml:space="preserve"> (International) and by using the Conference ID </w:t>
      </w:r>
      <w:r>
        <w:rPr>
          <w:rFonts w:ascii="Arial" w:cs="Arial" w:eastAsia="Arial" w:hAnsi="Arial"/>
          <w:sz w:val="22"/>
          <w:szCs w:val="22"/>
          <w:b w:val="1"/>
          <w:bCs w:val="1"/>
          <w:color w:val="auto"/>
        </w:rPr>
        <w:t>4491538</w:t>
      </w:r>
      <w:r>
        <w:rPr>
          <w:rFonts w:ascii="Arial" w:cs="Arial" w:eastAsia="Arial" w:hAnsi="Arial"/>
          <w:sz w:val="22"/>
          <w:szCs w:val="22"/>
          <w:color w:val="auto"/>
        </w:rPr>
        <w:t>. Shareholders will be able to ask questions to ARYA’s management via the conference line.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39" w:lineRule="exact"/>
        <w:rPr>
          <w:sz w:val="20"/>
          <w:szCs w:val="20"/>
          <w:color w:val="auto"/>
        </w:rPr>
      </w:pPr>
    </w:p>
    <w:p>
      <w:pPr>
        <w:ind w:right="620" w:firstLine="648"/>
        <w:spacing w:after="0" w:line="274" w:lineRule="auto"/>
        <w:rPr>
          <w:sz w:val="20"/>
          <w:szCs w:val="20"/>
          <w:color w:val="auto"/>
        </w:rPr>
      </w:pPr>
      <w:r>
        <w:rPr>
          <w:rFonts w:ascii="Arial" w:cs="Arial" w:eastAsia="Arial" w:hAnsi="Arial"/>
          <w:sz w:val="21"/>
          <w:szCs w:val="21"/>
          <w:color w:val="auto"/>
        </w:rPr>
        <w:t xml:space="preserve">All information about the General Meeting, including the definitive proxy statement/final prospectus relating to the Business Combination, is available at </w:t>
      </w:r>
      <w:r>
        <w:rPr>
          <w:rFonts w:ascii="Arial" w:cs="Arial" w:eastAsia="Arial" w:hAnsi="Arial"/>
          <w:sz w:val="21"/>
          <w:szCs w:val="21"/>
          <w:u w:val="single" w:color="auto"/>
          <w:color w:val="auto"/>
        </w:rPr>
        <w:t>https://www.cstproxy.com/aryasciencesacquisitioncorpiii/sm2021</w:t>
      </w:r>
      <w:r>
        <w:rPr>
          <w:rFonts w:ascii="Arial" w:cs="Arial" w:eastAsia="Arial" w:hAnsi="Arial"/>
          <w:sz w:val="21"/>
          <w:szCs w:val="21"/>
          <w:color w:val="auto"/>
        </w:rPr>
        <w:t>.</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ARYA has filed, and the Securities and Exchange Commission (“SEC”) has declared effective, a Registration Statement on Form S-4, containing a definitive proxy statement/final prospectus relating to the proposed Business Combination. ARYA has mailed the definitive proxy statement/final prospectus and other relevant documents to its shareholders of record. This communication is not a substitute for the definitive proxy statement/final prospectus or any other document that ARYA sent or will send to its shareholders in connection with the Business Combination. </w:t>
      </w:r>
      <w:r>
        <w:rPr>
          <w:rFonts w:ascii="Arial" w:cs="Arial" w:eastAsia="Arial" w:hAnsi="Arial"/>
          <w:sz w:val="21"/>
          <w:szCs w:val="21"/>
          <w:b w:val="1"/>
          <w:bCs w:val="1"/>
          <w:color w:val="auto"/>
        </w:rPr>
        <w:t>Investors and security holders of ARYA are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advised to read the definitive proxy statement/final prospectus in connection with ARYA’s solicitation of proxies for its extraordinary general meeting of shareholders to be held to approve the Business Combination (and related matters) because the definitive proxy statement/final prospectus contains important information about the Business Combination and the parties to the Business Combination. </w:t>
      </w:r>
      <w:r>
        <w:rPr>
          <w:rFonts w:ascii="Arial" w:cs="Arial" w:eastAsia="Arial" w:hAnsi="Arial"/>
          <w:sz w:val="21"/>
          <w:szCs w:val="21"/>
          <w:color w:val="auto"/>
        </w:rPr>
        <w:t>Shareholders are also able to obtain copies of the definitive proxy</w:t>
      </w:r>
      <w:r>
        <w:rPr>
          <w:rFonts w:ascii="Arial" w:cs="Arial" w:eastAsia="Arial" w:hAnsi="Arial"/>
          <w:sz w:val="21"/>
          <w:szCs w:val="21"/>
          <w:b w:val="1"/>
          <w:bCs w:val="1"/>
          <w:color w:val="auto"/>
        </w:rPr>
        <w:t xml:space="preserve"> </w:t>
      </w:r>
      <w:r>
        <w:rPr>
          <w:rFonts w:ascii="Arial" w:cs="Arial" w:eastAsia="Arial" w:hAnsi="Arial"/>
          <w:sz w:val="21"/>
          <w:szCs w:val="21"/>
          <w:color w:val="auto"/>
        </w:rPr>
        <w:t>statement/final prospectus, without charge, at the SEC’s website at www.sec.gov or by directing a request to: 51 Astor Place, 10th Floor, New York, New York 10003.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18"/>
          <w:szCs w:val="18"/>
          <w:color w:val="auto"/>
        </w:rPr>
        <w:t>A list of the names</w:t>
      </w:r>
      <w:r>
        <w:rPr>
          <w:rFonts w:ascii="Arial" w:cs="Arial" w:eastAsia="Arial" w:hAnsi="Arial"/>
          <w:sz w:val="18"/>
          <w:szCs w:val="18"/>
          <w:b w:val="1"/>
          <w:bCs w:val="1"/>
          <w:color w:val="auto"/>
        </w:rPr>
        <w:t xml:space="preserve"> </w:t>
      </w:r>
      <w:r>
        <w:rPr>
          <w:rFonts w:ascii="Arial" w:cs="Arial" w:eastAsia="Arial" w:hAnsi="Arial"/>
          <w:sz w:val="18"/>
          <w:szCs w:val="18"/>
          <w:color w:val="auto"/>
        </w:rPr>
        <w:t>of those directors and executive officers and a description of their interests in ARYA is contained in the definitive proxy statement/final prospectus, which was filed with the SEC and is available free of charge at the SEC's website at www.sec.gov, or by directing a request to: 51 Astor Place, 10th Floor, New York, New York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Forward Looking Statements</w:t>
      </w:r>
    </w:p>
    <w:p>
      <w:pPr>
        <w:spacing w:after="0" w:line="2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9"/>
          <w:szCs w:val="19"/>
          <w:i w:val="1"/>
          <w:iCs w:val="1"/>
          <w:color w:val="auto"/>
        </w:rPr>
        <w:t>believe</w:t>
      </w:r>
      <w:r>
        <w:rPr>
          <w:rFonts w:ascii="Arial" w:cs="Arial" w:eastAsia="Arial" w:hAnsi="Arial"/>
          <w:sz w:val="19"/>
          <w:szCs w:val="19"/>
          <w:color w:val="auto"/>
        </w:rPr>
        <w:t>,” “</w:t>
      </w:r>
      <w:r>
        <w:rPr>
          <w:rFonts w:ascii="Arial" w:cs="Arial" w:eastAsia="Arial" w:hAnsi="Arial"/>
          <w:sz w:val="19"/>
          <w:szCs w:val="19"/>
          <w:i w:val="1"/>
          <w:iCs w:val="1"/>
          <w:color w:val="auto"/>
        </w:rPr>
        <w:t>may</w:t>
      </w:r>
      <w:r>
        <w:rPr>
          <w:rFonts w:ascii="Arial" w:cs="Arial" w:eastAsia="Arial" w:hAnsi="Arial"/>
          <w:sz w:val="19"/>
          <w:szCs w:val="19"/>
          <w:color w:val="auto"/>
        </w:rPr>
        <w:t>,” “</w:t>
      </w:r>
      <w:r>
        <w:rPr>
          <w:rFonts w:ascii="Arial" w:cs="Arial" w:eastAsia="Arial" w:hAnsi="Arial"/>
          <w:sz w:val="19"/>
          <w:szCs w:val="19"/>
          <w:i w:val="1"/>
          <w:iCs w:val="1"/>
          <w:color w:val="auto"/>
        </w:rPr>
        <w:t>will</w:t>
      </w:r>
      <w:r>
        <w:rPr>
          <w:rFonts w:ascii="Arial" w:cs="Arial" w:eastAsia="Arial" w:hAnsi="Arial"/>
          <w:sz w:val="19"/>
          <w:szCs w:val="19"/>
          <w:color w:val="auto"/>
        </w:rPr>
        <w:t>,” “</w:t>
      </w:r>
      <w:r>
        <w:rPr>
          <w:rFonts w:ascii="Arial" w:cs="Arial" w:eastAsia="Arial" w:hAnsi="Arial"/>
          <w:sz w:val="19"/>
          <w:szCs w:val="19"/>
          <w:i w:val="1"/>
          <w:iCs w:val="1"/>
          <w:color w:val="auto"/>
        </w:rPr>
        <w:t>estimate</w:t>
      </w:r>
      <w:r>
        <w:rPr>
          <w:rFonts w:ascii="Arial" w:cs="Arial" w:eastAsia="Arial" w:hAnsi="Arial"/>
          <w:sz w:val="19"/>
          <w:szCs w:val="19"/>
          <w:color w:val="auto"/>
        </w:rPr>
        <w:t>,” “</w:t>
      </w:r>
      <w:r>
        <w:rPr>
          <w:rFonts w:ascii="Arial" w:cs="Arial" w:eastAsia="Arial" w:hAnsi="Arial"/>
          <w:sz w:val="19"/>
          <w:szCs w:val="19"/>
          <w:i w:val="1"/>
          <w:iCs w:val="1"/>
          <w:color w:val="auto"/>
        </w:rPr>
        <w:t>continue</w:t>
      </w:r>
      <w:r>
        <w:rPr>
          <w:rFonts w:ascii="Arial" w:cs="Arial" w:eastAsia="Arial" w:hAnsi="Arial"/>
          <w:sz w:val="19"/>
          <w:szCs w:val="19"/>
          <w:color w:val="auto"/>
        </w:rPr>
        <w:t>,” “</w:t>
      </w:r>
      <w:r>
        <w:rPr>
          <w:rFonts w:ascii="Arial" w:cs="Arial" w:eastAsia="Arial" w:hAnsi="Arial"/>
          <w:sz w:val="19"/>
          <w:szCs w:val="19"/>
          <w:i w:val="1"/>
          <w:iCs w:val="1"/>
          <w:color w:val="auto"/>
        </w:rPr>
        <w:t>anticipate</w:t>
      </w:r>
      <w:r>
        <w:rPr>
          <w:rFonts w:ascii="Arial" w:cs="Arial" w:eastAsia="Arial" w:hAnsi="Arial"/>
          <w:sz w:val="19"/>
          <w:szCs w:val="19"/>
          <w:color w:val="auto"/>
        </w:rPr>
        <w:t>,” “</w:t>
      </w:r>
      <w:r>
        <w:rPr>
          <w:rFonts w:ascii="Arial" w:cs="Arial" w:eastAsia="Arial" w:hAnsi="Arial"/>
          <w:sz w:val="19"/>
          <w:szCs w:val="19"/>
          <w:i w:val="1"/>
          <w:iCs w:val="1"/>
          <w:color w:val="auto"/>
        </w:rPr>
        <w:t>intend</w:t>
      </w:r>
      <w:r>
        <w:rPr>
          <w:rFonts w:ascii="Arial" w:cs="Arial" w:eastAsia="Arial" w:hAnsi="Arial"/>
          <w:sz w:val="19"/>
          <w:szCs w:val="19"/>
          <w:color w:val="auto"/>
        </w:rPr>
        <w:t>,” “</w:t>
      </w:r>
      <w:r>
        <w:rPr>
          <w:rFonts w:ascii="Arial" w:cs="Arial" w:eastAsia="Arial" w:hAnsi="Arial"/>
          <w:sz w:val="19"/>
          <w:szCs w:val="19"/>
          <w:i w:val="1"/>
          <w:iCs w:val="1"/>
          <w:color w:val="auto"/>
        </w:rPr>
        <w:t>expect</w:t>
      </w:r>
      <w:r>
        <w:rPr>
          <w:rFonts w:ascii="Arial" w:cs="Arial" w:eastAsia="Arial" w:hAnsi="Arial"/>
          <w:sz w:val="19"/>
          <w:szCs w:val="19"/>
          <w:color w:val="auto"/>
        </w:rPr>
        <w:t>,” “</w:t>
      </w:r>
      <w:r>
        <w:rPr>
          <w:rFonts w:ascii="Arial" w:cs="Arial" w:eastAsia="Arial" w:hAnsi="Arial"/>
          <w:sz w:val="19"/>
          <w:szCs w:val="19"/>
          <w:i w:val="1"/>
          <w:iCs w:val="1"/>
          <w:color w:val="auto"/>
        </w:rPr>
        <w:t>should</w:t>
      </w:r>
      <w:r>
        <w:rPr>
          <w:rFonts w:ascii="Arial" w:cs="Arial" w:eastAsia="Arial" w:hAnsi="Arial"/>
          <w:sz w:val="19"/>
          <w:szCs w:val="19"/>
          <w:color w:val="auto"/>
        </w:rPr>
        <w:t>,” “</w:t>
      </w:r>
      <w:r>
        <w:rPr>
          <w:rFonts w:ascii="Arial" w:cs="Arial" w:eastAsia="Arial" w:hAnsi="Arial"/>
          <w:sz w:val="19"/>
          <w:szCs w:val="19"/>
          <w:i w:val="1"/>
          <w:iCs w:val="1"/>
          <w:color w:val="auto"/>
        </w:rPr>
        <w:t>would</w:t>
      </w:r>
      <w:r>
        <w:rPr>
          <w:rFonts w:ascii="Arial" w:cs="Arial" w:eastAsia="Arial" w:hAnsi="Arial"/>
          <w:sz w:val="19"/>
          <w:szCs w:val="19"/>
          <w:color w:val="auto"/>
        </w:rPr>
        <w:t>,” “</w:t>
      </w:r>
      <w:r>
        <w:rPr>
          <w:rFonts w:ascii="Arial" w:cs="Arial" w:eastAsia="Arial" w:hAnsi="Arial"/>
          <w:sz w:val="19"/>
          <w:szCs w:val="19"/>
          <w:i w:val="1"/>
          <w:iCs w:val="1"/>
          <w:color w:val="auto"/>
        </w:rPr>
        <w:t>plan</w:t>
      </w:r>
      <w:r>
        <w:rPr>
          <w:rFonts w:ascii="Arial" w:cs="Arial" w:eastAsia="Arial" w:hAnsi="Arial"/>
          <w:sz w:val="19"/>
          <w:szCs w:val="19"/>
          <w:color w:val="auto"/>
        </w:rPr>
        <w:t>,” “</w:t>
      </w:r>
      <w:r>
        <w:rPr>
          <w:rFonts w:ascii="Arial" w:cs="Arial" w:eastAsia="Arial" w:hAnsi="Arial"/>
          <w:sz w:val="19"/>
          <w:szCs w:val="19"/>
          <w:i w:val="1"/>
          <w:iCs w:val="1"/>
          <w:color w:val="auto"/>
        </w:rPr>
        <w:t>predict</w:t>
      </w:r>
      <w:r>
        <w:rPr>
          <w:rFonts w:ascii="Arial" w:cs="Arial" w:eastAsia="Arial" w:hAnsi="Arial"/>
          <w:sz w:val="19"/>
          <w:szCs w:val="19"/>
          <w:color w:val="auto"/>
        </w:rPr>
        <w:t>,” “</w:t>
      </w:r>
      <w:r>
        <w:rPr>
          <w:rFonts w:ascii="Arial" w:cs="Arial" w:eastAsia="Arial" w:hAnsi="Arial"/>
          <w:sz w:val="19"/>
          <w:szCs w:val="19"/>
          <w:i w:val="1"/>
          <w:iCs w:val="1"/>
          <w:color w:val="auto"/>
        </w:rPr>
        <w:t>potential</w:t>
      </w:r>
      <w:r>
        <w:rPr>
          <w:rFonts w:ascii="Arial" w:cs="Arial" w:eastAsia="Arial" w:hAnsi="Arial"/>
          <w:sz w:val="19"/>
          <w:szCs w:val="19"/>
          <w:color w:val="auto"/>
        </w:rPr>
        <w:t>,” “</w:t>
      </w:r>
      <w:r>
        <w:rPr>
          <w:rFonts w:ascii="Arial" w:cs="Arial" w:eastAsia="Arial" w:hAnsi="Arial"/>
          <w:sz w:val="19"/>
          <w:szCs w:val="19"/>
          <w:i w:val="1"/>
          <w:iCs w:val="1"/>
          <w:color w:val="auto"/>
        </w:rPr>
        <w:t>seem</w:t>
      </w:r>
      <w:r>
        <w:rPr>
          <w:rFonts w:ascii="Arial" w:cs="Arial" w:eastAsia="Arial" w:hAnsi="Arial"/>
          <w:sz w:val="19"/>
          <w:szCs w:val="19"/>
          <w:color w:val="auto"/>
        </w:rPr>
        <w:t>,” “</w:t>
      </w:r>
      <w:r>
        <w:rPr>
          <w:rFonts w:ascii="Arial" w:cs="Arial" w:eastAsia="Arial" w:hAnsi="Arial"/>
          <w:sz w:val="19"/>
          <w:szCs w:val="19"/>
          <w:i w:val="1"/>
          <w:iCs w:val="1"/>
          <w:color w:val="auto"/>
        </w:rPr>
        <w:t>seek</w:t>
      </w:r>
      <w:r>
        <w:rPr>
          <w:rFonts w:ascii="Arial" w:cs="Arial" w:eastAsia="Arial" w:hAnsi="Arial"/>
          <w:sz w:val="19"/>
          <w:szCs w:val="19"/>
          <w:color w:val="auto"/>
        </w:rPr>
        <w:t>,” “</w:t>
      </w:r>
      <w:r>
        <w:rPr>
          <w:rFonts w:ascii="Arial" w:cs="Arial" w:eastAsia="Arial" w:hAnsi="Arial"/>
          <w:sz w:val="19"/>
          <w:szCs w:val="19"/>
          <w:i w:val="1"/>
          <w:iCs w:val="1"/>
          <w:color w:val="auto"/>
        </w:rPr>
        <w:t>future</w:t>
      </w:r>
      <w:r>
        <w:rPr>
          <w:rFonts w:ascii="Arial" w:cs="Arial" w:eastAsia="Arial" w:hAnsi="Arial"/>
          <w:sz w:val="19"/>
          <w:szCs w:val="19"/>
          <w:color w:val="auto"/>
        </w:rPr>
        <w:t>,” “</w:t>
      </w:r>
      <w:r>
        <w:rPr>
          <w:rFonts w:ascii="Arial" w:cs="Arial" w:eastAsia="Arial" w:hAnsi="Arial"/>
          <w:sz w:val="19"/>
          <w:szCs w:val="19"/>
          <w:i w:val="1"/>
          <w:iCs w:val="1"/>
          <w:color w:val="auto"/>
        </w:rPr>
        <w:t>outlook</w:t>
      </w:r>
      <w:r>
        <w:rPr>
          <w:rFonts w:ascii="Arial" w:cs="Arial" w:eastAsia="Arial" w:hAnsi="Arial"/>
          <w:sz w:val="19"/>
          <w:szCs w:val="19"/>
          <w:color w:val="auto"/>
        </w:rPr>
        <w:t>” and similar expressions that predict or indicate future events or trends or that are not statements of historical matters. 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definitive proxy statement/final prospectus relating to the Business Combination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Disclaimer</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Michael Altman</w:t>
      </w:r>
    </w:p>
    <w:p>
      <w:pPr>
        <w:spacing w:after="0" w:line="238" w:lineRule="auto"/>
        <w:rPr>
          <w:sz w:val="20"/>
          <w:szCs w:val="20"/>
          <w:color w:val="auto"/>
        </w:rPr>
      </w:pPr>
      <w:r>
        <w:rPr>
          <w:rFonts w:ascii="Arial" w:cs="Arial" w:eastAsia="Arial" w:hAnsi="Arial"/>
          <w:sz w:val="22"/>
          <w:szCs w:val="22"/>
          <w:color w:val="auto"/>
        </w:rPr>
        <w:t>Chief Financial Officer of ARYA Sciences Acquisition Corp III</w:t>
      </w:r>
    </w:p>
    <w:p>
      <w:pPr>
        <w:spacing w:after="0" w:line="230" w:lineRule="auto"/>
        <w:rPr>
          <w:sz w:val="20"/>
          <w:szCs w:val="20"/>
          <w:color w:val="auto"/>
        </w:rPr>
      </w:pPr>
      <w:r>
        <w:rPr>
          <w:rFonts w:ascii="Arial" w:cs="Arial" w:eastAsia="Arial" w:hAnsi="Arial"/>
          <w:sz w:val="22"/>
          <w:szCs w:val="22"/>
          <w:color w:val="auto"/>
        </w:rPr>
        <w:t>646-205-5300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arya3@perceptivelife.com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2021-06-01T16:08:30Z</dcterms:created>
  <dcterms:modified xsi:type="dcterms:W3CDTF">2021-06-01T16:08:30Z</dcterms:modified>
</cp:coreProperties>
</file>