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333-258100</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88,738,387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2540</wp:posOffset>
            </wp:positionV>
            <wp:extent cx="181737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737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prospectus supplement updates and amends the prospectus dated August 8, 2022 (as supplemented to date, the “Prospectus”), which forms a part of our Registration Statement on Form S-1 (Registration Statement No. 333- 258100) filed with the Securities and Exchange Commission (the “SEC”) on July</w:t>
      </w:r>
    </w:p>
    <w:p>
      <w:pPr>
        <w:spacing w:after="0" w:line="2" w:lineRule="exact"/>
        <w:rPr>
          <w:sz w:val="24"/>
          <w:szCs w:val="24"/>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22, 2021, as amended by Post-Effective Amendment No. 1 to Form S-1 filed with the SEC on February 24, 2022, and Post-Effective Amendment No. 2 to Form S-1 on Form S-3 filed with the SEC on August 2, 2022 and declared effective by the SEC on August 8, 2022 (the “Registration Statement”).</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Prospectus and this prospectus supplement relate to (i) the resale of 4,286,500 shares of common stock, par value $0.0001 per share (the “Common</w:t>
      </w:r>
    </w:p>
    <w:p>
      <w:pPr>
        <w:spacing w:after="0" w:line="2" w:lineRule="exact"/>
        <w:rPr>
          <w:sz w:val="24"/>
          <w:szCs w:val="24"/>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Stock”) issued in connection with the Domestication (as defined in the Prospectus) by certain of the selling securityholders named in the Prospectus (each a “selling securityholder” and, collectively, the “selling securityholders”), (ii) the resale of 69,655,827 shares of Common Stock issued in connection with the Business Combination (as defined in the Prospectus) by certain of the selling securityholders, (iii) the resale of 13,093,331 shares of Common Stock issued</w:t>
      </w:r>
    </w:p>
    <w:p>
      <w:pPr>
        <w:spacing w:after="0" w:line="2" w:lineRule="exact"/>
        <w:rPr>
          <w:sz w:val="24"/>
          <w:szCs w:val="24"/>
          <w:color w:val="auto"/>
        </w:rPr>
      </w:pPr>
    </w:p>
    <w:p>
      <w:pPr>
        <w:ind w:right="240"/>
        <w:spacing w:after="0" w:line="218" w:lineRule="auto"/>
        <w:rPr>
          <w:sz w:val="20"/>
          <w:szCs w:val="20"/>
          <w:color w:val="auto"/>
        </w:rPr>
      </w:pPr>
      <w:r>
        <w:rPr>
          <w:rFonts w:ascii="Times New Roman" w:cs="Times New Roman" w:eastAsia="Times New Roman" w:hAnsi="Times New Roman"/>
          <w:sz w:val="18"/>
          <w:szCs w:val="18"/>
          <w:color w:val="auto"/>
        </w:rPr>
        <w:t>in the PIPE Financing (as defined in the Prospectus) by certain of the selling securityholders, and (iv) the resale of 1,702,729 shares of Common Stock reserved for issuance upon the exercise of certain outstanding options to purchase Common Stock. We will not receive any proceeds from the sale of our securities offered by the selling securityholders under the Prospectus.</w:t>
      </w:r>
    </w:p>
    <w:p>
      <w:pPr>
        <w:spacing w:after="0" w:line="172" w:lineRule="exact"/>
        <w:rPr>
          <w:sz w:val="24"/>
          <w:szCs w:val="24"/>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which is to be delivered with this prospectus supplement. This prospectus supplement updates, amends and supplements the information included or incorporated by reference in the Prospectus. If there is any inconsistency between the information in the Prospectus and this prospectus supplement, you should rely on the information in this prospectus supplement.</w:t>
      </w:r>
    </w:p>
    <w:p>
      <w:pPr>
        <w:spacing w:after="0" w:line="171" w:lineRule="exact"/>
        <w:rPr>
          <w:sz w:val="24"/>
          <w:szCs w:val="24"/>
          <w:color w:val="auto"/>
        </w:rPr>
      </w:pPr>
    </w:p>
    <w:p>
      <w:pPr>
        <w:ind w:right="680"/>
        <w:spacing w:after="0" w:line="237"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to it.</w:t>
      </w:r>
    </w:p>
    <w:p>
      <w:pPr>
        <w:spacing w:after="0" w:line="158" w:lineRule="exact"/>
        <w:rPr>
          <w:sz w:val="24"/>
          <w:szCs w:val="24"/>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“NAUT.” On November 21, 2023, the last quoted sale price for our Common Stock as reported on Nasdaq was $2.70 per share.</w:t>
      </w:r>
    </w:p>
    <w:p>
      <w:pPr>
        <w:spacing w:after="0" w:line="145"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68" w:lineRule="exact"/>
        <w:rPr>
          <w:sz w:val="24"/>
          <w:szCs w:val="24"/>
          <w:color w:val="auto"/>
        </w:rPr>
      </w:pPr>
    </w:p>
    <w:p>
      <w:pPr>
        <w:ind w:right="480"/>
        <w:spacing w:after="0" w:line="23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carefully read the discussion of the risks of investing in our securities in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7 of the Prospectus.</w:t>
      </w:r>
    </w:p>
    <w:p>
      <w:pPr>
        <w:spacing w:after="0" w:line="155" w:lineRule="exact"/>
        <w:rPr>
          <w:sz w:val="24"/>
          <w:szCs w:val="24"/>
          <w:color w:val="auto"/>
        </w:rPr>
      </w:pPr>
    </w:p>
    <w:p>
      <w:pPr>
        <w:ind w:right="32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this prospectus supplement or any prospectus supplement or amendment hereto. We have not authorized anyone to provide you with different information.</w:t>
      </w:r>
    </w:p>
    <w:p>
      <w:pPr>
        <w:spacing w:after="0" w:line="141" w:lineRule="exact"/>
        <w:rPr>
          <w:sz w:val="24"/>
          <w:szCs w:val="24"/>
          <w:color w:val="auto"/>
        </w:rPr>
      </w:pPr>
    </w:p>
    <w:p>
      <w:pPr>
        <w:ind w:right="800"/>
        <w:spacing w:after="0" w:line="23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prospectus supplement is filed solely for the purpose of including selling securityholders who have acquired Common Stock included for resale in this</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Prospectus from certain previously identified selling securityholders named in the Prospectus whose shares were registered for resale in the Registration Statement. Where the name of a selling securityholder identified in the table below also appears in the table in the Prospectus (i.e., ARYA Sciences Holdings III), the information set forth in the table below regarding that selling securityholder supersedes and replaces the information regarding such</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selling securityholder in the Prospectus. Information regarding the selling securityholders listed in the table below, including the number of shares of Common Stock beneficially owned by them, is based on information provided by such selling securityholders as of the date of this prospectus supplement. The percentage of beneficial ownership after the offered shares of Common Stock are sold is calculated based on 124,968,503 shares of Common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November 15, 2023.</w:t>
      </w:r>
    </w:p>
    <w:p>
      <w:pPr>
        <w:spacing w:after="0" w:line="165"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8"/>
          <w:szCs w:val="18"/>
          <w:color w:val="auto"/>
        </w:rPr>
        <w:t>Information about the selling securityholders, including those listed below, may change over time. Since the effectiveness of the Registration Statement of which the Prospectus is a part, certain securityholders may have sold or otherwise transferred their securities registered thereunder. This prospectus</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supplement does not provide any updates with respect to any sales or transfers, except for those expressly disclosed in the table below. As of November 21, 2023, the Selling Securityholders table included under the section “Selling Securityholders,” which begins on page 12 of the Prospectus, is revised to amend the information solely with respect to the following selling securityholders:</w:t>
      </w:r>
    </w:p>
    <w:p>
      <w:pPr>
        <w:spacing w:after="0" w:line="25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Common Stock</w:t>
      </w:r>
    </w:p>
    <w:p>
      <w:pPr>
        <w:jc w:val="center"/>
        <w:ind w:left="7080"/>
        <w:spacing w:after="0" w:line="221" w:lineRule="auto"/>
        <w:rPr>
          <w:sz w:val="20"/>
          <w:szCs w:val="20"/>
          <w:color w:val="auto"/>
        </w:rPr>
      </w:pPr>
      <w:r>
        <w:rPr>
          <w:rFonts w:ascii="Times New Roman" w:cs="Times New Roman" w:eastAsia="Times New Roman" w:hAnsi="Times New Roman"/>
          <w:sz w:val="14"/>
          <w:szCs w:val="14"/>
          <w:b w:val="1"/>
          <w:bCs w:val="1"/>
          <w:color w:val="auto"/>
        </w:rPr>
        <w:t>Beneficially</w:t>
      </w:r>
    </w:p>
    <w:tbl>
      <w:tblPr>
        <w:tblLayout w:type="fixed"/>
        <w:tblInd w:w="480" w:type="dxa"/>
        <w:tblCellMar>
          <w:top w:w="0" w:type="dxa"/>
          <w:left w:w="0" w:type="dxa"/>
          <w:bottom w:w="0" w:type="dxa"/>
          <w:right w:w="0" w:type="dxa"/>
        </w:tblCellMar>
      </w:tblPr>
      <w:tr>
        <w:trPr>
          <w:trHeight w:val="131"/>
        </w:trPr>
        <w:tc>
          <w:tcPr>
            <w:tcW w:w="3560" w:type="dxa"/>
            <w:vAlign w:val="bottom"/>
          </w:tcPr>
          <w:p>
            <w:pPr>
              <w:spacing w:after="0"/>
              <w:rPr>
                <w:sz w:val="11"/>
                <w:szCs w:val="11"/>
                <w:color w:val="auto"/>
              </w:rPr>
            </w:pPr>
          </w:p>
        </w:tc>
        <w:tc>
          <w:tcPr>
            <w:tcW w:w="210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920" w:type="dxa"/>
            <w:vAlign w:val="bottom"/>
            <w:gridSpan w:val="3"/>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60" w:type="dxa"/>
            <w:vAlign w:val="bottom"/>
            <w:gridSpan w:val="4"/>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0" w:type="dxa"/>
            <w:vAlign w:val="bottom"/>
          </w:tcPr>
          <w:p>
            <w:pPr>
              <w:spacing w:after="0"/>
              <w:rPr>
                <w:sz w:val="1"/>
                <w:szCs w:val="1"/>
                <w:color w:val="auto"/>
              </w:rPr>
            </w:pPr>
          </w:p>
        </w:tc>
      </w:tr>
      <w:tr>
        <w:trPr>
          <w:trHeight w:val="79"/>
        </w:trPr>
        <w:tc>
          <w:tcPr>
            <w:tcW w:w="356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1600" w:type="dxa"/>
            <w:vAlign w:val="bottom"/>
            <w:gridSpan w:val="3"/>
            <w:vMerge w:val="restart"/>
          </w:tcPr>
          <w:p>
            <w:pPr>
              <w:jc w:val="center"/>
              <w:ind w:left="540"/>
              <w:spacing w:after="0" w:line="146" w:lineRule="exact"/>
              <w:rPr>
                <w:sz w:val="20"/>
                <w:szCs w:val="20"/>
                <w:color w:val="auto"/>
              </w:rPr>
            </w:pPr>
            <w:r>
              <w:rPr>
                <w:rFonts w:ascii="Times New Roman" w:cs="Times New Roman" w:eastAsia="Times New Roman" w:hAnsi="Times New Roman"/>
                <w:sz w:val="14"/>
                <w:szCs w:val="14"/>
                <w:b w:val="1"/>
                <w:bCs w:val="1"/>
                <w:color w:val="auto"/>
              </w:rPr>
              <w:t>Offered Shares</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2100" w:type="dxa"/>
            <w:vAlign w:val="bottom"/>
            <w:gridSpan w:val="2"/>
            <w:vMerge w:val="restart"/>
          </w:tcPr>
          <w:p>
            <w:pPr>
              <w:jc w:val="center"/>
              <w:ind w:right="760"/>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1920" w:type="dxa"/>
            <w:vAlign w:val="bottom"/>
            <w:gridSpan w:val="3"/>
            <w:vMerge w:val="restart"/>
          </w:tcPr>
          <w:p>
            <w:pPr>
              <w:jc w:val="center"/>
              <w:ind w:right="700"/>
              <w:spacing w:after="0" w:line="13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60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356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1600" w:type="dxa"/>
            <w:vAlign w:val="bottom"/>
            <w:gridSpan w:val="3"/>
            <w:vMerge w:val="restart"/>
          </w:tcPr>
          <w:p>
            <w:pPr>
              <w:jc w:val="center"/>
              <w:ind w:left="560"/>
              <w:spacing w:after="0" w:line="137"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2100" w:type="dxa"/>
            <w:vAlign w:val="bottom"/>
            <w:gridSpan w:val="2"/>
            <w:vMerge w:val="restart"/>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920" w:type="dxa"/>
            <w:vAlign w:val="bottom"/>
            <w:gridSpan w:val="3"/>
            <w:vMerge w:val="restart"/>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1920" w:type="dxa"/>
            <w:vAlign w:val="bottom"/>
            <w:gridSpan w:val="3"/>
            <w:vMerge w:val="continue"/>
          </w:tcPr>
          <w:p>
            <w:pPr>
              <w:spacing w:after="0"/>
              <w:rPr>
                <w:sz w:val="7"/>
                <w:szCs w:val="7"/>
                <w:color w:val="auto"/>
              </w:rPr>
            </w:pPr>
          </w:p>
        </w:tc>
        <w:tc>
          <w:tcPr>
            <w:tcW w:w="1600" w:type="dxa"/>
            <w:vAlign w:val="bottom"/>
            <w:gridSpan w:val="3"/>
            <w:vMerge w:val="restart"/>
          </w:tcPr>
          <w:p>
            <w:pPr>
              <w:jc w:val="cente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2100" w:type="dxa"/>
            <w:vAlign w:val="bottom"/>
            <w:gridSpan w:val="2"/>
            <w:vMerge w:val="restart"/>
          </w:tcPr>
          <w:p>
            <w:pPr>
              <w:jc w:val="center"/>
              <w:ind w:right="780"/>
              <w:spacing w:after="0" w:line="146" w:lineRule="exact"/>
              <w:rPr>
                <w:sz w:val="20"/>
                <w:szCs w:val="20"/>
                <w:color w:val="auto"/>
              </w:rPr>
            </w:pPr>
            <w:r>
              <w:rPr>
                <w:rFonts w:ascii="Times New Roman" w:cs="Times New Roman" w:eastAsia="Times New Roman" w:hAnsi="Times New Roman"/>
                <w:sz w:val="14"/>
                <w:szCs w:val="14"/>
                <w:b w:val="1"/>
                <w:bCs w:val="1"/>
                <w:color w:val="auto"/>
              </w:rPr>
              <w:t>Owned</w:t>
            </w:r>
          </w:p>
        </w:tc>
        <w:tc>
          <w:tcPr>
            <w:tcW w:w="1920" w:type="dxa"/>
            <w:vAlign w:val="bottom"/>
            <w:gridSpan w:val="3"/>
            <w:vMerge w:val="restart"/>
          </w:tcPr>
          <w:p>
            <w:pPr>
              <w:jc w:val="center"/>
              <w:ind w:right="70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356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1600" w:type="dxa"/>
            <w:vAlign w:val="bottom"/>
            <w:gridSpan w:val="3"/>
            <w:vMerge w:val="restart"/>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3560" w:type="dxa"/>
            <w:vAlign w:val="bottom"/>
          </w:tcPr>
          <w:p>
            <w:pPr>
              <w:spacing w:after="0"/>
              <w:rPr>
                <w:sz w:val="9"/>
                <w:szCs w:val="9"/>
                <w:color w:val="auto"/>
              </w:rPr>
            </w:pPr>
          </w:p>
        </w:tc>
        <w:tc>
          <w:tcPr>
            <w:tcW w:w="2100" w:type="dxa"/>
            <w:vAlign w:val="bottom"/>
            <w:gridSpan w:val="2"/>
            <w:vMerge w:val="restart"/>
          </w:tcPr>
          <w:p>
            <w:pPr>
              <w:jc w:val="center"/>
              <w:ind w:right="760"/>
              <w:spacing w:after="0" w:line="115" w:lineRule="exact"/>
              <w:rPr>
                <w:sz w:val="20"/>
                <w:szCs w:val="20"/>
                <w:color w:val="auto"/>
              </w:rPr>
            </w:pPr>
            <w:r>
              <w:rPr>
                <w:rFonts w:ascii="Times New Roman" w:cs="Times New Roman" w:eastAsia="Times New Roman" w:hAnsi="Times New Roman"/>
                <w:sz w:val="13"/>
                <w:szCs w:val="13"/>
                <w:b w:val="1"/>
                <w:bCs w:val="1"/>
                <w:color w:val="auto"/>
              </w:rPr>
              <w:t>Prior to</w:t>
            </w:r>
          </w:p>
        </w:tc>
        <w:tc>
          <w:tcPr>
            <w:tcW w:w="1920" w:type="dxa"/>
            <w:vAlign w:val="bottom"/>
            <w:gridSpan w:val="3"/>
            <w:vMerge w:val="restart"/>
          </w:tcPr>
          <w:p>
            <w:pPr>
              <w:jc w:val="center"/>
              <w:ind w:right="700"/>
              <w:spacing w:after="0" w:line="115" w:lineRule="exact"/>
              <w:rPr>
                <w:sz w:val="20"/>
                <w:szCs w:val="20"/>
                <w:color w:val="auto"/>
              </w:rPr>
            </w:pPr>
            <w:r>
              <w:rPr>
                <w:rFonts w:ascii="Times New Roman" w:cs="Times New Roman" w:eastAsia="Times New Roman" w:hAnsi="Times New Roman"/>
                <w:sz w:val="13"/>
                <w:szCs w:val="13"/>
                <w:b w:val="1"/>
                <w:bCs w:val="1"/>
                <w:color w:val="auto"/>
              </w:rPr>
              <w:t>Being</w:t>
            </w:r>
          </w:p>
        </w:tc>
        <w:tc>
          <w:tcPr>
            <w:tcW w:w="16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2100" w:type="dxa"/>
            <w:vAlign w:val="bottom"/>
            <w:gridSpan w:val="2"/>
            <w:vMerge w:val="continue"/>
          </w:tcPr>
          <w:p>
            <w:pPr>
              <w:spacing w:after="0"/>
              <w:rPr>
                <w:sz w:val="2"/>
                <w:szCs w:val="2"/>
                <w:color w:val="auto"/>
              </w:rPr>
            </w:pPr>
          </w:p>
        </w:tc>
        <w:tc>
          <w:tcPr>
            <w:tcW w:w="1920" w:type="dxa"/>
            <w:vAlign w:val="bottom"/>
            <w:gridSpan w:val="3"/>
            <w:vMerge w:val="continue"/>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21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ARYA Sciences Holdings III (1)</w:t>
            </w:r>
          </w:p>
        </w:tc>
        <w:tc>
          <w:tcPr>
            <w:tcW w:w="140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Perceptive Life Sciences Master Fund, Ltd. (2)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12,428,351</w:t>
            </w:r>
          </w:p>
        </w:tc>
        <w:tc>
          <w:tcPr>
            <w:tcW w:w="7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11,731,313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C2 Life Sciences LLC (3)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165,860</w:t>
            </w: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165,860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Altman (4)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341,762</w:t>
            </w:r>
          </w:p>
        </w:tc>
        <w:tc>
          <w:tcPr>
            <w:tcW w:w="7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selling securityholders not previously</w:t>
            </w:r>
          </w:p>
        </w:tc>
        <w:tc>
          <w:tcPr>
            <w:tcW w:w="1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named in the Prospectus (5)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497,580</w:t>
            </w:r>
          </w:p>
        </w:tc>
        <w:tc>
          <w:tcPr>
            <w:tcW w:w="7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497,580</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right="100" w:hanging="434"/>
        <w:spacing w:after="0" w:line="224"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and pursuant to a liquidating distribution by ARYA Sciences Holdings III (the “Sponsor”) on November 15, 2023 (the “Sponsor Distribution”), the Master Fund (as defined below) received 3,317,200 shares of Common Stock and Perceptive SP(B), L.P. (the “Co-Investment Fund”) received 829,300 shares of Common Stock. In connection with and pursuant to a distribution by the Co-Investment Fund of all of the shares of Common Stock it received in the Sponsor Distribution to the distributees identified herein.</w:t>
      </w:r>
    </w:p>
    <w:p>
      <w:pPr>
        <w:spacing w:after="0" w:line="1" w:lineRule="exact"/>
        <w:rPr>
          <w:rFonts w:ascii="Times New Roman" w:cs="Times New Roman" w:eastAsia="Times New Roman" w:hAnsi="Times New Roman"/>
          <w:sz w:val="18"/>
          <w:szCs w:val="18"/>
          <w:color w:val="auto"/>
        </w:rPr>
      </w:pPr>
    </w:p>
    <w:p>
      <w:pPr>
        <w:ind w:left="460" w:right="380" w:hanging="434"/>
        <w:spacing w:after="0" w:line="229"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Advisors LLC (“Perceptive”) is the investment advisor to Perceptive Life Sciences Master Fund, Ltd (the “Master Fund”). Joseph Edelman is the managing member of Perceptive. Perceptive and Mr. Edelman may be deemed to beneficially own the shares held by the Master Fund.</w:t>
      </w:r>
    </w:p>
    <w:p>
      <w:pPr>
        <w:spacing w:after="0" w:line="1" w:lineRule="exact"/>
        <w:rPr>
          <w:rFonts w:ascii="Times New Roman" w:cs="Times New Roman" w:eastAsia="Times New Roman" w:hAnsi="Times New Roman"/>
          <w:sz w:val="18"/>
          <w:szCs w:val="18"/>
          <w:color w:val="auto"/>
        </w:rPr>
      </w:pPr>
    </w:p>
    <w:p>
      <w:pPr>
        <w:ind w:left="460" w:right="40" w:hanging="434"/>
        <w:spacing w:after="0" w:line="24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serves as the investment advisor to C2 Life Sciences LLC. Joseph Edelman is the managing member of Perceptive. Mr. Edelman may be deemed to beneficially own the shares held by C2 Life Sciences LLC.</w:t>
      </w:r>
    </w:p>
    <w:p>
      <w:pPr>
        <w:spacing w:after="0" w:line="1" w:lineRule="exact"/>
        <w:rPr>
          <w:rFonts w:ascii="Times New Roman" w:cs="Times New Roman" w:eastAsia="Times New Roman" w:hAnsi="Times New Roman"/>
          <w:sz w:val="18"/>
          <w:szCs w:val="18"/>
          <w:color w:val="auto"/>
        </w:rPr>
      </w:pPr>
    </w:p>
    <w:p>
      <w:pPr>
        <w:ind w:left="460" w:right="120" w:hanging="434"/>
        <w:spacing w:after="0" w:line="219"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165,860 shares held by Mr. Altman and (ii) 175,902 shares of Common Stock issuable upon exercise of options held by Mr. Altman. Options to purchase 150,980 shares of Common Stock are exercisable within 60 days of November 20, 2023. Of the remaining 24,922 options to purchase shares of Common Stock (i) 18,750 options to purchase shares of Common Stock vest evenly on the 15th day of each month through June 15, 2024, and (ii) 6,172 options to purchase shares of Common Stock vest evenly on the 9th day of each month through June 9, 2024, in each case, subject to Mr. Altman's continued status as a service provider through each vesting date. Mr. Altman is a member of the Board of Directors of the Company.</w:t>
      </w:r>
    </w:p>
    <w:p>
      <w:pPr>
        <w:ind w:left="460" w:right="220" w:hanging="434"/>
        <w:spacing w:after="0" w:line="24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holdings of such selling securityholders is less than 1% of the shares of Common Stock outstanding prior to the offering. Certain of the selling securityholders were officers of ARYA Sciences Acquisition Corp III prior to the consummation of the Business Combination.</w:t>
      </w:r>
    </w:p>
    <w:sectPr>
      <w:pgSz w:w="11900" w:h="16838" w:orient="portrait"/>
      <w:cols w:equalWidth="0" w:num="1">
        <w:col w:w="11200"/>
      </w:cols>
      <w:pgMar w:left="320" w:top="14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2023-11-22T05:23:29Z</dcterms:created>
  <dcterms:modified xsi:type="dcterms:W3CDTF">2023-11-22T05:23:29Z</dcterms:modified>
</cp:coreProperties>
</file>