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64135</wp:posOffset>
            </wp:positionV>
            <wp:extent cx="720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92710</wp:posOffset>
            </wp:positionV>
            <wp:extent cx="720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CURRENT REPORT</w:t>
      </w:r>
    </w:p>
    <w:p>
      <w:pPr>
        <w:jc w:val="center"/>
        <w:spacing w:after="0" w:line="238" w:lineRule="auto"/>
        <w:rPr>
          <w:sz w:val="20"/>
          <w:szCs w:val="20"/>
          <w:color w:val="auto"/>
        </w:rPr>
      </w:pPr>
      <w:r>
        <w:rPr>
          <w:rFonts w:ascii="Arial" w:cs="Arial" w:eastAsia="Arial" w:hAnsi="Arial"/>
          <w:sz w:val="22"/>
          <w:szCs w:val="22"/>
          <w:color w:val="auto"/>
        </w:rPr>
        <w:t>Pursuant to Section 13 or 15(d)</w:t>
      </w:r>
    </w:p>
    <w:p>
      <w:pPr>
        <w:jc w:val="center"/>
        <w:spacing w:after="0" w:line="230" w:lineRule="auto"/>
        <w:rPr>
          <w:sz w:val="20"/>
          <w:szCs w:val="20"/>
          <w:color w:val="auto"/>
        </w:rPr>
      </w:pPr>
      <w:r>
        <w:rPr>
          <w:rFonts w:ascii="Arial" w:cs="Arial" w:eastAsia="Arial" w:hAnsi="Arial"/>
          <w:sz w:val="22"/>
          <w:szCs w:val="22"/>
          <w:color w:val="auto"/>
        </w:rPr>
        <w:t>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64135</wp:posOffset>
            </wp:positionV>
            <wp:extent cx="7200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ARYA SCIENCES ACQUISITION CORP III</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64135</wp:posOffset>
            </wp:positionV>
            <wp:extent cx="7200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98" w:lineRule="exact"/>
        <w:rPr>
          <w:sz w:val="24"/>
          <w:szCs w:val="24"/>
          <w:color w:val="auto"/>
        </w:rPr>
      </w:pPr>
    </w:p>
    <w:tbl>
      <w:tblPr>
        <w:tblLayout w:type="fixed"/>
        <w:tblInd w:w="200" w:type="dxa"/>
        <w:tblCellMar>
          <w:top w:w="0" w:type="dxa"/>
          <w:left w:w="0" w:type="dxa"/>
          <w:bottom w:w="0" w:type="dxa"/>
          <w:right w:w="0" w:type="dxa"/>
        </w:tblCellMar>
      </w:tblPr>
      <w:tr>
        <w:trPr>
          <w:trHeight w:val="220"/>
        </w:trPr>
        <w:tc>
          <w:tcPr>
            <w:tcW w:w="38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Cayman Islands</w:t>
            </w:r>
          </w:p>
        </w:tc>
        <w:tc>
          <w:tcPr>
            <w:tcW w:w="3320" w:type="dxa"/>
            <w:vAlign w:val="bottom"/>
            <w:vMerge w:val="restart"/>
          </w:tcPr>
          <w:p>
            <w:pPr>
              <w:jc w:val="right"/>
              <w:ind w:right="1270"/>
              <w:spacing w:after="0"/>
              <w:rPr>
                <w:sz w:val="20"/>
                <w:szCs w:val="20"/>
                <w:color w:val="auto"/>
              </w:rPr>
            </w:pPr>
            <w:r>
              <w:rPr>
                <w:rFonts w:ascii="Arial" w:cs="Arial" w:eastAsia="Arial" w:hAnsi="Arial"/>
                <w:sz w:val="18"/>
                <w:szCs w:val="18"/>
                <w:b w:val="1"/>
                <w:bCs w:val="1"/>
                <w:color w:val="auto"/>
              </w:rPr>
              <w:t>001-39434</w:t>
            </w:r>
          </w:p>
        </w:tc>
        <w:tc>
          <w:tcPr>
            <w:tcW w:w="334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98-1541723</w:t>
            </w:r>
          </w:p>
        </w:tc>
        <w:tc>
          <w:tcPr>
            <w:tcW w:w="0" w:type="dxa"/>
            <w:vAlign w:val="bottom"/>
          </w:tcPr>
          <w:p>
            <w:pPr>
              <w:spacing w:after="0"/>
              <w:rPr>
                <w:sz w:val="1"/>
                <w:szCs w:val="1"/>
                <w:color w:val="auto"/>
              </w:rPr>
            </w:pPr>
          </w:p>
        </w:tc>
      </w:tr>
      <w:tr>
        <w:trPr>
          <w:trHeight w:val="212"/>
        </w:trPr>
        <w:tc>
          <w:tcPr>
            <w:tcW w:w="3840" w:type="dxa"/>
            <w:vAlign w:val="bottom"/>
          </w:tcPr>
          <w:p>
            <w:pPr>
              <w:jc w:val="center"/>
              <w:ind w:right="450"/>
              <w:spacing w:after="0"/>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vMerge w:val="continue"/>
          </w:tcPr>
          <w:p>
            <w:pPr>
              <w:spacing w:after="0"/>
              <w:rPr>
                <w:sz w:val="18"/>
                <w:szCs w:val="18"/>
                <w:color w:val="auto"/>
              </w:rPr>
            </w:pPr>
          </w:p>
        </w:tc>
        <w:tc>
          <w:tcPr>
            <w:tcW w:w="3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jc w:val="center"/>
              <w:ind w:right="43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(Commission File Number)</w:t>
            </w:r>
          </w:p>
        </w:tc>
        <w:tc>
          <w:tcPr>
            <w:tcW w:w="3340" w:type="dxa"/>
            <w:vAlign w:val="bottom"/>
          </w:tcPr>
          <w:p>
            <w:pPr>
              <w:jc w:val="center"/>
              <w:ind w:left="6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3840" w:type="dxa"/>
            <w:vAlign w:val="bottom"/>
          </w:tcPr>
          <w:p>
            <w:pPr>
              <w:jc w:val="center"/>
              <w:ind w:right="430"/>
              <w:spacing w:after="0"/>
              <w:rPr>
                <w:sz w:val="20"/>
                <w:szCs w:val="20"/>
                <w:color w:val="auto"/>
              </w:rPr>
            </w:pPr>
            <w:r>
              <w:rPr>
                <w:rFonts w:ascii="Arial" w:cs="Arial" w:eastAsia="Arial" w:hAnsi="Arial"/>
                <w:sz w:val="18"/>
                <w:szCs w:val="18"/>
                <w:b w:val="1"/>
                <w:bCs w:val="1"/>
                <w:color w:val="auto"/>
                <w:w w:val="90"/>
              </w:rPr>
              <w:t>51 Astor Place, 10th Floor</w:t>
            </w:r>
          </w:p>
        </w:tc>
        <w:tc>
          <w:tcPr>
            <w:tcW w:w="3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New York, New York</w:t>
            </w:r>
          </w:p>
        </w:tc>
        <w:tc>
          <w:tcPr>
            <w:tcW w:w="3320" w:type="dxa"/>
            <w:vAlign w:val="bottom"/>
          </w:tcPr>
          <w:p>
            <w:pPr>
              <w:spacing w:after="0"/>
              <w:rPr>
                <w:sz w:val="18"/>
                <w:szCs w:val="18"/>
                <w:color w:val="auto"/>
              </w:rPr>
            </w:pPr>
          </w:p>
        </w:tc>
        <w:tc>
          <w:tcPr>
            <w:tcW w:w="3340" w:type="dxa"/>
            <w:vAlign w:val="bottom"/>
          </w:tcPr>
          <w:p>
            <w:pPr>
              <w:jc w:val="right"/>
              <w:ind w:right="1010"/>
              <w:spacing w:after="0"/>
              <w:rPr>
                <w:sz w:val="20"/>
                <w:szCs w:val="20"/>
                <w:color w:val="auto"/>
              </w:rPr>
            </w:pPr>
            <w:r>
              <w:rPr>
                <w:rFonts w:ascii="Arial" w:cs="Arial" w:eastAsia="Arial" w:hAnsi="Arial"/>
                <w:sz w:val="18"/>
                <w:szCs w:val="18"/>
                <w:b w:val="1"/>
                <w:bCs w:val="1"/>
                <w:color w:val="auto"/>
              </w:rPr>
              <w:t>10003</w:t>
            </w:r>
          </w:p>
        </w:tc>
        <w:tc>
          <w:tcPr>
            <w:tcW w:w="0" w:type="dxa"/>
            <w:vAlign w:val="bottom"/>
          </w:tcPr>
          <w:p>
            <w:pPr>
              <w:spacing w:after="0"/>
              <w:rPr>
                <w:sz w:val="1"/>
                <w:szCs w:val="1"/>
                <w:color w:val="auto"/>
              </w:rPr>
            </w:pPr>
          </w:p>
        </w:tc>
      </w:tr>
      <w:tr>
        <w:trPr>
          <w:trHeight w:val="234"/>
        </w:trPr>
        <w:tc>
          <w:tcPr>
            <w:tcW w:w="3840" w:type="dxa"/>
            <w:vAlign w:val="bottom"/>
          </w:tcPr>
          <w:p>
            <w:pPr>
              <w:jc w:val="center"/>
              <w:ind w:right="4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320" w:type="dxa"/>
            <w:vAlign w:val="bottom"/>
          </w:tcPr>
          <w:p>
            <w:pPr>
              <w:spacing w:after="0"/>
              <w:rPr>
                <w:sz w:val="20"/>
                <w:szCs w:val="20"/>
                <w:color w:val="auto"/>
              </w:rPr>
            </w:pPr>
          </w:p>
        </w:tc>
        <w:tc>
          <w:tcPr>
            <w:tcW w:w="3340" w:type="dxa"/>
            <w:vAlign w:val="bottom"/>
          </w:tcPr>
          <w:p>
            <w:pPr>
              <w:jc w:val="center"/>
              <w:ind w:left="61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64135</wp:posOffset>
            </wp:positionV>
            <wp:extent cx="7200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1"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6280" w:type="dxa"/>
            <w:vAlign w:val="bottom"/>
            <w:tcBorders>
              <w:top w:val="single" w:sz="8" w:color="auto"/>
              <w:right w:val="single" w:sz="8" w:color="auto"/>
            </w:tcBorders>
          </w:tcPr>
          <w:p>
            <w:pPr>
              <w:spacing w:after="0"/>
              <w:rPr>
                <w:sz w:val="18"/>
                <w:szCs w:val="18"/>
                <w:color w:val="auto"/>
              </w:rPr>
            </w:pPr>
          </w:p>
        </w:tc>
        <w:tc>
          <w:tcPr>
            <w:tcW w:w="1960" w:type="dxa"/>
            <w:vAlign w:val="bottom"/>
            <w:tcBorders>
              <w:top w:val="single" w:sz="8" w:color="auto"/>
              <w:right w:val="single" w:sz="8" w:color="auto"/>
            </w:tcBorders>
          </w:tcPr>
          <w:p>
            <w:pPr>
              <w:spacing w:after="0"/>
              <w:rPr>
                <w:sz w:val="18"/>
                <w:szCs w:val="18"/>
                <w:color w:val="auto"/>
              </w:rPr>
            </w:pPr>
          </w:p>
        </w:tc>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6280" w:type="dxa"/>
            <w:vAlign w:val="bottom"/>
            <w:tcBorders>
              <w:bottom w:val="single" w:sz="8" w:color="auto"/>
              <w:right w:val="single" w:sz="8" w:color="auto"/>
            </w:tcBorders>
          </w:tcPr>
          <w:p>
            <w:pPr>
              <w:ind w:left="246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3"/>
        </w:trPr>
        <w:tc>
          <w:tcPr>
            <w:tcW w:w="6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Ordinary Shares, par value $0.0001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ARYA</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40"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On August 11, 2020, ARYA Sciences Acquisition Corp III (the “Company”) consummated an initial public offering (the “IPO”) of 14,950,000 Class A ordinary shares (the “Shares”), including the 1,950,000 Shares as a result of the underwriters’ full exercise of their over-allotment option, at an offering price of $10.00 per Share and a private placement with ARYA Sciences Holdings III of 499,000 Class A ordinary shares (the “Private Placement”). The net proceeds from the IPO, together with certain of the proceeds from the Private Placement, $149,500,000 in the aggregate (the “Offering Proceeds”), were placed in a trust account established for the benefit of the Company’s public shareholders and the underwriters of the IPO with Continental Stock Transfer &amp; Trust Company acting as trustee. Except with respect to interest earned on the Offering Proceeds held in the trust account that may be released to the Company to pay its income taxes, if any, the Company’s amended and restated memorandum and articles of association will provide that the Offering Proceeds will not be released from the trust account (1) to the Company, until the completion of its initial business combination, or (2) to its public shareholders, until the earliest of (a) the completion of the its initial business combination, and then only in connection with those Class A ordinary shares that such shareholders properly elected to redeem, subject to certain limitations, (b) the redemption of any public shares properly tendered in connection with a shareholder vote to amend the Company’s amended and restated memorandum and articles of association (A) to modify the substance or timing of the Company’s obligation to provide holders of its Class A ordinary shares the right to have their shares redeemed in connection with the Company’s initial business combination or to redeem 100% of its public shares if the Company does not complete its initial business combination within 24 months from the closing of the IPO or (B) with respect to any other provision relating to the rights of holders of its Class A ordinary shares, and (c) the redemption of the public shares if the Company has not consummated its business combination within 24 months from the closing of the IPO, subject to applicable law.</w:t>
      </w:r>
    </w:p>
    <w:p>
      <w:pPr>
        <w:spacing w:after="0" w:line="200" w:lineRule="exact"/>
        <w:rPr>
          <w:sz w:val="20"/>
          <w:szCs w:val="20"/>
          <w:color w:val="auto"/>
        </w:rPr>
      </w:pPr>
    </w:p>
    <w:p>
      <w:pPr>
        <w:spacing w:after="0" w:line="236" w:lineRule="exact"/>
        <w:rPr>
          <w:sz w:val="20"/>
          <w:szCs w:val="20"/>
          <w:color w:val="auto"/>
        </w:rPr>
      </w:pPr>
    </w:p>
    <w:p>
      <w:pPr>
        <w:ind w:right="720" w:firstLine="648"/>
        <w:spacing w:after="0" w:line="250" w:lineRule="auto"/>
        <w:rPr>
          <w:sz w:val="20"/>
          <w:szCs w:val="20"/>
          <w:color w:val="auto"/>
        </w:rPr>
      </w:pPr>
      <w:r>
        <w:rPr>
          <w:rFonts w:ascii="Arial" w:cs="Arial" w:eastAsia="Arial" w:hAnsi="Arial"/>
          <w:sz w:val="22"/>
          <w:szCs w:val="22"/>
          <w:color w:val="auto"/>
        </w:rPr>
        <w:t>An audited balance sheet as of August 11, 2020 reflecting receipt of the Offering Proceeds has been issued by the Company and is included as Exhibit 99.1 to this Current Report on Form 8-K.</w:t>
      </w:r>
    </w:p>
    <w:p>
      <w:pPr>
        <w:spacing w:after="0" w:line="196" w:lineRule="exact"/>
        <w:rPr>
          <w:sz w:val="20"/>
          <w:szCs w:val="20"/>
          <w:color w:val="auto"/>
        </w:rPr>
      </w:pPr>
    </w:p>
    <w:p>
      <w:pPr>
        <w:spacing w:after="0"/>
        <w:tabs>
          <w:tab w:leader="none" w:pos="14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39" w:lineRule="exact"/>
        <w:rPr>
          <w:sz w:val="20"/>
          <w:szCs w:val="20"/>
          <w:color w:val="auto"/>
        </w:rPr>
      </w:pPr>
    </w:p>
    <w:p>
      <w:pPr>
        <w:spacing w:after="0"/>
        <w:tabs>
          <w:tab w:leader="none" w:pos="900" w:val="left"/>
        </w:tabs>
        <w:rPr>
          <w:rFonts w:ascii="Arial" w:cs="Arial" w:eastAsia="Arial" w:hAnsi="Arial"/>
          <w:sz w:val="22"/>
          <w:szCs w:val="22"/>
          <w:color w:val="0000EE"/>
        </w:rPr>
      </w:pPr>
      <w:hyperlink w:anchor="page4">
        <w:r>
          <w:rPr>
            <w:rFonts w:ascii="Arial" w:cs="Arial" w:eastAsia="Arial" w:hAnsi="Arial"/>
            <w:sz w:val="22"/>
            <w:szCs w:val="22"/>
            <w:u w:val="single" w:color="auto"/>
            <w:color w:val="0000EE"/>
          </w:rPr>
          <w:t>99.1</w:t>
        </w:r>
      </w:hyperlink>
      <w:r>
        <w:rPr>
          <w:rFonts w:ascii="Arial" w:cs="Arial" w:eastAsia="Arial" w:hAnsi="Arial"/>
          <w:sz w:val="22"/>
          <w:szCs w:val="22"/>
          <w:color w:val="0000EE"/>
        </w:rPr>
        <w:tab/>
      </w:r>
      <w:r>
        <w:rPr>
          <w:rFonts w:ascii="Arial" w:cs="Arial" w:eastAsia="Arial" w:hAnsi="Arial"/>
          <w:sz w:val="19"/>
          <w:szCs w:val="19"/>
          <w:color w:val="0000EE"/>
        </w:rPr>
        <w:t>Audited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left="60"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17, 2020</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14605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58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80" w:top="111"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0"/>
        </w:trPr>
        <w:tc>
          <w:tcPr>
            <w:tcW w:w="8940" w:type="dxa"/>
            <w:vAlign w:val="bottom"/>
          </w:tcPr>
          <w:p>
            <w:pPr>
              <w:spacing w:after="0"/>
              <w:rPr>
                <w:sz w:val="24"/>
                <w:szCs w:val="24"/>
                <w:color w:val="auto"/>
              </w:rPr>
            </w:pPr>
          </w:p>
        </w:tc>
        <w:tc>
          <w:tcPr>
            <w:tcW w:w="2320" w:type="dxa"/>
            <w:vAlign w:val="bottom"/>
            <w:gridSpan w:val="2"/>
          </w:tcPr>
          <w:p>
            <w:pPr>
              <w:ind w:left="1180"/>
              <w:spacing w:after="0"/>
              <w:rPr>
                <w:sz w:val="20"/>
                <w:szCs w:val="20"/>
                <w:color w:val="auto"/>
              </w:rPr>
            </w:pPr>
            <w:r>
              <w:rPr>
                <w:rFonts w:ascii="Arial" w:cs="Arial" w:eastAsia="Arial" w:hAnsi="Arial"/>
                <w:sz w:val="22"/>
                <w:szCs w:val="22"/>
                <w:b w:val="1"/>
                <w:bCs w:val="1"/>
                <w:color w:val="auto"/>
                <w:w w:val="91"/>
              </w:rPr>
              <w:t>Exhibit 99.1</w:t>
            </w:r>
          </w:p>
        </w:tc>
        <w:tc>
          <w:tcPr>
            <w:tcW w:w="0" w:type="dxa"/>
            <w:vAlign w:val="bottom"/>
          </w:tcPr>
          <w:p>
            <w:pPr>
              <w:spacing w:after="0"/>
              <w:rPr>
                <w:sz w:val="1"/>
                <w:szCs w:val="1"/>
                <w:color w:val="auto"/>
              </w:rPr>
            </w:pPr>
          </w:p>
        </w:tc>
      </w:tr>
      <w:tr>
        <w:trPr>
          <w:trHeight w:val="486"/>
        </w:trPr>
        <w:tc>
          <w:tcPr>
            <w:tcW w:w="8940" w:type="dxa"/>
            <w:vAlign w:val="bottom"/>
          </w:tcPr>
          <w:p>
            <w:pPr>
              <w:ind w:left="3500"/>
              <w:spacing w:after="0"/>
              <w:rPr>
                <w:sz w:val="20"/>
                <w:szCs w:val="20"/>
                <w:color w:val="auto"/>
              </w:rPr>
            </w:pPr>
            <w:r>
              <w:rPr>
                <w:rFonts w:ascii="Arial" w:cs="Arial" w:eastAsia="Arial" w:hAnsi="Arial"/>
                <w:sz w:val="22"/>
                <w:szCs w:val="22"/>
                <w:b w:val="1"/>
                <w:bCs w:val="1"/>
                <w:color w:val="auto"/>
              </w:rPr>
              <w:t>ARYA SCIENCES ACQUISITION CORP III</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9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3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F-2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Balance Sheet</w:t>
            </w:r>
          </w:p>
        </w:tc>
        <w:tc>
          <w:tcPr>
            <w:tcW w:w="2300" w:type="dxa"/>
            <w:vAlign w:val="bottom"/>
          </w:tcPr>
          <w:p>
            <w:pPr>
              <w:ind w:left="1740"/>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Notes to Balance Sheet</w:t>
            </w:r>
          </w:p>
        </w:tc>
        <w:tc>
          <w:tcPr>
            <w:tcW w:w="230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9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bookmarkStart w:id="4" w:name="page5"/>
    <w:bookmarkEnd w:id="4"/>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and the Board of Directors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Financial Statement</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have audited the accompanying balance sheet of ARYA Sciences Acquisition Corp. III (the “Company”) as of August 11, 2020 and the related notes (collectively referred to as the “financial statement”). In our opinion, the financial statement presents fairly, in all material respects, the financial position of the Company as of August 11, 2020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22"/>
          <w:szCs w:val="22"/>
          <w:color w:val="auto"/>
        </w:rPr>
        <w:t>/s/ WithumSmith+Brown, PC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August 17, 2020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0020" w:type="dxa"/>
            <w:vAlign w:val="bottom"/>
          </w:tcPr>
          <w:p>
            <w:pPr>
              <w:jc w:val="center"/>
              <w:ind w:left="1128"/>
              <w:spacing w:after="0"/>
              <w:rPr>
                <w:sz w:val="20"/>
                <w:szCs w:val="20"/>
                <w:color w:val="auto"/>
              </w:rPr>
            </w:pPr>
            <w:r>
              <w:rPr>
                <w:rFonts w:ascii="Arial" w:cs="Arial" w:eastAsia="Arial" w:hAnsi="Arial"/>
                <w:sz w:val="22"/>
                <w:szCs w:val="22"/>
                <w:b w:val="1"/>
                <w:bCs w:val="1"/>
                <w:color w:val="auto"/>
                <w:w w:val="99"/>
              </w:rPr>
              <w:t>ARYA SCIENCES ACQUISITION CORP III</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0020" w:type="dxa"/>
            <w:vAlign w:val="bottom"/>
          </w:tcPr>
          <w:p>
            <w:pPr>
              <w:jc w:val="center"/>
              <w:ind w:left="1128"/>
              <w:spacing w:after="0" w:line="243" w:lineRule="exact"/>
              <w:rPr>
                <w:sz w:val="20"/>
                <w:szCs w:val="20"/>
                <w:color w:val="auto"/>
              </w:rPr>
            </w:pPr>
            <w:r>
              <w:rPr>
                <w:rFonts w:ascii="Arial" w:cs="Arial" w:eastAsia="Arial" w:hAnsi="Arial"/>
                <w:sz w:val="22"/>
                <w:szCs w:val="22"/>
                <w:b w:val="1"/>
                <w:bCs w:val="1"/>
                <w:color w:val="auto"/>
                <w:w w:val="98"/>
              </w:rPr>
              <w:t>BALANCE SHEET</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10020" w:type="dxa"/>
            <w:vAlign w:val="bottom"/>
          </w:tcPr>
          <w:p>
            <w:pPr>
              <w:jc w:val="center"/>
              <w:ind w:left="1148"/>
              <w:spacing w:after="0"/>
              <w:rPr>
                <w:sz w:val="20"/>
                <w:szCs w:val="20"/>
                <w:color w:val="auto"/>
              </w:rPr>
            </w:pPr>
            <w:r>
              <w:rPr>
                <w:rFonts w:ascii="Arial" w:cs="Arial" w:eastAsia="Arial" w:hAnsi="Arial"/>
                <w:sz w:val="22"/>
                <w:szCs w:val="22"/>
                <w:b w:val="1"/>
                <w:bCs w:val="1"/>
                <w:color w:val="auto"/>
                <w:w w:val="87"/>
              </w:rPr>
              <w:t>August 11,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10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1,392,938</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374,203</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1,767,141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Cash held in Trust Account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149,500,000</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151,267,141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320,395</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5,232,500</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5,552,895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Class A ordinary shares, $0.0001 par value; 14,071,424 shares subject to possible redemption at $10.00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140,714,240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2"/>
        </w:trPr>
        <w:tc>
          <w:tcPr>
            <w:tcW w:w="10020" w:type="dxa"/>
            <w:vAlign w:val="bottom"/>
          </w:tcPr>
          <w:p>
            <w:pPr>
              <w:spacing w:after="0" w:line="201" w:lineRule="exact"/>
              <w:rPr>
                <w:sz w:val="20"/>
                <w:szCs w:val="20"/>
                <w:color w:val="auto"/>
              </w:rPr>
            </w:pPr>
            <w:r>
              <w:rPr>
                <w:rFonts w:ascii="Arial" w:cs="Arial" w:eastAsia="Arial" w:hAnsi="Arial"/>
                <w:sz w:val="18"/>
                <w:szCs w:val="18"/>
                <w:color w:val="auto"/>
                <w:w w:val="97"/>
              </w:rPr>
              <w:t>Class A ordinary shares, $0.0001 par value; 479,000,000 shares authorized; 1,377,576 shares issued and outstanding (excluding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14,071,424 shares subject to possible redemption)</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5,045,067</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(45,573)</w:t>
            </w:r>
          </w:p>
        </w:tc>
      </w:tr>
      <w:tr>
        <w:trPr>
          <w:trHeight w:val="223"/>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151,267,141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 financial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Description of Organization and Business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As of August 11, 2020, the Company had not commenced any operations. All activity for the period from March 27, 2020 (inception) through August 11, 2020 relates to the Company’s formation and the initial public offering (the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will be invested only in U.S. government securities, within the meaning set forth in Section 2(a)(16) of the Investment Company Act, with a maturity of 185 days or less or in money market fund meeting the conditions of paragraphs (d)</w:t>
      </w:r>
    </w:p>
    <w:p>
      <w:pPr>
        <w:spacing w:after="0" w:line="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(1), (d)(2), (d)(3) and (d)(4) of Rule 2a-7 of the Investment Company Act, as determined by the Company, until the earlier of: (i) the completion of a Business Combination and (ii) the distribution of the Trust Account as described below.</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will provide the holders (the “Public Shareholders”) of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the underwriters (as discussed in Note 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These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which the Company will adopt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will adopt an insider trading policy which will require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200" w:lineRule="exact"/>
        <w:rPr>
          <w:sz w:val="20"/>
          <w:szCs w:val="20"/>
          <w:color w:val="auto"/>
        </w:rPr>
      </w:pPr>
    </w:p>
    <w:p>
      <w:pPr>
        <w:spacing w:after="0" w:line="23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Liquidity and Capital Resources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of August 11, 2020, the Company had approximately $1.4 million in its operating bank account, and working capital of approximately $1.4 million.</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Company’s liquidity needs to date have been satisfied through a contribution of $25,000 from Sponsor to cover for certain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August 11, 2020, there were no amounts outstanding under any Working Capital Loan.</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Basis of Presentation</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accompanying balance sheet is presented in U.S. dollars in conformity with accounting principles generally accepted in the United States of America (“U.S. GAAP”) and pursuant to the rules and regulations of the SEC.</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Emerging Growth Company</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Concentration of Credit Risk</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and Cash Equivalents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considers all short-term investments with an original maturity of three months or less when purchased to be cash equivalents. The Company had no cash equivalents as of August 11, 2020.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Instruments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fair value of the Company’s assets and liabilities, which qualify as financial instruments under the FASB ASC 820, “Fair Value Measurements and Disclosures,” approximates the carrying amounts represented in the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Use of Estimates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preparation of financial statement in conformity with U.S. GAAP requires the Company’s management to make estimates and assumptions that affect the reported amounts of assets and liabilities and disclosure of contingent assets and liabilities at the date of the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Offering Costs Associated with the Initial Public Offering</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Offering costs consisted of legal, accounting, underwriting fees and other costs incurred that were directly related to the Initial Public Offering and that were charged to shareholders’ equity upon the completion of the Initial Public Offering.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Class A ordinary shares subject to possible redemption</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Company accounts for its Class A ordinary shares subject to possible redemption in accordance with the guidance in ASC Topic 480 “</w:t>
      </w:r>
      <w:r>
        <w:rPr>
          <w:rFonts w:ascii="Arial" w:cs="Arial" w:eastAsia="Arial" w:hAnsi="Arial"/>
          <w:sz w:val="19"/>
          <w:szCs w:val="19"/>
          <w:i w:val="1"/>
          <w:iCs w:val="1"/>
          <w:color w:val="auto"/>
        </w:rPr>
        <w:t>Distinguishing Liabilities from Equity</w:t>
      </w:r>
      <w:r>
        <w:rPr>
          <w:rFonts w:ascii="Arial" w:cs="Arial" w:eastAsia="Arial" w:hAnsi="Arial"/>
          <w:sz w:val="19"/>
          <w:szCs w:val="19"/>
          <w:color w:val="auto"/>
        </w:rPr>
        <w:t>.” Class A ordinary shares subject to mandatory redemption (if any) are classified as liability instruments and are measured at redemption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August 11, 2020, 14,071,424 Class A ordinary shares subject to possible redemption are presented as temporary equity, outside of the shareholders’ equity section of the Company’s balance sheet.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661"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August 11, 2020.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March 27, 2020 (inception) through August 11, 2020. The Company is currently not aware of any issues under review that could result in significant payments, accruals or material deviation from its position. The Company is subject to income tax examinations by major taxing authorities since inception. There is currently no taxation imposed on income by the Government of the Cayman Islands. In accordance with Cayman income tax regulations, income taxes are not levied on the Company. Consequently, income taxes are not reflected in the Company’s financial statements. The Company’s management does not expect that the total amount of unrecognized tax benefits will materially change over the next twelve months.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Recent Accounting Pronouncements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Management does not believe that any recently issued, but not yet effective, accounting standards if currently adopted would have a material effect on the accompanying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Initial Public Offering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Related Party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Founder Shares</w:t>
      </w:r>
    </w:p>
    <w:p>
      <w:pPr>
        <w:spacing w:after="0" w:line="23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On April 2, 2020, the Sponsor paid $25,000 to cover certain offering costs of the Company in consideration of 3,593,750 Class B ordinary shares, par value $0.0001, (the “Founder Shares”). In July 2020, the Sponsor transferred an aggregate of 90,000 Founder Shares to the Company’s independent director nominees.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Private Placement Share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Related Party Loans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the Company had no outstanding borrowings under the Working Capital Loans.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Administrative Support Agreement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Commencing on the date that the Company’s securities are first listed on the Nasdaq through the earlier of consummation of the initial Business Combination and the Company’s liquidation, the Company will reimburse the Sponsor for office space, secretarial and administrative services provided to the Company in the amount of $10,000 per month.</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Forward Purchase Arrangement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Sponsor has indicated an interest to purchase up to an aggregate of $25 million of the Company’s ordinary shares in a private placement that would occur concurrently with the consummation of the initial Business Combination. However, because indications of interest are not binding agreements or commitments to purchase, the Sponsor may determine not to purchase any such shares, or to purchase fewer shares than it has indicated an interest in purchasing. Furthermore, the Company is not under any obligation to sell any such shares.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Commitments &amp;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Registration Rights</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 s Business Combination. The Company will bear the expenses incurred in connection with the filing of any such registration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Underwriting Agreement</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9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Shareholders’ Equity</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 xml:space="preserve">Class A Ordinary Shares — </w:t>
      </w:r>
      <w:r>
        <w:rPr>
          <w:rFonts w:ascii="Arial" w:cs="Arial" w:eastAsia="Arial" w:hAnsi="Arial"/>
          <w:sz w:val="22"/>
          <w:szCs w:val="22"/>
          <w:color w:val="auto"/>
        </w:rPr>
        <w:t>The Company is authorized to issue 479,000,000 Class A ordinary shares with a par value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$0.0001 per share. As of August 11, 2020, there were 15,449,000 Class A common shares outstanding, including 14,071,424 Class A common stock subject to possible conversion that were classified as temporary equity in the accompanying balance sheet.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i w:val="1"/>
          <w:iCs w:val="1"/>
          <w:color w:val="auto"/>
        </w:rPr>
        <w:t xml:space="preserve">Class B Ordinary Shares — </w:t>
      </w:r>
      <w:r>
        <w:rPr>
          <w:rFonts w:ascii="Arial" w:cs="Arial" w:eastAsia="Arial" w:hAnsi="Arial"/>
          <w:sz w:val="19"/>
          <w:szCs w:val="19"/>
          <w:color w:val="auto"/>
        </w:rPr>
        <w:t>The Company is authorized to issue 20,000,000 Class B ordinary shares with a par value of $0.0001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 share. On April 2, 2020, the Company issued 3,593,750 Class B ordinary shares. On August 6, 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these 487,500 Founder Shares were no longer subject to forfeiture.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 xml:space="preserve">Preference Shares — </w:t>
      </w:r>
      <w:r>
        <w:rPr>
          <w:rFonts w:ascii="Arial" w:cs="Arial" w:eastAsia="Arial" w:hAnsi="Arial"/>
          <w:sz w:val="21"/>
          <w:szCs w:val="21"/>
          <w:color w:val="auto"/>
        </w:rPr>
        <w:t>The Company is authorized to issue 1,000,000 preference shares with a par value of $0.0001 per share and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with such designations, voting and other rights and preferences as may be determined from time to time by the Company’s board of directors. As of August 11, 2020, there were no preference shares issued or outstanding.</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Subsequent Events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Management has evaluated subsequent events to determine if events or transactions occurring after the balance sheet date through August 17, 2020, the date the balance sheet was available for issuance, require potential adjustment to or disclosure in the financial statement and has concluded that all such events that would require recognition or disclosure have been recognized or disclosed.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2020-08-17T15:59:45Z</dcterms:created>
  <dcterms:modified xsi:type="dcterms:W3CDTF">2020-08-17T15:59:45Z</dcterms:modified>
</cp:coreProperties>
</file>