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(Mark One)</w:t>
      </w:r>
    </w:p>
    <w:p>
      <w:pPr>
        <w:spacing w:after="0" w:line="1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820"/>
        <w:spacing w:after="0"/>
        <w:tabs>
          <w:tab w:leader="none" w:pos="72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40"/>
          </w:cols>
          <w:pgMar w:left="320" w:top="535" w:right="339" w:bottom="657" w:gutter="0" w:footer="0" w:header="0"/>
        </w:sectPr>
      </w:pPr>
    </w:p>
    <w:p>
      <w:pPr>
        <w:spacing w:after="0" w:line="21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860" w:space="720"/>
            <w:col w:w="2780" w:space="720"/>
            <w:col w:w="3160"/>
          </w:cols>
          <w:pgMar w:left="320" w:top="535" w:right="339" w:bottom="657" w:gutter="0" w:footer="0" w:header="0"/>
          <w:type w:val="continuous"/>
        </w:sectPr>
      </w:pPr>
    </w:p>
    <w:p>
      <w:pPr>
        <w:ind w:left="1340"/>
        <w:spacing w:after="0"/>
        <w:rPr>
          <w:sz w:val="20"/>
          <w:szCs w:val="20"/>
          <w:color w:val="auto"/>
        </w:rPr>
      </w:pPr>
      <w:r>
        <w:rPr>
          <w:rFonts w:ascii="Arial" w:cs="Arial" w:eastAsia="Arial" w:hAnsi="Arial"/>
          <w:sz w:val="16"/>
          <w:szCs w:val="16"/>
          <w:b w:val="1"/>
          <w:bCs w:val="1"/>
          <w:color w:val="auto"/>
        </w:rPr>
        <w:t>organization)</w:t>
      </w:r>
    </w:p>
    <w:p>
      <w:pPr>
        <w:sectPr>
          <w:pgSz w:w="11900" w:h="16838" w:orient="portrait"/>
          <w:cols w:equalWidth="0" w:num="1">
            <w:col w:w="11240"/>
          </w:cols>
          <w:pgMar w:left="320" w:top="535" w:right="339" w:bottom="657" w:gutter="0" w:footer="0" w:header="0"/>
          <w:type w:val="continuous"/>
        </w:sectPr>
      </w:pPr>
    </w:p>
    <w:p>
      <w:pPr>
        <w:spacing w:after="0" w:line="2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48" w:lineRule="exact"/>
        <w:rPr>
          <w:sz w:val="24"/>
          <w:szCs w:val="24"/>
          <w:color w:val="auto"/>
        </w:rPr>
      </w:pPr>
    </w:p>
    <w:p>
      <w:pPr>
        <w:sectPr>
          <w:pgSz w:w="11900" w:h="16838" w:orient="portrait"/>
          <w:cols w:equalWidth="0" w:num="2">
            <w:col w:w="7360" w:space="720"/>
            <w:col w:w="3160"/>
          </w:cols>
          <w:pgMar w:left="320" w:top="535" w:right="339" w:bottom="657"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top w:val="single" w:sz="8" w:color="auto"/>
            </w:tcBorders>
          </w:tcPr>
          <w:p>
            <w:pPr>
              <w:jc w:val="center"/>
              <w:ind w:right="650"/>
              <w:spacing w:after="0" w:line="205" w:lineRule="exact"/>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top w:val="single" w:sz="8" w:color="auto"/>
            </w:tcBorders>
          </w:tcPr>
          <w:p>
            <w:pPr>
              <w:jc w:val="right"/>
              <w:ind w:right="1050"/>
              <w:spacing w:after="0" w:line="205" w:lineRule="exact"/>
              <w:rPr>
                <w:sz w:val="20"/>
                <w:szCs w:val="20"/>
                <w:color w:val="auto"/>
              </w:rPr>
            </w:pPr>
            <w:r>
              <w:rPr>
                <w:rFonts w:ascii="Arial" w:cs="Arial" w:eastAsia="Arial" w:hAnsi="Arial"/>
                <w:sz w:val="18"/>
                <w:szCs w:val="18"/>
                <w:b w:val="1"/>
                <w:bCs w:val="1"/>
                <w:color w:val="auto"/>
              </w:rPr>
              <w:t>Trading</w:t>
            </w:r>
          </w:p>
        </w:tc>
        <w:tc>
          <w:tcPr>
            <w:tcW w:w="4080" w:type="dxa"/>
            <w:vAlign w:val="bottom"/>
            <w:tcBorders>
              <w:top w:val="single" w:sz="8" w:color="auto"/>
            </w:tcBorders>
          </w:tcPr>
          <w:p>
            <w:pPr>
              <w:jc w:val="center"/>
              <w:ind w:left="290"/>
              <w:spacing w:after="0" w:line="205" w:lineRule="exact"/>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Symbol(s)</w:t>
            </w:r>
          </w:p>
        </w:tc>
        <w:tc>
          <w:tcPr>
            <w:tcW w:w="40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4460" w:type="dxa"/>
            <w:vAlign w:val="bottom"/>
          </w:tcPr>
          <w:p>
            <w:pPr>
              <w:jc w:val="center"/>
              <w:ind w:right="650"/>
              <w:spacing w:after="0" w:line="198" w:lineRule="exact"/>
              <w:rPr>
                <w:sz w:val="20"/>
                <w:szCs w:val="20"/>
                <w:color w:val="auto"/>
              </w:rPr>
            </w:pPr>
            <w:r>
              <w:rPr>
                <w:rFonts w:ascii="Arial" w:cs="Arial" w:eastAsia="Arial" w:hAnsi="Arial"/>
                <w:sz w:val="18"/>
                <w:szCs w:val="18"/>
                <w:b w:val="1"/>
                <w:bCs w:val="1"/>
                <w:color w:val="auto"/>
                <w:w w:val="91"/>
              </w:rPr>
              <w:t>Class A Ordinary Share, par value $0.0001 per</w:t>
            </w:r>
          </w:p>
        </w:tc>
        <w:tc>
          <w:tcPr>
            <w:tcW w:w="2700" w:type="dxa"/>
            <w:vAlign w:val="bottom"/>
          </w:tcPr>
          <w:p>
            <w:pPr>
              <w:jc w:val="right"/>
              <w:ind w:right="1190"/>
              <w:spacing w:after="0" w:line="198" w:lineRule="exact"/>
              <w:rPr>
                <w:sz w:val="20"/>
                <w:szCs w:val="20"/>
                <w:color w:val="auto"/>
              </w:rPr>
            </w:pPr>
            <w:r>
              <w:rPr>
                <w:rFonts w:ascii="Arial" w:cs="Arial" w:eastAsia="Arial" w:hAnsi="Arial"/>
                <w:sz w:val="18"/>
                <w:szCs w:val="18"/>
                <w:b w:val="1"/>
                <w:bCs w:val="1"/>
                <w:color w:val="auto"/>
              </w:rPr>
              <w:t>ARYA</w:t>
            </w:r>
          </w:p>
        </w:tc>
        <w:tc>
          <w:tcPr>
            <w:tcW w:w="4080" w:type="dxa"/>
            <w:vAlign w:val="bottom"/>
          </w:tcPr>
          <w:p>
            <w:pPr>
              <w:jc w:val="center"/>
              <w:ind w:left="290"/>
              <w:spacing w:after="0" w:line="198" w:lineRule="exact"/>
              <w:rPr>
                <w:sz w:val="20"/>
                <w:szCs w:val="20"/>
                <w:color w:val="auto"/>
              </w:rPr>
            </w:pPr>
            <w:r>
              <w:rPr>
                <w:rFonts w:ascii="Arial" w:cs="Arial" w:eastAsia="Arial" w:hAnsi="Arial"/>
                <w:sz w:val="18"/>
                <w:szCs w:val="18"/>
                <w:b w:val="1"/>
                <w:bCs w:val="1"/>
                <w:color w:val="auto"/>
                <w:w w:val="94"/>
              </w:rPr>
              <w:t>The Nasdaq Capital Market</w:t>
            </w:r>
          </w:p>
        </w:tc>
      </w:tr>
      <w:tr>
        <w:trPr>
          <w:trHeight w:val="234"/>
        </w:trPr>
        <w:tc>
          <w:tcPr>
            <w:tcW w:w="4460" w:type="dxa"/>
            <w:vAlign w:val="bottom"/>
          </w:tcPr>
          <w:p>
            <w:pPr>
              <w:jc w:val="center"/>
              <w:ind w:right="650"/>
              <w:spacing w:after="0"/>
              <w:rPr>
                <w:sz w:val="20"/>
                <w:szCs w:val="20"/>
                <w:color w:val="auto"/>
              </w:rPr>
            </w:pPr>
            <w:r>
              <w:rPr>
                <w:rFonts w:ascii="Arial" w:cs="Arial" w:eastAsia="Arial" w:hAnsi="Arial"/>
                <w:sz w:val="18"/>
                <w:szCs w:val="18"/>
                <w:b w:val="1"/>
                <w:bCs w:val="1"/>
                <w:color w:val="auto"/>
                <w:w w:val="87"/>
              </w:rPr>
              <w:t>Share</w:t>
            </w:r>
          </w:p>
        </w:tc>
        <w:tc>
          <w:tcPr>
            <w:tcW w:w="270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spacing w:after="0" w:line="222" w:lineRule="exact"/>
        <w:rPr>
          <w:sz w:val="24"/>
          <w:szCs w:val="24"/>
          <w:color w:val="auto"/>
        </w:rPr>
      </w:pPr>
    </w:p>
    <w:p>
      <w:pPr>
        <w:ind w:right="10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ind w:right="2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20" w:type="dxa"/>
            <w:vAlign w:val="bottom"/>
          </w:tcPr>
          <w:p>
            <w:pPr>
              <w:ind w:left="272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ind w:right="320"/>
        <w:spacing w:after="0" w:line="250" w:lineRule="auto"/>
        <w:rPr>
          <w:sz w:val="20"/>
          <w:szCs w:val="20"/>
          <w:color w:val="auto"/>
        </w:rPr>
      </w:pPr>
      <w:r>
        <w:rPr>
          <w:rFonts w:ascii="Arial" w:cs="Arial" w:eastAsia="Arial" w:hAnsi="Arial"/>
          <w:sz w:val="22"/>
          <w:szCs w:val="22"/>
          <w:color w:val="auto"/>
        </w:rPr>
        <w:t>As of May 13, 2021, 15,449,000 Class A ordinary shares, par value $0.0001 per share, and 3,737,500 Class B ordinary shares, par value $0.0001 per share, were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65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Arial" w:cs="Arial" w:eastAsia="Arial" w:hAnsi="Arial"/>
                <w:sz w:val="18"/>
                <w:szCs w:val="18"/>
                <w:b w:val="1"/>
                <w:bCs w:val="1"/>
                <w:color w:val="auto"/>
              </w:rPr>
              <w:t>PART I. FINANCIAL INFORMATION</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2021 (unaudited) and December 31, 2020</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 of Operation for the three months ended March 31,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 of Change in Shareholders’ Equity for the three months ended March 31,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 of Cash Flows for the three months ended March 31, 2021</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990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Item 1A.</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 from Registered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6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Financial Statements.</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ARYA SCIENCES ACQUISITION CORP III</w:t>
      </w:r>
    </w:p>
    <w:p>
      <w:pPr>
        <w:ind w:left="3940"/>
        <w:spacing w:after="0"/>
        <w:rPr>
          <w:sz w:val="20"/>
          <w:szCs w:val="20"/>
          <w:color w:val="auto"/>
        </w:rPr>
      </w:pPr>
      <w:r>
        <w:rPr>
          <w:rFonts w:ascii="Arial" w:cs="Arial" w:eastAsia="Arial" w:hAnsi="Arial"/>
          <w:sz w:val="22"/>
          <w:szCs w:val="22"/>
          <w:b w:val="1"/>
          <w:bCs w:val="1"/>
          <w:color w:val="auto"/>
        </w:rPr>
        <w:t>CONDENSED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2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682,010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3"/>
        </w:trPr>
        <w:tc>
          <w:tcPr>
            <w:tcW w:w="86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253,630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935,640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149,563,934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149,552,952</w:t>
            </w:r>
          </w:p>
        </w:tc>
        <w:tc>
          <w:tcPr>
            <w:tcW w:w="0" w:type="dxa"/>
            <w:vAlign w:val="bottom"/>
          </w:tcPr>
          <w:p>
            <w:pPr>
              <w:spacing w:after="0"/>
              <w:rPr>
                <w:sz w:val="1"/>
                <w:szCs w:val="1"/>
                <w:color w:val="auto"/>
              </w:rPr>
            </w:pPr>
          </w:p>
        </w:tc>
      </w:tr>
      <w:tr>
        <w:trPr>
          <w:trHeight w:val="257"/>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150,499,574</w:t>
            </w:r>
          </w:p>
        </w:tc>
        <w:tc>
          <w:tcPr>
            <w:tcW w:w="2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150,857,743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1,652,522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1,799,349</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388,507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7,031,849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13,846,772 and 14,023,673 shares subject to possible redemption at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$10.00 per share at March 31, 2021 and December 31, 2020, respectively</w:t>
            </w: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138,467,720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140,236,730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479,000,000 shares authorized; 1,602,228 and 1,425,327 shares issued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40"/>
              <w:spacing w:after="0"/>
              <w:rPr>
                <w:sz w:val="20"/>
                <w:szCs w:val="20"/>
                <w:color w:val="auto"/>
              </w:rPr>
            </w:pPr>
            <w:r>
              <w:rPr>
                <w:rFonts w:ascii="Arial" w:cs="Arial" w:eastAsia="Arial" w:hAnsi="Arial"/>
                <w:sz w:val="18"/>
                <w:szCs w:val="18"/>
                <w:color w:val="auto"/>
                <w:w w:val="93"/>
              </w:rPr>
              <w:t>and outstanding (excluding 13,846,772 and 14,023,673 shares subject to possible redemption) at March 31, 2021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3,737,500 shares issued and outstanding at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2021 and December 31, 2020</w:t>
            </w:r>
          </w:p>
        </w:tc>
        <w:tc>
          <w:tcPr>
            <w:tcW w:w="1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7,291,565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(2,292,094)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150,499,574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150,857,743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ARYA SCIENCES ACQUISITION CORP III UNAUDITED CONDENSED STATEMENT OF OPERATIONS FOR THE THREE MONTHS ENDED MARCH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(1,779,993)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(1,769,011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14,950,000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Class A ordinary share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shares outstanding of Class B ordinary shares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Class B ordinary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(0.42)</w:t>
            </w:r>
          </w:p>
        </w:tc>
      </w:tr>
      <w:tr>
        <w:trPr>
          <w:trHeight w:val="21"/>
        </w:trPr>
        <w:tc>
          <w:tcPr>
            <w:tcW w:w="10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STATEMENT OF CHANGES IN SHAREHOLDERS’ EQUITY</w:t>
      </w:r>
    </w:p>
    <w:p>
      <w:pPr>
        <w:jc w:val="center"/>
        <w:spacing w:after="0"/>
        <w:rPr>
          <w:sz w:val="20"/>
          <w:szCs w:val="20"/>
          <w:color w:val="auto"/>
        </w:rPr>
      </w:pPr>
      <w:r>
        <w:rPr>
          <w:rFonts w:ascii="Arial" w:cs="Arial" w:eastAsia="Arial" w:hAnsi="Arial"/>
          <w:sz w:val="22"/>
          <w:szCs w:val="22"/>
          <w:b w:val="1"/>
          <w:bCs w:val="1"/>
          <w:color w:val="auto"/>
        </w:rPr>
        <w:t>FOR THE THREE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2240" w:type="dxa"/>
            <w:vAlign w:val="bottom"/>
            <w:gridSpan w:val="5"/>
            <w:vMerge w:val="restart"/>
          </w:tcPr>
          <w:p>
            <w:pPr>
              <w:jc w:val="right"/>
              <w:ind w:right="920"/>
              <w:spacing w:after="0"/>
              <w:rPr>
                <w:sz w:val="20"/>
                <w:szCs w:val="20"/>
                <w:color w:val="auto"/>
              </w:rPr>
            </w:pPr>
            <w:r>
              <w:rPr>
                <w:rFonts w:ascii="Arial" w:cs="Arial" w:eastAsia="Arial" w:hAnsi="Arial"/>
                <w:sz w:val="18"/>
                <w:szCs w:val="18"/>
                <w:b w:val="1"/>
                <w:bCs w:val="1"/>
                <w:color w:val="auto"/>
              </w:rPr>
              <w:t>Class A</w:t>
            </w:r>
          </w:p>
        </w:tc>
        <w:tc>
          <w:tcPr>
            <w:tcW w:w="2320" w:type="dxa"/>
            <w:vAlign w:val="bottom"/>
            <w:gridSpan w:val="6"/>
            <w:vMerge w:val="restart"/>
          </w:tcPr>
          <w:p>
            <w:pPr>
              <w:ind w:left="780"/>
              <w:spacing w:after="0"/>
              <w:rPr>
                <w:sz w:val="20"/>
                <w:szCs w:val="20"/>
                <w:color w:val="auto"/>
              </w:rPr>
            </w:pPr>
            <w:r>
              <w:rPr>
                <w:rFonts w:ascii="Arial" w:cs="Arial" w:eastAsia="Arial" w:hAnsi="Arial"/>
                <w:sz w:val="18"/>
                <w:szCs w:val="18"/>
                <w:b w:val="1"/>
                <w:bCs w:val="1"/>
                <w:color w:val="auto"/>
              </w:rPr>
              <w:t>Class B</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23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Accumulated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0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1,425,327</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5,522,572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(523,083)</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Shares subject to possible redemption</w:t>
            </w:r>
          </w:p>
        </w:tc>
        <w:tc>
          <w:tcPr>
            <w:tcW w:w="940" w:type="dxa"/>
            <w:vAlign w:val="bottom"/>
          </w:tcPr>
          <w:p>
            <w:pPr>
              <w:jc w:val="right"/>
              <w:spacing w:after="0"/>
              <w:rPr>
                <w:sz w:val="20"/>
                <w:szCs w:val="20"/>
                <w:color w:val="auto"/>
              </w:rPr>
            </w:pPr>
            <w:r>
              <w:rPr>
                <w:rFonts w:ascii="Arial" w:cs="Arial" w:eastAsia="Arial" w:hAnsi="Arial"/>
                <w:sz w:val="18"/>
                <w:szCs w:val="18"/>
                <w:color w:val="auto"/>
              </w:rPr>
              <w:t>176,901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1,768,993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1,769,010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(1,769,011)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(1,769,011)</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w w:val="94"/>
              </w:rPr>
              <w:t>Balance - March 31, 2021 (unaudited)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1,602,228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3,737,500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7,291,565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(2,292,094)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640"/>
        <w:spacing w:after="0" w:line="243" w:lineRule="auto"/>
        <w:rPr>
          <w:sz w:val="20"/>
          <w:szCs w:val="20"/>
          <w:color w:val="auto"/>
        </w:rPr>
      </w:pPr>
      <w:r>
        <w:rPr>
          <w:rFonts w:ascii="Arial" w:cs="Arial" w:eastAsia="Arial" w:hAnsi="Arial"/>
          <w:sz w:val="22"/>
          <w:szCs w:val="22"/>
          <w:b w:val="1"/>
          <w:bCs w:val="1"/>
          <w:color w:val="auto"/>
        </w:rPr>
        <w:t>ARYA SCIENCES ACQUISITION CORP III UNAUDITED CONDENSED STATEMENT OF CASH FLOWS FOR THE THREE MONTHS ENDED MARCH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(1,769,011)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116,827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1,264,015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(319,022)</w:t>
            </w: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682,010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(1,769,010)</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1—Description of Organization, Business Operations and Basis of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Organization and General</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March 31, 2021, the Company had not commenced any operations. All activity for the period from March 27, 2020 (inception) through August 11, 2020 relates to the Company’s formation and its initial public offering (“Initial Public Offering”) and had minimal activity,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Initial Public Offering</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Trust Account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Upon the closing of the Initial Public Offering and the Private Placement, $149.5 million ($10.00 per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of 1940, as amended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Initial Business Combination</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w:t>
      </w:r>
    </w:p>
    <w:p>
      <w:pPr>
        <w:spacing w:after="0" w:line="4" w:lineRule="exact"/>
        <w:rPr>
          <w:sz w:val="20"/>
          <w:szCs w:val="20"/>
          <w:color w:val="auto"/>
        </w:rPr>
      </w:pPr>
    </w:p>
    <w:p>
      <w:pPr>
        <w:ind w:firstLine="8"/>
        <w:spacing w:after="0" w:line="308" w:lineRule="auto"/>
        <w:tabs>
          <w:tab w:leader="none" w:pos="333" w:val="left"/>
        </w:tabs>
        <w:numPr>
          <w:ilvl w:val="0"/>
          <w:numId w:val="3"/>
        </w:numPr>
        <w:rPr>
          <w:rFonts w:ascii="Arial" w:cs="Arial" w:eastAsia="Arial" w:hAnsi="Arial"/>
          <w:sz w:val="19"/>
          <w:szCs w:val="19"/>
          <w:color w:val="auto"/>
        </w:rPr>
      </w:pPr>
      <w:r>
        <w:rPr>
          <w:rFonts w:ascii="Arial" w:cs="Arial" w:eastAsia="Arial" w:hAnsi="Arial"/>
          <w:sz w:val="19"/>
          <w:szCs w:val="19"/>
          <w:color w:val="auto"/>
        </w:rPr>
        <w:t>with respect to any other provision relating to the rights of Public Shareholders, unless the Company provides the Public Shareholders with the opportunity to redeem their Class A ordinary shares in conjunction with any such amendment.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Proposed Nautilus Business Combination and related Proposed Transactions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ectPr>
          <w:pgSz w:w="11900" w:h="16838" w:orient="portrait"/>
          <w:cols w:equalWidth="0" w:num="1">
            <w:col w:w="11240"/>
          </w:cols>
          <w:pgMar w:left="320" w:top="121" w:right="339" w:bottom="413"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13"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Nautilus Business Combination is expected to close in the second quarter of 2021, following the receipt of the required approval by our shareholders and the fulfillment of other customary closing conditions.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Concurrently with the execution of the Business Combination Agreement, the Company, the Sponsor, and each other holder of Class B ordinary shares of ARYA (the “</w:t>
      </w:r>
      <w:r>
        <w:rPr>
          <w:rFonts w:ascii="Arial" w:cs="Arial" w:eastAsia="Arial" w:hAnsi="Arial"/>
          <w:sz w:val="19"/>
          <w:szCs w:val="19"/>
          <w:i w:val="1"/>
          <w:iCs w:val="1"/>
          <w:color w:val="auto"/>
        </w:rPr>
        <w:t>Other Class B Shareholders</w:t>
      </w:r>
      <w:r>
        <w:rPr>
          <w:rFonts w:ascii="Arial" w:cs="Arial" w:eastAsia="Arial" w:hAnsi="Arial"/>
          <w:sz w:val="19"/>
          <w:szCs w:val="19"/>
          <w:color w:val="auto"/>
        </w:rPr>
        <w:t>”) and Nautilus entered into the Sponsor Letter Agreement (the “</w:t>
      </w:r>
      <w:r>
        <w:rPr>
          <w:rFonts w:ascii="Arial" w:cs="Arial" w:eastAsia="Arial" w:hAnsi="Arial"/>
          <w:sz w:val="19"/>
          <w:szCs w:val="19"/>
          <w:i w:val="1"/>
          <w:iCs w:val="1"/>
          <w:color w:val="auto"/>
        </w:rPr>
        <w:t>Sponsor Letter Agreement</w:t>
      </w:r>
      <w:r>
        <w:rPr>
          <w:rFonts w:ascii="Arial" w:cs="Arial" w:eastAsia="Arial" w:hAnsi="Arial"/>
          <w:sz w:val="19"/>
          <w:szCs w:val="19"/>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copy of each of the above referenced agreements is filed as exhibits with a Current Report on Form 8-K, filed with the SEC on February 8, 2021.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and Capital Resources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March 31, 2021, the Company had approximately $682,000 in its operating bank account and a working capital deficit of approximately $864,000.</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promissory note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March 31, 2021, there were no amounts outstanding under any Working Capital Loan.</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the Company’s assessment of going concern considerations in accordance with Financial Accounting Standard Board’s Accounting Standards Updated (“ASU”) 2014-15, “Disclosures of Uncertainties about an Entity’s Ability to Continue as a Going Concern”, management has determined that the working capital deficit raises substantial doubt about the Company’s ability to continue as a going concern. The financial statements do not include any adjustment that might be necessary if the Company is unable to continue as a going concern.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Risk and Uncertainties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of Presentation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March 31, 2021 are not necessarily indicative of the results that may be expected for the period ending December 31, 2021 or for any future interim periods.</w:t>
      </w:r>
    </w:p>
    <w:p>
      <w:pPr>
        <w:spacing w:after="0" w:line="20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accompanying unaudited condensed financial statements should be read in conjunction with the audited financial statements and notes thereto included in the Form 10-K filed by the Company with the SEC on March 30,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Estimates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Emerging Growth Company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and Cash Equivalents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considers all short-term investments with an original maturity of three months or less when purchased to be cash equivalents. The Company had no cash equivalents as of March 31, 2021.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Credit Risk</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March 31, 2021, the Company has not experienced losses on these accounts and management believes the Company is not exposed to significant risks on such accounts.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Securities Held in Trust Account</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condensed balance sheets at fair value at the end of each reporting period. Gains and losses resulting from the change in fair value of trading securities is included in investment income on Trust Account in the accompanying unaudited condensed statements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Financial Instruments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8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23" w:lineRule="exact"/>
        <w:rPr>
          <w:rFonts w:ascii="Arial" w:cs="Arial" w:eastAsia="Arial" w:hAnsi="Arial"/>
          <w:sz w:val="18"/>
          <w:szCs w:val="18"/>
          <w:color w:val="auto"/>
        </w:rPr>
      </w:pPr>
    </w:p>
    <w:p>
      <w:pPr>
        <w:ind w:left="660" w:right="4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ind w:left="660" w:right="80" w:hanging="328"/>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March 31, 2021,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Offering Costs Associated with the Initial Public Offering</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Offering costs consisted of legal, accounting, and other costs incurred that were directly related to the Initial Public Offering and that were charged to shareholders’ equity upon the completion of the Initial Public Offering.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A Ordinary Shares Subject to Possible Redemption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2021, 13,846,772 Class A ordinary shares subject to possible redemption are presented as temporary equity, outside of the shareholders’ equity section of the Company’s unaudited condensed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2021.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March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There is currently no taxation imposed on income by the Government of the Cayman Islands. In accordance with Cayman income tax regulations, income taxes are not levied on the Company. Consequently, income taxes are not reflected in the Company’s unaudited condensed financial statements. The Company’s management does not expect that the total amount of unrecognized tax benefits will materially change over the next twelve months.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(Loss) Per Ordinary Share</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Net income (loss) per share is computed by dividing net income by the weighted-average number of ordinary shares outstanding during the periods. The Company’s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a net gain of approximately $11,000 for the three months ended March 31, 2021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pronouncement if currently adopted would have a material effect on the Company’s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3—Initial Public Offering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Founder Shares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Private Placement Share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Related Party Loans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April 2, 2020, the Sponsor agreed to loan the Company an aggregate of up to $300,000 to cover for expenses related to the Initial Public Offering pursuant to a Note. This loan was non-interest bearing and payable upon the completion of the Initial Public Offering. The Company borrowed $200,000 under the Note and fully repaid this Note on August 11, 2020.</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Administrative Support Agreement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$30,000 in general and administrative expenses in the accompanying unaudited condensed consolidated statements of operations for the three months ended March 31, 2021.</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Registration Rights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holders of Founder Shares, Private Placement Shares and Private Placement Shares that may be issued upon conversion of Working Capital Loans, will be entitled to registration rights pursuant to a registration and shareholder rights agreement signed upon the consummation of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Underwriting Agreement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ectPr>
          <w:pgSz w:w="11900" w:h="16838" w:orient="portrait"/>
          <w:cols w:equalWidth="0" w:num="1">
            <w:col w:w="11240"/>
          </w:cols>
          <w:pgMar w:left="320" w:top="122"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6—Shareholders’ Equity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 xml:space="preserve">Class A Ordinary Shares — </w:t>
      </w:r>
      <w:r>
        <w:rPr>
          <w:rFonts w:ascii="Arial" w:cs="Arial" w:eastAsia="Arial" w:hAnsi="Arial"/>
          <w:sz w:val="22"/>
          <w:szCs w:val="22"/>
          <w:color w:val="auto"/>
        </w:rPr>
        <w:t>The Company is authorized to issue 479,000,000 Class A ordinary shares with a par value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$0.0001 per share. As of March 31, 2021, there were 15,449,000 Class A common shares outstanding, including 13,846,772 Class A common stock subject to possible redemption that were classified as temporary equity in the accompanying unaudited condensed balance sheet.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i w:val="1"/>
          <w:iCs w:val="1"/>
          <w:color w:val="auto"/>
        </w:rPr>
        <w:t xml:space="preserve">Class B Ordinary Shares — </w:t>
      </w:r>
      <w:r>
        <w:rPr>
          <w:rFonts w:ascii="Arial" w:cs="Arial" w:eastAsia="Arial" w:hAnsi="Arial"/>
          <w:sz w:val="19"/>
          <w:szCs w:val="19"/>
          <w:color w:val="auto"/>
        </w:rPr>
        <w:t>The Company is authorized to issue 20,000,000 Class B ordinary shares with a par value of $0.0001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 share. On April 2, 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 xml:space="preserve">Preference Shares — </w:t>
      </w:r>
      <w:r>
        <w:rPr>
          <w:rFonts w:ascii="Arial" w:cs="Arial" w:eastAsia="Arial" w:hAnsi="Arial"/>
          <w:sz w:val="21"/>
          <w:szCs w:val="21"/>
          <w:color w:val="auto"/>
        </w:rPr>
        <w:t>The Company is authorized to issue 1,000,000 preference shares with a par value of $0.0001 per share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such designations, voting and other rights and preferences as may be determined from time to time by the Company’s board of directors. As of March 31, 2021, there were no preference shares issued or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7—Fair Value Measurements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as of March 31, 2021 and December 31, 2020, respectively, and indicates the fair value hierarchy of the valuation techniques that the Company utilized to determine such fair value.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5"/>
              </w:rPr>
              <w:t>Quoted Prices in</w:t>
            </w:r>
          </w:p>
        </w:tc>
        <w:tc>
          <w:tcPr>
            <w:tcW w:w="1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Significant Other</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Active Markets</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rPr>
              <w:t>Observable Inputs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Unobservable Inputs</w:t>
            </w:r>
          </w:p>
        </w:tc>
      </w:tr>
      <w:tr>
        <w:trPr>
          <w:trHeight w:val="241"/>
        </w:trPr>
        <w:tc>
          <w:tcPr>
            <w:tcW w:w="6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 held in Trust Account: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149,563,934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149,563,934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Quoted Prices in</w:t>
            </w:r>
          </w:p>
        </w:tc>
        <w:tc>
          <w:tcPr>
            <w:tcW w:w="10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Significant Other</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Active Markets</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rPr>
              <w:t>Observable Inputs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Unobservable Inputs</w:t>
            </w:r>
          </w:p>
        </w:tc>
      </w:tr>
      <w:tr>
        <w:trPr>
          <w:trHeight w:val="241"/>
        </w:trPr>
        <w:tc>
          <w:tcPr>
            <w:tcW w:w="6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 held in Trust Account: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80"/>
              <w:spacing w:after="0"/>
              <w:rPr>
                <w:sz w:val="20"/>
                <w:szCs w:val="20"/>
                <w:color w:val="auto"/>
              </w:rPr>
            </w:pPr>
            <w:r>
              <w:rPr>
                <w:rFonts w:ascii="Arial" w:cs="Arial" w:eastAsia="Arial" w:hAnsi="Arial"/>
                <w:sz w:val="18"/>
                <w:szCs w:val="18"/>
                <w:color w:val="auto"/>
              </w:rPr>
              <w:t>Cash equivalents – money market funds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149,552,952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Transfers to/from Levels 1, 2, and 3 are recognized at the end of the reporting period. There were no transfers between levels for the three months ended March 31, 2021 and December 31, 2020, respectively.</w:t>
      </w:r>
    </w:p>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8—Subsequent Events</w:t>
      </w:r>
    </w:p>
    <w:p>
      <w:pPr>
        <w:spacing w:after="0" w:line="23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Management has evaluated subsequent events to determine if events or transactions occurring through the date the unaudited condensed financial statements were available for issuance, require potential adjustment to or disclosure in the unaudited condensed financial statements and has concluded that all such events that would require recognition or disclosure have been recognized or disclosed.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References to the “Company,” “our,” “us” or “we” refer to ARYA Sciences Acquisition Corp III. The following discussion and analysis of the Company’s financial condition and results of operations should be read in conjunction with the unaudited condensed financial statements and the notes thereto contained elsewhere in this Quarterly Report on Form 10-Q. Certain information contained in the discussion and analysis set forth below includes forward-looking statements that involve risks and uncertainties.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Some of the statements contained in this Quarterly Report on Form 10-Q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no operating history and no revenues, and you have no basis on which to evaluate our ability to achieve our business objective;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5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complete a merger, share exchange, asset acquisition, share purchase, reorganization or similar business combination with one or more businesses (the “Business Combination”);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75"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following our initial public offering (the “Initial Public Offering”); and</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risks and uncertainties discussed herein, in our annual report on form 10-K filed with the SEC on March 30, 2021 and our other filings with the SEC.</w:t>
      </w:r>
    </w:p>
    <w:p>
      <w:pPr>
        <w:spacing w:after="0" w:line="190"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a blank check company incorporated on March 27, 2020 as a Cayman Islands exempted company for the purpose of effecting a Business Combination that we have not yet identified. Our sponsor is ARYA Sciences Holdings III, a Cayman Islands exempted limited company (our “Sponsor”).</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we consummated the private placement (“Private Placement”) of 499,000 Class A ordinary shares (the “Private Placement Shares”), at a price of $10.00 per Private Placement Share to our Sponsor, generating gross proceeds of approximately $5.0 million.</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Upon the closing of the Initial Public Offering and the Private Placement, $149.5 million ($10.00 per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of 1940, as amended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reviewed a number of opportunities to enter into a business combination with an operating business before entering on February 7, 2021 into the business combination agreement (“Business Combination Agreement”), by and among the company, Mako Merger Sub, Inc., a Delaware corporation (“Merger Sub”), and Nautilus Biotechnology, Inc., a Delaware corporation (“Nautilus”). We intend to finance the Business Combination through a combination of (i) shares of New Nautilus Common Stock (as defined below) issued to the equityholders of Nautilus, (ii) cash held in the trust account net of redemptions and deferred underwriting discounts and (iii) gross proceeds from the PIPE Financing (as defined below).</w:t>
      </w:r>
    </w:p>
    <w:p>
      <w:pPr>
        <w:sectPr>
          <w:pgSz w:w="11900" w:h="16838" w:orient="portrait"/>
          <w:cols w:equalWidth="0" w:num="1">
            <w:col w:w="11240"/>
          </w:cols>
          <w:pgMar w:left="320" w:top="122"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issuance of additional shares in a business combination:</w:t>
      </w:r>
    </w:p>
    <w:p>
      <w:pPr>
        <w:spacing w:after="0" w:line="13" w:lineRule="exact"/>
        <w:rPr>
          <w:sz w:val="20"/>
          <w:szCs w:val="20"/>
          <w:color w:val="auto"/>
        </w:rPr>
      </w:pPr>
    </w:p>
    <w:p>
      <w:pPr>
        <w:jc w:val="both"/>
        <w:ind w:left="660" w:hanging="328"/>
        <w:spacing w:after="0" w:line="24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Similarly, if we issue debt or otherwise incur significant debt, it could result in:</w:t>
      </w:r>
    </w:p>
    <w:p>
      <w:pPr>
        <w:spacing w:after="0" w:line="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March 31, 2021, we had approximately $682,000 in cash held outside of the trust account, approximately $149.6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Proposed Nautilus Business Combination and related Proposed Transactions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Nautilus Business Combination is expected to close in the second quarter of 2021, following the receipt of the required approval by our shareholders and the fulfillment of other customary closing conditions.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Concurrently with the execution of the Business Combination Agreement, the company, the sponsor, and each other holder of Class B ordinary shares of ARYA (the “</w:t>
      </w:r>
      <w:r>
        <w:rPr>
          <w:rFonts w:ascii="Arial" w:cs="Arial" w:eastAsia="Arial" w:hAnsi="Arial"/>
          <w:sz w:val="19"/>
          <w:szCs w:val="19"/>
          <w:i w:val="1"/>
          <w:iCs w:val="1"/>
          <w:color w:val="auto"/>
        </w:rPr>
        <w:t>Other Class B Shareholders</w:t>
      </w:r>
      <w:r>
        <w:rPr>
          <w:rFonts w:ascii="Arial" w:cs="Arial" w:eastAsia="Arial" w:hAnsi="Arial"/>
          <w:sz w:val="19"/>
          <w:szCs w:val="19"/>
          <w:color w:val="auto"/>
        </w:rPr>
        <w:t>”) and Nautilus entered into the Sponsor Letter Agreement (the “</w:t>
      </w:r>
      <w:r>
        <w:rPr>
          <w:rFonts w:ascii="Arial" w:cs="Arial" w:eastAsia="Arial" w:hAnsi="Arial"/>
          <w:sz w:val="19"/>
          <w:szCs w:val="19"/>
          <w:i w:val="1"/>
          <w:iCs w:val="1"/>
          <w:color w:val="auto"/>
        </w:rPr>
        <w:t>Sponsor Letter Agreement</w:t>
      </w:r>
      <w:r>
        <w:rPr>
          <w:rFonts w:ascii="Arial" w:cs="Arial" w:eastAsia="Arial" w:hAnsi="Arial"/>
          <w:sz w:val="19"/>
          <w:szCs w:val="19"/>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copy of each of the above referenced agreements is filed as exhibits with a Current Report on Form 8-K, filed with the SEC on February 8,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entire activity since inception through March 31, 2021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gains, dividends and interest on cash, cash equivalents and investments held in the Trust Account. We expect to incur increased expenses as a result of being a public company (for legal, financial reporting, accounting and auditing compliance), as well as for due diligence expenses.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March 31, 2021, we had a net loss of approximately $1.8 million, which consisted of approximately $1.8 million in general and administrative expenses partially offset by approximately $11,000 of net gains, dividends and interest on investments held in Trust Account.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Going Concern Consideration</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As of March 31, 2021, we had approximately $682,000 in our operating bank account and a working capital deficit of approximately $864,000, and no interest income available in the Trust Account to pay for our tax obligations, if any.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March 31, 2021, there were no amounts outstanding under any working capital loan.</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the Company’s assessment of going concern considerations in accordance with Financial Accounting Standard Board’s Accounting Standards Updated (“ASU”) 2014-15, “Disclosures of Uncertainties about an Entity’s Ability to Continue as a Going Concern”, management has determined that the working capital deficit raises substantial about the Company’s ability to continue as a going concern. The financial statements do not include any adjustment that might be necessary if the Company is unable to continue as a going concern.</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continue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Founder Shares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April 2, 2020,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our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initial shareholders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Private Placement Shares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Simultaneously with the closing of the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sponsor and our officers and directors agreed, subject to limited exceptions, not to transfer, assign or sell any of their private placement shares until 30 days after the completion of the initial Business Combination.</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Related Party Loans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Administrative Support Agreement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$30,000 for these services and are included in general and administrative expenses in the accompanying unaudited statement of operations for the three months ended March 31, 2021.</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Contractual Obligations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do not have any long-term debt obligations, capital lease obligations, operating lease obligations, purchase obligations or long-term liabilities, other than for an agreement pay our Sponsor fees of $10,000 per month for administrative support services.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Registration and Shareholder Rights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holders of founder shares, private placement shares, and securities that may be issued upon conversion of Working Capital Loans, if any, are entitled to registration rights pursuant to a registration and shareholder rights 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of 1933, as amended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Underwriting Agreement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granted the Underwriters a 45-day option from the final prospectus relating to the Initial Public Offering to purchase up to 1,950,000 additional Public Shares to cover over-allotments at the initial public offering price less the underwriting discounts and commissions. The Underwriters fully exercised the over-allotment option on August 11, 2020.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A Ordinary Shares Subject to Possible Redemption</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March 31, 2021, 13,846,772 Class A ordinary shares subject to possible redemption are presented as temporary equity, outside of the shareholders’ equity section of the Company’s balance sheet.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(Loss) Per Ordinary Share</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Net income (loss) per share is computed by dividing net income by the weighted-average number of ordinary shares outstanding during the periods. Our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a net gain of approximately $11,000 for the three months ended March 31, 2021,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Financial Instruments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3" w:lineRule="exact"/>
        <w:rPr>
          <w:rFonts w:ascii="Arial" w:cs="Arial" w:eastAsia="Arial" w:hAnsi="Arial"/>
          <w:sz w:val="18"/>
          <w:szCs w:val="18"/>
          <w:color w:val="auto"/>
        </w:rPr>
      </w:pPr>
    </w:p>
    <w:p>
      <w:pPr>
        <w:ind w:left="660" w:right="4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ind w:left="660" w:right="80" w:hanging="328"/>
        <w:spacing w:after="0" w:line="29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March 31, 2021,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management does not believe that any recently issued, but not yet effective, accounting standards if currently adopted would have a material effect on the accompanying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As of March 31, 2021, we did not have any off-balance sheet arrangements as defined in Item 303(a)(4)(ii)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executive’s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a smaller reporting company as defined by Rule 12b-2 of the Securities Exchange Act of 1934, as amended (the “Exchange Act”) and are not required to provide the information otherwise required under this item.</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Disclosure controls are procedures that are designed with the objective of ensuring that information required to be disclosed in our reports filed under the Exchange Act, such as this Quarterly Report on Form 10-Q,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March 31, 2021, pursuant to Rule 13a-15(b) under the Exchange Act. Based upon that evaluation, our Certifying Officers concluded that, as of March 31, 2021, our disclosure controls and procedures were effective.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have been no material changes from the risk factors previously disclosed in the Company’s annual report filed on the Form 10-K filed by the Company with the SEC on March 30, 2021. The Company may disclose changes to such factors or disclose additional factors from time to time in its future filings with the SEC.</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from Registered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Unregistered Sales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Simultaneously with the closing of the Initial Public Offering, we consummated the Private Placement of 499,000 Private Placement Shares, at a price of $10.00 per Private Placement Share to our Sponsor, generating gross proceeds of approximately $5.0 million. This issuance was made pursuant to the exemption from registration contained in Section 4(a)(2) of the Securities Act and no underwriting discounts or commissions were paid with respect to such sale.</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April 2, 2020, our Sponsor paid $25,000 to cover certain of our offering costs in consideration of 3,593,750 Founder Shares. In July 2020, our Sponsor transferred an aggregate of 90,000 Founder Shares to our independent director nominees. On August 6, 2020, we effected a share capitalization resulting in the initial shareholders holding 3,737,500 Founder Shares. Our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 Such securities were issued in connection with the Company’s organization pursuant to the exemption from registration contained in Section 4(a)(2) of the Securities 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Proceeds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August 11, 2020, we consummated the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The securities in the offering were registered under the Securities Act on registration statements on Form S-1 (File No. 333-239986) that became effective on August 6, 2020.</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connection with the Initial Public Offering, we incurred offering costs of approximately $8.8 million, inclusive of approximately $5.2 million in deferred underwriting commissions.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approximately $149.5 million of the net proceeds from our Initial Public Offering and certain of the proceeds from the Private Placement of the Private Placement Shares (or $10.00 per share sold in the Initial Public Offering) was placed in the Trust Account. The net proceeds of the Initial Public Offering and certain proceeds from the sale of the Private Placement Shares are held in the Trust Account and invested as described elsewhere in this Quarterly Report on Form 10-Q.</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has been no material change in the planned use of the proceeds from the Initial Public Offering and Private Placement as is described in the Company’s final prospectus related to the Initial Public Offering.</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exhibits are filed or furnished as a part of, or incorporated by reference into, this Quarterly Report on Form 10-Q.</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0220" w:type="dxa"/>
            <w:vAlign w:val="bottom"/>
          </w:tcPr>
          <w:p>
            <w:pPr>
              <w:spacing w:after="0"/>
              <w:rPr>
                <w:sz w:val="14"/>
                <w:szCs w:val="14"/>
                <w:color w:val="auto"/>
              </w:rPr>
            </w:pPr>
          </w:p>
        </w:tc>
      </w:tr>
      <w:tr>
        <w:trPr>
          <w:trHeight w:val="367"/>
        </w:trPr>
        <w:tc>
          <w:tcPr>
            <w:tcW w:w="1020" w:type="dxa"/>
            <w:vAlign w:val="bottom"/>
            <w:gridSpan w:val="4"/>
          </w:tcPr>
          <w:p>
            <w:pPr>
              <w:ind w:left="18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24"/>
                <w:szCs w:val="24"/>
                <w:color w:val="auto"/>
              </w:rPr>
            </w:pPr>
          </w:p>
        </w:tc>
      </w:tr>
      <w:tr>
        <w:trPr>
          <w:trHeight w:val="241"/>
        </w:trPr>
        <w:tc>
          <w:tcPr>
            <w:tcW w:w="1020" w:type="dxa"/>
            <w:vAlign w:val="bottom"/>
            <w:gridSpan w:val="4"/>
          </w:tcPr>
          <w:p>
            <w:pPr>
              <w:ind w:left="140"/>
              <w:spacing w:after="0"/>
              <w:rPr>
                <w:sz w:val="20"/>
                <w:szCs w:val="20"/>
                <w:color w:val="auto"/>
              </w:rPr>
            </w:pPr>
            <w:r>
              <w:rPr>
                <w:rFonts w:ascii="Arial" w:cs="Arial" w:eastAsia="Arial" w:hAnsi="Arial"/>
                <w:sz w:val="18"/>
                <w:szCs w:val="18"/>
                <w:b w:val="1"/>
                <w:bCs w:val="1"/>
                <w:color w:val="auto"/>
              </w:rPr>
              <w:t>Number</w:t>
            </w:r>
          </w:p>
        </w:tc>
        <w:tc>
          <w:tcPr>
            <w:tcW w:w="102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4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Amended and Restated Memorandum and Articles of Association.(1)</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Pr>
          <w:p>
            <w:pPr>
              <w:spacing w:after="0" w:line="176" w:lineRule="exact"/>
              <w:rPr>
                <w:sz w:val="20"/>
                <w:szCs w:val="20"/>
                <w:color w:val="auto"/>
              </w:rPr>
            </w:pPr>
            <w:r>
              <w:rPr>
                <w:rFonts w:ascii="Arial" w:cs="Arial" w:eastAsia="Arial" w:hAnsi="Arial"/>
                <w:sz w:val="18"/>
                <w:szCs w:val="18"/>
                <w:color w:val="auto"/>
              </w:rPr>
              <w:t>Specimen Ordinary Share Certificate.(2)</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Description of Registrant’s Securities.(3)</w:t>
            </w:r>
          </w:p>
        </w:tc>
      </w:tr>
      <w:tr>
        <w:trPr>
          <w:trHeight w:val="176"/>
        </w:trPr>
        <w:tc>
          <w:tcPr>
            <w:tcW w:w="32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r:id="rId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Pr>
          <w:p>
            <w:pPr>
              <w:spacing w:after="0" w:line="176" w:lineRule="exact"/>
              <w:rPr>
                <w:sz w:val="20"/>
                <w:szCs w:val="20"/>
                <w:color w:val="auto"/>
              </w:rPr>
            </w:pPr>
            <w:r>
              <w:rPr>
                <w:rFonts w:ascii="Arial" w:cs="Arial" w:eastAsia="Arial" w:hAnsi="Arial"/>
                <w:sz w:val="18"/>
                <w:szCs w:val="18"/>
                <w:color w:val="auto"/>
              </w:rPr>
              <w:t>Private Placement Shares Purchase Agreement between the Company and the Sponsor.(1)</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01"/>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r:id="rId4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Investment Management Trust Agreement between Continental Stock Transfer &amp; Trust Company and the Company.(1)</w:t>
            </w:r>
          </w:p>
        </w:tc>
      </w:tr>
      <w:tr>
        <w:trPr>
          <w:trHeight w:val="176"/>
        </w:trPr>
        <w:tc>
          <w:tcPr>
            <w:tcW w:w="32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85"/>
              </w:rPr>
            </w:pPr>
            <w:hyperlink r:id="rId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Registration and Shareholder Rights Agreement among the Company, the Sponsor and certain other equityholders named therein.(1)</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01"/>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r:id="rId4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Letter Agreement among the Company, the Sponsor, the Foundation and the Company’s officers and directors.(1)</w:t>
            </w:r>
          </w:p>
        </w:tc>
      </w:tr>
      <w:tr>
        <w:trPr>
          <w:trHeight w:val="175"/>
        </w:trPr>
        <w:tc>
          <w:tcPr>
            <w:tcW w:w="32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85"/>
              </w:rPr>
            </w:pPr>
            <w:hyperlink r:id="rId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Administrative Services Agreement between the Company and the Sponsor.(1)</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01"/>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r:id="rId4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Form of Indemnity Agreement.(2)</w:t>
            </w:r>
          </w:p>
        </w:tc>
      </w:tr>
      <w:tr>
        <w:trPr>
          <w:trHeight w:val="176"/>
        </w:trPr>
        <w:tc>
          <w:tcPr>
            <w:tcW w:w="32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7"/>
              </w:rPr>
              <w:t>Certification of Chief Executive Officer (Principal Executive Officer) Pursuant to Rules 13a-14(a) and 15d-14(a) under the Securities</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176"/>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Chief Financial Officer (Principal Financial and Accounting Officer) Pursuant to Rules 13a-14(a) and 15d-14(a) under the</w:t>
            </w:r>
          </w:p>
        </w:tc>
      </w:tr>
      <w:tr>
        <w:trPr>
          <w:trHeight w:val="237"/>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r>
      <w:tr>
        <w:trPr>
          <w:trHeight w:val="175"/>
        </w:trPr>
        <w:tc>
          <w:tcPr>
            <w:tcW w:w="32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tcPr>
          <w:p>
            <w:pPr>
              <w:spacing w:after="0" w:line="176" w:lineRule="exact"/>
              <w:rPr>
                <w:sz w:val="20"/>
                <w:szCs w:val="20"/>
                <w:color w:val="auto"/>
              </w:rPr>
            </w:pPr>
            <w:r>
              <w:rPr>
                <w:rFonts w:ascii="Arial" w:cs="Arial" w:eastAsia="Arial" w:hAnsi="Arial"/>
                <w:sz w:val="18"/>
                <w:szCs w:val="18"/>
                <w:color w:val="auto"/>
                <w:w w:val="94"/>
              </w:rPr>
              <w:t>Certification of Chief Executive Officer (Principal Executive Officer) Pursuant to 18 U.S.C. Section 1350, as Adopted Pursuant to Section</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176"/>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8"/>
              </w:rPr>
              <w:t>Certification of Chief Financial Officer (Principal Financial and Accounting Officer) Pursuant to 18 U.S.C. Section 1350, as Adopted</w:t>
            </w:r>
          </w:p>
        </w:tc>
      </w:tr>
      <w:tr>
        <w:trPr>
          <w:trHeight w:val="237"/>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4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920" w:type="dxa"/>
            <w:vAlign w:val="bottom"/>
            <w:gridSpan w:val="3"/>
          </w:tcPr>
          <w:p>
            <w:pPr>
              <w:ind w:left="20"/>
              <w:spacing w:after="0"/>
              <w:rPr>
                <w:sz w:val="20"/>
                <w:szCs w:val="20"/>
                <w:color w:val="auto"/>
              </w:rPr>
            </w:pPr>
            <w:r>
              <w:rPr>
                <w:rFonts w:ascii="Arial" w:cs="Arial" w:eastAsia="Arial" w:hAnsi="Arial"/>
                <w:sz w:val="18"/>
                <w:szCs w:val="18"/>
                <w:color w:val="auto"/>
              </w:rPr>
              <w:t>Filed herewith.</w:t>
            </w:r>
          </w:p>
        </w:tc>
      </w:tr>
      <w:tr>
        <w:trPr>
          <w:trHeight w:val="2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920" w:type="dxa"/>
            <w:vAlign w:val="bottom"/>
            <w:gridSpan w:val="3"/>
          </w:tcPr>
          <w:p>
            <w:pPr>
              <w:ind w:left="20"/>
              <w:spacing w:after="0"/>
              <w:rPr>
                <w:sz w:val="20"/>
                <w:szCs w:val="20"/>
                <w:color w:val="auto"/>
              </w:rPr>
            </w:pPr>
            <w:r>
              <w:rPr>
                <w:rFonts w:ascii="Arial" w:cs="Arial" w:eastAsia="Arial" w:hAnsi="Arial"/>
                <w:sz w:val="18"/>
                <w:szCs w:val="18"/>
                <w:color w:val="auto"/>
              </w:rPr>
              <w:t>Furnished herewith.</w:t>
            </w:r>
          </w:p>
        </w:tc>
      </w:tr>
    </w:tbl>
    <w:p>
      <w:pPr>
        <w:ind w:left="340" w:hanging="332"/>
        <w:spacing w:after="0" w:line="183"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registrant’s Current Report on Form 8-K, filed with the SEC on August 12, 2020.</w:t>
      </w:r>
    </w:p>
    <w:p>
      <w:pPr>
        <w:spacing w:after="0" w:line="1" w:lineRule="exact"/>
        <w:rPr>
          <w:rFonts w:ascii="Arial" w:cs="Arial" w:eastAsia="Arial" w:hAnsi="Arial"/>
          <w:sz w:val="26"/>
          <w:szCs w:val="26"/>
          <w:color w:val="auto"/>
          <w:vertAlign w:val="superscript"/>
        </w:rPr>
      </w:pPr>
    </w:p>
    <w:p>
      <w:pPr>
        <w:ind w:left="340" w:hanging="332"/>
        <w:spacing w:after="0" w:line="194"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Incorporated by reference to the registrant’s Form S-1, filed with the SEC on July 30, 2020.</w:t>
      </w:r>
    </w:p>
    <w:p>
      <w:pPr>
        <w:spacing w:after="0" w:line="2" w:lineRule="exact"/>
        <w:rPr>
          <w:rFonts w:ascii="Arial" w:cs="Arial" w:eastAsia="Arial" w:hAnsi="Arial"/>
          <w:sz w:val="23"/>
          <w:szCs w:val="23"/>
          <w:color w:val="auto"/>
          <w:vertAlign w:val="superscript"/>
        </w:rPr>
      </w:pPr>
    </w:p>
    <w:p>
      <w:pPr>
        <w:ind w:left="340" w:hanging="332"/>
        <w:spacing w:after="0" w:line="194"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Incorporated by reference to the registrant’s annual report on Form 10-K, filed with the SEC on March 30,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Altman</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jc w:val="center"/>
        <w:spacing w:after="0" w:line="230" w:lineRule="auto"/>
        <w:rPr>
          <w:sz w:val="20"/>
          <w:szCs w:val="20"/>
          <w:color w:val="auto"/>
        </w:rPr>
      </w:pPr>
      <w:r>
        <w:rPr>
          <w:rFonts w:ascii="Arial" w:cs="Arial" w:eastAsia="Arial" w:hAnsi="Arial"/>
          <w:sz w:val="22"/>
          <w:szCs w:val="22"/>
          <w:b w:val="1"/>
          <w:bCs w:val="1"/>
          <w:color w:val="auto"/>
        </w:rPr>
        <w:t>PURSUANT TO RULES 13a-14(a) AND 15d-14(a)</w:t>
      </w:r>
    </w:p>
    <w:p>
      <w:pPr>
        <w:jc w:val="center"/>
        <w:spacing w:after="0" w:line="231" w:lineRule="auto"/>
        <w:rPr>
          <w:sz w:val="20"/>
          <w:szCs w:val="20"/>
          <w:color w:val="auto"/>
        </w:rPr>
      </w:pPr>
      <w:r>
        <w:rPr>
          <w:rFonts w:ascii="Arial" w:cs="Arial" w:eastAsia="Arial" w:hAnsi="Arial"/>
          <w:sz w:val="22"/>
          <w:szCs w:val="22"/>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Stone, certify that:</w:t>
      </w:r>
    </w:p>
    <w:p>
      <w:pPr>
        <w:spacing w:after="0" w:line="24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ARYA Sciences Acquisition Corp III;</w:t>
      </w:r>
    </w:p>
    <w:p>
      <w:pPr>
        <w:spacing w:after="0" w:line="23" w:lineRule="exact"/>
        <w:rPr>
          <w:rFonts w:ascii="Arial" w:cs="Arial" w:eastAsia="Arial" w:hAnsi="Arial"/>
          <w:sz w:val="18"/>
          <w:szCs w:val="18"/>
          <w:color w:val="auto"/>
        </w:rPr>
      </w:pPr>
    </w:p>
    <w:p>
      <w:pPr>
        <w:jc w:val="both"/>
        <w:ind w:left="500" w:right="28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00" w:right="24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40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980" w:right="60" w:hanging="486"/>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9" w:lineRule="exact"/>
        <w:rPr>
          <w:rFonts w:ascii="Arial" w:cs="Arial" w:eastAsia="Arial" w:hAnsi="Arial"/>
          <w:sz w:val="18"/>
          <w:szCs w:val="18"/>
          <w:color w:val="auto"/>
        </w:rPr>
      </w:pPr>
    </w:p>
    <w:p>
      <w:pPr>
        <w:jc w:val="both"/>
        <w:ind w:left="980" w:right="540" w:hanging="486"/>
        <w:spacing w:after="0" w:line="281"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486"/>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00" w:right="10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right="780" w:hanging="486"/>
        <w:spacing w:after="0" w:line="281"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80" w:right="460" w:hanging="486"/>
        <w:spacing w:after="0" w:line="26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7"/>
          <w:szCs w:val="17"/>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Adam Stone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jc w:val="center"/>
        <w:spacing w:after="0" w:line="230" w:lineRule="auto"/>
        <w:rPr>
          <w:sz w:val="20"/>
          <w:szCs w:val="20"/>
          <w:color w:val="auto"/>
        </w:rPr>
      </w:pPr>
      <w:r>
        <w:rPr>
          <w:rFonts w:ascii="Arial" w:cs="Arial" w:eastAsia="Arial" w:hAnsi="Arial"/>
          <w:sz w:val="22"/>
          <w:szCs w:val="22"/>
          <w:b w:val="1"/>
          <w:bCs w:val="1"/>
          <w:color w:val="auto"/>
        </w:rPr>
        <w:t>PURSUANT TO RULES 13a-14(a) AND 15d-14(a)</w:t>
      </w:r>
    </w:p>
    <w:p>
      <w:pPr>
        <w:jc w:val="center"/>
        <w:spacing w:after="0" w:line="231" w:lineRule="auto"/>
        <w:rPr>
          <w:sz w:val="20"/>
          <w:szCs w:val="20"/>
          <w:color w:val="auto"/>
        </w:rPr>
      </w:pPr>
      <w:r>
        <w:rPr>
          <w:rFonts w:ascii="Arial" w:cs="Arial" w:eastAsia="Arial" w:hAnsi="Arial"/>
          <w:sz w:val="22"/>
          <w:szCs w:val="22"/>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Altman, certify that:</w:t>
      </w:r>
    </w:p>
    <w:p>
      <w:pPr>
        <w:spacing w:after="0" w:line="24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ARYA Sciences Acquisition Corp III;</w:t>
      </w:r>
    </w:p>
    <w:p>
      <w:pPr>
        <w:spacing w:after="0" w:line="23" w:lineRule="exact"/>
        <w:rPr>
          <w:rFonts w:ascii="Arial" w:cs="Arial" w:eastAsia="Arial" w:hAnsi="Arial"/>
          <w:sz w:val="18"/>
          <w:szCs w:val="18"/>
          <w:color w:val="auto"/>
        </w:rPr>
      </w:pPr>
    </w:p>
    <w:p>
      <w:pPr>
        <w:jc w:val="both"/>
        <w:ind w:left="500" w:right="280" w:hanging="492"/>
        <w:spacing w:after="0" w:line="250"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00" w:right="240" w:hanging="492"/>
        <w:spacing w:after="0" w:line="26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400" w:hanging="492"/>
        <w:spacing w:after="0" w:line="250"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980" w:right="60" w:hanging="486"/>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9" w:lineRule="exact"/>
        <w:rPr>
          <w:rFonts w:ascii="Arial" w:cs="Arial" w:eastAsia="Arial" w:hAnsi="Arial"/>
          <w:sz w:val="18"/>
          <w:szCs w:val="18"/>
          <w:color w:val="auto"/>
        </w:rPr>
      </w:pPr>
    </w:p>
    <w:p>
      <w:pPr>
        <w:jc w:val="both"/>
        <w:ind w:left="980" w:right="540" w:hanging="486"/>
        <w:spacing w:after="0" w:line="28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486"/>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00" w:right="100" w:hanging="492"/>
        <w:spacing w:after="0" w:line="26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right="780" w:hanging="486"/>
        <w:spacing w:after="0" w:line="28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80" w:right="460" w:hanging="486"/>
        <w:spacing w:after="0" w:line="26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7"/>
          <w:szCs w:val="17"/>
          <w:color w:val="auto"/>
        </w:rPr>
        <w:t>By:  /s/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Michael Altman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Director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ARYA Sciences Acquisition Corp III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quarter ended March 31, 2021,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Adam Stone, Chief Executive Officer and Director of the Company, certify, pursuant to 18 U.S.C. Section 1350, as adopted pursuant to Section 906 of the Sarbanes-Oxley Act of 2002, that, to my knowledge:</w:t>
      </w:r>
    </w:p>
    <w:p>
      <w:pPr>
        <w:spacing w:after="0" w:line="21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jc w:val="center"/>
        <w:ind w:left="322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ARYA Sciences Acquisition Corp III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quarter ended March 31, 2021,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Michael Altman, Chief Financial Officer and Director of the Company, certify, pursuant to 18 U.S.C. Section 1350, as adopted pursuant to Section 906 of the Sarbanes-Oxley Act of 2002, that, to my knowledge:</w:t>
      </w:r>
    </w:p>
    <w:p>
      <w:pPr>
        <w:spacing w:after="0" w:line="21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Altman</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39" Type="http://schemas.openxmlformats.org/officeDocument/2006/relationships/hyperlink" Target="https://www.sec.gov/Archives/edgar/data/1808805/000114036120018194/nt10013610x9_ex3-1.htm" TargetMode="External"/><Relationship Id="rId40" Type="http://schemas.openxmlformats.org/officeDocument/2006/relationships/hyperlink" Target="https://www.sec.gov/Archives/edgar/data/1808805/000114036120016987/nt10013610x3_ex4-1.htm" TargetMode="External"/><Relationship Id="rId41" Type="http://schemas.openxmlformats.org/officeDocument/2006/relationships/hyperlink" Target="https://www.sec.gov/Archives/edgar/data/1808805/000114036121010864/brhc10021542_ex4-2.htm" TargetMode="External"/><Relationship Id="rId42" Type="http://schemas.openxmlformats.org/officeDocument/2006/relationships/hyperlink" Target="https://www.sec.gov/Archives/edgar/data/1808805/000114036120018194/nt10013610x9_ex10-1.htm" TargetMode="External"/><Relationship Id="rId43" Type="http://schemas.openxmlformats.org/officeDocument/2006/relationships/hyperlink" Target="https://www.sec.gov/Archives/edgar/data/1808805/000114036120018194/nt10013610x9_ex10-2.htm" TargetMode="External"/><Relationship Id="rId44" Type="http://schemas.openxmlformats.org/officeDocument/2006/relationships/hyperlink" Target="https://www.sec.gov/Archives/edgar/data/1808805/000114036120018194/nt10013610x9_ex10-3.htm" TargetMode="External"/><Relationship Id="rId45" Type="http://schemas.openxmlformats.org/officeDocument/2006/relationships/hyperlink" Target="https://www.sec.gov/Archives/edgar/data/1808805/000114036120018194/nt10013610x9_ex10-4.htm" TargetMode="External"/><Relationship Id="rId46" Type="http://schemas.openxmlformats.org/officeDocument/2006/relationships/hyperlink" Target="https://www.sec.gov/Archives/edgar/data/1808805/000114036120018194/nt10013610x9_ex10-5.htm" TargetMode="External"/><Relationship Id="rId47" Type="http://schemas.openxmlformats.org/officeDocument/2006/relationships/hyperlink" Target="https://www.sec.gov/Archives/edgar/data/1808805/000114036120016987/nt10013610x3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2021-05-13T17:37:29Z</dcterms:created>
  <dcterms:modified xsi:type="dcterms:W3CDTF">2021-05-13T17:37:29Z</dcterms:modified>
</cp:coreProperties>
</file>