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Murphy Matthew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425 PONTIUS AVE N, STE 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06/14/2021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25"/>
        <w:spacing w:after="0"/>
        <w:rPr>
          <w:sz w:val="20"/>
          <w:szCs w:val="20"/>
          <w:color w:val="auto"/>
        </w:rPr>
      </w:pPr>
      <w:r>
        <w:rPr>
          <w:rFonts w:ascii="Arial" w:cs="Arial" w:eastAsia="Arial" w:hAnsi="Arial"/>
          <w:sz w:val="17"/>
          <w:szCs w:val="17"/>
          <w:color w:val="0000FF"/>
        </w:rPr>
        <w:t>General Counsel</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10.1</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06/14/2021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326,526</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06/14/2031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326,526</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326,526</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0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Subject to the reporting person continuing to be a Service Provider (as defined in the Company's 2021 Equity Incentive Plan), 25% of the shares subject to such Option shall vest and become exercisable on the first anniversary of the Vesting Commencement Date (as defined below), and the balance of the shares subject to such Option shall vest and become exercisable on a ratable, monthly basis over the 36 months succeeding such first anniversary. The Vesting Commencement Date is April 1, 2021.</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08/04/2021</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577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2021-08-04T20:04:01Z</dcterms:created>
  <dcterms:modified xsi:type="dcterms:W3CDTF">2021-08-04T20:04:01Z</dcterms:modified>
</cp:coreProperties>
</file>