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Nelson Nicholas 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NAUTILUS BIOTECHNOLOGY,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2701 EASTLAKE AVENUE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Nautilus Biotechnology,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NAUT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05/04/2022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00"/>
        <w:spacing w:after="0"/>
        <w:rPr>
          <w:sz w:val="20"/>
          <w:szCs w:val="20"/>
          <w:color w:val="auto"/>
        </w:rPr>
      </w:pPr>
      <w:r>
        <w:rPr>
          <w:rFonts w:ascii="Arial" w:cs="Arial" w:eastAsia="Arial" w:hAnsi="Arial"/>
          <w:sz w:val="17"/>
          <w:szCs w:val="17"/>
          <w:color w:val="0000FF"/>
        </w:rPr>
        <w:t>CBO &amp; Senior VP, Bus. Dev.</w:t>
      </w:r>
    </w:p>
    <w:p>
      <w:pPr>
        <w:spacing w:after="0" w:line="387" w:lineRule="exact"/>
        <w:rPr>
          <w:sz w:val="24"/>
          <w:szCs w:val="24"/>
          <w:color w:val="auto"/>
        </w:rPr>
      </w:pPr>
    </w:p>
    <w:p>
      <w:pPr>
        <w:sectPr>
          <w:pgSz w:w="11900" w:h="16838" w:orient="portrait"/>
          <w:cols w:equalWidth="0" w:num="3">
            <w:col w:w="3200" w:space="720"/>
            <w:col w:w="3120" w:space="70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SEATTLE</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WA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98102</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4.72</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05/04/2022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54,422</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05/04/2032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54,422</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54,422</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60" w:firstLine="2"/>
        <w:spacing w:after="0" w:line="296"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Subject to reporting person's continuous status as a "Service Provider" (as defined in the Issuer's 2021 Equity Incentive Plan (the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April 5, 2022.</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Mathew B. Murphy, as</w:t>
            </w:r>
          </w:p>
        </w:tc>
        <w:tc>
          <w:tcPr>
            <w:tcW w:w="4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05/05/2022</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Arial" w:cs="Arial" w:eastAsia="Arial" w:hAnsi="Arial"/>
                <w:sz w:val="17"/>
                <w:szCs w:val="17"/>
                <w:color w:val="0000FF"/>
                <w:w w:val="90"/>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7944"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2022-05-05T16:25:16Z</dcterms:created>
  <dcterms:modified xsi:type="dcterms:W3CDTF">2022-05-05T16:25:16Z</dcterms:modified>
</cp:coreProperties>
</file>