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63909J108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Alexander Rakitin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Perceptive Advisors LLC, 51 Astor Place, 10th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205-5340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Louis Rambo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1001 Pennsylvania Ave, Ste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416-6800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63909J108</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12,815,113.00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12,815,113.00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12,815,113.00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63909J108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12,815,113.00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12,815,113.00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12,815,113.00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63909J108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12,649,253.00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12,649,253.00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12,649,253.00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Nautilus Biotechnology,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2701 Eastlake Avenue East, Seattle, WASHINGTON , 98102.</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00"/>
        <w:spacing w:after="0" w:line="239"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On June 20, 2025, Michael Altman, a Managing Director of Perceptive Advisors who has served on the Issuer's board of directors (the "Board") since June 2021, ceased serving as a member of the Board following the expiration of his term. Mr. Altman did not stand for re-election at the Issuer's 2025 Annual Meeting of Stockholders.</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9" w:lineRule="auto"/>
        <w:rPr>
          <w:sz w:val="20"/>
          <w:szCs w:val="20"/>
          <w:color w:val="auto"/>
        </w:rPr>
      </w:pPr>
      <w:r>
        <w:rPr>
          <w:rFonts w:ascii="Times New Roman" w:cs="Times New Roman" w:eastAsia="Times New Roman" w:hAnsi="Times New Roman"/>
          <w:sz w:val="21"/>
          <w:szCs w:val="21"/>
          <w:color w:val="auto"/>
        </w:rPr>
        <w:t>Item 5(a) of the Schedule 13D is hereby amended and restated as follows: The information set forth in rows 11 and 13 of the cover pages to this Schedule 13D is incorporated by reference. The amounts reported to be beneficially owned by the Reporting Persons include an aggregate of 220,902 shares of Common Stock underlying stock options granted</w:t>
      </w:r>
    </w:p>
    <w:p>
      <w:pPr>
        <w:spacing w:after="0" w:line="1" w:lineRule="exact"/>
        <w:rPr>
          <w:sz w:val="20"/>
          <w:szCs w:val="20"/>
          <w:color w:val="auto"/>
        </w:rPr>
      </w:pPr>
    </w:p>
    <w:p>
      <w:pPr>
        <w:ind w:left="940" w:hanging="932"/>
        <w:spacing w:after="0" w:line="196"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to Mr. Altman (the "Options"). The Master Fund has the right to receive the director compensation provided in respect of Mr. Altman's board service through a partial management fee offset. The percentages set forth in row 13 are based on 126,148,469 outstanding shares of Common Stock as of April 22, 2025, as reported by the Issuer in its Proxy Statement on Schedule 14A filed with the Securities and Exchange Commission on April 29, 2025, and assume the exercise of the Options for an aggregate of 220,902 shares of Common Stock.</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set forth in rows 7 through 10 of the cover pages to this Schedule 13D is incorporated by reference.</w:t>
      </w:r>
    </w:p>
    <w:p>
      <w:pPr>
        <w:spacing w:after="0" w:line="3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ectPr>
          <w:pgSz w:w="11900" w:h="16838" w:orient="portrait"/>
          <w:cols w:equalWidth="0" w:num="1">
            <w:col w:w="11140"/>
          </w:cols>
          <w:pgMar w:left="360" w:top="112" w:right="399" w:bottom="0" w:gutter="0" w:footer="0" w:header="0"/>
        </w:sectPr>
      </w:pPr>
    </w:p>
    <w:bookmarkStart w:id="4" w:name="page5"/>
    <w:bookmarkEnd w:id="4"/>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pacing w:after="0" w:line="153"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ectPr>
          <w:pgSz w:w="11900" w:h="16838" w:orient="portrait"/>
          <w:cols w:equalWidth="0" w:num="1">
            <w:col w:w="10020"/>
          </w:cols>
          <w:pgMar w:left="1440" w:top="112" w:right="439" w:bottom="1440" w:gutter="0" w:footer="0" w:header="0"/>
        </w:sectPr>
      </w:pP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Joseph Edelman</w:t>
      </w:r>
    </w:p>
    <w:p>
      <w:pPr>
        <w:spacing w:after="0" w:line="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By Perceptive Advisors LLC, by Joseph Edelman, Managing Member</w:t>
      </w:r>
    </w:p>
    <w:p>
      <w:pPr>
        <w:spacing w:after="0"/>
        <w:rPr>
          <w:sz w:val="20"/>
          <w:szCs w:val="20"/>
          <w:color w:val="auto"/>
        </w:rPr>
      </w:pPr>
      <w:r>
        <w:rPr>
          <w:rFonts w:ascii="Times New Roman" w:cs="Times New Roman" w:eastAsia="Times New Roman" w:hAnsi="Times New Roman"/>
          <w:sz w:val="22"/>
          <w:szCs w:val="22"/>
          <w:color w:val="auto"/>
        </w:rPr>
        <w:t>06/24/2025</w:t>
      </w:r>
    </w:p>
    <w:sectPr>
      <w:pgSz w:w="11900" w:h="16838" w:orient="portrait"/>
      <w:cols w:equalWidth="0" w:num="2">
        <w:col w:w="5600" w:space="60"/>
        <w:col w:w="4360"/>
      </w:cols>
      <w:pgMar w:left="1440" w:top="112"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2025-06-24T15:49:23Z</dcterms:created>
  <dcterms:modified xsi:type="dcterms:W3CDTF">2025-06-24T15:49:23Z</dcterms:modified>
</cp:coreProperties>
</file>