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0"/>
        <w:jc w:val="center"/>
        <w:rPr>
          <w:color w:val="000000"/>
        </w:rPr>
      </w:pP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SECURITIES AND EXCHANGE COMMISSION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FORM 10-Q </w:t>
      </w:r>
    </w:p>
    <w:p>
      <w:pPr>
        <w:pStyle w:val="TextBody"/>
        <w:bidi w:val="0"/>
        <w:spacing w:lineRule="auto" w:line="288" w:before="180" w:after="180"/>
        <w:jc w:val="center"/>
        <w:rPr>
          <w:rFonts w:ascii="Times New Roman;serif" w:hAnsi="Times New Roman;serif"/>
          <w:b w:val="false"/>
          <w:color w:val="000000"/>
          <w:sz w:val="20"/>
        </w:rPr>
      </w:pPr>
      <w:r>
        <w:rPr>
          <w:rFonts w:ascii="Times New Roman;serif" w:hAnsi="Times New Roman;serif"/>
          <w:b w:val="false"/>
          <w:color w:val="000000"/>
          <w:sz w:val="20"/>
        </w:rPr>
        <w:t>(Mark One)</w:t>
      </w:r>
    </w:p>
    <w:tbl>
      <w:tblPr>
        <w:tblW w:w="9836" w:type="dxa"/>
        <w:jc w:val="left"/>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Wingdings;sans-serif" w:hAnsi="Wingdings;sans-serif"/>
                <w:b w:val="false"/>
                <w:color w:val="000000"/>
                <w:sz w:val="20"/>
              </w:rPr>
            </w:pPr>
            <w:r>
              <w:rPr>
                <w:rFonts w:ascii="Wingdings;sans-serif" w:hAnsi="Wingdings;sans-serif"/>
                <w:b w:val="false"/>
                <w:color w:val="000000"/>
                <w:sz w:val="20"/>
              </w:rPr>
              <w:t>x</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bl>
    <w:p>
      <w:pPr>
        <w:pStyle w:val="TextBody"/>
        <w:bidi w:val="0"/>
        <w:spacing w:lineRule="auto" w:line="288" w:before="200" w:after="283"/>
        <w:ind w:left="0" w:right="0" w:firstLine="36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March 31, 2026 </w:t>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9806" w:type="dxa"/>
        <w:jc w:val="left"/>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Wingdings;sans-serif" w:hAnsi="Wingdings;sans-serif"/>
                <w:b w:val="false"/>
                <w:color w:val="000000"/>
                <w:sz w:val="20"/>
              </w:rPr>
            </w:pPr>
            <w:r>
              <w:rPr>
                <w:rFonts w:ascii="Wingdings;sans-serif" w:hAnsi="Wingdings;sans-serif"/>
                <w:b w:val="false"/>
                <w:color w:val="000000"/>
                <w:sz w:val="20"/>
              </w:rPr>
              <w:t>o</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bl>
    <w:p>
      <w:pPr>
        <w:pStyle w:val="TextBody"/>
        <w:bidi w:val="0"/>
        <w:spacing w:lineRule="auto" w:line="288" w:before="10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For the transition period from _________ to _________ </w:t>
      </w:r>
    </w:p>
    <w:p>
      <w:pPr>
        <w:pStyle w:val="TextBody"/>
        <w:bidi w:val="0"/>
        <w:spacing w:lineRule="auto" w:line="288" w:before="180" w:after="18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001-39434</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NAUTILUS BIOTECHNOLOGY, INC.</w:t>
      </w:r>
    </w:p>
    <w:p>
      <w:pPr>
        <w:pStyle w:val="TextBody"/>
        <w:bidi w:val="0"/>
        <w:spacing w:lineRule="auto" w:line="288" w:before="0" w:after="100"/>
        <w:jc w:val="center"/>
        <w:rPr>
          <w:rFonts w:ascii="Times New Roman;serif" w:hAnsi="Times New Roman;serif"/>
          <w:b/>
          <w:color w:val="000000"/>
          <w:sz w:val="16"/>
        </w:rPr>
      </w:pPr>
      <w:r>
        <w:rPr>
          <w:rFonts w:ascii="Times New Roman;serif" w:hAnsi="Times New Roman;serif"/>
          <w:b/>
          <w:color w:val="000000"/>
          <w:sz w:val="16"/>
        </w:rPr>
        <w:t xml:space="preserve">(Exact name of registrant as specified in its charter) </w:t>
      </w:r>
    </w:p>
    <w:p>
      <w:pPr>
        <w:pStyle w:val="TextBody"/>
        <w:bidi w:val="0"/>
        <w:spacing w:before="0" w:after="0"/>
        <w:jc w:val="center"/>
        <w:rPr/>
      </w:pPr>
      <w:r>
        <w:rPr/>
      </w:r>
    </w:p>
    <w:tbl>
      <w:tblPr>
        <w:tblW w:w="8834" w:type="dxa"/>
        <w:jc w:val="center"/>
        <w:tblInd w:w="0" w:type="dxa"/>
        <w:tblLayout w:type="fixed"/>
        <w:tblCellMar>
          <w:top w:w="28" w:type="dxa"/>
          <w:left w:w="28" w:type="dxa"/>
          <w:bottom w:w="28" w:type="dxa"/>
          <w:right w:w="28" w:type="dxa"/>
        </w:tblCellMar>
      </w:tblPr>
      <w:tblGrid>
        <w:gridCol w:w="1314"/>
        <w:gridCol w:w="1155"/>
        <w:gridCol w:w="1161"/>
        <w:gridCol w:w="1252"/>
        <w:gridCol w:w="1252"/>
        <w:gridCol w:w="1261"/>
        <w:gridCol w:w="419"/>
        <w:gridCol w:w="419"/>
        <w:gridCol w:w="601"/>
      </w:tblGrid>
      <w:tr>
        <w:trPr/>
        <w:tc>
          <w:tcPr>
            <w:tcW w:w="131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98-1541723</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2701 Eastlake Avenue East Seattle, Washington </w:t>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180"/>
              <w:jc w:val="center"/>
              <w:rPr/>
            </w:pPr>
            <w:r>
              <w:rPr/>
            </w:r>
          </w:p>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98102</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(206) 333-2001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former address and former fiscal year, if changed since last report)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758" w:type="dxa"/>
        <w:jc w:val="center"/>
        <w:tblInd w:w="0" w:type="dxa"/>
        <w:tblLayout w:type="fixed"/>
        <w:tblCellMar>
          <w:top w:w="28" w:type="dxa"/>
          <w:left w:w="28" w:type="dxa"/>
          <w:bottom w:w="28" w:type="dxa"/>
          <w:right w:w="28" w:type="dxa"/>
        </w:tblCellMar>
      </w:tblPr>
      <w:tblGrid>
        <w:gridCol w:w="1171"/>
        <w:gridCol w:w="1028"/>
        <w:gridCol w:w="1040"/>
        <w:gridCol w:w="564"/>
        <w:gridCol w:w="564"/>
        <w:gridCol w:w="566"/>
        <w:gridCol w:w="1118"/>
        <w:gridCol w:w="1118"/>
        <w:gridCol w:w="1589"/>
      </w:tblGrid>
      <w:tr>
        <w:trPr/>
        <w:tc>
          <w:tcPr>
            <w:tcW w:w="117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$0.0001 per share</w:t>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NAUT</w:t>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6" w:before="0" w:after="0"/>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before="0" w:after="0"/>
        <w:jc w:val="center"/>
        <w:rPr/>
      </w:pPr>
      <w:r>
        <w:rPr/>
      </w:r>
    </w:p>
    <w:p>
      <w:pPr>
        <w:pStyle w:val="TextBody"/>
        <w:bidi w:val="0"/>
        <w:spacing w:lineRule="auto" w:line="256"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91"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673"/>
        <w:gridCol w:w="673"/>
        <w:gridCol w:w="680"/>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16"/>
              </w:rPr>
            </w:pPr>
            <w:r>
              <w:rPr>
                <w:rFonts w:ascii="Wingdings;sans-serif" w:hAnsi="Wingdings;sans-serif"/>
                <w:b w:val="false"/>
                <w:color w:val="000000"/>
                <w:sz w:val="16"/>
              </w:rPr>
              <w:t>o</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180"/>
        <w:ind w:left="0" w:right="0" w:firstLine="360"/>
        <w:jc w:val="left"/>
        <w:rPr/>
      </w:pPr>
      <w:r>
        <w:rPr>
          <w:rFonts w:ascii="Times New Roman;serif" w:hAnsi="Times New Roman;serif"/>
          <w:b w:val="false"/>
          <w:color w:val="000000"/>
          <w:sz w:val="20"/>
        </w:rPr>
        <w:t>Indicate by check mark whether the registrant is a shell company (as defined in Rule 12b-2 of the Exchange Act).     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x</w:t>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As of April 23, 2026, the registrant had 127,078,855 shares of common stock, $0.0001 par value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NAUTILUS BIOTECHNOLOGY, INC.</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512"/>
        <w:gridCol w:w="450"/>
        <w:gridCol w:w="450"/>
        <w:gridCol w:w="2819"/>
        <w:gridCol w:w="2716"/>
        <w:gridCol w:w="2713"/>
        <w:gridCol w:w="158"/>
        <w:gridCol w:w="158"/>
        <w:gridCol w:w="229"/>
      </w:tblGrid>
      <w:tr>
        <w:trPr/>
        <w:tc>
          <w:tcPr>
            <w:tcW w:w="51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819"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6b38a5688824022ad852cdb17d8b0ca_13">
              <w:r>
                <w:rPr>
                  <w:rStyle w:val="InternetLink"/>
                  <w:rFonts w:ascii="Times New Roman;serif" w:hAnsi="Times New Roman;serif"/>
                  <w:b w:val="false"/>
                  <w:color w:val="0000FF"/>
                  <w:sz w:val="20"/>
                  <w:u w:val="single"/>
                </w:rPr>
                <w:t>PART I. FINANCIAL INFORMATION</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6b38a5688824022ad852cdb17d8b0ca_13">
              <w:r>
                <w:rPr>
                  <w:rStyle w:val="InternetLink"/>
                  <w:rFonts w:ascii="Times New Roman;serif" w:hAnsi="Times New Roman;serif"/>
                  <w:b w:val="false"/>
                  <w:color w:val="0000FF"/>
                  <w:sz w:val="20"/>
                  <w:u w:val="single"/>
                </w:rPr>
                <w:t>iii</w:t>
              </w:r>
            </w:hyperlink>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b38a5688824022ad852cdb17d8b0ca_16">
              <w:r>
                <w:rPr>
                  <w:rStyle w:val="InternetLink"/>
                  <w:rFonts w:ascii="Times New Roman;serif" w:hAnsi="Times New Roman;serif"/>
                  <w:b w:val="false"/>
                  <w:color w:val="0000FF"/>
                  <w:sz w:val="20"/>
                  <w:u w:val="single"/>
                </w:rPr>
                <w:t>Financial Statements</w:t>
              </w:r>
            </w:hyperlink>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b38a5688824022ad852cdb17d8b0ca_16">
              <w:r>
                <w:rPr>
                  <w:rStyle w:val="InternetLink"/>
                  <w:rFonts w:ascii="Times New Roman;serif" w:hAnsi="Times New Roman;serif"/>
                  <w:b w:val="false"/>
                  <w:color w:val="0000FF"/>
                  <w:sz w:val="20"/>
                  <w:u w:val="single"/>
                </w:rPr>
                <w:t>Condensed Consolidated Financial Statements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6b38a5688824022ad852cdb17d8b0ca_16">
              <w:r>
                <w:rPr>
                  <w:rStyle w:val="InternetLink"/>
                  <w:rFonts w:ascii="Times New Roman;serif" w:hAnsi="Times New Roman;serif"/>
                  <w:b w:val="false"/>
                  <w:color w:val="0000FF"/>
                  <w:sz w:val="20"/>
                  <w:u w:val="single"/>
                </w:rPr>
                <w:t>iii</w:t>
              </w:r>
            </w:hyperlink>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b38a5688824022ad852cdb17d8b0ca_22">
              <w:r>
                <w:rPr>
                  <w:rStyle w:val="InternetLink"/>
                  <w:rFonts w:ascii="Times New Roman;serif" w:hAnsi="Times New Roman;serif"/>
                  <w:b w:val="false"/>
                  <w:color w:val="000080"/>
                  <w:sz w:val="20"/>
                  <w:u w:val="single"/>
                </w:rPr>
                <w:t xml:space="preserve">Condensed Consolidated Balance Sheets as of </w:t>
              </w:r>
            </w:hyperlink>
            <w:hyperlink w:anchor="i76b38a5688824022ad852cdb17d8b0ca_22">
              <w:r>
                <w:rPr>
                  <w:rStyle w:val="InternetLink"/>
                  <w:rFonts w:ascii="Times New Roman;serif" w:hAnsi="Times New Roman;serif"/>
                  <w:b w:val="false"/>
                  <w:color w:val="000080"/>
                  <w:sz w:val="20"/>
                  <w:u w:val="single"/>
                </w:rPr>
                <w:t xml:space="preserve">March </w:t>
              </w:r>
            </w:hyperlink>
            <w:hyperlink w:anchor="i76b38a5688824022ad852cdb17d8b0ca_22">
              <w:r>
                <w:rPr>
                  <w:rStyle w:val="InternetLink"/>
                  <w:rFonts w:ascii="Times New Roman;serif" w:hAnsi="Times New Roman;serif"/>
                  <w:b w:val="false"/>
                  <w:color w:val="000080"/>
                  <w:sz w:val="20"/>
                  <w:u w:val="single"/>
                </w:rPr>
                <w:t>31</w:t>
              </w:r>
            </w:hyperlink>
            <w:hyperlink w:anchor="i76b38a5688824022ad852cdb17d8b0ca_22">
              <w:r>
                <w:rPr>
                  <w:rStyle w:val="InternetLink"/>
                  <w:rFonts w:ascii="Times New Roman;serif" w:hAnsi="Times New Roman;serif"/>
                  <w:b w:val="false"/>
                  <w:color w:val="000080"/>
                  <w:sz w:val="20"/>
                  <w:u w:val="single"/>
                </w:rPr>
                <w:t>, 202</w:t>
              </w:r>
            </w:hyperlink>
            <w:hyperlink w:anchor="i76b38a5688824022ad852cdb17d8b0ca_22">
              <w:r>
                <w:rPr>
                  <w:rStyle w:val="InternetLink"/>
                  <w:rFonts w:ascii="Times New Roman;serif" w:hAnsi="Times New Roman;serif"/>
                  <w:b w:val="false"/>
                  <w:color w:val="000080"/>
                  <w:sz w:val="20"/>
                  <w:u w:val="single"/>
                </w:rPr>
                <w:t xml:space="preserve">6 </w:t>
              </w:r>
            </w:hyperlink>
            <w:hyperlink w:anchor="i76b38a5688824022ad852cdb17d8b0ca_22">
              <w:r>
                <w:rPr>
                  <w:rStyle w:val="InternetLink"/>
                  <w:rFonts w:ascii="Times New Roman;serif" w:hAnsi="Times New Roman;serif"/>
                  <w:b w:val="false"/>
                  <w:color w:val="000080"/>
                  <w:sz w:val="20"/>
                  <w:u w:val="single"/>
                </w:rPr>
                <w:t>and December 31, 202</w:t>
              </w:r>
            </w:hyperlink>
            <w:hyperlink w:anchor="i76b38a5688824022ad852cdb17d8b0ca_22">
              <w:r>
                <w:rPr>
                  <w:rStyle w:val="InternetLink"/>
                  <w:rFonts w:ascii="Times New Roman;serif" w:hAnsi="Times New Roman;serif"/>
                  <w:b w:val="false"/>
                  <w:color w:val="000080"/>
                  <w:sz w:val="20"/>
                  <w:u w:val="single"/>
                </w:rPr>
                <w:t>5</w:t>
              </w:r>
            </w:hyperlink>
            <w:hyperlink w:anchor="i76b38a5688824022ad852cdb17d8b0ca_22">
              <w:r>
                <w:rPr>
                  <w:rStyle w:val="InternetLink"/>
                  <w:rFonts w:ascii="Times New Roman;serif" w:hAnsi="Times New Roman;serif"/>
                  <w:b w:val="false"/>
                  <w:color w:val="000080"/>
                  <w:sz w:val="20"/>
                  <w:u w:val="single"/>
                </w:rPr>
                <w:t xml:space="preserve">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6b38a5688824022ad852cdb17d8b0ca_22">
              <w:r>
                <w:rPr>
                  <w:rStyle w:val="InternetLink"/>
                  <w:rFonts w:ascii="Times New Roman;serif" w:hAnsi="Times New Roman;serif"/>
                  <w:b w:val="false"/>
                  <w:color w:val="0000FF"/>
                  <w:sz w:val="20"/>
                  <w:u w:val="single"/>
                </w:rPr>
                <w:t>1</w:t>
              </w:r>
            </w:hyperlink>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b38a5688824022ad852cdb17d8b0ca_28">
              <w:r>
                <w:rPr>
                  <w:rStyle w:val="InternetLink"/>
                  <w:rFonts w:ascii="Times New Roman;serif" w:hAnsi="Times New Roman;serif"/>
                  <w:b w:val="false"/>
                  <w:color w:val="000080"/>
                  <w:sz w:val="20"/>
                  <w:u w:val="single"/>
                </w:rPr>
                <w:t xml:space="preserve">Condensed Consolidated Statements of Operations for the Three </w:t>
              </w:r>
            </w:hyperlink>
            <w:hyperlink w:anchor="i76b38a5688824022ad852cdb17d8b0ca_28">
              <w:r>
                <w:rPr>
                  <w:rStyle w:val="InternetLink"/>
                  <w:rFonts w:ascii="Times New Roman;serif" w:hAnsi="Times New Roman;serif"/>
                  <w:b w:val="false"/>
                  <w:color w:val="000080"/>
                  <w:sz w:val="20"/>
                  <w:u w:val="single"/>
                </w:rPr>
                <w:t xml:space="preserve">Months Ended </w:t>
              </w:r>
            </w:hyperlink>
            <w:hyperlink w:anchor="i76b38a5688824022ad852cdb17d8b0ca_28">
              <w:r>
                <w:rPr>
                  <w:rStyle w:val="InternetLink"/>
                  <w:rFonts w:ascii="Times New Roman;serif" w:hAnsi="Times New Roman;serif"/>
                  <w:b w:val="false"/>
                  <w:color w:val="000080"/>
                  <w:sz w:val="20"/>
                  <w:u w:val="single"/>
                </w:rPr>
                <w:t>March 31</w:t>
              </w:r>
            </w:hyperlink>
            <w:hyperlink w:anchor="i76b38a5688824022ad852cdb17d8b0ca_28">
              <w:r>
                <w:rPr>
                  <w:rStyle w:val="InternetLink"/>
                  <w:rFonts w:ascii="Times New Roman;serif" w:hAnsi="Times New Roman;serif"/>
                  <w:b w:val="false"/>
                  <w:color w:val="000080"/>
                  <w:sz w:val="20"/>
                  <w:u w:val="single"/>
                </w:rPr>
                <w:t>, 202</w:t>
              </w:r>
            </w:hyperlink>
            <w:hyperlink w:anchor="i76b38a5688824022ad852cdb17d8b0ca_28">
              <w:r>
                <w:rPr>
                  <w:rStyle w:val="InternetLink"/>
                  <w:rFonts w:ascii="Times New Roman;serif" w:hAnsi="Times New Roman;serif"/>
                  <w:b w:val="false"/>
                  <w:color w:val="000080"/>
                  <w:sz w:val="20"/>
                  <w:u w:val="single"/>
                </w:rPr>
                <w:t>6</w:t>
              </w:r>
            </w:hyperlink>
            <w:hyperlink w:anchor="i76b38a5688824022ad852cdb17d8b0ca_28">
              <w:r>
                <w:rPr>
                  <w:rStyle w:val="InternetLink"/>
                  <w:rFonts w:ascii="Times New Roman;serif" w:hAnsi="Times New Roman;serif"/>
                  <w:b w:val="false"/>
                  <w:color w:val="000080"/>
                  <w:sz w:val="20"/>
                  <w:u w:val="single"/>
                </w:rPr>
                <w:t xml:space="preserve"> and 202</w:t>
              </w:r>
            </w:hyperlink>
            <w:hyperlink w:anchor="i76b38a5688824022ad852cdb17d8b0ca_28">
              <w:r>
                <w:rPr>
                  <w:rStyle w:val="InternetLink"/>
                  <w:rFonts w:ascii="Times New Roman;serif" w:hAnsi="Times New Roman;serif"/>
                  <w:b w:val="false"/>
                  <w:color w:val="000080"/>
                  <w:sz w:val="20"/>
                  <w:u w:val="single"/>
                </w:rPr>
                <w:t>5</w:t>
              </w:r>
            </w:hyperlink>
            <w:hyperlink w:anchor="i76b38a5688824022ad852cdb17d8b0ca_28">
              <w:r>
                <w:rPr>
                  <w:rStyle w:val="InternetLink"/>
                  <w:rFonts w:ascii="Times New Roman;serif" w:hAnsi="Times New Roman;serif"/>
                  <w:b w:val="false"/>
                  <w:color w:val="000080"/>
                  <w:sz w:val="20"/>
                  <w:u w:val="single"/>
                </w:rPr>
                <w:t xml:space="preserve">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6b38a5688824022ad852cdb17d8b0ca_28">
              <w:r>
                <w:rPr>
                  <w:rStyle w:val="InternetLink"/>
                  <w:rFonts w:ascii="Times New Roman;serif" w:hAnsi="Times New Roman;serif"/>
                  <w:b w:val="false"/>
                  <w:color w:val="0000FF"/>
                  <w:sz w:val="20"/>
                  <w:u w:val="single"/>
                </w:rPr>
                <w:t>2</w:t>
              </w:r>
            </w:hyperlink>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b38a5688824022ad852cdb17d8b0ca_31">
              <w:r>
                <w:rPr>
                  <w:rStyle w:val="InternetLink"/>
                  <w:rFonts w:ascii="Times New Roman;serif" w:hAnsi="Times New Roman;serif"/>
                  <w:b w:val="false"/>
                  <w:color w:val="000080"/>
                  <w:sz w:val="20"/>
                  <w:u w:val="single"/>
                </w:rPr>
                <w:t xml:space="preserve">Condensed Consolidated Statements of Comprehensive Loss for the Three </w:t>
              </w:r>
            </w:hyperlink>
            <w:hyperlink w:anchor="i76b38a5688824022ad852cdb17d8b0ca_31">
              <w:r>
                <w:rPr>
                  <w:rStyle w:val="InternetLink"/>
                  <w:rFonts w:ascii="Times New Roman;serif" w:hAnsi="Times New Roman;serif"/>
                  <w:b w:val="false"/>
                  <w:color w:val="000080"/>
                  <w:sz w:val="20"/>
                  <w:u w:val="single"/>
                </w:rPr>
                <w:t xml:space="preserve">Months Ended </w:t>
              </w:r>
            </w:hyperlink>
            <w:hyperlink w:anchor="i76b38a5688824022ad852cdb17d8b0ca_31">
              <w:r>
                <w:rPr>
                  <w:rStyle w:val="InternetLink"/>
                  <w:rFonts w:ascii="Times New Roman;serif" w:hAnsi="Times New Roman;serif"/>
                  <w:b w:val="false"/>
                  <w:color w:val="000080"/>
                  <w:sz w:val="20"/>
                  <w:u w:val="single"/>
                </w:rPr>
                <w:t>March 31</w:t>
              </w:r>
            </w:hyperlink>
            <w:hyperlink w:anchor="i76b38a5688824022ad852cdb17d8b0ca_31">
              <w:r>
                <w:rPr>
                  <w:rStyle w:val="InternetLink"/>
                  <w:rFonts w:ascii="Times New Roman;serif" w:hAnsi="Times New Roman;serif"/>
                  <w:b w:val="false"/>
                  <w:color w:val="000080"/>
                  <w:sz w:val="20"/>
                  <w:u w:val="single"/>
                </w:rPr>
                <w:t>, 202</w:t>
              </w:r>
            </w:hyperlink>
            <w:hyperlink w:anchor="i76b38a5688824022ad852cdb17d8b0ca_31">
              <w:r>
                <w:rPr>
                  <w:rStyle w:val="InternetLink"/>
                  <w:rFonts w:ascii="Times New Roman;serif" w:hAnsi="Times New Roman;serif"/>
                  <w:b w:val="false"/>
                  <w:color w:val="000080"/>
                  <w:sz w:val="20"/>
                  <w:u w:val="single"/>
                </w:rPr>
                <w:t>6</w:t>
              </w:r>
            </w:hyperlink>
            <w:hyperlink w:anchor="i76b38a5688824022ad852cdb17d8b0ca_31">
              <w:r>
                <w:rPr>
                  <w:rStyle w:val="InternetLink"/>
                  <w:rFonts w:ascii="Times New Roman;serif" w:hAnsi="Times New Roman;serif"/>
                  <w:b w:val="false"/>
                  <w:color w:val="000080"/>
                  <w:sz w:val="20"/>
                  <w:u w:val="single"/>
                </w:rPr>
                <w:t xml:space="preserve"> and 202</w:t>
              </w:r>
            </w:hyperlink>
            <w:hyperlink w:anchor="i76b38a5688824022ad852cdb17d8b0ca_31">
              <w:r>
                <w:rPr>
                  <w:rStyle w:val="InternetLink"/>
                  <w:rFonts w:ascii="Times New Roman;serif" w:hAnsi="Times New Roman;serif"/>
                  <w:b w:val="false"/>
                  <w:color w:val="000080"/>
                  <w:sz w:val="20"/>
                  <w:u w:val="single"/>
                </w:rPr>
                <w:t>5</w:t>
              </w:r>
            </w:hyperlink>
            <w:hyperlink w:anchor="i76b38a5688824022ad852cdb17d8b0ca_31">
              <w:r>
                <w:rPr>
                  <w:rStyle w:val="InternetLink"/>
                  <w:rFonts w:ascii="Times New Roman;serif" w:hAnsi="Times New Roman;serif"/>
                  <w:b w:val="false"/>
                  <w:color w:val="000080"/>
                  <w:sz w:val="20"/>
                  <w:u w:val="single"/>
                </w:rPr>
                <w:t xml:space="preserve">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6b38a5688824022ad852cdb17d8b0ca_31">
              <w:r>
                <w:rPr>
                  <w:rStyle w:val="InternetLink"/>
                  <w:rFonts w:ascii="Times New Roman;serif" w:hAnsi="Times New Roman;serif"/>
                  <w:b w:val="false"/>
                  <w:color w:val="0000FF"/>
                  <w:sz w:val="20"/>
                  <w:u w:val="single"/>
                </w:rPr>
                <w:t>3</w:t>
              </w:r>
            </w:hyperlink>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b38a5688824022ad852cdb17d8b0ca_34">
              <w:r>
                <w:rPr>
                  <w:rStyle w:val="InternetLink"/>
                  <w:rFonts w:ascii="Times New Roman;serif" w:hAnsi="Times New Roman;serif"/>
                  <w:b w:val="false"/>
                  <w:color w:val="000080"/>
                  <w:sz w:val="20"/>
                  <w:u w:val="single"/>
                </w:rPr>
                <w:t>Condensed Consolidated Statements of Stockholders’ Equity for the Three</w:t>
              </w:r>
            </w:hyperlink>
            <w:hyperlink w:anchor="i76b38a5688824022ad852cdb17d8b0ca_34">
              <w:r>
                <w:rPr>
                  <w:rStyle w:val="InternetLink"/>
                  <w:rFonts w:ascii="Times New Roman;serif" w:hAnsi="Times New Roman;serif"/>
                  <w:b w:val="false"/>
                  <w:color w:val="000080"/>
                  <w:sz w:val="20"/>
                  <w:u w:val="single"/>
                </w:rPr>
                <w:t xml:space="preserve"> Months Ended </w:t>
              </w:r>
            </w:hyperlink>
            <w:hyperlink w:anchor="i76b38a5688824022ad852cdb17d8b0ca_34">
              <w:r>
                <w:rPr>
                  <w:rStyle w:val="InternetLink"/>
                  <w:rFonts w:ascii="Times New Roman;serif" w:hAnsi="Times New Roman;serif"/>
                  <w:b w:val="false"/>
                  <w:color w:val="000080"/>
                  <w:sz w:val="20"/>
                  <w:u w:val="single"/>
                </w:rPr>
                <w:t>March 31</w:t>
              </w:r>
            </w:hyperlink>
            <w:hyperlink w:anchor="i76b38a5688824022ad852cdb17d8b0ca_34">
              <w:r>
                <w:rPr>
                  <w:rStyle w:val="InternetLink"/>
                  <w:rFonts w:ascii="Times New Roman;serif" w:hAnsi="Times New Roman;serif"/>
                  <w:b w:val="false"/>
                  <w:color w:val="000080"/>
                  <w:sz w:val="20"/>
                  <w:u w:val="single"/>
                </w:rPr>
                <w:t>, 202</w:t>
              </w:r>
            </w:hyperlink>
            <w:hyperlink w:anchor="i76b38a5688824022ad852cdb17d8b0ca_34">
              <w:r>
                <w:rPr>
                  <w:rStyle w:val="InternetLink"/>
                  <w:rFonts w:ascii="Times New Roman;serif" w:hAnsi="Times New Roman;serif"/>
                  <w:b w:val="false"/>
                  <w:color w:val="000080"/>
                  <w:sz w:val="20"/>
                  <w:u w:val="single"/>
                </w:rPr>
                <w:t>6</w:t>
              </w:r>
            </w:hyperlink>
            <w:hyperlink w:anchor="i76b38a5688824022ad852cdb17d8b0ca_34">
              <w:r>
                <w:rPr>
                  <w:rStyle w:val="InternetLink"/>
                  <w:rFonts w:ascii="Times New Roman;serif" w:hAnsi="Times New Roman;serif"/>
                  <w:b w:val="false"/>
                  <w:color w:val="000080"/>
                  <w:sz w:val="20"/>
                  <w:u w:val="single"/>
                </w:rPr>
                <w:t xml:space="preserve"> and 202</w:t>
              </w:r>
            </w:hyperlink>
            <w:hyperlink w:anchor="i76b38a5688824022ad852cdb17d8b0ca_34">
              <w:r>
                <w:rPr>
                  <w:rStyle w:val="InternetLink"/>
                  <w:rFonts w:ascii="Times New Roman;serif" w:hAnsi="Times New Roman;serif"/>
                  <w:b w:val="false"/>
                  <w:color w:val="000080"/>
                  <w:sz w:val="20"/>
                  <w:u w:val="single"/>
                </w:rPr>
                <w:t>5</w:t>
              </w:r>
            </w:hyperlink>
            <w:hyperlink w:anchor="i76b38a5688824022ad852cdb17d8b0ca_34">
              <w:r>
                <w:rPr>
                  <w:rStyle w:val="InternetLink"/>
                  <w:rFonts w:ascii="Times New Roman;serif" w:hAnsi="Times New Roman;serif"/>
                  <w:b w:val="false"/>
                  <w:color w:val="000080"/>
                  <w:sz w:val="20"/>
                  <w:u w:val="single"/>
                </w:rPr>
                <w:t xml:space="preserve">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6b38a5688824022ad852cdb17d8b0ca_34">
              <w:r>
                <w:rPr>
                  <w:rStyle w:val="InternetLink"/>
                  <w:rFonts w:ascii="Times New Roman;serif" w:hAnsi="Times New Roman;serif"/>
                  <w:b w:val="false"/>
                  <w:color w:val="0000FF"/>
                  <w:sz w:val="20"/>
                  <w:u w:val="single"/>
                </w:rPr>
                <w:t>4</w:t>
              </w:r>
            </w:hyperlink>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b38a5688824022ad852cdb17d8b0ca_40">
              <w:r>
                <w:rPr>
                  <w:rStyle w:val="InternetLink"/>
                  <w:rFonts w:ascii="Times New Roman;serif" w:hAnsi="Times New Roman;serif"/>
                  <w:b w:val="false"/>
                  <w:color w:val="000080"/>
                  <w:sz w:val="20"/>
                  <w:u w:val="single"/>
                </w:rPr>
                <w:t xml:space="preserve">Condensed Consolidated Statements of Cash Flows for the </w:t>
              </w:r>
            </w:hyperlink>
            <w:hyperlink w:anchor="i76b38a5688824022ad852cdb17d8b0ca_40">
              <w:r>
                <w:rPr>
                  <w:rStyle w:val="InternetLink"/>
                  <w:rFonts w:ascii="Times New Roman;serif" w:hAnsi="Times New Roman;serif"/>
                  <w:b w:val="false"/>
                  <w:color w:val="000080"/>
                  <w:sz w:val="20"/>
                  <w:u w:val="single"/>
                </w:rPr>
                <w:t xml:space="preserve">Three </w:t>
              </w:r>
            </w:hyperlink>
            <w:hyperlink w:anchor="i76b38a5688824022ad852cdb17d8b0ca_40">
              <w:r>
                <w:rPr>
                  <w:rStyle w:val="InternetLink"/>
                  <w:rFonts w:ascii="Times New Roman;serif" w:hAnsi="Times New Roman;serif"/>
                  <w:b w:val="false"/>
                  <w:color w:val="000080"/>
                  <w:sz w:val="20"/>
                  <w:u w:val="single"/>
                </w:rPr>
                <w:t>Months Ended</w:t>
              </w:r>
            </w:hyperlink>
            <w:hyperlink w:anchor="i76b38a5688824022ad852cdb17d8b0ca_40">
              <w:r>
                <w:rPr>
                  <w:rStyle w:val="InternetLink"/>
                  <w:rFonts w:ascii="Times New Roman;serif" w:hAnsi="Times New Roman;serif"/>
                  <w:b w:val="false"/>
                  <w:color w:val="000080"/>
                  <w:sz w:val="20"/>
                  <w:u w:val="single"/>
                </w:rPr>
                <w:t xml:space="preserve"> </w:t>
              </w:r>
            </w:hyperlink>
            <w:hyperlink w:anchor="i76b38a5688824022ad852cdb17d8b0ca_40">
              <w:r>
                <w:rPr>
                  <w:rStyle w:val="InternetLink"/>
                  <w:rFonts w:ascii="Times New Roman;serif" w:hAnsi="Times New Roman;serif"/>
                  <w:b w:val="false"/>
                  <w:color w:val="000080"/>
                  <w:sz w:val="20"/>
                  <w:u w:val="single"/>
                </w:rPr>
                <w:t>March 31</w:t>
              </w:r>
            </w:hyperlink>
            <w:hyperlink w:anchor="i76b38a5688824022ad852cdb17d8b0ca_40">
              <w:r>
                <w:rPr>
                  <w:rStyle w:val="InternetLink"/>
                  <w:rFonts w:ascii="Times New Roman;serif" w:hAnsi="Times New Roman;serif"/>
                  <w:b w:val="false"/>
                  <w:color w:val="000080"/>
                  <w:sz w:val="20"/>
                  <w:u w:val="single"/>
                </w:rPr>
                <w:t>, 202</w:t>
              </w:r>
            </w:hyperlink>
            <w:hyperlink w:anchor="i76b38a5688824022ad852cdb17d8b0ca_40">
              <w:r>
                <w:rPr>
                  <w:rStyle w:val="InternetLink"/>
                  <w:rFonts w:ascii="Times New Roman;serif" w:hAnsi="Times New Roman;serif"/>
                  <w:b w:val="false"/>
                  <w:color w:val="000080"/>
                  <w:sz w:val="20"/>
                  <w:u w:val="single"/>
                </w:rPr>
                <w:t>6</w:t>
              </w:r>
            </w:hyperlink>
            <w:hyperlink w:anchor="i76b38a5688824022ad852cdb17d8b0ca_40">
              <w:r>
                <w:rPr>
                  <w:rStyle w:val="InternetLink"/>
                  <w:rFonts w:ascii="Times New Roman;serif" w:hAnsi="Times New Roman;serif"/>
                  <w:b w:val="false"/>
                  <w:color w:val="000080"/>
                  <w:sz w:val="20"/>
                  <w:u w:val="single"/>
                </w:rPr>
                <w:t xml:space="preserve"> and 202</w:t>
              </w:r>
            </w:hyperlink>
            <w:hyperlink w:anchor="i76b38a5688824022ad852cdb17d8b0ca_40">
              <w:r>
                <w:rPr>
                  <w:rStyle w:val="InternetLink"/>
                  <w:rFonts w:ascii="Times New Roman;serif" w:hAnsi="Times New Roman;serif"/>
                  <w:b w:val="false"/>
                  <w:color w:val="000080"/>
                  <w:sz w:val="20"/>
                  <w:u w:val="single"/>
                </w:rPr>
                <w:t>5</w:t>
              </w:r>
            </w:hyperlink>
            <w:hyperlink w:anchor="i76b38a5688824022ad852cdb17d8b0ca_40">
              <w:r>
                <w:rPr>
                  <w:rStyle w:val="InternetLink"/>
                  <w:rFonts w:ascii="Times New Roman;serif" w:hAnsi="Times New Roman;serif"/>
                  <w:b w:val="false"/>
                  <w:color w:val="000080"/>
                  <w:sz w:val="20"/>
                  <w:u w:val="single"/>
                </w:rPr>
                <w:t xml:space="preserve">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6b38a5688824022ad852cdb17d8b0ca_40">
              <w:r>
                <w:rPr>
                  <w:rStyle w:val="InternetLink"/>
                  <w:rFonts w:ascii="Times New Roman;serif" w:hAnsi="Times New Roman;serif"/>
                  <w:b w:val="false"/>
                  <w:color w:val="0000FF"/>
                  <w:sz w:val="20"/>
                  <w:u w:val="single"/>
                </w:rPr>
                <w:t>5</w:t>
              </w:r>
            </w:hyperlink>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b38a5688824022ad852cdb17d8b0ca_43">
              <w:r>
                <w:rPr>
                  <w:rStyle w:val="InternetLink"/>
                  <w:rFonts w:ascii="Times New Roman;serif" w:hAnsi="Times New Roman;serif"/>
                  <w:b w:val="false"/>
                  <w:color w:val="0000FF"/>
                  <w:sz w:val="20"/>
                  <w:u w:val="single"/>
                </w:rPr>
                <w:t>Notes to Condensed Consolidated Financial Statements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6b38a5688824022ad852cdb17d8b0ca_43">
              <w:r>
                <w:rPr>
                  <w:rStyle w:val="InternetLink"/>
                  <w:rFonts w:ascii="Times New Roman;serif" w:hAnsi="Times New Roman;serif"/>
                  <w:b w:val="false"/>
                  <w:color w:val="0000FF"/>
                  <w:sz w:val="20"/>
                  <w:u w:val="single"/>
                </w:rPr>
                <w:t>6</w:t>
              </w:r>
            </w:hyperlink>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b38a5688824022ad852cdb17d8b0ca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6b38a5688824022ad852cdb17d8b0ca_88">
              <w:r>
                <w:rPr>
                  <w:rStyle w:val="InternetLink"/>
                  <w:rFonts w:ascii="Times New Roman;serif" w:hAnsi="Times New Roman;serif"/>
                  <w:b w:val="false"/>
                  <w:color w:val="0000FF"/>
                  <w:sz w:val="20"/>
                  <w:u w:val="single"/>
                </w:rPr>
                <w:t>17</w:t>
              </w:r>
            </w:hyperlink>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b38a5688824022ad852cdb17d8b0ca_121">
              <w:r>
                <w:rPr>
                  <w:rStyle w:val="InternetLink"/>
                  <w:rFonts w:ascii="Times New Roman;serif" w:hAnsi="Times New Roman;serif"/>
                  <w:b w:val="false"/>
                  <w:color w:val="0000FF"/>
                  <w:sz w:val="20"/>
                  <w:u w:val="single"/>
                </w:rPr>
                <w:t>Quantitative and Qualitative Disclosures About Market Risk</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6b38a5688824022ad852cdb17d8b0ca_121">
              <w:r>
                <w:rPr>
                  <w:rStyle w:val="InternetLink"/>
                  <w:rFonts w:ascii="Times New Roman;serif" w:hAnsi="Times New Roman;serif"/>
                  <w:b w:val="false"/>
                  <w:color w:val="0000FF"/>
                  <w:sz w:val="20"/>
                  <w:u w:val="single"/>
                </w:rPr>
                <w:t>26</w:t>
              </w:r>
            </w:hyperlink>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b38a5688824022ad852cdb17d8b0ca_124">
              <w:r>
                <w:rPr>
                  <w:rStyle w:val="InternetLink"/>
                  <w:rFonts w:ascii="Times New Roman;serif" w:hAnsi="Times New Roman;serif"/>
                  <w:b w:val="false"/>
                  <w:color w:val="0000FF"/>
                  <w:sz w:val="20"/>
                  <w:u w:val="single"/>
                </w:rPr>
                <w:t>Controls and Procedures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6b38a5688824022ad852cdb17d8b0ca_124">
              <w:r>
                <w:rPr>
                  <w:rStyle w:val="InternetLink"/>
                  <w:rFonts w:ascii="Times New Roman;serif" w:hAnsi="Times New Roman;serif"/>
                  <w:b w:val="false"/>
                  <w:color w:val="0000FF"/>
                  <w:sz w:val="20"/>
                  <w:u w:val="single"/>
                </w:rPr>
                <w:t>27</w:t>
              </w:r>
            </w:hyperlink>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6b38a5688824022ad852cdb17d8b0ca_127">
              <w:r>
                <w:rPr>
                  <w:rStyle w:val="InternetLink"/>
                  <w:rFonts w:ascii="Times New Roman;serif" w:hAnsi="Times New Roman;serif"/>
                  <w:b w:val="false"/>
                  <w:color w:val="0000FF"/>
                  <w:sz w:val="20"/>
                  <w:u w:val="single"/>
                </w:rPr>
                <w:t>PART II - OTHER INFORMATION</w:t>
              </w:r>
            </w:hyperlink>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b38a5688824022ad852cdb17d8b0ca_130">
              <w:r>
                <w:rPr>
                  <w:rStyle w:val="InternetLink"/>
                  <w:rFonts w:ascii="Times New Roman;serif" w:hAnsi="Times New Roman;serif"/>
                  <w:b w:val="false"/>
                  <w:color w:val="0000FF"/>
                  <w:sz w:val="20"/>
                  <w:u w:val="single"/>
                </w:rPr>
                <w:t>Legal Proceedings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6b38a5688824022ad852cdb17d8b0ca_130">
              <w:r>
                <w:rPr>
                  <w:rStyle w:val="InternetLink"/>
                  <w:rFonts w:ascii="Times New Roman;serif" w:hAnsi="Times New Roman;serif"/>
                  <w:b w:val="false"/>
                  <w:color w:val="0000FF"/>
                  <w:sz w:val="20"/>
                  <w:u w:val="single"/>
                </w:rPr>
                <w:t>28</w:t>
              </w:r>
            </w:hyperlink>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b38a5688824022ad852cdb17d8b0ca_133">
              <w:r>
                <w:rPr>
                  <w:rStyle w:val="InternetLink"/>
                  <w:rFonts w:ascii="Times New Roman;serif" w:hAnsi="Times New Roman;serif"/>
                  <w:b w:val="false"/>
                  <w:color w:val="0000FF"/>
                  <w:sz w:val="20"/>
                  <w:u w:val="single"/>
                </w:rPr>
                <w:t>Risk Factors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6b38a5688824022ad852cdb17d8b0ca_133">
              <w:r>
                <w:rPr>
                  <w:rStyle w:val="InternetLink"/>
                  <w:rFonts w:ascii="Times New Roman;serif" w:hAnsi="Times New Roman;serif"/>
                  <w:b w:val="false"/>
                  <w:color w:val="0000FF"/>
                  <w:sz w:val="20"/>
                  <w:u w:val="single"/>
                </w:rPr>
                <w:t>28</w:t>
              </w:r>
            </w:hyperlink>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b38a5688824022ad852cdb17d8b0ca_136">
              <w:r>
                <w:rPr>
                  <w:rStyle w:val="InternetLink"/>
                  <w:rFonts w:ascii="Times New Roman;serif" w:hAnsi="Times New Roman;serif"/>
                  <w:b w:val="false"/>
                  <w:color w:val="0000FF"/>
                  <w:sz w:val="20"/>
                  <w:u w:val="single"/>
                </w:rPr>
                <w:t>Unregistered Sales of Equity Securities and Use of Proceeds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6b38a5688824022ad852cdb17d8b0ca_136">
              <w:r>
                <w:rPr>
                  <w:rStyle w:val="InternetLink"/>
                  <w:rFonts w:ascii="Times New Roman;serif" w:hAnsi="Times New Roman;serif"/>
                  <w:b w:val="false"/>
                  <w:color w:val="0000FF"/>
                  <w:sz w:val="20"/>
                  <w:u w:val="single"/>
                </w:rPr>
                <w:t>73</w:t>
              </w:r>
            </w:hyperlink>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b38a5688824022ad852cdb17d8b0ca_139">
              <w:r>
                <w:rPr>
                  <w:rStyle w:val="InternetLink"/>
                  <w:rFonts w:ascii="Times New Roman;serif" w:hAnsi="Times New Roman;serif"/>
                  <w:b w:val="false"/>
                  <w:color w:val="0000FF"/>
                  <w:sz w:val="20"/>
                  <w:u w:val="single"/>
                </w:rPr>
                <w:t>Defaults Upon Senior Securities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6b38a5688824022ad852cdb17d8b0ca_139">
              <w:r>
                <w:rPr>
                  <w:rStyle w:val="InternetLink"/>
                  <w:rFonts w:ascii="Times New Roman;serif" w:hAnsi="Times New Roman;serif"/>
                  <w:b w:val="false"/>
                  <w:color w:val="0000FF"/>
                  <w:sz w:val="20"/>
                  <w:u w:val="single"/>
                </w:rPr>
                <w:t>73</w:t>
              </w:r>
            </w:hyperlink>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b38a5688824022ad852cdb17d8b0ca_142">
              <w:r>
                <w:rPr>
                  <w:rStyle w:val="InternetLink"/>
                  <w:rFonts w:ascii="Times New Roman;serif" w:hAnsi="Times New Roman;serif"/>
                  <w:b w:val="false"/>
                  <w:color w:val="0000FF"/>
                  <w:sz w:val="20"/>
                  <w:u w:val="single"/>
                </w:rPr>
                <w:t>Mine Safety Disclosures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6b38a5688824022ad852cdb17d8b0ca_142">
              <w:r>
                <w:rPr>
                  <w:rStyle w:val="InternetLink"/>
                  <w:rFonts w:ascii="Times New Roman;serif" w:hAnsi="Times New Roman;serif"/>
                  <w:b w:val="false"/>
                  <w:color w:val="0000FF"/>
                  <w:sz w:val="20"/>
                  <w:u w:val="single"/>
                </w:rPr>
                <w:t>73</w:t>
              </w:r>
            </w:hyperlink>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b38a5688824022ad852cdb17d8b0ca_145">
              <w:r>
                <w:rPr>
                  <w:rStyle w:val="InternetLink"/>
                  <w:rFonts w:ascii="Times New Roman;serif" w:hAnsi="Times New Roman;serif"/>
                  <w:b w:val="false"/>
                  <w:color w:val="0000FF"/>
                  <w:sz w:val="20"/>
                  <w:u w:val="single"/>
                </w:rPr>
                <w:t>Other Information</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6b38a5688824022ad852cdb17d8b0ca_145">
              <w:r>
                <w:rPr>
                  <w:rStyle w:val="InternetLink"/>
                  <w:rFonts w:ascii="Times New Roman;serif" w:hAnsi="Times New Roman;serif"/>
                  <w:b w:val="false"/>
                  <w:color w:val="0000FF"/>
                  <w:sz w:val="20"/>
                  <w:u w:val="single"/>
                </w:rPr>
                <w:t>73</w:t>
              </w:r>
            </w:hyperlink>
          </w:p>
        </w:tc>
      </w:tr>
      <w:tr>
        <w:trPr/>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2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b38a5688824022ad852cdb17d8b0ca_148">
              <w:r>
                <w:rPr>
                  <w:rStyle w:val="InternetLink"/>
                  <w:rFonts w:ascii="Times New Roman;serif" w:hAnsi="Times New Roman;serif"/>
                  <w:b w:val="false"/>
                  <w:color w:val="0000FF"/>
                  <w:sz w:val="20"/>
                  <w:u w:val="single"/>
                </w:rPr>
                <w:t>Exhibits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6b38a5688824022ad852cdb17d8b0ca_148">
              <w:r>
                <w:rPr>
                  <w:rStyle w:val="InternetLink"/>
                  <w:rFonts w:ascii="Times New Roman;serif" w:hAnsi="Times New Roman;serif"/>
                  <w:b w:val="false"/>
                  <w:color w:val="0000FF"/>
                  <w:sz w:val="20"/>
                  <w:u w:val="single"/>
                </w:rPr>
                <w:t>74</w:t>
              </w:r>
            </w:hyperlink>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6b38a5688824022ad852cdb17d8b0ca_151">
              <w:r>
                <w:rPr>
                  <w:rStyle w:val="InternetLink"/>
                  <w:rFonts w:ascii="Times New Roman;serif" w:hAnsi="Times New Roman;serif"/>
                  <w:b w:val="false"/>
                  <w:color w:val="0000FF"/>
                  <w:sz w:val="20"/>
                  <w:u w:val="single"/>
                </w:rPr>
                <w:t>SIGNATURES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6b38a5688824022ad852cdb17d8b0ca_151">
              <w:r>
                <w:rPr>
                  <w:rStyle w:val="InternetLink"/>
                  <w:rFonts w:ascii="Times New Roman;serif" w:hAnsi="Times New Roman;serif"/>
                  <w:b w:val="false"/>
                  <w:color w:val="0000FF"/>
                  <w:sz w:val="20"/>
                  <w:u w:val="single"/>
                </w:rPr>
                <w:t>75</w:t>
              </w:r>
            </w:hyperlink>
          </w:p>
        </w:tc>
      </w:tr>
    </w:tbl>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SPECIAL NOTE REGARDING FORWARD-LOOKING STATEMENTS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Quarterly Report on Form 10-Q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The forward-looking statements are contained principally in the section entitled “Risk Factors” and “Management’s Discussion and Analysis of Financial Condition and Results of Operations.” Forward-looking statements include, but are not limited to, statements concerning the following:</w:t>
      </w:r>
    </w:p>
    <w:p>
      <w:pPr>
        <w:pStyle w:val="TextBody"/>
        <w:bidi w:val="0"/>
        <w:spacing w:lineRule="auto" w:line="288" w:before="0" w:after="180"/>
        <w:ind w:left="0" w:right="0" w:firstLine="360"/>
        <w:jc w:val="left"/>
        <w:rPr/>
      </w:pPr>
      <w:r>
        <w:rPr>
          <w:color w:val="000000"/>
          <w:shd w:fill="FFFFFF" w:val="clear"/>
        </w:rPr>
        <w:t>•</w:t>
      </w:r>
      <w:r>
        <w:rPr>
          <w:rFonts w:ascii="Times New Roman;serif" w:hAnsi="Times New Roman;serif"/>
          <w:b w:val="false"/>
          <w:color w:val="000000"/>
          <w:sz w:val="20"/>
        </w:rPr>
        <w:t>our dependence on the success of our proteomics platform (the “Nautilus Voyager</w:t>
      </w:r>
      <w:r>
        <w:rPr>
          <w:rFonts w:ascii="Times New Roman;serif" w:hAnsi="Times New Roman;serif"/>
          <w:b w:val="false"/>
          <w:color w:val="000000"/>
          <w:sz w:val="13"/>
        </w:rPr>
        <w:t xml:space="preserve">TM </w:t>
      </w:r>
      <w:r>
        <w:rPr>
          <w:rFonts w:ascii="Times New Roman;serif" w:hAnsi="Times New Roman;serif"/>
          <w:b w:val="false"/>
          <w:color w:val="000000"/>
          <w:sz w:val="20"/>
        </w:rPr>
        <w:t>platform”), which remains in the development stage and subject to scientific and technical validation;</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expectations regarding the timing and progress of the development of the Nautilus Voyager platform and any commercialization timelines;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expectations regarding the functionality of the Nautilus Voyager platform;</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expectations regarding the availability of private and public research funding for proteomics research and development activities;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estimates of our addressable market, market growth, future revenue, key performance indicators, expenses, capital requirements and needs for additional financing;</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expectations regarding the rate and degree of market acceptance of the Nautilus Voyager platform;</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the impact of the Nautilus Voyager platform on the field of proteomics and the size and growth of the addressable proteomics market;</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manage and grow our business and commercialize our Nautilus Voyager platform;</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successfully implement our phased commercial launch plan;</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the implementation of our business model and strategic plans for the Nautilus Voyager platform;</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establish and maintain intellectual property protection for our products or avoid or defend claims of infringement;</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expectations regarding the use of proceeds from the Business Combination (as defined in Part I, Item 1, Note 1, “Description of Business and Basis of Presentation,” in our notes to condensed consolidated financial statements in this Quarterly Report on Form 10-Q);</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the performance of third-party partners, manufacturers and suppliers;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changes in applicable laws or regulations;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raise financing in the future;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expectations regarding the length of time that our existing cash resources will fund our operations;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success in retaining or recruiting, or changes required in, our officers, key employees or directors or other key personnel;</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the volatility of the trading price of our common stock;</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develop, manufacture, support, and commercialize new products;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be in compliance with the Nasdaq Listing Rules, and maintain the listing of our public securities on The Nasdaq Stock Market LLC;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expectations about market trends; and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the impact of local, regional, national and international economic conditions and events, volatility in the global financial markets and general economic downturns, on the foregoing.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Quarterly Report on Form 10-Q.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Quarterly Report on Form 10-Q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contains references to trademarks and service marks belonging to other entities. Solely for convenience, trademarks and trade names referred to in this Quarterly Report on Form 10-Q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 </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tbl>
      <w:tblPr>
        <w:tblW w:w="6074" w:type="dxa"/>
        <w:jc w:val="left"/>
        <w:tblInd w:w="0" w:type="dxa"/>
        <w:tblLayout w:type="fixed"/>
        <w:tblCellMar>
          <w:top w:w="28" w:type="dxa"/>
          <w:left w:w="28" w:type="dxa"/>
          <w:bottom w:w="28" w:type="dxa"/>
          <w:right w:w="28" w:type="dxa"/>
        </w:tblCellMar>
      </w:tblPr>
      <w:tblGrid>
        <w:gridCol w:w="1943"/>
        <w:gridCol w:w="1710"/>
        <w:gridCol w:w="2421"/>
      </w:tblGrid>
      <w:tr>
        <w:trPr/>
        <w:tc>
          <w:tcPr>
            <w:tcW w:w="1943"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Condensed Consolidated Balance Sheets</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As of March 31, 2026 and December 31, 2025 (Unaudited)</w:t>
            </w:r>
          </w:p>
        </w:tc>
      </w:tr>
    </w:tbl>
    <w:tbl>
      <w:tblPr>
        <w:tblW w:w="10205" w:type="dxa"/>
        <w:jc w:val="left"/>
        <w:tblInd w:w="0" w:type="dxa"/>
        <w:tblLayout w:type="fixed"/>
        <w:tblCellMar>
          <w:top w:w="28" w:type="dxa"/>
          <w:left w:w="28" w:type="dxa"/>
          <w:bottom w:w="28" w:type="dxa"/>
          <w:right w:w="28" w:type="dxa"/>
        </w:tblCellMar>
      </w:tblPr>
      <w:tblGrid>
        <w:gridCol w:w="2873"/>
        <w:gridCol w:w="2246"/>
        <w:gridCol w:w="2263"/>
        <w:gridCol w:w="218"/>
        <w:gridCol w:w="853"/>
        <w:gridCol w:w="112"/>
        <w:gridCol w:w="109"/>
        <w:gridCol w:w="109"/>
        <w:gridCol w:w="109"/>
        <w:gridCol w:w="231"/>
        <w:gridCol w:w="909"/>
        <w:gridCol w:w="173"/>
      </w:tblGrid>
      <w:tr>
        <w:trPr/>
        <w:tc>
          <w:tcPr>
            <w:tcW w:w="2873"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amounts)</w:t>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91,018 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98,832 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105,963 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177,779 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191,112 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34,139 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8)</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200,000,000 authorized as of March 31, 2026 and December 31, 2025; 0 shares issued and outstanding as of March 31, 2026 and December 31, 2025</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1,000,000,000 shares authorized as of March 31, 2026 and December 31, 2025; 127,070,480 and 126,469,610 shares issued and outstanding as of March 31, 2026 and December 31, 2025, respectively</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491,210 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488,737 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(346,717)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(332,020)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144,415 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156,973 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177,779 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191,112 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tbl>
      <w:tblPr>
        <w:tblW w:w="6285" w:type="dxa"/>
        <w:jc w:val="left"/>
        <w:tblInd w:w="0" w:type="dxa"/>
        <w:tblLayout w:type="fixed"/>
        <w:tblCellMar>
          <w:top w:w="28" w:type="dxa"/>
          <w:left w:w="28" w:type="dxa"/>
          <w:bottom w:w="28" w:type="dxa"/>
          <w:right w:w="28" w:type="dxa"/>
        </w:tblCellMar>
      </w:tblPr>
      <w:tblGrid>
        <w:gridCol w:w="2011"/>
        <w:gridCol w:w="1769"/>
        <w:gridCol w:w="2505"/>
      </w:tblGrid>
      <w:tr>
        <w:trPr/>
        <w:tc>
          <w:tcPr>
            <w:tcW w:w="2011"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r>
      <w:tr>
        <w:trPr/>
        <w:tc>
          <w:tcPr>
            <w:tcW w:w="62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Condensed Consolidated Statements of Operations</w:t>
            </w:r>
          </w:p>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Three Months Ended March 31, 2026 and 2025 (Unaudited)</w:t>
            </w:r>
          </w:p>
        </w:tc>
      </w:tr>
    </w:tbl>
    <w:tbl>
      <w:tblPr>
        <w:tblW w:w="10205" w:type="dxa"/>
        <w:jc w:val="left"/>
        <w:tblInd w:w="0" w:type="dxa"/>
        <w:tblLayout w:type="fixed"/>
        <w:tblCellMar>
          <w:top w:w="28" w:type="dxa"/>
          <w:left w:w="28" w:type="dxa"/>
          <w:bottom w:w="28" w:type="dxa"/>
          <w:right w:w="28" w:type="dxa"/>
        </w:tblCellMar>
      </w:tblPr>
      <w:tblGrid>
        <w:gridCol w:w="2627"/>
        <w:gridCol w:w="2082"/>
        <w:gridCol w:w="2097"/>
        <w:gridCol w:w="264"/>
        <w:gridCol w:w="922"/>
        <w:gridCol w:w="109"/>
        <w:gridCol w:w="109"/>
        <w:gridCol w:w="109"/>
        <w:gridCol w:w="109"/>
        <w:gridCol w:w="264"/>
        <w:gridCol w:w="922"/>
        <w:gridCol w:w="109"/>
        <w:gridCol w:w="109"/>
        <w:gridCol w:w="109"/>
        <w:gridCol w:w="109"/>
        <w:gridCol w:w="155"/>
      </w:tblGrid>
      <w:tr>
        <w:trPr/>
        <w:tc>
          <w:tcPr>
            <w:tcW w:w="2627"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data)</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loss per share attributable to common stockholders, basic and diluted</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126,634,782 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126,144,240 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tbl>
      <w:tblPr>
        <w:tblW w:w="6299" w:type="dxa"/>
        <w:jc w:val="left"/>
        <w:tblInd w:w="0" w:type="dxa"/>
        <w:tblLayout w:type="fixed"/>
        <w:tblCellMar>
          <w:top w:w="28" w:type="dxa"/>
          <w:left w:w="28" w:type="dxa"/>
          <w:bottom w:w="28" w:type="dxa"/>
          <w:right w:w="28" w:type="dxa"/>
        </w:tblCellMar>
      </w:tblPr>
      <w:tblGrid>
        <w:gridCol w:w="2016"/>
        <w:gridCol w:w="1772"/>
        <w:gridCol w:w="2511"/>
      </w:tblGrid>
      <w:tr>
        <w:trPr/>
        <w:tc>
          <w:tcPr>
            <w:tcW w:w="2016"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Condensed Consolidated Statements of Comprehensive Loss</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Three Months Ended March 31, 2026 and 2025 (Unaudited)</w:t>
            </w:r>
          </w:p>
        </w:tc>
      </w:tr>
    </w:tbl>
    <w:tbl>
      <w:tblPr>
        <w:tblW w:w="7449" w:type="dxa"/>
        <w:jc w:val="left"/>
        <w:tblInd w:w="0" w:type="dxa"/>
        <w:tblLayout w:type="fixed"/>
        <w:tblCellMar>
          <w:top w:w="28" w:type="dxa"/>
          <w:left w:w="28" w:type="dxa"/>
          <w:bottom w:w="28" w:type="dxa"/>
          <w:right w:w="28" w:type="dxa"/>
        </w:tblCellMar>
      </w:tblPr>
      <w:tblGrid>
        <w:gridCol w:w="1596"/>
        <w:gridCol w:w="1403"/>
        <w:gridCol w:w="1410"/>
        <w:gridCol w:w="211"/>
        <w:gridCol w:w="796"/>
        <w:gridCol w:w="109"/>
        <w:gridCol w:w="109"/>
        <w:gridCol w:w="109"/>
        <w:gridCol w:w="109"/>
        <w:gridCol w:w="211"/>
        <w:gridCol w:w="796"/>
        <w:gridCol w:w="109"/>
        <w:gridCol w:w="109"/>
        <w:gridCol w:w="109"/>
        <w:gridCol w:w="109"/>
        <w:gridCol w:w="154"/>
      </w:tblGrid>
      <w:tr>
        <w:trPr/>
        <w:tc>
          <w:tcPr>
            <w:tcW w:w="159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securities available-for-sale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6330" w:type="dxa"/>
        <w:jc w:val="left"/>
        <w:tblInd w:w="0" w:type="dxa"/>
        <w:tblLayout w:type="fixed"/>
        <w:tblCellMar>
          <w:top w:w="28" w:type="dxa"/>
          <w:left w:w="28" w:type="dxa"/>
          <w:bottom w:w="28" w:type="dxa"/>
          <w:right w:w="28" w:type="dxa"/>
        </w:tblCellMar>
      </w:tblPr>
      <w:tblGrid>
        <w:gridCol w:w="2025"/>
        <w:gridCol w:w="1782"/>
        <w:gridCol w:w="2523"/>
      </w:tblGrid>
      <w:tr>
        <w:trPr/>
        <w:tc>
          <w:tcPr>
            <w:tcW w:w="2025"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Condensed Consolidated Statements of Stockholders’ Equity</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Three Months Ended March 31, 2026 and 2025 (Unaudited)</w:t>
            </w:r>
          </w:p>
        </w:tc>
      </w:tr>
    </w:tbl>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988"/>
        <w:gridCol w:w="278"/>
        <w:gridCol w:w="281"/>
        <w:gridCol w:w="593"/>
        <w:gridCol w:w="593"/>
        <w:gridCol w:w="196"/>
        <w:gridCol w:w="109"/>
        <w:gridCol w:w="109"/>
        <w:gridCol w:w="109"/>
        <w:gridCol w:w="214"/>
        <w:gridCol w:w="366"/>
        <w:gridCol w:w="111"/>
        <w:gridCol w:w="109"/>
        <w:gridCol w:w="109"/>
        <w:gridCol w:w="109"/>
        <w:gridCol w:w="219"/>
        <w:gridCol w:w="857"/>
        <w:gridCol w:w="113"/>
        <w:gridCol w:w="109"/>
        <w:gridCol w:w="109"/>
        <w:gridCol w:w="109"/>
        <w:gridCol w:w="359"/>
        <w:gridCol w:w="794"/>
        <w:gridCol w:w="187"/>
        <w:gridCol w:w="109"/>
        <w:gridCol w:w="109"/>
        <w:gridCol w:w="109"/>
        <w:gridCol w:w="214"/>
        <w:gridCol w:w="856"/>
        <w:gridCol w:w="110"/>
        <w:gridCol w:w="109"/>
        <w:gridCol w:w="109"/>
        <w:gridCol w:w="109"/>
        <w:gridCol w:w="218"/>
        <w:gridCol w:w="857"/>
        <w:gridCol w:w="166"/>
      </w:tblGrid>
      <w:tr>
        <w:trPr/>
        <w:tc>
          <w:tcPr>
            <w:tcW w:w="98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Three Months Ended March 31, 2026</w:t>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vMerge w:val="restart"/>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amounts)</w:t>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December 31, 2025</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126,469,610 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488,737 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(332,020)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156,973 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vested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600,870 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Balances at March 31, 2026</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127,070,480 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491,210 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(346,717)</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144,415 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91"/>
        <w:gridCol w:w="283"/>
        <w:gridCol w:w="285"/>
        <w:gridCol w:w="593"/>
        <w:gridCol w:w="593"/>
        <w:gridCol w:w="196"/>
        <w:gridCol w:w="109"/>
        <w:gridCol w:w="109"/>
        <w:gridCol w:w="109"/>
        <w:gridCol w:w="214"/>
        <w:gridCol w:w="366"/>
        <w:gridCol w:w="111"/>
        <w:gridCol w:w="109"/>
        <w:gridCol w:w="109"/>
        <w:gridCol w:w="109"/>
        <w:gridCol w:w="219"/>
        <w:gridCol w:w="859"/>
        <w:gridCol w:w="113"/>
        <w:gridCol w:w="109"/>
        <w:gridCol w:w="109"/>
        <w:gridCol w:w="109"/>
        <w:gridCol w:w="354"/>
        <w:gridCol w:w="783"/>
        <w:gridCol w:w="184"/>
        <w:gridCol w:w="109"/>
        <w:gridCol w:w="109"/>
        <w:gridCol w:w="109"/>
        <w:gridCol w:w="214"/>
        <w:gridCol w:w="857"/>
        <w:gridCol w:w="110"/>
        <w:gridCol w:w="109"/>
        <w:gridCol w:w="109"/>
        <w:gridCol w:w="109"/>
        <w:gridCol w:w="219"/>
        <w:gridCol w:w="859"/>
        <w:gridCol w:w="167"/>
      </w:tblGrid>
      <w:tr>
        <w:trPr/>
        <w:tc>
          <w:tcPr>
            <w:tcW w:w="99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Three Months Ended March 31, 2025</w:t>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amounts)</w:t>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December 31,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126,106,176 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481,679 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(273,019)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208,730 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vested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Balances at March 31, 2025</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126,148,469 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483,865 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(289,632)</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194,435 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180"/>
        <w:jc w:val="center"/>
        <w:rPr/>
      </w:pPr>
      <w:r>
        <w:rPr/>
      </w: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6285" w:type="dxa"/>
        <w:jc w:val="left"/>
        <w:tblInd w:w="0" w:type="dxa"/>
        <w:tblLayout w:type="fixed"/>
        <w:tblCellMar>
          <w:top w:w="28" w:type="dxa"/>
          <w:left w:w="28" w:type="dxa"/>
          <w:bottom w:w="28" w:type="dxa"/>
          <w:right w:w="28" w:type="dxa"/>
        </w:tblCellMar>
      </w:tblPr>
      <w:tblGrid>
        <w:gridCol w:w="2011"/>
        <w:gridCol w:w="1769"/>
        <w:gridCol w:w="2505"/>
      </w:tblGrid>
      <w:tr>
        <w:trPr/>
        <w:tc>
          <w:tcPr>
            <w:tcW w:w="2011"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r>
      <w:tr>
        <w:trPr/>
        <w:tc>
          <w:tcPr>
            <w:tcW w:w="62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Condensed Consolidated Statements of Cash Flows</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Three Months Ended March 31, 2026 and 2025 (Unaudited)</w:t>
            </w:r>
          </w:p>
        </w:tc>
      </w:tr>
    </w:tbl>
    <w:tbl>
      <w:tblPr>
        <w:tblW w:w="8574" w:type="dxa"/>
        <w:jc w:val="left"/>
        <w:tblInd w:w="0" w:type="dxa"/>
        <w:tblLayout w:type="fixed"/>
        <w:tblCellMar>
          <w:top w:w="28" w:type="dxa"/>
          <w:left w:w="28" w:type="dxa"/>
          <w:bottom w:w="28" w:type="dxa"/>
          <w:right w:w="28" w:type="dxa"/>
        </w:tblCellMar>
      </w:tblPr>
      <w:tblGrid>
        <w:gridCol w:w="2162"/>
        <w:gridCol w:w="1901"/>
        <w:gridCol w:w="1907"/>
        <w:gridCol w:w="211"/>
        <w:gridCol w:w="796"/>
        <w:gridCol w:w="109"/>
        <w:gridCol w:w="109"/>
        <w:gridCol w:w="109"/>
        <w:gridCol w:w="109"/>
        <w:gridCol w:w="211"/>
        <w:gridCol w:w="796"/>
        <w:gridCol w:w="154"/>
      </w:tblGrid>
      <w:tr>
        <w:trPr/>
        <w:tc>
          <w:tcPr>
            <w:tcW w:w="2162"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lease right-of-use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(accretion) of premiums (discounts) on securities,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Supplementary cash flow information on non-cash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property and equipment included in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5760" w:type="dxa"/>
        <w:jc w:val="left"/>
        <w:tblInd w:w="0" w:type="dxa"/>
        <w:tblLayout w:type="fixed"/>
        <w:tblCellMar>
          <w:top w:w="28" w:type="dxa"/>
          <w:left w:w="28" w:type="dxa"/>
          <w:bottom w:w="28" w:type="dxa"/>
          <w:right w:w="28" w:type="dxa"/>
        </w:tblCellMar>
      </w:tblPr>
      <w:tblGrid>
        <w:gridCol w:w="1843"/>
        <w:gridCol w:w="1621"/>
        <w:gridCol w:w="2296"/>
      </w:tblGrid>
      <w:tr>
        <w:trPr/>
        <w:tc>
          <w:tcPr>
            <w:tcW w:w="1843"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(Unaudited)</w:t>
            </w:r>
          </w:p>
        </w:tc>
      </w:tr>
    </w:tbl>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1.</w:t>
      </w:r>
      <w:r>
        <w:rPr>
          <w:rFonts w:ascii="Times New Roman;serif" w:hAnsi="Times New Roman;serif"/>
          <w:b/>
          <w:color w:val="000000"/>
          <w:sz w:val="20"/>
        </w:rPr>
        <w:t>Description of Business and Basis of Presentation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Nautilus Biotechnology, Inc. (the “Company”) is a biotechnology company incorporated in 2016 with corporate headquarters in Seattle, Washington and research and development headquarters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selling, general and administrative support for these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June 9, 2021, Nautilus Biotechnology, Inc. a Delaware corporation (f/k/a ARYA Sciences Acquisition Corp. III, a Cayman Islands exempted company and the Company’s predecessor company (“ARYA”)), consummated the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and accompanying notes are unaudited and have been prepared in accordance with accounting principles generally accepted in the United States of America (“U.S. GAAP”) and regulations of the U.S. Securities and Exchange Commission (the “SEC”) for interim financial reporting. All intercompany transactions and balances have been eliminated upon consolidation. Certain information and footnote disclosures normally included in financial statements prepared in accordance with U.S. GAAP have been condensed or omitted pursuant to such rules and regulations. The condensed consolidated financial statements were prepared on the same basis as the audited financial statements and, in the opinion of management, reflect all adjustments, which include only normal recurring adjustments necessary for a fair statement of the Company’s financial position, results of operations, and cash flows for the interim periods. The interim financial results are not necessarily indicative of the results for a full year. These financial statements and accompanying notes should be read in conjunction with the consolidated financial statements and notes thereto in the Company’s Annual Report on Form 10-K for the fiscal year ended December 31, 2025 on file with the SEC. The Company’s reporting currency is the U.S. dollar.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condensed consolidated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March 31, 2026, the Company had an accumulated deficit of $346.7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7229" w:type="dxa"/>
        <w:jc w:val="left"/>
        <w:tblInd w:w="0" w:type="dxa"/>
        <w:tblLayout w:type="fixed"/>
        <w:tblCellMar>
          <w:top w:w="28" w:type="dxa"/>
          <w:left w:w="28" w:type="dxa"/>
          <w:bottom w:w="28" w:type="dxa"/>
          <w:right w:w="28" w:type="dxa"/>
        </w:tblCellMar>
      </w:tblPr>
      <w:tblGrid>
        <w:gridCol w:w="2313"/>
        <w:gridCol w:w="2035"/>
        <w:gridCol w:w="2881"/>
      </w:tblGrid>
      <w:tr>
        <w:trPr/>
        <w:tc>
          <w:tcPr>
            <w:tcW w:w="2313"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Notes to Condensed Consolidated Financial Statements—(Continued)</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(Unaudited)</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funded its operations primarily with proceeds from the issuance of redeemable convertible preferred stock and common stock. In June 2021, the Company received gross proceeds of approximately $345.5 million from PIPE Investors and the Business Combination offset by approximately $18.2 million of transaction costs and underwriters’ fees relating to the closing of the Business Combination. The Company had cash, cash equivalents, and short-term investments of $95.9 million as of March 31, 2026. As of the date on which these condensed consolidated financial statements were issued, the Company believes that its cash, cash equivalents, and short-term investments will be sufficient to fund its operations for at least the next twelve months following the issuance of the condensed consolidated financial statements. The Company’s actual results and its near and long-term future capital requirements will depend on many factors, including its growth rate and the timing and extent of spending to support its research and development efforts. Future liquidity and cash requirements will depend on numerous factors. The Company will be required to seek additional equity or debt financing to fund future operations, and the Company may not be able to raise it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2.</w:t>
      </w:r>
      <w:r>
        <w:rPr>
          <w:rFonts w:ascii="Times New Roman;serif" w:hAnsi="Times New Roman;serif"/>
          <w:b/>
          <w:color w:val="000000"/>
          <w:sz w:val="20"/>
        </w:rPr>
        <w:t>Significant Accounting Policies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the condensed consolidated financial statements in conformity with U.S. GAAP requires management to make estimates and assumptions that affect the reported amounts of assets and liabilities and disclosures of contingent assets and liabilities as of the date of the condensed consolidated financial statements, and the reported amounts of expenses during the reporting period. Actual results could differ from those estimates. Significant estimates include determining the estimated lives of property and equipment, stock-based compensation, research and development accruals,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Concentrations of Credit Risk and Other Risks and Uncertainties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Credit risk represents the accounting loss that would be recognized as of the reporting date if counterparties failed to perform as contracted. </w:t>
      </w:r>
    </w:p>
    <w:p>
      <w:pPr>
        <w:pStyle w:val="TextBody"/>
        <w:bidi w:val="0"/>
        <w:spacing w:lineRule="auto" w:line="288" w:before="0" w:after="180"/>
        <w:ind w:left="0" w:right="0" w:firstLine="360"/>
        <w:jc w:val="left"/>
        <w:rPr/>
      </w:pPr>
      <w:r>
        <w:rPr>
          <w:rFonts w:ascii="Times New Roman;serif" w:hAnsi="Times New Roman;serif"/>
          <w:b w:val="false"/>
          <w:color w:val="000000"/>
          <w:sz w:val="20"/>
        </w:rPr>
        <w:t>Financial instruments, which potentially subject the Company to concentration of credit risk, consist of cash balances maintained in excess of federal depository insurance limits and investments in marketable debt securities that are not federally insured. The Company has not experienced any losses in such accounts and believes it is not exposed to significant credit risk on cash or investments. The Company relies, and expects to continue to rely, on a number of vendors to provide services, supplies and materials related to its research and development programs. The Company relies on single source suppliers for certain components and materials used in the Nautilus Voyager</w:t>
      </w:r>
      <w:r>
        <w:rPr>
          <w:rFonts w:ascii="Times New Roman;serif" w:hAnsi="Times New Roman;serif"/>
          <w:b w:val="false"/>
          <w:color w:val="000000"/>
          <w:sz w:val="13"/>
        </w:rPr>
        <w:t xml:space="preserve">TM </w:t>
      </w:r>
      <w:r>
        <w:rPr>
          <w:rFonts w:ascii="Times New Roman;serif" w:hAnsi="Times New Roman;serif"/>
          <w:b w:val="false"/>
          <w:color w:val="000000"/>
          <w:sz w:val="20"/>
        </w:rPr>
        <w:t>platform. The loss of any of these single source suppliers would require the Company to expend significant time and effort to locate and qualify an alternative source of supply for these components. The Company also relies, and expects to continue to rely, on third-party manufacturers and, in many cases, single third-party manufacturers for the production of certain reagents and antibodies. These programs could be adversely affected by a significant interruption in these services or the availability of materials.</w:t>
      </w:r>
    </w:p>
    <w:p>
      <w:pPr>
        <w:pStyle w:val="TextBody"/>
        <w:bidi w:val="0"/>
        <w:spacing w:lineRule="auto" w:line="288" w:before="0" w:after="180"/>
        <w:ind w:left="0" w:right="0" w:firstLine="360"/>
        <w:jc w:val="left"/>
        <w:rPr/>
      </w:pPr>
      <w:r>
        <w:rPr>
          <w:rFonts w:ascii="Times New Roman;serif" w:hAnsi="Times New Roman;serif"/>
          <w:b w:val="false"/>
          <w:color w:val="000000"/>
          <w:sz w:val="20"/>
        </w:rPr>
        <w:t>The Company is subject to risks similar to those of</w:t>
      </w:r>
      <w:r>
        <w:rPr>
          <w:color w:val="000000"/>
          <w:shd w:fill="FFFFFF" w:val="clear"/>
        </w:rPr>
        <w:t> </w:t>
      </w:r>
      <w:r>
        <w:rPr>
          <w:rFonts w:ascii="Times New Roman;serif" w:hAnsi="Times New Roman;serif"/>
          <w:b w:val="false"/>
          <w:color w:val="000000"/>
          <w:sz w:val="20"/>
          <w:shd w:fill="FFFFFF" w:val="clear"/>
        </w:rPr>
        <w:t xml:space="preserve">pre-clinical stage companies in the biopharmaceutical industry, including dependence on key individuals, the need to develop commercially viable products, competition from other companies, many of whom are larger and better capitalized, the impact of negative global and national events and the need to obtain adequate additional financing to fund the development of its products. There can be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7229" w:type="dxa"/>
        <w:jc w:val="left"/>
        <w:tblInd w:w="0" w:type="dxa"/>
        <w:tblLayout w:type="fixed"/>
        <w:tblCellMar>
          <w:top w:w="28" w:type="dxa"/>
          <w:left w:w="28" w:type="dxa"/>
          <w:bottom w:w="28" w:type="dxa"/>
          <w:right w:w="28" w:type="dxa"/>
        </w:tblCellMar>
      </w:tblPr>
      <w:tblGrid>
        <w:gridCol w:w="2313"/>
        <w:gridCol w:w="2035"/>
        <w:gridCol w:w="2881"/>
      </w:tblGrid>
      <w:tr>
        <w:trPr/>
        <w:tc>
          <w:tcPr>
            <w:tcW w:w="2313"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Notes to Condensed Consolidated Financial Statements—(Continued)</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(Unaudited)</w:t>
            </w:r>
          </w:p>
        </w:tc>
      </w:tr>
    </w:tbl>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288" w:before="0" w:after="180"/>
        <w:ind w:left="0" w:right="0" w:firstLine="360"/>
        <w:jc w:val="left"/>
        <w:rPr/>
      </w:pPr>
      <w:r>
        <w:rPr>
          <w:rFonts w:ascii="Times New Roman;serif" w:hAnsi="Times New Roman;serif"/>
          <w:b w:val="false"/>
          <w:color w:val="000000"/>
          <w:sz w:val="20"/>
        </w:rPr>
        <w:t>Operating segments are defined as components of an entity where discrete financial information is evaluated regularly by the chief operating decision m</w:t>
      </w:r>
      <w:r>
        <w:rPr>
          <w:rFonts w:ascii="Times New Roman;serif" w:hAnsi="Times New Roman;serif"/>
          <w:b w:val="false"/>
          <w:color w:val="000000"/>
          <w:sz w:val="20"/>
          <w:shd w:fill="FFFFFF" w:val="clear"/>
        </w:rPr>
        <w:t>aker (“CODM”) in deciding how to allocate resources and in assessing performance. The Company’s Chief Executive Officer is its CODM. The Company’s CODM re</w:t>
      </w:r>
      <w:r>
        <w:rPr>
          <w:rFonts w:ascii="Times New Roman;serif" w:hAnsi="Times New Roman;serif"/>
          <w:b w:val="false"/>
          <w:color w:val="000000"/>
          <w:sz w:val="20"/>
        </w:rPr>
        <w:t xml:space="preserv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Cash and Cash Equivalents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considers all highly-liquid investments with an original maturity of three months or less as of the date of acquisition to be cash equivalents.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considers investments with an original maturity greater than three months and remaining maturities less than 12 months to be short-term investments. The Company classifies those investments that are not required for use in current operations and that mature in more than 12 months as long-term investments.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classifies its marketable debt securities as available for sale and reports them at fair value, with unrealized gains and losses recorded in accumulated other comprehensive income (loss). For investments sold prior to maturity, the cost of investments sold is based on the specific identification method. Realized gains and losses on the sale of investments are recorded in other income (expense), net in the condensed consolidated statement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the estimated fair value of a marketable debt security is below its amortized cost basis, the Company evaluates whether it is more likely than not that the Company will be required to sell the security before its anticipated recovery in market value and whether credit losses exist for the related securities. Credit-related losses are recognized as an allowance for credit losses on the balance sheet with a corresponding adjustment to earnings. Unrealized gains and losses that are unrelated to credit deterioration are reported in accumulated other comprehensive income (loss).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hierarchy gives the highest priority to unadjusted quoted prices in active markets for identical assets or liabilities (Level 1 measurements) and the lowest priority to unobservable inputs (Level 3 measurements). These tiers include: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Level 1, defined as observable inputs such as quoted prices for identical instruments in active markets;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7229" w:type="dxa"/>
        <w:jc w:val="left"/>
        <w:tblInd w:w="0" w:type="dxa"/>
        <w:tblLayout w:type="fixed"/>
        <w:tblCellMar>
          <w:top w:w="28" w:type="dxa"/>
          <w:left w:w="28" w:type="dxa"/>
          <w:bottom w:w="28" w:type="dxa"/>
          <w:right w:w="28" w:type="dxa"/>
        </w:tblCellMar>
      </w:tblPr>
      <w:tblGrid>
        <w:gridCol w:w="2313"/>
        <w:gridCol w:w="2035"/>
        <w:gridCol w:w="2881"/>
      </w:tblGrid>
      <w:tr>
        <w:trPr/>
        <w:tc>
          <w:tcPr>
            <w:tcW w:w="2313"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Notes to Condensed Consolidated Financial Statements—(Continued)</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(Unaudited)</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carrying amounts of cash and cash equivalents, prepaid expenses and other current assets, accounts payable and accrued expenses and other liabilities approximate their respective fair values due to their short-term nature.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Inventory,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2026, in connection with the launch of our Early Access Program and other commercialization activities, we began capitalizing inventory costs. Inventory is stated at the lower of cost or net realizable value with cost determined using a standard cost system, which approximates actual costs. Standard costs are reviewed and updated periodically to ensure they remain representative of current production costs. Materials that may be utilized for either commercial or, alternatively, for research and development purposes, are classified as inventory. Amounts in inventory used for research and development purposes are charged to research and development expense when the item enters the research and development process and can no longer be used for commercial purposes. During the quarter ended March 31, 2026, $0.2 million was charged to research and development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Provisions for slow-moving, excess or obsolete inventories are recorded when required to reduce inventory values to their estimated net realizable values. For the quarter ended March 31, 2026, the Company did not have any inventory reserves. As of March 31, 2026, the Company had inventory of $0.3 million recorded in prepaid expense and other current assets in the condensed consolidated balance sheets.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Company determines if an arrangement includes a lease at inception by assessing whether there is an identified asset and whether the contract conveys the right to control the use of the identified asset for a period of </w:t>
      </w:r>
      <w:r>
        <w:rPr>
          <w:rFonts w:ascii="Times New Roman;serif" w:hAnsi="Times New Roman;serif"/>
          <w:b w:val="false"/>
          <w:color w:val="000000"/>
          <w:sz w:val="20"/>
          <w:shd w:fill="FFFFFF" w:val="clear"/>
        </w:rPr>
        <w:t>time in exchange for consideration. Operating leases with a term of more than one year are included in operating lease right-of-use (“ROU”) assets and operating lease liabilities on the Company's condensed consolidated balance sheets.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it is considered a finance lease, expense is recognized over the lease term within interest expense and amortization in the Company’s condensed consolidated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Comprehensive Loss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loss consists of net loss and other gains or losses affecting stockholders’ equity that, under U.S. GAAP are excluded from net loss. For the three months ended March 31, 2026 and 2025, net unrealized gains and losses on marketable debt securities were included as a component of comprehensive income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7229" w:type="dxa"/>
        <w:jc w:val="left"/>
        <w:tblInd w:w="0" w:type="dxa"/>
        <w:tblLayout w:type="fixed"/>
        <w:tblCellMar>
          <w:top w:w="28" w:type="dxa"/>
          <w:left w:w="28" w:type="dxa"/>
          <w:bottom w:w="28" w:type="dxa"/>
          <w:right w:w="28" w:type="dxa"/>
        </w:tblCellMar>
      </w:tblPr>
      <w:tblGrid>
        <w:gridCol w:w="2313"/>
        <w:gridCol w:w="2035"/>
        <w:gridCol w:w="2881"/>
      </w:tblGrid>
      <w:tr>
        <w:trPr/>
        <w:tc>
          <w:tcPr>
            <w:tcW w:w="2313"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Notes to Condensed Consolidated Financial Statements—(Continued)</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(Unaudited)</w:t>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Accounting Pronouncements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Recently Issued Accounting Pronouncements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2024, the Financial Accounting Standards Board issued Accounting Standards Update (“ASU”) 2024-03, Income Statement—Reporting Comprehensive Income—Expense Disaggregation Disclosures (Subtopic 220-40). The amendments in this update require disclosure, in the notes to financial statements, of specified information about certain costs and expenses. The ASU is effective for the Company for the fiscal year ending December 31, 2027 and for interim periods beginning after December 31, 2027. The Company does not anticipate adoption to have a material impact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assets carried at fair value and measured on a recurring basis within the three levels of fair value as of March 31, 2026 and December 31, 2025:</w:t>
      </w:r>
    </w:p>
    <w:tbl>
      <w:tblPr>
        <w:tblW w:w="10387" w:type="dxa"/>
        <w:jc w:val="left"/>
        <w:tblInd w:w="0" w:type="dxa"/>
        <w:tblLayout w:type="fixed"/>
        <w:tblCellMar>
          <w:top w:w="28" w:type="dxa"/>
          <w:left w:w="28" w:type="dxa"/>
          <w:bottom w:w="28" w:type="dxa"/>
          <w:right w:w="28" w:type="dxa"/>
        </w:tblCellMar>
      </w:tblPr>
      <w:tblGrid>
        <w:gridCol w:w="584"/>
        <w:gridCol w:w="263"/>
        <w:gridCol w:w="264"/>
        <w:gridCol w:w="109"/>
        <w:gridCol w:w="109"/>
        <w:gridCol w:w="109"/>
        <w:gridCol w:w="211"/>
        <w:gridCol w:w="826"/>
        <w:gridCol w:w="109"/>
        <w:gridCol w:w="109"/>
        <w:gridCol w:w="109"/>
        <w:gridCol w:w="109"/>
        <w:gridCol w:w="211"/>
        <w:gridCol w:w="406"/>
        <w:gridCol w:w="109"/>
        <w:gridCol w:w="109"/>
        <w:gridCol w:w="109"/>
        <w:gridCol w:w="109"/>
        <w:gridCol w:w="211"/>
        <w:gridCol w:w="481"/>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5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as:</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Long-term investments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1 and 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372" w:type="dxa"/>
        <w:jc w:val="left"/>
        <w:tblInd w:w="0" w:type="dxa"/>
        <w:tblLayout w:type="fixed"/>
        <w:tblCellMar>
          <w:top w:w="28" w:type="dxa"/>
          <w:left w:w="28" w:type="dxa"/>
          <w:bottom w:w="28" w:type="dxa"/>
          <w:right w:w="28" w:type="dxa"/>
        </w:tblCellMar>
      </w:tblPr>
      <w:tblGrid>
        <w:gridCol w:w="584"/>
        <w:gridCol w:w="263"/>
        <w:gridCol w:w="264"/>
        <w:gridCol w:w="109"/>
        <w:gridCol w:w="109"/>
        <w:gridCol w:w="109"/>
        <w:gridCol w:w="211"/>
        <w:gridCol w:w="826"/>
        <w:gridCol w:w="109"/>
        <w:gridCol w:w="109"/>
        <w:gridCol w:w="109"/>
        <w:gridCol w:w="109"/>
        <w:gridCol w:w="211"/>
        <w:gridCol w:w="466"/>
        <w:gridCol w:w="109"/>
        <w:gridCol w:w="109"/>
        <w:gridCol w:w="109"/>
        <w:gridCol w:w="109"/>
        <w:gridCol w:w="211"/>
        <w:gridCol w:w="40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5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as:</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Long-term investments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1 and 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Short-term investments have a contractual maturity date that is one year or less from the respective balance sheet date. Long-term investments have a contractual maturity date that is more than one year, but less than two years from the respective balance sheet date.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unrealized losses and fair values of available-for-sale securities that have been in an unrealized loss position for a period of less than and greater than 12 months as of March 31, 2026 are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7229" w:type="dxa"/>
        <w:jc w:val="left"/>
        <w:tblInd w:w="0" w:type="dxa"/>
        <w:tblLayout w:type="fixed"/>
        <w:tblCellMar>
          <w:top w:w="28" w:type="dxa"/>
          <w:left w:w="28" w:type="dxa"/>
          <w:bottom w:w="28" w:type="dxa"/>
          <w:right w:w="28" w:type="dxa"/>
        </w:tblCellMar>
      </w:tblPr>
      <w:tblGrid>
        <w:gridCol w:w="2313"/>
        <w:gridCol w:w="2035"/>
        <w:gridCol w:w="2881"/>
      </w:tblGrid>
      <w:tr>
        <w:trPr/>
        <w:tc>
          <w:tcPr>
            <w:tcW w:w="2313"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Notes to Condensed Consolidated Financial Statements—(Continued)</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(Unaudited)</w:t>
            </w:r>
          </w:p>
        </w:tc>
      </w:tr>
    </w:tbl>
    <w:p>
      <w:pPr>
        <w:pStyle w:val="TextBody"/>
        <w:bidi w:val="0"/>
        <w:spacing w:lineRule="auto" w:line="288" w:before="0" w:after="180"/>
        <w:ind w:left="0" w:right="0" w:firstLine="360"/>
        <w:jc w:val="left"/>
        <w:rPr>
          <w:rFonts w:eastAsia="Times New Roman;serif"/>
          <w:b w:val="false"/>
          <w:color w:val="000000"/>
          <w:sz w:val="20"/>
        </w:rPr>
      </w:pPr>
      <w:r>
        <w:rPr>
          <w:rFonts w:eastAsia="Times New Roman;serif"/>
          <w:b w:val="false"/>
          <w:color w:val="000000"/>
          <w:sz w:val="20"/>
        </w:rPr>
        <w:t>ㅤ</w:t>
      </w:r>
    </w:p>
    <w:tbl>
      <w:tblPr>
        <w:tblW w:w="10205" w:type="dxa"/>
        <w:jc w:val="left"/>
        <w:tblInd w:w="0" w:type="dxa"/>
        <w:tblLayout w:type="fixed"/>
        <w:tblCellMar>
          <w:top w:w="28" w:type="dxa"/>
          <w:left w:w="28" w:type="dxa"/>
          <w:bottom w:w="28" w:type="dxa"/>
          <w:right w:w="28" w:type="dxa"/>
        </w:tblCellMar>
      </w:tblPr>
      <w:tblGrid>
        <w:gridCol w:w="621"/>
        <w:gridCol w:w="344"/>
        <w:gridCol w:w="345"/>
        <w:gridCol w:w="109"/>
        <w:gridCol w:w="109"/>
        <w:gridCol w:w="109"/>
        <w:gridCol w:w="326"/>
        <w:gridCol w:w="613"/>
        <w:gridCol w:w="133"/>
        <w:gridCol w:w="128"/>
        <w:gridCol w:w="128"/>
        <w:gridCol w:w="128"/>
        <w:gridCol w:w="249"/>
        <w:gridCol w:w="851"/>
        <w:gridCol w:w="128"/>
        <w:gridCol w:w="109"/>
        <w:gridCol w:w="109"/>
        <w:gridCol w:w="109"/>
        <w:gridCol w:w="403"/>
        <w:gridCol w:w="527"/>
        <w:gridCol w:w="141"/>
        <w:gridCol w:w="136"/>
        <w:gridCol w:w="136"/>
        <w:gridCol w:w="136"/>
        <w:gridCol w:w="264"/>
        <w:gridCol w:w="772"/>
        <w:gridCol w:w="136"/>
        <w:gridCol w:w="109"/>
        <w:gridCol w:w="109"/>
        <w:gridCol w:w="109"/>
        <w:gridCol w:w="281"/>
        <w:gridCol w:w="645"/>
        <w:gridCol w:w="145"/>
        <w:gridCol w:w="109"/>
        <w:gridCol w:w="109"/>
        <w:gridCol w:w="109"/>
        <w:gridCol w:w="227"/>
        <w:gridCol w:w="776"/>
        <w:gridCol w:w="178"/>
      </w:tblGrid>
      <w:tr>
        <w:trPr/>
        <w:tc>
          <w:tcPr>
            <w:tcW w:w="62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Securities in Unrealized Loss Position 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Securities in Unrealized Loss Position Greater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r>
      <w:tr>
        <w:trPr/>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89,599 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91,080 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rPr>
        <w:t>The Company reviewed its investment portfolio based on the underlying risk profile of the securities and have no loss expectation for these investments. The Company reviewed the securities in an unrealized loss position and evaluated the current expected credit loss by considering factors such as historical experience, market data, issuer-specific factors, and current economic conditions. The Company recognized no credit losses during the three months ended March 31, 2026 and 2025, and had no allowance for credit losses as of March 31, 2026 and December 31, 2025.</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4.     Composition of Certain Condensed Consolidated Financial Statement Line Items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Property and Equipment, Net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and equipment consisted of the following:</w:t>
      </w:r>
    </w:p>
    <w:tbl>
      <w:tblPr>
        <w:tblW w:w="5747" w:type="dxa"/>
        <w:jc w:val="left"/>
        <w:tblInd w:w="0" w:type="dxa"/>
        <w:tblLayout w:type="fixed"/>
        <w:tblCellMar>
          <w:top w:w="28" w:type="dxa"/>
          <w:left w:w="28" w:type="dxa"/>
          <w:bottom w:w="28" w:type="dxa"/>
          <w:right w:w="28" w:type="dxa"/>
        </w:tblCellMar>
      </w:tblPr>
      <w:tblGrid>
        <w:gridCol w:w="1211"/>
        <w:gridCol w:w="1064"/>
        <w:gridCol w:w="1069"/>
        <w:gridCol w:w="211"/>
        <w:gridCol w:w="616"/>
        <w:gridCol w:w="109"/>
        <w:gridCol w:w="109"/>
        <w:gridCol w:w="109"/>
        <w:gridCol w:w="109"/>
        <w:gridCol w:w="245"/>
        <w:gridCol w:w="716"/>
        <w:gridCol w:w="179"/>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hardware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office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Prototype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recorded depreciation expense of $0.3 million and $0.5 million for the three months ended March 31, 2026 and 2025, respectively, which was primarily allocated to research and development expense.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Accrued Expenses and Other Liabilities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 consisted of the following:</w:t>
      </w:r>
    </w:p>
    <w:tbl>
      <w:tblPr>
        <w:tblW w:w="5852" w:type="dxa"/>
        <w:jc w:val="left"/>
        <w:tblInd w:w="0" w:type="dxa"/>
        <w:tblLayout w:type="fixed"/>
        <w:tblCellMar>
          <w:top w:w="28" w:type="dxa"/>
          <w:left w:w="28" w:type="dxa"/>
          <w:bottom w:w="28" w:type="dxa"/>
          <w:right w:w="28" w:type="dxa"/>
        </w:tblCellMar>
      </w:tblPr>
      <w:tblGrid>
        <w:gridCol w:w="1248"/>
        <w:gridCol w:w="1096"/>
        <w:gridCol w:w="1105"/>
        <w:gridCol w:w="211"/>
        <w:gridCol w:w="616"/>
        <w:gridCol w:w="109"/>
        <w:gridCol w:w="109"/>
        <w:gridCol w:w="109"/>
        <w:gridCol w:w="109"/>
        <w:gridCol w:w="245"/>
        <w:gridCol w:w="716"/>
        <w:gridCol w:w="179"/>
      </w:tblGrid>
      <w:tr>
        <w:trPr/>
        <w:tc>
          <w:tcPr>
            <w:tcW w:w="124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professional and consulting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7229" w:type="dxa"/>
        <w:jc w:val="left"/>
        <w:tblInd w:w="0" w:type="dxa"/>
        <w:tblLayout w:type="fixed"/>
        <w:tblCellMar>
          <w:top w:w="28" w:type="dxa"/>
          <w:left w:w="28" w:type="dxa"/>
          <w:bottom w:w="28" w:type="dxa"/>
          <w:right w:w="28" w:type="dxa"/>
        </w:tblCellMar>
      </w:tblPr>
      <w:tblGrid>
        <w:gridCol w:w="2313"/>
        <w:gridCol w:w="2035"/>
        <w:gridCol w:w="2881"/>
      </w:tblGrid>
      <w:tr>
        <w:trPr/>
        <w:tc>
          <w:tcPr>
            <w:tcW w:w="2313"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Notes to Condensed Consolidated Financial Statements—(Continued)</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(Unaudited)</w:t>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Cash, Cash Equivalents and Restricted Cash</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consisted of the following:</w:t>
      </w:r>
    </w:p>
    <w:tbl>
      <w:tblPr>
        <w:tblW w:w="7352" w:type="dxa"/>
        <w:jc w:val="left"/>
        <w:tblInd w:w="0" w:type="dxa"/>
        <w:tblLayout w:type="fixed"/>
        <w:tblCellMar>
          <w:top w:w="28" w:type="dxa"/>
          <w:left w:w="28" w:type="dxa"/>
          <w:bottom w:w="28" w:type="dxa"/>
          <w:right w:w="28" w:type="dxa"/>
        </w:tblCellMar>
      </w:tblPr>
      <w:tblGrid>
        <w:gridCol w:w="1755"/>
        <w:gridCol w:w="1543"/>
        <w:gridCol w:w="1547"/>
        <w:gridCol w:w="211"/>
        <w:gridCol w:w="721"/>
        <w:gridCol w:w="109"/>
        <w:gridCol w:w="109"/>
        <w:gridCol w:w="109"/>
        <w:gridCol w:w="109"/>
        <w:gridCol w:w="221"/>
        <w:gridCol w:w="757"/>
        <w:gridCol w:w="161"/>
      </w:tblGrid>
      <w:tr>
        <w:trPr/>
        <w:tc>
          <w:tcPr>
            <w:tcW w:w="1755"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long-term assets (Note 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long-term assets consisted of $1.0 million of restricted cash and $0.2 million of deposits as of March 31,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5.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127,070,480 shares issued and outstanding as of March 31, 2026.</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Common Stock Reserved for Future Issuance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Shares of common stock reserved for future issuance on an as-if converted basis, were as follows:</w:t>
      </w:r>
    </w:p>
    <w:tbl>
      <w:tblPr>
        <w:tblW w:w="8947" w:type="dxa"/>
        <w:jc w:val="left"/>
        <w:tblInd w:w="0" w:type="dxa"/>
        <w:tblLayout w:type="fixed"/>
        <w:tblCellMar>
          <w:top w:w="28" w:type="dxa"/>
          <w:left w:w="28" w:type="dxa"/>
          <w:bottom w:w="28" w:type="dxa"/>
          <w:right w:w="28" w:type="dxa"/>
        </w:tblCellMar>
      </w:tblPr>
      <w:tblGrid>
        <w:gridCol w:w="2065"/>
        <w:gridCol w:w="1814"/>
        <w:gridCol w:w="1821"/>
        <w:gridCol w:w="540"/>
        <w:gridCol w:w="541"/>
        <w:gridCol w:w="286"/>
        <w:gridCol w:w="109"/>
        <w:gridCol w:w="109"/>
        <w:gridCol w:w="109"/>
        <w:gridCol w:w="540"/>
        <w:gridCol w:w="541"/>
        <w:gridCol w:w="472"/>
      </w:tblGrid>
      <w:tr>
        <w:trPr/>
        <w:tc>
          <w:tcPr>
            <w:tcW w:w="2065"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grant under 2021 Equity Incentive Plan</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33,946,676 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29,341,567 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issued and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18,388,371 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17,270,870 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available for grant under 2021 Employee Stock Purchase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6,782,768 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5,518,072 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of common stock reserved</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59,117,815 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52,130,509 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6.     Income Taxes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accounts for income taxes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 For the three months ended March 31, 2026 and 2025, no income tax expense or benefit was recognized, due to a full valuation allowance recorded against its deferred tax assets. For three months ended March 31, 2026 and 2025, the effective tax rate was 0%, primarily due to a valuation allowance recorded against the net deferred tax asset balance.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7.     Equity Incentive Plans and Stock-based Compensation</w:t>
      </w:r>
    </w:p>
    <w:p>
      <w:pPr>
        <w:pStyle w:val="TextBody"/>
        <w:bidi w:val="0"/>
        <w:spacing w:lineRule="auto" w:line="288" w:before="0" w:after="180"/>
        <w:ind w:left="0" w:right="0" w:firstLine="360"/>
        <w:jc w:val="left"/>
        <w:rPr/>
      </w:pPr>
      <w:r>
        <w:rPr>
          <w:rFonts w:ascii="Times New Roman;serif" w:hAnsi="Times New Roman;serif"/>
          <w:b w:val="false"/>
          <w:color w:val="000000"/>
          <w:sz w:val="20"/>
        </w:rPr>
        <w:t>On June 8, 2021, the stockholders of the Company approved the 2021 Equity Incentive Plan (“2021 Plan”) and the 2021 Employee Stock Purchase Plan (</w:t>
      </w:r>
      <w:r>
        <w:rPr>
          <w:color w:val="000000"/>
          <w:shd w:fill="FFFFFF" w:val="clear"/>
        </w:rPr>
        <w:t>“</w:t>
      </w:r>
      <w:r>
        <w:rPr>
          <w:rFonts w:ascii="Times New Roman;serif" w:hAnsi="Times New Roman;serif"/>
          <w:b w:val="false"/>
          <w:color w:val="000000"/>
          <w:sz w:val="20"/>
          <w:shd w:fill="FFFFFF" w:val="clear"/>
        </w:rPr>
        <w:t xml:space="preserve">2021 ESPP”). As of </w:t>
      </w:r>
      <w:r>
        <w:rPr>
          <w:rFonts w:ascii="Times New Roman;serif" w:hAnsi="Times New Roman;serif"/>
          <w:b w:val="false"/>
          <w:color w:val="000000"/>
          <w:sz w:val="20"/>
        </w:rPr>
        <w:t xml:space="preserve">March 31, 2026, 33,946,676 and 6,782,768 shares were available for grant under the 2021 Plan and 2021 ESPP, respectively.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2021 Employee Stock Purchase Plan</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Under the 2021 ESPP, participants are permitted to purchase shares of Common Stock, up to the IRS allowable limit, through contributions (in the form of payroll deductions or otherwise to the extent permitted by the administrator of the 2021 ESPP) of up to 15% of their eligible compensation. Participants are permitted to purchase shares of the Company’s Common Stock at 85% of the lower of the fair market value of the Company’s Common Stock on the first trading day of an offering period or on the last trading date in each purchase period. The Company offers a six month purchase period. Participants may end their participation at any time during an offering and will be paid their accrued contributions that have not yet been used to purchase shares. Participation ends automatically upon termination of employment with the Company. The number of shares of common stock available for issuance under the 2021 ESPP will be increased on the first day of each fiscal year in an amount equal to the least of (i)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7229" w:type="dxa"/>
        <w:jc w:val="left"/>
        <w:tblInd w:w="0" w:type="dxa"/>
        <w:tblLayout w:type="fixed"/>
        <w:tblCellMar>
          <w:top w:w="28" w:type="dxa"/>
          <w:left w:w="28" w:type="dxa"/>
          <w:bottom w:w="28" w:type="dxa"/>
          <w:right w:w="28" w:type="dxa"/>
        </w:tblCellMar>
      </w:tblPr>
      <w:tblGrid>
        <w:gridCol w:w="2313"/>
        <w:gridCol w:w="2035"/>
        <w:gridCol w:w="2881"/>
      </w:tblGrid>
      <w:tr>
        <w:trPr/>
        <w:tc>
          <w:tcPr>
            <w:tcW w:w="2313"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Notes to Condensed Consolidated Financial Statements—(Continued)</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(Unaudited)</w:t>
            </w:r>
          </w:p>
        </w:tc>
      </w:tr>
    </w:tbl>
    <w:p>
      <w:pPr>
        <w:pStyle w:val="TextBody"/>
        <w:bidi w:val="0"/>
        <w:spacing w:lineRule="auto" w:line="288" w:before="0" w:after="180"/>
        <w:jc w:val="left"/>
        <w:rPr/>
      </w:pPr>
      <w:r>
        <w:rPr>
          <w:rFonts w:ascii="Times New Roman;serif" w:hAnsi="Times New Roman;serif"/>
          <w:b w:val="false"/>
          <w:color w:val="000000"/>
          <w:sz w:val="20"/>
          <w:shd w:fill="FFFFFF" w:val="clear"/>
        </w:rPr>
        <w:t>3,734,500 shares of common stock, (ii) a number of s</w:t>
      </w:r>
      <w:r>
        <w:rPr>
          <w:rFonts w:ascii="Times New Roman;serif" w:hAnsi="Times New Roman;serif"/>
          <w:b w:val="false"/>
          <w:color w:val="000000"/>
          <w:sz w:val="20"/>
        </w:rPr>
        <w:t>hares of common stock equal to one percent (1%) of the total number of shares of all classes of common stock of the Company on the last day of the immediately preceding fiscal year, or (iii) such number of shares determined by the Administrator no later than the last day of the immediately preceding fiscal year. On January 1, 2026, the number of shares available under the 2021 ESPP increased by 1,264,696 shares pursuant to this feature.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2021 Equity Incentive Plan</w:t>
      </w:r>
    </w:p>
    <w:p>
      <w:pPr>
        <w:pStyle w:val="TextBody"/>
        <w:bidi w:val="0"/>
        <w:spacing w:lineRule="auto" w:line="288" w:before="0" w:after="180"/>
        <w:ind w:left="0" w:right="0" w:firstLine="360"/>
        <w:jc w:val="left"/>
        <w:rPr/>
      </w:pPr>
      <w:r>
        <w:rPr>
          <w:rFonts w:ascii="Times New Roman;serif" w:hAnsi="Times New Roman;serif"/>
          <w:b w:val="false"/>
          <w:color w:val="000000"/>
          <w:sz w:val="20"/>
        </w:rPr>
        <w:t>Under the 2021 Plan, the Company can grant incentive stock options, nonstatutory stock options, stock appreciation rig</w:t>
      </w:r>
      <w:r>
        <w:rPr>
          <w:rFonts w:ascii="Times New Roman;serif" w:hAnsi="Times New Roman;serif"/>
          <w:b w:val="false"/>
          <w:color w:val="000000"/>
          <w:sz w:val="20"/>
          <w:shd w:fill="FFFFFF" w:val="clear"/>
        </w:rPr>
        <w:t xml:space="preserve">hts, restricted stock, restricted stock units and performance awards to employees, non-employee directors and consultants. </w:t>
      </w:r>
      <w:r>
        <w:rPr>
          <w:rFonts w:ascii="Times New Roman;serif" w:hAnsi="Times New Roman;serif"/>
          <w:b w:val="false"/>
          <w:color w:val="000000"/>
          <w:sz w:val="20"/>
        </w:rPr>
        <w:t xml:space="preserve">Options generally expire ten years after the date of grant. </w:t>
      </w:r>
      <w:r>
        <w:rPr>
          <w:rFonts w:ascii="Times New Roman;serif" w:hAnsi="Times New Roman;serif"/>
          <w:b w:val="false"/>
          <w:color w:val="000000"/>
          <w:sz w:val="20"/>
          <w:shd w:fill="FFFFFF" w:val="clear"/>
        </w:rPr>
        <w:t>The number of shares available for issuance under the 2021 Plan will be increased on the first day of each fiscal year in an amount equal to the least of (i) 18,672,200 shares, (ii) a number of shares equal to five percent (5%) of the total number of shares of all classes of common stock of the Company outstanding on the last day of the immediately preceding fiscal year, or (iii) such number of shares determined by the Administrator no later than the last day of the immediately preceding fiscal year</w:t>
      </w:r>
      <w:r>
        <w:rPr>
          <w:rFonts w:ascii="Times New Roman;serif" w:hAnsi="Times New Roman;serif"/>
          <w:b w:val="false"/>
          <w:color w:val="000000"/>
          <w:sz w:val="20"/>
        </w:rPr>
        <w:t>. On January 1, 2026, the number of shares available under the 2021 Plan increased by 6,323,480 shares pursuant to this feature.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2017 Equity Incentive Plan</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the time of adoption of the 2021 Plan and the 2021 ESPP, no further awards will be granted under the 2017 Equity Incentive Plan (“2017 Plan”). Stock-based awards forfeited or cancelled from the 2017 Plan are returned to the pool of shares of Common Stock available for issuance under the 2021 Plan.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Grant Date Fair Value of Stock Options</w:t>
      </w:r>
    </w:p>
    <w:p>
      <w:pPr>
        <w:pStyle w:val="TextBody"/>
        <w:bidi w:val="0"/>
        <w:spacing w:lineRule="auto" w:line="288" w:before="0" w:after="180"/>
        <w:ind w:left="0" w:right="0" w:firstLine="360"/>
        <w:jc w:val="left"/>
        <w:rPr/>
      </w:pPr>
      <w:r>
        <w:rPr>
          <w:rFonts w:ascii="Times New Roman;serif" w:hAnsi="Times New Roman;serif"/>
          <w:b w:val="false"/>
          <w:color w:val="000000"/>
          <w:sz w:val="20"/>
        </w:rPr>
        <w:t>In determining the compensation cost of the option awards, the fair value for each option award has been estimated using the</w:t>
      </w:r>
      <w:r>
        <w:rPr>
          <w:color w:val="000000"/>
          <w:shd w:fill="FFFFFF" w:val="clear"/>
        </w:rPr>
        <w:t xml:space="preserve"> </w:t>
      </w:r>
      <w:r>
        <w:rPr>
          <w:rFonts w:ascii="Times New Roman;serif" w:hAnsi="Times New Roman;serif"/>
          <w:b w:val="false"/>
          <w:color w:val="000000"/>
          <w:sz w:val="20"/>
          <w:shd w:fill="FFFFFF" w:val="clear"/>
        </w:rPr>
        <w:t>Black Scholes model</w:t>
      </w:r>
      <w:r>
        <w:rPr>
          <w:rFonts w:ascii="Times New Roman;serif" w:hAnsi="Times New Roman;serif"/>
          <w:b w:val="false"/>
          <w:color w:val="000000"/>
          <w:sz w:val="20"/>
        </w:rPr>
        <w:t>. The significant assumptions used in these calculations are summarized as follows:</w:t>
      </w:r>
    </w:p>
    <w:tbl>
      <w:tblPr>
        <w:tblW w:w="5984" w:type="dxa"/>
        <w:jc w:val="left"/>
        <w:tblInd w:w="0" w:type="dxa"/>
        <w:tblLayout w:type="fixed"/>
        <w:tblCellMar>
          <w:top w:w="28" w:type="dxa"/>
          <w:left w:w="28" w:type="dxa"/>
          <w:bottom w:w="28" w:type="dxa"/>
          <w:right w:w="28" w:type="dxa"/>
        </w:tblCellMar>
      </w:tblPr>
      <w:tblGrid>
        <w:gridCol w:w="755"/>
        <w:gridCol w:w="663"/>
        <w:gridCol w:w="666"/>
        <w:gridCol w:w="290"/>
        <w:gridCol w:w="290"/>
        <w:gridCol w:w="725"/>
        <w:gridCol w:w="200"/>
        <w:gridCol w:w="200"/>
        <w:gridCol w:w="200"/>
        <w:gridCol w:w="337"/>
        <w:gridCol w:w="337"/>
        <w:gridCol w:w="840"/>
        <w:gridCol w:w="109"/>
        <w:gridCol w:w="109"/>
        <w:gridCol w:w="10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6.0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81.8% - 82.0%</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101.9% - 102.1%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rate</w:t>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3.69% - 3.72%</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3.97% - 4.03%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Expected volatility: We became a public company in 2021 following the Business Combination, and as such, the Company lacked company</w:t>
        <w:noBreakHyphen/>
        <w:t>specific historical and implied volatility information to solely utilize its own data for purposes of establishing the volatility assumption for use in the Black-Scholes model. Therefore, we estimate our expected volatility of the Company’s common stock based on a mix of company-specific historical volatility and an average of historical volatilities of selected industry peers deemed to be comparable to the Company’s business corresponding to the expected term of the awards. The Company will continue to apply this process until an adequate amount of historical information regarding the volatility of its own stock price becomes available.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Expected dividend yield: The expected dividend rate is zero as the Company has no history or expectation of declaring dividends on its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tbl>
      <w:tblPr>
        <w:tblW w:w="7229" w:type="dxa"/>
        <w:jc w:val="left"/>
        <w:tblInd w:w="0" w:type="dxa"/>
        <w:tblLayout w:type="fixed"/>
        <w:tblCellMar>
          <w:top w:w="28" w:type="dxa"/>
          <w:left w:w="28" w:type="dxa"/>
          <w:bottom w:w="28" w:type="dxa"/>
          <w:right w:w="28" w:type="dxa"/>
        </w:tblCellMar>
      </w:tblPr>
      <w:tblGrid>
        <w:gridCol w:w="2313"/>
        <w:gridCol w:w="2035"/>
        <w:gridCol w:w="2881"/>
      </w:tblGrid>
      <w:tr>
        <w:trPr/>
        <w:tc>
          <w:tcPr>
            <w:tcW w:w="2313"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Notes to Condensed Consolidated Financial Statements—(Continued)</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(Unaudited)</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Risk-free interest rate: The risk-free interest rate is based on the U.S. Treasury yield curve in effect at the time of grant for zero-coupon U.S. Treasury notes with maturities corresponding to the expected term of the awards.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option award activity during the three months ended March 31, 2026:</w:t>
      </w:r>
    </w:p>
    <w:tbl>
      <w:tblPr>
        <w:tblW w:w="10205" w:type="dxa"/>
        <w:jc w:val="left"/>
        <w:tblInd w:w="0" w:type="dxa"/>
        <w:tblLayout w:type="fixed"/>
        <w:tblCellMar>
          <w:top w:w="28" w:type="dxa"/>
          <w:left w:w="28" w:type="dxa"/>
          <w:bottom w:w="28" w:type="dxa"/>
          <w:right w:w="28" w:type="dxa"/>
        </w:tblCellMar>
      </w:tblPr>
      <w:tblGrid>
        <w:gridCol w:w="867"/>
        <w:gridCol w:w="762"/>
        <w:gridCol w:w="764"/>
        <w:gridCol w:w="829"/>
        <w:gridCol w:w="440"/>
        <w:gridCol w:w="426"/>
        <w:gridCol w:w="109"/>
        <w:gridCol w:w="109"/>
        <w:gridCol w:w="109"/>
        <w:gridCol w:w="350"/>
        <w:gridCol w:w="849"/>
        <w:gridCol w:w="181"/>
        <w:gridCol w:w="109"/>
        <w:gridCol w:w="109"/>
        <w:gridCol w:w="109"/>
        <w:gridCol w:w="670"/>
        <w:gridCol w:w="670"/>
        <w:gridCol w:w="672"/>
        <w:gridCol w:w="109"/>
        <w:gridCol w:w="109"/>
        <w:gridCol w:w="109"/>
        <w:gridCol w:w="337"/>
        <w:gridCol w:w="1154"/>
        <w:gridCol w:w="253"/>
      </w:tblGrid>
      <w:tr>
        <w:trPr/>
        <w:tc>
          <w:tcPr>
            <w:tcW w:w="86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Stock 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 (in thousands)</w:t>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17,270,870 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1,875,200 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(600,870)</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(156,829)</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Outstanding as of March 31, 2026</w:t>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18,388,371 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27,044 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Options vested and expected to vest as of March 31, 2026</w:t>
            </w:r>
          </w:p>
        </w:tc>
        <w:tc>
          <w:tcPr>
            <w:tcW w:w="126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18,388,371 </w:t>
            </w:r>
          </w:p>
        </w:tc>
        <w:tc>
          <w:tcPr>
            <w:tcW w:w="4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 and exercisable at March 31, 2026</w:t>
            </w:r>
          </w:p>
        </w:tc>
        <w:tc>
          <w:tcPr>
            <w:tcW w:w="126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11,704,461 </w:t>
            </w:r>
          </w:p>
        </w:tc>
        <w:tc>
          <w:tcPr>
            <w:tcW w:w="4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there was $9.3 million of total unrecognized compensation expense expected to be recognized over a weighted average-period of 2.6 years. Aggregate intrinsic value represents the difference between the fair market value of the common stock and the exercise price of outstanding, in-the-money options.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sets forth the total stock-based compensation expense included in the Company’s condensed consolidated statement of operations:</w:t>
      </w:r>
    </w:p>
    <w:tbl>
      <w:tblPr>
        <w:tblW w:w="6329" w:type="dxa"/>
        <w:jc w:val="left"/>
        <w:tblInd w:w="0" w:type="dxa"/>
        <w:tblLayout w:type="fixed"/>
        <w:tblCellMar>
          <w:top w:w="28" w:type="dxa"/>
          <w:left w:w="28" w:type="dxa"/>
          <w:bottom w:w="28" w:type="dxa"/>
          <w:right w:w="28" w:type="dxa"/>
        </w:tblCellMar>
      </w:tblPr>
      <w:tblGrid>
        <w:gridCol w:w="1247"/>
        <w:gridCol w:w="1096"/>
        <w:gridCol w:w="1106"/>
        <w:gridCol w:w="230"/>
        <w:gridCol w:w="672"/>
        <w:gridCol w:w="119"/>
        <w:gridCol w:w="119"/>
        <w:gridCol w:w="119"/>
        <w:gridCol w:w="119"/>
        <w:gridCol w:w="230"/>
        <w:gridCol w:w="672"/>
        <w:gridCol w:w="119"/>
        <w:gridCol w:w="109"/>
        <w:gridCol w:w="109"/>
        <w:gridCol w:w="109"/>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8.     Commitments and Contingencies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Open purchase commitments are for the purchase of goods and services related to, but not limited to, research and development, facilities, and professional services under non-cancellable contracts. They were not recorded as liabilities on the condensed consolidated balance sheet as of March 31, 2026 as the Company had not yet received the related goods or services. As of March 31, 2026, the Company had open purchase commitments for goods and services of $2.3 million, of which $2.2 million are expected to be received through the next 12 months.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become involved in litigation relating to claims arising from the ordinary course of business. Management believes that there are currently no claims or actions pending against the Company where the ultimate disposition could have a material adverse effect on the Company’s results of operations, financial condition or cash flows.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obligated under certain non-cancellable operating leases for office space and laboratory space. This space includes operating leases in Seattle, Washington, San Carlos, California, and San Diego, California.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tbl>
      <w:tblPr>
        <w:tblW w:w="7229" w:type="dxa"/>
        <w:jc w:val="left"/>
        <w:tblInd w:w="0" w:type="dxa"/>
        <w:tblLayout w:type="fixed"/>
        <w:tblCellMar>
          <w:top w:w="28" w:type="dxa"/>
          <w:left w:w="28" w:type="dxa"/>
          <w:bottom w:w="28" w:type="dxa"/>
          <w:right w:w="28" w:type="dxa"/>
        </w:tblCellMar>
      </w:tblPr>
      <w:tblGrid>
        <w:gridCol w:w="2313"/>
        <w:gridCol w:w="2035"/>
        <w:gridCol w:w="2881"/>
      </w:tblGrid>
      <w:tr>
        <w:trPr/>
        <w:tc>
          <w:tcPr>
            <w:tcW w:w="2313"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Notes to Condensed Consolidated Financial Statements—(Continued)</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(Unaudited)</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future principal contractual obligations for operating lease commitments as of March 31, 2026:</w:t>
      </w:r>
    </w:p>
    <w:tbl>
      <w:tblPr>
        <w:tblW w:w="4829" w:type="dxa"/>
        <w:jc w:val="left"/>
        <w:tblInd w:w="0" w:type="dxa"/>
        <w:tblLayout w:type="fixed"/>
        <w:tblCellMar>
          <w:top w:w="28" w:type="dxa"/>
          <w:left w:w="28" w:type="dxa"/>
          <w:bottom w:w="28" w:type="dxa"/>
          <w:right w:w="28" w:type="dxa"/>
        </w:tblCellMar>
      </w:tblPr>
      <w:tblGrid>
        <w:gridCol w:w="1225"/>
        <w:gridCol w:w="1077"/>
        <w:gridCol w:w="1088"/>
        <w:gridCol w:w="279"/>
        <w:gridCol w:w="956"/>
        <w:gridCol w:w="204"/>
      </w:tblGrid>
      <w:tr>
        <w:trPr/>
        <w:tc>
          <w:tcPr>
            <w:tcW w:w="122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Lease Obligations</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Nine months ending December 31, 2026</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36,455 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28,873 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cash paid for amounts included in the measurement of operating lease liabilities included in cash flows used in operating activities was $1.8 million and $1.8 million,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$1.0 million in cash-collateralized letters of credit with one financial institution in lieu of security deposits in connection with the San Carlos and San Diego lease agreements.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Indemnification Agreements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9.     Basic and Diluted Net Loss per Share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the computation of the Company’s basic and diluted net loss per share attributable to common stockholders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2542"/>
        <w:gridCol w:w="2123"/>
        <w:gridCol w:w="2141"/>
        <w:gridCol w:w="264"/>
        <w:gridCol w:w="922"/>
        <w:gridCol w:w="109"/>
        <w:gridCol w:w="109"/>
        <w:gridCol w:w="109"/>
        <w:gridCol w:w="109"/>
        <w:gridCol w:w="264"/>
        <w:gridCol w:w="922"/>
        <w:gridCol w:w="109"/>
        <w:gridCol w:w="109"/>
        <w:gridCol w:w="109"/>
        <w:gridCol w:w="109"/>
        <w:gridCol w:w="155"/>
      </w:tblGrid>
      <w:tr>
        <w:trPr/>
        <w:tc>
          <w:tcPr>
            <w:tcW w:w="2542"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amounts)</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in computing net loss per share attributable to common stockholders, basic and 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126,634,782 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126,144,240 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tbl>
      <w:tblPr>
        <w:tblW w:w="7229" w:type="dxa"/>
        <w:jc w:val="left"/>
        <w:tblInd w:w="0" w:type="dxa"/>
        <w:tblLayout w:type="fixed"/>
        <w:tblCellMar>
          <w:top w:w="28" w:type="dxa"/>
          <w:left w:w="28" w:type="dxa"/>
          <w:bottom w:w="28" w:type="dxa"/>
          <w:right w:w="28" w:type="dxa"/>
        </w:tblCellMar>
      </w:tblPr>
      <w:tblGrid>
        <w:gridCol w:w="2313"/>
        <w:gridCol w:w="2035"/>
        <w:gridCol w:w="2881"/>
      </w:tblGrid>
      <w:tr>
        <w:trPr/>
        <w:tc>
          <w:tcPr>
            <w:tcW w:w="2313"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Notes to Condensed Consolidated Financial Statements—(Continued)</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(Unaudited)</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potential shares of common stock that were excluded from the computation of diluted net loss per share attributable to common stockholders for the periods presented because including them would have had an antidilutive effect were as follows:</w:t>
      </w:r>
    </w:p>
    <w:tbl>
      <w:tblPr>
        <w:tblW w:w="7390" w:type="dxa"/>
        <w:jc w:val="left"/>
        <w:tblInd w:w="0" w:type="dxa"/>
        <w:tblLayout w:type="fixed"/>
        <w:tblCellMar>
          <w:top w:w="28" w:type="dxa"/>
          <w:left w:w="28" w:type="dxa"/>
          <w:bottom w:w="28" w:type="dxa"/>
          <w:right w:w="28" w:type="dxa"/>
        </w:tblCellMar>
      </w:tblPr>
      <w:tblGrid>
        <w:gridCol w:w="1588"/>
        <w:gridCol w:w="1400"/>
        <w:gridCol w:w="1406"/>
        <w:gridCol w:w="551"/>
        <w:gridCol w:w="259"/>
        <w:gridCol w:w="259"/>
        <w:gridCol w:w="259"/>
        <w:gridCol w:w="259"/>
        <w:gridCol w:w="259"/>
        <w:gridCol w:w="524"/>
        <w:gridCol w:w="259"/>
        <w:gridCol w:w="367"/>
      </w:tblGrid>
      <w:tr>
        <w:trPr/>
        <w:tc>
          <w:tcPr>
            <w:tcW w:w="1588"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1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18,388,371</w:t>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18,118,170</w:t>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84,719</w:t>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145,879</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potentially dilutive common share equivalents</w:t>
            </w:r>
          </w:p>
        </w:tc>
        <w:tc>
          <w:tcPr>
            <w:tcW w:w="10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18,473,090</w:t>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18,264,049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10.     Segment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Chief Executive Officer is its CODM. The Company’s CODM uses consolidated net loss in assessing operating decisions, allocating resources and evaluating financial performance. Consolidated net loss is used to monitor budget versus actual results. The Company identified the following significant segment expenses for its single reportable segment: </w:t>
      </w:r>
    </w:p>
    <w:tbl>
      <w:tblPr>
        <w:tblW w:w="6700" w:type="dxa"/>
        <w:jc w:val="left"/>
        <w:tblInd w:w="0" w:type="dxa"/>
        <w:tblLayout w:type="fixed"/>
        <w:tblCellMar>
          <w:top w:w="28" w:type="dxa"/>
          <w:left w:w="28" w:type="dxa"/>
          <w:bottom w:w="28" w:type="dxa"/>
          <w:right w:w="28" w:type="dxa"/>
        </w:tblCellMar>
      </w:tblPr>
      <w:tblGrid>
        <w:gridCol w:w="1379"/>
        <w:gridCol w:w="1214"/>
        <w:gridCol w:w="1217"/>
        <w:gridCol w:w="211"/>
        <w:gridCol w:w="721"/>
        <w:gridCol w:w="109"/>
        <w:gridCol w:w="109"/>
        <w:gridCol w:w="109"/>
        <w:gridCol w:w="109"/>
        <w:gridCol w:w="211"/>
        <w:gridCol w:w="721"/>
        <w:gridCol w:w="109"/>
        <w:gridCol w:w="109"/>
        <w:gridCol w:w="109"/>
        <w:gridCol w:w="109"/>
        <w:gridCol w:w="154"/>
      </w:tblGrid>
      <w:tr>
        <w:trPr/>
        <w:tc>
          <w:tcPr>
            <w:tcW w:w="1379"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segment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Payroll-related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and laboratory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0"/>
        <w:gridCol w:w="131"/>
        <w:gridCol w:w="131"/>
        <w:gridCol w:w="2848"/>
        <w:gridCol w:w="2848"/>
        <w:gridCol w:w="4097"/>
      </w:tblGrid>
      <w:tr>
        <w:trPr/>
        <w:tc>
          <w:tcPr>
            <w:tcW w:w="15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Footnotes:</w:t>
            </w:r>
          </w:p>
        </w:tc>
      </w:tr>
      <w:tr>
        <w:trPr/>
        <w:tc>
          <w:tcPr>
            <w:tcW w:w="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97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segment items for the Company’s single reportable segment include travel and entertainment, insurance, tax, expensed computer hardware and software, depreciation, and other miscellaneous expenses.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provides information that our management believes is relevant to an assessment and understanding of Nautilus Biotechnology, Inc.’s (“Nautilus” or the “Company”) condensed consolidated results of operations and financial condition. The discussion should be read together with the condensed consolidated financial statements and the accompanying notes to those statements that are included elsewhere in this Quarterly Report on Form 10-Q and the audited financial statements for the year ended December 31, 2025 and the related notes included in the Company’s Annual Report on Form 10-K filed with the SEC on February 26, 2026. This discussion may contain forward-looking statements based upon current expectations that involve risks and uncertainties. Nautilus’ actual results may differ materially from those anticipated in these forward-looking statements as a result of various factors, including those set forth in the section titled “Risk Factors” in Part II, Item 1A as set forth in this Quarterly Report on Form 10-Q.</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Unless otherwise indicated or the context otherwise requires, references in this “Management’s Discussion and Analysis of Financial Condition and Results of Operations” section to “Nautilus,” “we,” “us,” “our” and other similar terms refer to the business and operations of Nautilus and its consolidated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are a development stage life sciences company focused on creating a platform technology to quantify and unlock the complexity of the proteome. We were founded to address longstanding challenges in proteomics through the development of a new analysis method, Iterative Mapping, for the quantification of single, intact protein molecules at scale. Our mission is to transform the field of proteomics by broadening access to high-quality proteomic data and enabling fundamental advancements across human health and medicine. Iterative Mapping is designed to enable broad and deep characterization of the proteome while delivering high reproducibility through direct single-molecule counting. By repeatedly interrogating individual protein molecules and aggregating results across billions of measurements, Iterative Mapping generates digital protein counts that are intended to support consistent comparison across samples, experiments, and time. The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platform is designed to implement the Iterative Mapping method. The Nautilus Voyager platform integrates nanofabricated protein arrays, affinity reagent probing, advanced optics and fluidics, and machine learning–based analysis into an end-to-end workflow inclusive of instrumentation, consumables, and software.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Since our incorporation in 2016, we have devoted substantially all of our resources to research and development activities, including with respect to our proteomics platform, or Nautilus Voyager platform, business planning, establishing and maintaining our intellectual property portfolio, hiring personnel, raising capital and providing selling, general and administrative support for these operations. We do not have any products available for commercial sale, and we have not generated any revenue from our Nautilus Voyager platform or other sources since inception. Our ability to generate revenue sufficient to achieve profitability, if we ever do, would be expected to take a number of years, and will depend on the successful development and eventual commercialization of our Nautilus Voyager platform, if it ever occurs. Our Nautilus Voyager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Voyager platform will be commercially viable.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erif" w:hAnsi="Times New Roman;serif"/>
          <w:b w:val="false"/>
          <w:color w:val="000000"/>
          <w:sz w:val="20"/>
        </w:rPr>
        <w:t>In order to commercialize our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Voyager platform, instruments, and related consumables. Among other factors, we will need to develop reliable supply chains for the various components in our Nautilus Voyager platform, instruments, and consumables to support large-scale commercial production. In connection with our Nautilus Voyager platform, we intend to utilize approximately 300 unique multi-affinity reagents and various antibodies in order to generate deep proteomic information at the speed and scale which we expect our Nautilus Voyager platform to perform. Such reagents and antibodies are expected to be more difficult to manufacture and more expensive to procure. There is no assurance that we will be able to build manufacturing or consumable production capacity internally or find one or more suitable manufacturing or production partners, or both, to meet the volume and quality requirements necessary to be successful in the proteomics market.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in the early stages of establishing our commercial organization and distribution capabilities. During the three months ended March 31, 2026, we made our first sales hire as an initial step toward building an internal sales infrastructure, and we intend to continue expanding these capabilities to support the sales of our products. We anticipate commercializing our Nautilus Voyager platform in phases that began with research collaborations with leading biopharmaceutical companies, academic institutions, and research organizations exploring utility of pre-commercial versions of the platform. The next phases of our strategy involve a land-and-expand strategy in which we provide customers with access to the Iterative Mapping method on the Nautilus Voyager platform for an initial application, and over time, add additional applications in both targeted proteoform analysis and broadscale proteomics, which customers would access depending upon their specific proteomics needs. Initial customer access to the Nautilus Voyager platform is expected to be through our Early Access Program in which we will perform analysis and profiling of samples analyzed in our facility and shared via a cloud platform. We expect to work closely with early access collaborators to demonstrate the unique value proposition of our Nautilus Voyager platform. With data gained from our Early Access Program customers, we plan to leverage publications to drive awareness and customer demand and later sell instruments and reagents to select customers performing targeted proteoform and broadscale proteomics research.We announced the launch of our Iterative Mapping Early Access Program starting with target specific service offerings in January 2026 for the analysis of the microtubule-associated protein tau (or “Tau” for short), which has been broadly associated with the onset and progression of Alzheimer’s disease in human patients. Over time, we plan to extend this early access framework to include additional proteoforms in new disease areas like oncology and into a dual model that supports both targeted assays, and broadscale workflows, which are designed to offer broader proteome coverage. We do not anticipate that these early access activities will result in any material revenue. We expect to initiate our commercial launch in late 2026 by opening the Nautilus Voyager platform for pre-orders, with instrument installations at customer sites beginning in early 2027. At launch, we expect general availability to include the Voyager instrument, our Tau proteoform assay, and a second proteoform assay. We anticipate general availability of Broadscale proteomics capabilities in the first half of 2027, as we continue expanding the platform’s assay portfolio. Our first generally available broadscale consumable kits are designed to deliver strong initial performance, with subsequent releases expected to further expand capabilities and enable the platform to meet or exceed our previously announced product specifications.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commercialize our Nautilus Voyager platform through a direct sales channel in the United States, and through both direct and distributor sales channels in regions outside the United States. Given our stage of development, we currently have limited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phased commercial launch strategy for our Nautilus Voyager platform.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June 9, 2021, Nautilus Biotechnology, Inc., a Delaware corporation (f/k/a ARYA Sciences Acquisition Corp. III, a Cayman Islands exempted company and the Company’s predecessor company (“ARYA”)), consummated the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the Business Combination, we financed our operations primarily through private placements of convertible preferred stock and had raised aggregate net proceeds of $108.4 million from these private placements. In connection with the consummation of the Business Combination and PIPE Financing, we received additional gross proceeds of approximately $345.5 million from PIPE Investors and the Business Combination, offset by approximately $18.2 million of transaction costs and underwriters’ fees relating to the closing of the Business Combination. As of March 31, 2026, we had cash, cash equivalents and short-term investments of $95.9 million. As of the filing of this Quarterly Report on Form 10-Q, we believe that our existing cash, cash equivalents, and short-term investments will enable us to fund our planned operating expenses and capital expenditures through at least the next 12 months.</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have incurred significant losses since the commencement of our operations. Our net loss was $14.7 million during the three months ended March 31, 2026, and we expect to continue to incur significant losses for the foreseeable future as we continue our research and development activities and planned commercialization of our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As of March 31, 2026, we had an accumulated deficit of $346.7 million. These losses have resulted primarily from costs incurred in connection with research and development activities and to a lesser extent from selling,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expect our expenses and capital requirements will increase substantially in connection with our ongoing activities as we: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continue our research and development activities, including with respect to our Nautilus Voyager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conduct activities to develop and deliver service offerings and to establish and operate service laboratory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undertake activities to establish sales, marketing and distribution capabilities for our Nautilus Voyager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incur setup costs related to production tooling and required testing;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maintain, protect and expand our intellectual property portfolio, including patents, trade secrets and know how;</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implement operational, financial and management information systems;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attract, hire and retain additional management, scientific and administrative personnel;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continue to operate as a public company.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val="false"/>
          <w:color w:val="000000"/>
          <w:sz w:val="20"/>
        </w:rPr>
        <w:t xml:space="preserve">grants. We may be unable to raise additional funds or to enter into such agreements or arrangements on favorable terms, or at all. Our ability to raise additional funds may be adversely impacted by potential worsening global economic conditions and the disruptions to, and volatility in, the credit and financial markets in the United States and worldwide, </w:t>
      </w:r>
      <w:r>
        <w:rPr>
          <w:rFonts w:ascii="Times New Roman;serif" w:hAnsi="Times New Roman;serif"/>
          <w:b w:val="false"/>
          <w:color w:val="000000"/>
          <w:sz w:val="20"/>
          <w:shd w:fill="FFFFFF" w:val="clear"/>
        </w:rPr>
        <w:t>recent and any potential future financial institution failures,</w:t>
      </w:r>
      <w:r>
        <w:rPr>
          <w:color w:val="000000"/>
        </w:rPr>
        <w:t xml:space="preserve"> </w:t>
      </w:r>
      <w:r>
        <w:rPr>
          <w:rFonts w:ascii="Times New Roman;serif" w:hAnsi="Times New Roman;serif"/>
          <w:b w:val="false"/>
          <w:color w:val="000000"/>
          <w:sz w:val="20"/>
        </w:rPr>
        <w:t>geopolitical conflicts, such as the conflicts in Eastern Europe and the Middle East, and otherwise.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Impact of Negative Global or National Events</w:t>
      </w:r>
    </w:p>
    <w:p>
      <w:pPr>
        <w:pStyle w:val="TextBody"/>
        <w:bidi w:val="0"/>
        <w:spacing w:lineRule="auto" w:line="288" w:before="0" w:after="180"/>
        <w:ind w:left="0" w:right="0" w:firstLine="360"/>
        <w:jc w:val="left"/>
        <w:rPr/>
      </w:pPr>
      <w:r>
        <w:rPr>
          <w:rFonts w:ascii="Times New Roman;serif" w:hAnsi="Times New Roman;serif"/>
          <w:b w:val="false"/>
          <w:color w:val="000000"/>
          <w:sz w:val="20"/>
        </w:rPr>
        <w:t>Businesses have been and will continue to be impacted by a number of challenging global and national events and circumstances that continue to evolve, including extreme weather conditions, economic uncertainty, increased tariffs, inflation, changing interest rates,</w:t>
      </w:r>
      <w:r>
        <w:rPr>
          <w:color w:val="000000"/>
          <w:shd w:fill="FFFFFF" w:val="clear"/>
        </w:rPr>
        <w:t xml:space="preserve"> </w:t>
      </w:r>
      <w:r>
        <w:rPr>
          <w:rFonts w:ascii="Times New Roman;serif" w:hAnsi="Times New Roman;serif"/>
          <w:b w:val="false"/>
          <w:color w:val="000000"/>
          <w:sz w:val="20"/>
          <w:shd w:fill="FFFFFF" w:val="clear"/>
        </w:rPr>
        <w:t>any potential future financial institution failures,</w:t>
      </w:r>
      <w:r>
        <w:rPr>
          <w:color w:val="000000"/>
        </w:rPr>
        <w:t xml:space="preserve"> </w:t>
      </w:r>
      <w:r>
        <w:rPr>
          <w:rFonts w:ascii="Times New Roman;serif" w:hAnsi="Times New Roman;serif"/>
          <w:b w:val="false"/>
          <w:color w:val="000000"/>
          <w:sz w:val="20"/>
        </w:rPr>
        <w:t>and geopolitical conflicts, such as the conflicts in Eastern Europe and the Middle East. The extent of the impact of these events and circumstances on our business, operations and development timelines and plans remains uncertain, and will depend on certain developments, including the duration and scope of the events and their impact on our development activities, third-party manufacturers, and other third parties with whom we do business, as well as its impact on regulatory authorities and our key scientific and management personnel. We have been and continue to actively monitor the potential impacts that these various events and circumstances may have on our business and we take steps, where warranted, to minimize any potential negative impacts on our business resulting from these events and circumstances.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been and continue to actively monitor our supply chain in light of these challenging global and national events and circumstances, including our third-party materials suppliers. We have, in the past, experienced some supply disruptions, including closures at certain chip manufacturers, which led to extended lead times for certain chips and lower availability of certain reagents. While certain of these disruptions have been resolved, we are continuing to monitor our supply chain and contingency planning is ongoing with our partners to reduce the possibility of an interruption to our development activities or the availability of necessary materials.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ultimate impact of these global and national events and circumstances, either individually or in aggregate, is highly uncertain and subject to change. We will continue to actively monitor any developments related to these global and national events, and may take actions to mitigate potential negative impacts to our business, and that may alter our operations, including those that may be required by federal, state or local authorities, or that we determine are in the best interests of our employees and other third parties with whom we do business. At this point, the extent to which these global or national events and circumstances may affect our future business, operations and development timelines and plans, including the resulting impact on our expenditures and capital needs, remains uncertain.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Components of Our Results of Operations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date, we have not generated any revenue and we may not generate any material revenue from the sale of products or from other sources in the near future.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account for a significant portion of our operating expenses and consist primarily of salaries, related benefits and stock-based compensation expense of product development personnel, laboratory supplies and equipment, depreciation and amortization, external costs of vendors engaged to conduct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research and development activities, and allocated expenses for technology and facilities. We expense research and development expenses in the periods in which they are incurred.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plan to continue to invest in our research and development efforts and to increase our investment in research and development efforts related to our product development. While we experienced certain cost savings associated with our workforce reductions implemented in the first quarter of 2025, in the future, we continue to expect research and development expenses to increase in absolute dollars as we continue to advance our product development, hire additional personnel and retain existing personnel, purchase supplies and materials and allocate expense to our research and development facilities.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consist of salaries, related benefits, and stock-based compensation expense for personnel in executive, operations, legal, human resources, finance, marketing, commercial, IT personnel and administrative functions, professional fees for legal, patent, consulting, accounting and audit services, directors and officers insurance, allocated expenses for technology and facilities, and marketing expenses. We expense selling, general and administrative expenses in the periods in which they are incurred.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we experienced certain cost savings associated with our workforce reductions implemented in the first quarter of 2025, in the future, we expect that our selling, general and administrative expenses will increase substantially over the next several years as we hire additional personnel to support the growth in research and development activities and our planned commercial growth, including sales, marketing, service, support, and distribution infrastructure. We also anticipate that we will incur higher expenses related to accounting, audit, legal, regulatory, insurance, compliance with the rules and regulations of the SEC, Sarbanes-Oxley Act and those of any national securities exchange on which our securities are traded, investor and public relations, and other administrative and professional services.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Other Income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income consists of interest income on our cash, cash equivalents and investments (including accretion and amortization of discounts and premiums on marketable debt securities). Other miscellaneous non-recurring expenses such as gains or losses on disposal of property and equipment are also included.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Comparison of the Three Months Ended March 31, 2026 to the Three Months Ended March 31, 2025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shows our condensed consolidated statements of operations for the periods indicated:</w:t>
      </w:r>
    </w:p>
    <w:tbl>
      <w:tblPr>
        <w:tblW w:w="8162" w:type="dxa"/>
        <w:jc w:val="left"/>
        <w:tblInd w:w="0" w:type="dxa"/>
        <w:tblLayout w:type="fixed"/>
        <w:tblCellMar>
          <w:top w:w="28" w:type="dxa"/>
          <w:left w:w="28" w:type="dxa"/>
          <w:bottom w:w="28" w:type="dxa"/>
          <w:right w:w="28" w:type="dxa"/>
        </w:tblCellMar>
      </w:tblPr>
      <w:tblGrid>
        <w:gridCol w:w="1070"/>
        <w:gridCol w:w="940"/>
        <w:gridCol w:w="944"/>
        <w:gridCol w:w="211"/>
        <w:gridCol w:w="796"/>
        <w:gridCol w:w="109"/>
        <w:gridCol w:w="109"/>
        <w:gridCol w:w="109"/>
        <w:gridCol w:w="109"/>
        <w:gridCol w:w="211"/>
        <w:gridCol w:w="796"/>
        <w:gridCol w:w="109"/>
        <w:gridCol w:w="109"/>
        <w:gridCol w:w="109"/>
        <w:gridCol w:w="109"/>
        <w:gridCol w:w="211"/>
        <w:gridCol w:w="691"/>
        <w:gridCol w:w="109"/>
        <w:gridCol w:w="109"/>
        <w:gridCol w:w="109"/>
        <w:gridCol w:w="109"/>
        <w:gridCol w:w="269"/>
        <w:gridCol w:w="271"/>
        <w:gridCol w:w="444"/>
      </w:tblGrid>
      <w:tr>
        <w:trPr/>
        <w:tc>
          <w:tcPr>
            <w:tcW w:w="10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Change </w:t>
              <w:br/>
              <w:t>(%)</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were $9.7 million for the three months ended March 31, 2026, compared to $11.5 million for the three months ended March 31, 2025, a decrease of $1.8 million, or 16%. The decrease was due to a $1.0 million decrease in salaries and related benefits driven by savings from the reduction in force implemented in the first quarter of 2025 and a $0.2 million decrease in facilities expense driven by decreases in maintenance costs for our leases. Also contributing to the decrease was a $0.2 million decrease in stock-based compensation expense and a $0.2 million decrease in laboratory and professional services.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were $6.4 million for the three months ended March 31, 2026, compared to $7.3 million for the three months ended March 31, 2025, a decrease of $0.9 million, or 12%. The decrease was primarily due to a $0.6 million decrease in stock-based compensation driven by lower expense associated with stock options granted since the Merger. Also contributing to the decrease was a $0.3 million decrease in salaries and related benefits driven by savings from the reduction in force implemented in the first quarter of 2025.</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Income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income for the three months ended March 31, 2026 decreased compared to the three months ended March 31, 2025. The change is attributable to the decrease in interest income driven by a lower cash, cash equivalents, and investments balance as well as decreased yield rates on investments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Since our inception, we have not generated any revenue from product sales and have incurred significant operating losses and negative cash flows from our operations. Our net loss was $14.7 million for the three months ended March 31, 2026. As of March 31, 2026, we had an accumulated deficit of $346.7 million. Prior to the Business Combination, we funded our operations primarily with proceeds from the sale of convertible preferred stock. Prior to the Business Combination, we had raised net proceeds of $108.4 million from these private placements of our convertible preferred stock. In June 2021, in conjunction with the consummation of the Business Combination with ARYA, we received additional gross proceeds of approximately $345.5 million from PIPE Investors and the Business Combination, offset by approximately $18.2 million of transaction costs and underwriters’ fees relating to the closing of the Business Combination. As of March 31, 2026, we had cash, cash equivalents and investments of $143.4 million.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primary uses of cash to date have been to fund our research and development activities, business planning, establishing and maintaining our intellectual property portfolio, hiring personnel, raising capital, and providing selling, general and administrative support for these operations.</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In February 2024, we entered into a sales agreement (the “Sales Agreement”) with Cowen and Company, LLC (“TD Cowen”) </w:t>
      </w:r>
      <w:r>
        <w:rPr>
          <w:rFonts w:ascii="Times New Roman;serif" w:hAnsi="Times New Roman;serif"/>
          <w:b w:val="false"/>
          <w:color w:val="000000"/>
          <w:sz w:val="20"/>
        </w:rPr>
        <w:t xml:space="preserve">under which we may offer and sell up to $125.0 million of shares of our common stock from time to time through an “at the market” offering program under which TD Cowen will act as sales agent. Under the Sales Agreement, we set the parameters for the sale of shares, including the number or dollar amount of shares to be issued, the time period during which sales are requested to be made, limitations on the number or dollar amount of shares that may be sold in any one trading day and any minimum price below which sales may not be made. The Sales Agreement provides that TD Cowen will be entitled to compensation for its services in an amount equal to up to 3.0% of the gross proceeds of all shares of common stock sold through TD Cowen under the Sales Agreement. We have no obligation to sell any shares under the Sales Agreement and may at any time suspend solicitation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offers under the Sales Agreement. During the three months ended March 31, 2026, we did not sell any shares of common stock pursuant to the Sales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shares of our common stock to be offered and sold under the Sales Agreement will be issued and sold pursuant to our shelf registration statement on Form S-3 (File No. 333-277437) (the “Shelf Registration Statement”), which was filed with the SEC on February 28, 2024 and which became effective March 6, 2024. No securities have yet been sold under the Shelf Registration Statement.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Shelf Registration Statement will remain in effect for up to three years and allows us to sell from time to time up to $300.0 million of common stock, preferred stock, debt securities, depositary shares, warrants, subscription rights, purchase contracts or units comprised of any combination of these securities, for our own account in one or more offerings and is intended to provide us flexibility to conduct registered sales of our securities, subject to market conditions and our future capital needs. The terms of any offering thereunder will be established at the time of such offering and will be described in a prospectus supplement filed with the SEC prior to the completion of any such offering.</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Funding Requirements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 date, we have not generated any revenue and we may not generate any material revenue from the sale of products or from other sources in the near future.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implemented a workforce reduction in the first quarter of 2025. The cost-saving initiatives resulted in reductions to personnel-related expenses during fiscal year 2025.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However, we expect our expenses and capital requirements will continue to increase substantially in connection with our ongoing activities as we: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continue our research and development activities, including with respect to our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conduct activities to develop and deliver service offerings and to establish and operate service laboratory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undertake activities to establish sales, marketing and distribution capabilities for our Nautilus Voyager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incur setup costs related to production tooling and required testing;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maintain, protect and expand our intellectual property portfolio, including patents, trade secrets and know how;</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implement operational, financial and management information systems;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attract, hire and retain additional management, scientific and administrative personnel;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continue to operate as a public company.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the filing of this Quarterly Report on Form 10-Q, we expect our current cash, cash equivalents, and short-term investments will be sufficient to fund our operating expenses and capital expenditures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global and national conflicts or other disruptions; and other items affecting our forecasted level of expenditures and use of cash resources including potential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erif" w:hAnsi="Times New Roman;serif"/>
          <w:b w:val="false"/>
          <w:color w:val="000000"/>
          <w:sz w:val="20"/>
        </w:rPr>
        <w:t>Until such time as we can generate significant revenue from commercialization of our products, if ever, we will continue to require substantial additional capital to develop our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platform and fund operations for the foreseeable future. We intend to obtain such capital through public or private equity offerings or debt financings (including potential sales under the Sales Agreement), credit or loan facilities or a combination of one or more of these funding sources. We may also seek additional financing opportunistically. We may be unable to raise additional funds on favorable terms or at all. Our ability to raise additional funds may be adversely impacted by potential worsening global economic conditions and disruptions to, and volatility in, the credit and financial markets in the United States and worldwide, </w:t>
      </w:r>
      <w:r>
        <w:rPr>
          <w:rFonts w:ascii="Times New Roman;serif" w:hAnsi="Times New Roman;serif"/>
          <w:b w:val="false"/>
          <w:color w:val="000000"/>
          <w:sz w:val="20"/>
          <w:shd w:fill="FFFFFF" w:val="clear"/>
        </w:rPr>
        <w:t xml:space="preserve">any potential future financial institution failures, geopolitical conflicts, such as </w:t>
      </w:r>
      <w:r>
        <w:rPr>
          <w:rFonts w:ascii="Times New Roman;serif" w:hAnsi="Times New Roman;serif"/>
          <w:b w:val="false"/>
          <w:color w:val="000000"/>
          <w:sz w:val="20"/>
        </w:rPr>
        <w:t>the conflicts in Eastern Europe and the Middle East, and otherwise. Our failure to raise additional capital, if needed, would have a negative impact on our financial condition and our ability to execute our business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expected future capital requirements depend on many factors including expansion of our product portfolio and the timing and extent of spending on sales and marketing and the development of our technology. If we raise additional funds by issuing equity securities, including any issuances pursuant to our “at the market” equity offering program under our Sales Agreement with TD Cowen or our Shelf Registration Statement,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Historical Cash Flows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For the Three Months Ended March 31, 2026 and 2025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three months ended March 31, 2026 and 2025:</w:t>
      </w:r>
    </w:p>
    <w:tbl>
      <w:tblPr>
        <w:tblW w:w="7313" w:type="dxa"/>
        <w:jc w:val="left"/>
        <w:tblInd w:w="0" w:type="dxa"/>
        <w:tblLayout w:type="fixed"/>
        <w:tblCellMar>
          <w:top w:w="28" w:type="dxa"/>
          <w:left w:w="28" w:type="dxa"/>
          <w:bottom w:w="28" w:type="dxa"/>
          <w:right w:w="28" w:type="dxa"/>
        </w:tblCellMar>
      </w:tblPr>
      <w:tblGrid>
        <w:gridCol w:w="1703"/>
        <w:gridCol w:w="1499"/>
        <w:gridCol w:w="1507"/>
        <w:gridCol w:w="211"/>
        <w:gridCol w:w="796"/>
        <w:gridCol w:w="109"/>
        <w:gridCol w:w="109"/>
        <w:gridCol w:w="109"/>
        <w:gridCol w:w="109"/>
        <w:gridCol w:w="211"/>
        <w:gridCol w:w="796"/>
        <w:gridCol w:w="154"/>
      </w:tblGrid>
      <w:tr>
        <w:trPr/>
        <w:tc>
          <w:tcPr>
            <w:tcW w:w="1703"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net cash used in operating activities was $13.1 million, resulting from our net loss of $14.7 million and decrease in net changes in assets and liabilities aggregating $1.2 million. Net cash used in operating activities includes non-cash charges aggregating $2.8 million, which is driven by $1.4 million of stock-based compensation expense, $1.1 million of amortization of operating lease right-of-use assets, and $0.3 million of depreciation. These non-cash charges were partially offset by $0.1 million of net accretion of discounts on securities.</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During the three months ended March 31, 2025, net cash used in operating activities was $13.9 million, resulting from our net loss of $16.6 million and decrease in net changes in assets and liabilities aggregating $0.6 million. Net cash used in operating activities includes non-cash charges aggregating $3.3 million, which is driven by $2.2 million of stock-based compensation expense, $1.2 million amortization of operating lease right-of-use assets, and </w:t>
      </w:r>
      <w:r>
        <w:rPr>
          <w:rFonts w:ascii="Times New Roman;serif" w:hAnsi="Times New Roman;serif"/>
          <w:b w:val="false"/>
          <w:color w:val="000000"/>
          <w:sz w:val="20"/>
        </w:rPr>
        <w:t>$0.5 million of depreciation</w:t>
      </w:r>
      <w:r>
        <w:rPr>
          <w:rFonts w:ascii="Times New Roman;serif" w:hAnsi="Times New Roman;serif"/>
          <w:b w:val="false"/>
          <w:color w:val="000000"/>
          <w:sz w:val="20"/>
          <w:shd w:fill="FFFFFF" w:val="clear"/>
        </w:rPr>
        <w:t xml:space="preserve">. These non-cash charges were partially offset by </w:t>
      </w:r>
      <w:r>
        <w:rPr>
          <w:rFonts w:ascii="Times New Roman;serif" w:hAnsi="Times New Roman;serif"/>
          <w:b w:val="false"/>
          <w:color w:val="000000"/>
          <w:sz w:val="20"/>
        </w:rPr>
        <w:t>$0.5 million of net accretion of discounts on securities.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net cash provided by investing activities was $14.2 million, resulting from $25.8 million in proceeds from the maturities of securities, partially offset by $11.1 million in purchases of securities and $0.5 million in purchases of property and equipment.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During the three months ended March 31, 2025, net cash provided by investing activities was $19.5 million, resulting from $26.6 million in proceeds from maturities of securities, partially offset by </w:t>
      </w:r>
      <w:r>
        <w:rPr>
          <w:rFonts w:ascii="Times New Roman;serif" w:hAnsi="Times New Roman;serif"/>
          <w:b w:val="false"/>
          <w:color w:val="000000"/>
          <w:sz w:val="20"/>
        </w:rPr>
        <w:t>$6.9 million in purchases of securities and</w:t>
      </w:r>
      <w:r>
        <w:rPr>
          <w:color w:val="000000"/>
          <w:shd w:fill="FFFFFF" w:val="clear"/>
        </w:rPr>
        <w:t xml:space="preserve"> </w:t>
      </w:r>
      <w:r>
        <w:rPr>
          <w:rFonts w:ascii="Times New Roman;serif" w:hAnsi="Times New Roman;serif"/>
          <w:b w:val="false"/>
          <w:color w:val="000000"/>
          <w:sz w:val="20"/>
          <w:shd w:fill="FFFFFF" w:val="clear"/>
        </w:rPr>
        <w:t>$0.2 million in purchases of property and equipment.</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cash provided by financing activities was comprised of $1.1 million of proceeds from the exercise of stock options.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three months ended March 31, 2025, cash provided by financing activities was comprised of immaterial proceeds from the exercise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a discussion of our contractual obligations and commitments, refer to Part I, Item 1, Note 8, “Commitments and Contingencies,” in our notes to condensed consolidated financial statements in this Quarterly Report on Form 10-Q.</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discussion and analysis of our financial condition and results of operations are based upon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liabilities, and expenses. We evaluate our estimates and assumptions on an ongoing basis, and base our estimates on historical experience and on various other assumptions that we believe to be reasonable under the circumstances, the results of which form the basis for the judgments we make about the carrying value of assets and liabilities that are not readily apparent from other sources. Because these estimates can vary depending on the situation, actual results may differ from these estimates. Making estimates and judgments about future events is inherently unpredictable and is subject to significant uncertainties, some of which are beyond our control. Should any of these estimates and assumptions change or prove to have been incorrect, it could have a material impact on our results of operations, financial position and statement of cash flows.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as compared to those disclosed in our audited financial statements as of and for the years ended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Recent Accounting Pronouncements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a description of recent accounting pronouncements, including the expected dates of adoption and estimated effects, if any, on our condensed consolidated financial statements, see Part I, Item 1, Note 2 “Significant Accounting Policies” in our notes to condensed consolidated financial statements in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Smaller Reporting Company Status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currently a “smaller reporting company,” as defined in Item 10(f)(1) of Regulation S-K. Smaller reporting companies may take advantage of certain reduced disclosure obligations, including, among other things, providing only two years of audited financial statements, as well as reduced disclosure obligations regarding executive compensation in periodic reports and proxy statements. We will remain a smaller reporting company until the last day of the fiscal year in which (i) the market value of our common stock held by non-affiliates exceeds $250 million as of the last business day of our second fiscal quarter, or (ii) our annual revenue exceeded $100 million during such completed fiscal year and the market value of our common stock held by non-affiliates exceeds $700 million as of the last business day of our second fiscal quarter.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Qualitative and Quantitative Disclosures About Market Risk</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market risk exposure is primarily a result of fluctuations in interest rates and inflation. We do not hold or issue financial instruments for trading purposes.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had cash, cash equivalents and investments of $143.4 million as of March 31, 2026. The primary goals of our investment policy are liquidity and capital preservation. We do not enter into investments for trading or speculative purposes. The carrying amount of our cash equivalents reasonably approximates fair value, due to the short maturities of these instruments. Our investments are exposed to market risk due to a fluctuation in interest rates, which may affect the fair market value of our investments in marketable debt securities. As of March 31, 2026, the effect of a hypothetical 1.00% (100 basis point) change in interest rates would have changed the fair value of our marketable debt securities by $1.0 million. Such change would only be realized if we sold the marketable debt securities prior to maturity.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Inflation generally affects us by increasing our cost of labor and goods and services. We believe that inflation has had some effect on our financial results during the periods presented. If we experience continued or future inflationary pressure, it may impact the costs of our operations as well as the costs to manufacture, sell and distribute our products and provide our services in the future. We may not be able to fully offset those increased costs through reduced spending or price increases to our products and services. </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4. CONTROLS AND PROCEDURES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carried out an evaluation, under the supervision and with the participation of our management, including our Chief Executive Officer and Chief Financial Officer, of the effectiveness of the design and operation of our disclosure controls and procedures as defined in Rules 13a</w:t>
        <w:noBreakHyphen/>
        <w:t>15(e) and 15d</w:t>
        <w:noBreakHyphen/>
        <w:t>15(e) under the Exchange Act, as of the end of the period covered by this Quarterly Report on Form 10-Q. In designing and evaluating the disclosure controls and procedures, management recognized that any controls and procedures, no matter how well designed and operated, can provide only reasonable and not absolute assurance of achieving the desired control objectives and management necessarily applies its judgment in evaluating the cost benefit relationship of possible controls and procedures. Based on this evaluation, our Chief Executive Officer and Chief Financial Officer concluded that our disclosure controls and procedures were effective at the reasonable assurance level as of March 31, 2026.</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has been no change in our internal control over financial reporting during the quarter ended March 31, 2026 that has materially affected, or is reasonably likely to materially affect, our internal control over financial reporting.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Inherent Limitations on the Effectiveness of Controls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Item 1A. Risk Factors</w:t>
      </w:r>
      <w:r>
        <w:rPr>
          <w:color w:val="000000"/>
        </w:rPr>
        <w:t>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You should consider carefully the following information about the risks described below, together with the other information contained in this Quarterly Report on Form 10-Q and in our other public filings, in evaluating our business. If any of the following risks actually occurs, our business, financial condition, results of operations, and future growth prospects would likely be materially and adversely affected. In these circumstances, the market price of our common stock would likely decline.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Summary Risk Factors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that you should consider before investing in our company, as more fully described below. The principal factors and uncertainties that make investing in our company risky include, among others: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Risks Related to Our Business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We are a development stage company that has incurred net losses in every period to date, has not yet commercialized any products, and expects to continue to incur significant losses as we develop our business. We may never achieve profitability.</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Our business is entirely dependent on the successful development and commercialization of our proteomics platform (the “Nautilus Voyager</w:t>
      </w:r>
      <w:r>
        <w:rPr>
          <w:rFonts w:ascii="Times New Roman;serif" w:hAnsi="Times New Roman;serif"/>
          <w:b w:val="false"/>
          <w:color w:val="000000"/>
          <w:sz w:val="13"/>
          <w:shd w:fill="FFFFFF" w:val="clear"/>
        </w:rPr>
        <w:t xml:space="preserve">TM </w:t>
      </w:r>
      <w:r>
        <w:rPr>
          <w:rFonts w:ascii="Times New Roman;serif" w:hAnsi="Times New Roman;serif"/>
          <w:b w:val="false"/>
          <w:color w:val="000000"/>
          <w:sz w:val="20"/>
          <w:shd w:fill="FFFFFF" w:val="clear"/>
        </w:rPr>
        <w:t xml:space="preserve">platform”), which remains in the development stage and could be subject to delays, technical challenges and market acceptance challenges. </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We may not compete successfully with our initial or future products in the highly competitive life sciences technology market.</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We are dependent upon third parties for certain aspects of the development and commercialization of the Nautilus Voyager platform.</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Our business depends significantly on research and development spending by pharmaceutical companies as well as by academic institutions and other research institutions and any reduction in spending could limit demand for our products.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We may not be able to launch our Nautilus Voyager platform successfully and even if it is successful, we may experience material delays in our commercialization program relative to current expectations.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Our operating results may fluctuate significantly in the future, which makes our future operating results difficult to predict and could cause our operating results to fall below expectations or our guidance.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We expect that we will need to raise additional capital to fund our development and commercialization plans, which may not be available to us on favorable terms or at all.</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We may be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 xml:space="preserve">We may not be able to protect our intellectual property and proprietary rights throughout the world.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Risks Related to Litigation</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We may become involved in litigation to enforce or defend our intellectual property rights, or to defend ourselves from claims that we infringe the intellectual property rights of others.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We may face liability and/or negative publicity for any unknown defects or errors in our products.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Risks Related to Regulatory and Legal Compliance Matters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products may, in the future, be subject to regulation by the FDA or other regulatory authorities.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We are currently subject to, and may in the future become subject to additional, U.S. federal and state laws and regulations, as well as the laws and regulations of other countries, relating to how we collect, store and process personal information, and how we transmit analytical data to our customers.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 xml:space="preserve">Future expansion of our development and commercialization activities outside of the United States, may subject us to an increased risk of inadvertently conducting activities in a manner that violates the U.S. Foreign Corrupt Practices Act and similar laws. </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Environmental and health safety laws, including any failure to comply with such laws, may result in liabilities, expenses and restrictions on our operations.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employees, independent contractors, consultants, commercial partners, distributors and vendors may engage in misconduct or other improper activities, including noncompliance with regulatory standards and requirements.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Risks Related to our Operations </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We may experience a significant disruption in our information technology systems or breaches of data security.</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We are highly dependent on our key personnel, and if we are unable to recruit and retain key executives and scientists, we may not be able to achieve our goals.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Our operations and financial results could be adversely impacted by global and national events, such as global geopolitical conflicts, including war, trade embargoes, tariff policies and boycotts, changing interest rates, volatility in the global financial markets and general economic downturns.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Global supply chain interruptions may negatively impact the development and commercialization of our products.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price of and market for our Common Stock may be volatile, which could result in substantial losses for investors and/or an inability to readily trade in our Common Stock.</w:t>
      </w:r>
    </w:p>
    <w:p>
      <w:pPr>
        <w:pStyle w:val="TextBody"/>
        <w:bidi w:val="0"/>
        <w:spacing w:lineRule="auto" w:line="288" w:before="0" w:after="180"/>
        <w:ind w:left="0" w:right="0" w:firstLine="360"/>
        <w:jc w:val="left"/>
        <w:rPr/>
      </w:pPr>
      <w:r>
        <w:rPr>
          <w:color w:val="000000"/>
          <w:shd w:fill="FFFFFF" w:val="clear"/>
        </w:rPr>
        <w:t>•</w:t>
      </w:r>
      <w:r>
        <w:rPr>
          <w:rFonts w:ascii="Times New Roman;serif" w:hAnsi="Times New Roman;serif"/>
          <w:b w:val="false"/>
          <w:color w:val="000000"/>
          <w:sz w:val="20"/>
          <w:shd w:fill="FFFFFF" w:val="clear"/>
        </w:rPr>
        <w:t>We will have broad discretion over the use of the proceeds to us from our “at the market” equity offering program and may apply the proceeds to uses that do not improve our operating results or the value of your securities.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We will continue to incur significant costs and management resources as a result of operating as a public company.</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Reports published by analysts, including projections in those reports that differ from our actual results, could adversely affect the price and trading volume of our common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timely and accurately report our financial results and projections as a public company may be impacted by the effectiveness of our internal controls, and our estimates and judgments relating to critical accounting policies.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Risks Related to Our Business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We are a development stage company that has incurred net losses in every period to date, has not yet commercialized any products, and expects to continue to incur significant losses as we develop our business. We may never achieve profitability.</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are a development stage company that has incurred net losses in each quarterly and annual period since inception and that has not yet generated any revenue. We expect to incur increasing costs as we continue to devote substantially all of our resources towards the development and anticipated future commercialization of our </w:t>
      </w:r>
      <w:r>
        <w:rPr>
          <w:rFonts w:ascii="Times New Roman;serif" w:hAnsi="Times New Roman;serif"/>
          <w:b w:val="false"/>
          <w:color w:val="000000"/>
          <w:sz w:val="20"/>
          <w:shd w:fill="FFFFFF" w:val="clear"/>
        </w:rPr>
        <w:t>Nautilus Voyager</w:t>
      </w:r>
      <w:r>
        <w:rPr>
          <w:rFonts w:ascii="Times New Roman;serif" w:hAnsi="Times New Roman;serif"/>
          <w:b w:val="false"/>
          <w:color w:val="000000"/>
          <w:sz w:val="13"/>
          <w:shd w:fill="FFFFFF" w:val="clear"/>
        </w:rPr>
        <w:t>TM</w:t>
      </w:r>
      <w:r>
        <w:rPr>
          <w:color w:val="000000"/>
        </w:rPr>
        <w:t xml:space="preserve"> </w:t>
      </w:r>
      <w:r>
        <w:rPr>
          <w:rFonts w:ascii="Times New Roman;serif" w:hAnsi="Times New Roman;serif"/>
          <w:b w:val="false"/>
          <w:color w:val="000000"/>
          <w:sz w:val="20"/>
        </w:rPr>
        <w:t xml:space="preserve">platform, which includes our end-to-end solution comprised of instruments, consumables, and software analysis. We cannot be certain if we will ever generate revenue or if or when we will produce sufficient revenue from operations to support our costs. Even if profitability is achieved, we may not be able to sustain profitability. We incurred net losses of $14.7 million and $16.6 million during the three months ended March 31, 2026 and 2025, respectively. As of March 31, 2026, we had an accumulated deficit of $346.7 million. These losses and accumulated deficit were primarily due to the substantial investments we made in the scientific and technological development of our </w:t>
      </w:r>
      <w:r>
        <w:rPr>
          <w:rFonts w:ascii="Times New Roman;serif" w:hAnsi="Times New Roman;serif"/>
          <w:b w:val="false"/>
          <w:color w:val="000000"/>
          <w:sz w:val="20"/>
          <w:shd w:fill="FFFFFF" w:val="clear"/>
        </w:rPr>
        <w:t xml:space="preserve">Nautilus Voyager </w:t>
      </w:r>
      <w:r>
        <w:rPr>
          <w:rFonts w:ascii="Times New Roman;serif" w:hAnsi="Times New Roman;serif"/>
          <w:b w:val="false"/>
          <w:color w:val="000000"/>
          <w:sz w:val="20"/>
        </w:rPr>
        <w:t>platform. We expect to incur substantial losses and negative cash flows for the foreseeable future. In addition, as a public company, we will continue to incur significant legal, accounting, and other expenses. These expenses will make it harder for us to achieve and sustain future profitability. We may incur significant losses in the future for a number of reasons, many of which are beyond our control, including the other risks described in this Quarterly Report on Form 10-Q.</w:t>
      </w:r>
    </w:p>
    <w:p>
      <w:pPr>
        <w:pStyle w:val="TextBody"/>
        <w:bidi w:val="0"/>
        <w:spacing w:lineRule="auto" w:line="288" w:before="0" w:after="180"/>
        <w:ind w:left="0" w:right="0" w:firstLine="360"/>
        <w:jc w:val="left"/>
        <w:rPr/>
      </w:pPr>
      <w:r>
        <w:rPr>
          <w:rFonts w:ascii="Times New Roman;serif" w:hAnsi="Times New Roman;serif"/>
          <w:b/>
          <w:i/>
          <w:color w:val="000000"/>
          <w:sz w:val="20"/>
        </w:rPr>
        <w:t>Our business is entirely dependent on the success of our Nautilus Voyager</w:t>
      </w:r>
      <w:r>
        <w:rPr>
          <w:rFonts w:ascii="Times New Roman;serif" w:hAnsi="Times New Roman;serif"/>
          <w:b/>
          <w:i/>
          <w:color w:val="000000"/>
          <w:sz w:val="13"/>
        </w:rPr>
        <w:t>TM</w:t>
      </w:r>
      <w:r>
        <w:rPr>
          <w:color w:val="000000"/>
        </w:rPr>
        <w:t xml:space="preserve"> </w:t>
      </w:r>
      <w:r>
        <w:rPr>
          <w:rFonts w:ascii="Times New Roman;serif" w:hAnsi="Times New Roman;serif"/>
          <w:b/>
          <w:i/>
          <w:color w:val="000000"/>
          <w:sz w:val="20"/>
        </w:rPr>
        <w:t>platform, which remains in the development stage and subject to scientific and technical validation. If we are unable to develop and commercialize our Nautilus Voyager</w:t>
      </w:r>
      <w:r>
        <w:rPr>
          <w:rFonts w:ascii="Times New Roman;serif" w:hAnsi="Times New Roman;serif"/>
          <w:b/>
          <w:i/>
          <w:color w:val="000000"/>
          <w:sz w:val="13"/>
        </w:rPr>
        <w:t>TM</w:t>
      </w:r>
      <w:r>
        <w:rPr>
          <w:color w:val="000000"/>
        </w:rPr>
        <w:t xml:space="preserve"> </w:t>
      </w:r>
      <w:r>
        <w:rPr>
          <w:rFonts w:ascii="Times New Roman;serif" w:hAnsi="Times New Roman;serif"/>
          <w:b/>
          <w:i/>
          <w:color w:val="000000"/>
          <w:sz w:val="20"/>
        </w:rPr>
        <w:t>platform successfully and in a manner that provides currently anticipated functionality and levels of performance, we may never be able to recognize any revenue, and our business, operating results, and financial condition will suffer.</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Our future success is entirely dependent on our ability to successfully develop and commercialize our </w:t>
      </w:r>
      <w:r>
        <w:rPr>
          <w:rFonts w:ascii="Times New Roman;serif" w:hAnsi="Times New Roman;serif"/>
          <w:b w:val="false"/>
          <w:color w:val="000000"/>
          <w:sz w:val="20"/>
          <w:shd w:fill="FFFFFF" w:val="clear"/>
        </w:rPr>
        <w:t xml:space="preserve">Nautilus Voyager </w:t>
      </w:r>
      <w:r>
        <w:rPr>
          <w:rFonts w:ascii="Times New Roman;serif" w:hAnsi="Times New Roman;serif"/>
          <w:b w:val="false"/>
          <w:color w:val="000000"/>
          <w:sz w:val="20"/>
        </w:rPr>
        <w:t xml:space="preserve">platform, which is based on innovative yet complex and unproven technologies and which is anticipated to be used in demanding scientific research that requires substantial levels of accuracy and precision. We are investing substantially all of our management efforts and financial resources in the development and commercialization of our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 xml:space="preserve">Voyager platform, which remains in the development stage and subject to scientific and technical validation. Additionally, in developing our platform technology, we currently rely on co-development partners to assist us in the development of certain component technologies in our platform. We have experienced difficulties with some of these partners successfully delivering these component technologies on time and to our specifications, and these partners may not be successful in delivering these component technologies on time, to our specifications, or at all, in the future, which could have an adverse impact on our ability to meet our development timelines, and/or our products’ level of currently anticipated functionality and performance. While our goal is to leverage our </w:t>
      </w:r>
      <w:r>
        <w:rPr>
          <w:rFonts w:ascii="Times New Roman;serif" w:hAnsi="Times New Roman;serif"/>
          <w:b w:val="false"/>
          <w:color w:val="000000"/>
          <w:sz w:val="20"/>
          <w:shd w:fill="FFFFFF" w:val="clear"/>
        </w:rPr>
        <w:t>Nautilus Voyager p</w:t>
      </w:r>
      <w:r>
        <w:rPr>
          <w:rFonts w:ascii="Times New Roman;serif" w:hAnsi="Times New Roman;serif"/>
          <w:b w:val="false"/>
          <w:color w:val="000000"/>
          <w:sz w:val="20"/>
        </w:rPr>
        <w:t>latform to comprehensively measure the human proteome, the human proteome is dynamic and far more complex and diverse in structure, composition and number of variants than either the genome or transcriptome. If we cannot successfully complete platform development, if we are unable to achieve our goals for mapping the proteome, if our products and services fail to deliver currently anticipated functionality and levels of performance, if our products and/or services are found by a court of law to infringe the intellectual property of another party, or if we are unable to obtain broad scientific and market acceptance of our products, services and technologies, we may never recognize material revenue and may be unable to continue our operations.</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erif" w:hAnsi="Times New Roman;serif"/>
          <w:b/>
          <w:i/>
          <w:color w:val="000000"/>
          <w:sz w:val="20"/>
        </w:rPr>
        <w:t>We have not yet commercially launched our Nautilus Voyager</w:t>
      </w:r>
      <w:r>
        <w:rPr>
          <w:rFonts w:ascii="Times New Roman;serif" w:hAnsi="Times New Roman;serif"/>
          <w:b/>
          <w:i/>
          <w:color w:val="000000"/>
          <w:sz w:val="13"/>
        </w:rPr>
        <w:t>TM</w:t>
      </w:r>
      <w:r>
        <w:rPr>
          <w:color w:val="000000"/>
        </w:rPr>
        <w:t xml:space="preserve"> </w:t>
      </w:r>
      <w:r>
        <w:rPr>
          <w:rFonts w:ascii="Times New Roman;serif" w:hAnsi="Times New Roman;serif"/>
          <w:b/>
          <w:i/>
          <w:color w:val="000000"/>
          <w:sz w:val="20"/>
        </w:rPr>
        <w:t>platform. We may not be able to launch our Nautilus Voyager</w:t>
      </w:r>
      <w:r>
        <w:rPr>
          <w:rFonts w:ascii="Times New Roman;serif" w:hAnsi="Times New Roman;serif"/>
          <w:b/>
          <w:i/>
          <w:color w:val="000000"/>
          <w:sz w:val="13"/>
        </w:rPr>
        <w:t>TM</w:t>
      </w:r>
      <w:r>
        <w:rPr>
          <w:color w:val="000000"/>
        </w:rPr>
        <w:t xml:space="preserve"> </w:t>
      </w:r>
      <w:r>
        <w:rPr>
          <w:rFonts w:ascii="Times New Roman;serif" w:hAnsi="Times New Roman;serif"/>
          <w:b/>
          <w:i/>
          <w:color w:val="000000"/>
          <w:sz w:val="20"/>
        </w:rPr>
        <w:t>platform successfully and even if it is successful, we may experience material delays in our commercialization program relative to current expectations.</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anticipate commercializing our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in phases that began with research collaborations with leading biopharmaceutical companies, academic institutions and research organizations exploring utility of pre-commercial versions of the platform. The next phases of our strategy involve a land-and-expand strategy in which we provide customers with access to the Iterative Mapping method on the Nautilus Voyager platform for an initial application, and over time, introduce additional applications in both targeted proteoform analysis and broadscale proteomics, which customers would access depending upon their specific needs. Initial customer access to the Nautilus Voyager platform is expected to be through our Early Access Program in which we will perform analysis and profiling of samples analyzed in our facility and shared via a cloud platform. We expect to work closely with early access collaborators to demonstrate the unique value proposition of our Nautilus Voyager platform. With data gained from our Early Access Program customers, we plan to leverage publications to drive awareness and customer demand and later sell instruments and reagents to select customers performing targeted proteoform and broadscale proteomics research. We announced the launch of our Iterative Mapping Early Access Program starting with target specific service offerings in January 2026 for the analysis of the microtubule-associated protein tau (or “Tau” for short), which has been broadly associated with the onset and progression of Alzheimer’s disease in human patients. Over time, we plan to extend this early access framework to include additional proteoforms in new disease areas like oncology and into a dual model that supports both targeted assays like Tau, and broadscale workflows, which are designed to offer broader proteome coverage. We do not anticipate that these early access activities will result in any material revenue. We expect to initiate our commercial launch in late 2026 by opening the Nautilus Voyager platform for pre-orders, with instrument installations at customer sites beginning in early 2027. At launch, we expect general availability to include the Voyager instrument, our Tau proteoform assay, and a second proteoform assay. We anticipate general availability of Broadscale proteomics capabilities in the first half of 2027, as we continue expanding the platform’s assay portfolio. Our first generally available broadscale consumable kits are designed to deliver strong initial performance, with subsequent releases expected to further expand capabilities and enable the platform to meet or exceed our previously announced product specifications.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Achieving the scientific and commercial objectives identified above within currently anticipated timelines will require substantial investments in our technologies and in the underlying science. Scientific and technological development of the nature being undertaken by us is extraordinarily complex, and there can be no assurances that any of these phases of commercial development will be successful, that they will be completed within the timelines currently anticipated, or that they will result in increased customer interest in our products and/or services. Given the scientific and technical complexity of our products and services, we could experience material delays in product development and commercial launch. In addition, if we are not able to supplement our initial platform release with subsequent consumable releases to enable our platform to meet or exceed our previously announced product specifications, we may lose customers or be limited in our ability to achieve market adoption. If our research and product development efforts do not result in commercially viable products and/or services within the anticipated timelines or if such products do not generate the interest in the market that we anticipate, our business, operating results, and financial condition will be adversely affected.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The commercialization of our products will require us to establish relationships and successfully collaborate with leading life science companies and research institutions, initially to test and validate our products and subsequently as we seek to expand the markets for our products. We may be unable to establish sufficient collaborations of this nature, and such collaborations could result in agreements that limit or otherwise impair our flexibility to pursue other strategic opportunities.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As noted above, establishing collaborations and partnerships with large pharmaceutical and biotechnology companies and with major research institutions is a material element of our commercialization strategy. While early collaborations have focused, and are expected to continue to focus on the assessment and validation of our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 xml:space="preserve">Voyager platform with a focus in part on publication of results in peer-reviewed scientific journals, we also intend to pursue additional, potentially revenue-generating collaborations in areas of biological interest. Among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val="false"/>
          <w:color w:val="000000"/>
          <w:sz w:val="20"/>
        </w:rPr>
        <w:t xml:space="preserve">examples, we may pursue collaborations relating to the development and commercialization of therapeutic product candidates targeting proteins identified by our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we will be successful in developing or maintaining collaborations or that, if established, these collaborations will achieve the desired objectives. Establishing collaborations is difficult and time-consuming. Discussions may not lead to collaborations on favorable terms, if at all, and particularly where we are negotiating against major pharmaceutical companies, we may have relatively less leverage in negotiating favorable terms. To the extent we agree to work exclusively with a party in a given field, our opportunities to collaborate with others in that field would be limited. Certain parties may seek to partner with other companies in addition to us in connection with a project. This, in turn, may limit the commercial potential of any products that are the subject of such collaborations. Potential collaborators may elect not to work with us based upon their assessment of our financial, regulatory, commercial or intellectual property position.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Even if we are successful in entering into collaborations, the success of such collaborations will depend heavily on the efforts and activities of our collaborators.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Scientific collaborations of the nature we propose to pursue are subject to numerous risks, including that:</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collaborators may have significant discretion in determining the efforts and resources that they will apply to a specific project;</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collaborators may not pursue development and commercialization of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collaborators may own intellectual property covering products that result from our collaboration with them, and in such cases, we would not have the right to develop or commercialize such intellectual property;</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collaborators may co-own intellectual property covering products that result from our collaboration with them, and in such cases, we would not have the right to exclude others from developing or commercializing such intellectual property;</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collaborators could independently develop, or develop with third parties, products that compete directly or indirectly with product candidates that are being developed under the collaboration with us;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a collaborator with marketing, manufacturing, and distribution rights to one or more products may not commit sufficient resources to or otherwise not perform satisfactorily in carrying out these activities;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we could grant exclusive rights to our collaborators that would prevent us from collaborating with others;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disputes may arise between us and a collaborator that cause the delay or termination of the research, development, or commercialization of products or that result in costly litigation or arbitration that diverts management attention and resources;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collaborations may be terminated, and, if terminated, in addition to reducing our revenue, may reduce exposure to research and clinical trials that facilitate the collection and incorporation of new information into our platform; and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a collaborator’s sales and marketing activities or other operations may not be in compliance with applicable laws resulting in civil or criminal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before obtaining marketing approval from regulatory authorities for the sale of product candidates subject to future collaborations, our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pStyle w:val="TextBody"/>
        <w:bidi w:val="0"/>
        <w:spacing w:lineRule="auto" w:line="288" w:before="0" w:after="180"/>
        <w:ind w:left="0" w:right="0" w:firstLine="360"/>
        <w:jc w:val="left"/>
        <w:rPr/>
      </w:pPr>
      <w:r>
        <w:rPr>
          <w:rFonts w:ascii="Times New Roman;serif" w:hAnsi="Times New Roman;serif"/>
          <w:b/>
          <w:i/>
          <w:color w:val="000000"/>
          <w:sz w:val="20"/>
        </w:rPr>
        <w:t>Even if we are able to complete development of our Nautilus Voyager</w:t>
      </w:r>
      <w:r>
        <w:rPr>
          <w:rFonts w:ascii="Times New Roman;serif" w:hAnsi="Times New Roman;serif"/>
          <w:b/>
          <w:i/>
          <w:color w:val="000000"/>
          <w:sz w:val="13"/>
        </w:rPr>
        <w:t>TM</w:t>
      </w:r>
      <w:r>
        <w:rPr>
          <w:color w:val="000000"/>
        </w:rPr>
        <w:t xml:space="preserve"> </w:t>
      </w:r>
      <w:r>
        <w:rPr>
          <w:rFonts w:ascii="Times New Roman;serif" w:hAnsi="Times New Roman;serif"/>
          <w:b/>
          <w:i/>
          <w:color w:val="000000"/>
          <w:sz w:val="20"/>
        </w:rPr>
        <w:t>platform, we may not achieve or maintain significant commercial market acceptance.</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Even if we are able to complete development of our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the platform will be subject to market forces and adoption curves common to new technologies. The market for novel proteomics technologies and products like those being developed by us is in the early stages of development. While these technologies present the potential to displace legacy products, changing long-standing scientific workflows with new instruments requiring substantial capital expenditures will require us to invest substantial financial and management resources to educate potential customers on the benefits of our</w:t>
      </w:r>
      <w:r>
        <w:rPr>
          <w:color w:val="000000"/>
          <w:shd w:fill="FFFFFF" w:val="clear"/>
        </w:rPr>
        <w:t xml:space="preserve">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 xml:space="preserve">Voyager platform relative to existing technologies and to validate our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 xml:space="preserve">Voyager platform’s ability to meet customer requirements. In that regard, we anticipate that our initial market focus will be pharmaceutical development and associated research, which are characterized by demanding and exacting requirements for product performance and accuracy. If widespread adoption of our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Voyager platform takes longer than anticipated or does not occur, our business will be materially and adversely affected.</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We expect that references to the use of our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Voyager</w:t>
      </w:r>
      <w:r>
        <w:rPr>
          <w:color w:val="000000"/>
          <w:shd w:fill="FFFFFF" w:val="clear"/>
        </w:rPr>
        <w:t xml:space="preserve"> </w:t>
      </w:r>
      <w:r>
        <w:rPr>
          <w:rFonts w:ascii="Times New Roman;serif" w:hAnsi="Times New Roman;serif"/>
          <w:b w:val="false"/>
          <w:color w:val="000000"/>
          <w:sz w:val="20"/>
          <w:shd w:fill="FFFFFF" w:val="clear"/>
        </w:rPr>
        <w:t>p</w:t>
      </w:r>
      <w:r>
        <w:rPr>
          <w:rFonts w:ascii="Times New Roman;serif" w:hAnsi="Times New Roman;serif"/>
          <w:b w:val="false"/>
          <w:color w:val="000000"/>
          <w:sz w:val="20"/>
        </w:rPr>
        <w:t>latform in peer-reviewed journal publications will be critical to our ability to obtain widespread acceptance within the scientific community. In addition, continuing collaborative relationships with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customers may be less willing to engage with us concerning our products, which could materially delay our commercialization plan and/or substantially extend our sales cycles. Moreover, these customers may ultimately be less willing to purchase our products, which would adversely affect our business and future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Specific, material factors that will influence our ability to achieve market acceptance include the following:</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ability of our marketing and engagement initiatives to increase awareness of the capabilities of our Nautilus</w:t>
      </w:r>
      <w:r>
        <w:rPr>
          <w:color w:val="000000"/>
        </w:rPr>
        <w:t xml:space="preserve"> </w:t>
      </w:r>
      <w:r>
        <w:rPr>
          <w:rFonts w:ascii="Times New Roman;serif" w:hAnsi="Times New Roman;serif"/>
          <w:b w:val="false"/>
          <w:color w:val="000000"/>
          <w:sz w:val="20"/>
        </w:rPr>
        <w:t>Voyager</w:t>
      </w:r>
      <w:r>
        <w:rPr>
          <w:color w:val="000000"/>
          <w:shd w:fill="FFFFFF" w:val="clear"/>
        </w:rPr>
        <w:t xml:space="preserve"> </w:t>
      </w:r>
      <w:r>
        <w:rPr>
          <w:rFonts w:ascii="Times New Roman;serif" w:hAnsi="Times New Roman;serif"/>
          <w:b w:val="false"/>
          <w:color w:val="000000"/>
          <w:sz w:val="20"/>
          <w:shd w:fill="FFFFFF" w:val="clear"/>
        </w:rPr>
        <w:t>platform;</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ability of our Nautilus</w:t>
      </w:r>
      <w:r>
        <w:rPr>
          <w:color w:val="000000"/>
        </w:rPr>
        <w:t xml:space="preserve"> </w:t>
      </w:r>
      <w:r>
        <w:rPr>
          <w:rFonts w:ascii="Times New Roman;serif" w:hAnsi="Times New Roman;serif"/>
          <w:b w:val="false"/>
          <w:color w:val="000000"/>
          <w:sz w:val="20"/>
        </w:rPr>
        <w:t>Voyager</w:t>
      </w:r>
      <w:r>
        <w:rPr>
          <w:color w:val="000000"/>
          <w:shd w:fill="FFFFFF" w:val="clear"/>
        </w:rPr>
        <w:t xml:space="preserve"> </w:t>
      </w:r>
      <w:r>
        <w:rPr>
          <w:rFonts w:ascii="Times New Roman;serif" w:hAnsi="Times New Roman;serif"/>
          <w:b w:val="false"/>
          <w:color w:val="000000"/>
          <w:sz w:val="20"/>
          <w:shd w:fill="FFFFFF" w:val="clear"/>
        </w:rPr>
        <w:t>platform to demonstrate reliable performance in intended use applications, in particular, when the platform is used by customers in their own research;</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our ability to demonstrate that the functionality and performance of our Nautilus</w:t>
      </w:r>
      <w:r>
        <w:rPr>
          <w:color w:val="000000"/>
        </w:rPr>
        <w:t xml:space="preserve"> </w:t>
      </w:r>
      <w:r>
        <w:rPr>
          <w:rFonts w:ascii="Times New Roman;serif" w:hAnsi="Times New Roman;serif"/>
          <w:b w:val="false"/>
          <w:color w:val="000000"/>
          <w:sz w:val="20"/>
        </w:rPr>
        <w:t>Voyager</w:t>
      </w:r>
      <w:r>
        <w:rPr>
          <w:color w:val="000000"/>
          <w:shd w:fill="FFFFFF" w:val="clear"/>
        </w:rPr>
        <w:t xml:space="preserve"> </w:t>
      </w:r>
      <w:r>
        <w:rPr>
          <w:rFonts w:ascii="Times New Roman;serif" w:hAnsi="Times New Roman;serif"/>
          <w:b w:val="false"/>
          <w:color w:val="000000"/>
          <w:sz w:val="20"/>
          <w:shd w:fill="FFFFFF" w:val="clear"/>
        </w:rPr>
        <w:t>platform relative to alternative products and technologies justifies the substantial anticipated cost of the platform;</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willingness of prospective customers to adopt new products and workflows;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ease of use of our Nautilus</w:t>
      </w:r>
      <w:r>
        <w:rPr>
          <w:color w:val="000000"/>
        </w:rPr>
        <w:t xml:space="preserve"> </w:t>
      </w:r>
      <w:r>
        <w:rPr>
          <w:rFonts w:ascii="Times New Roman;serif" w:hAnsi="Times New Roman;serif"/>
          <w:b w:val="false"/>
          <w:color w:val="000000"/>
          <w:sz w:val="20"/>
        </w:rPr>
        <w:t>Voyager</w:t>
      </w:r>
      <w:r>
        <w:rPr>
          <w:color w:val="000000"/>
          <w:shd w:fill="FFFFFF" w:val="clear"/>
        </w:rPr>
        <w:t xml:space="preserve"> </w:t>
      </w:r>
      <w:r>
        <w:rPr>
          <w:rFonts w:ascii="Times New Roman;serif" w:hAnsi="Times New Roman;serif"/>
          <w:b w:val="false"/>
          <w:color w:val="000000"/>
          <w:sz w:val="20"/>
          <w:shd w:fill="FFFFFF" w:val="clear"/>
        </w:rPr>
        <w:t>platform and whether it reliably provides significant advantages over alternative products and technologies;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rate of adoption of our Nautilus</w:t>
      </w:r>
      <w:r>
        <w:rPr>
          <w:color w:val="000000"/>
        </w:rPr>
        <w:t xml:space="preserve"> </w:t>
      </w:r>
      <w:r>
        <w:rPr>
          <w:rFonts w:ascii="Times New Roman;serif" w:hAnsi="Times New Roman;serif"/>
          <w:b w:val="false"/>
          <w:color w:val="000000"/>
          <w:sz w:val="20"/>
        </w:rPr>
        <w:t>Voyager</w:t>
      </w:r>
      <w:r>
        <w:rPr>
          <w:color w:val="000000"/>
          <w:shd w:fill="FFFFFF" w:val="clear"/>
        </w:rPr>
        <w:t xml:space="preserve"> </w:t>
      </w:r>
      <w:r>
        <w:rPr>
          <w:rFonts w:ascii="Times New Roman;serif" w:hAnsi="Times New Roman;serif"/>
          <w:b w:val="false"/>
          <w:color w:val="000000"/>
          <w:sz w:val="20"/>
          <w:shd w:fill="FFFFFF" w:val="clear"/>
        </w:rPr>
        <w:t>platform by biopharmaceutical companies, laboratories, academic institutions and others;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prices at which we will be able to sell our Nautilus</w:t>
      </w:r>
      <w:r>
        <w:rPr>
          <w:color w:val="000000"/>
        </w:rPr>
        <w:t xml:space="preserve"> </w:t>
      </w:r>
      <w:r>
        <w:rPr>
          <w:rFonts w:ascii="Times New Roman;serif" w:hAnsi="Times New Roman;serif"/>
          <w:b w:val="false"/>
          <w:color w:val="000000"/>
          <w:sz w:val="20"/>
        </w:rPr>
        <w:t>Voyager</w:t>
      </w:r>
      <w:r>
        <w:rPr>
          <w:rFonts w:ascii="Times New Roman;serif" w:hAnsi="Times New Roman;serif"/>
          <w:b w:val="false"/>
          <w:color w:val="000000"/>
          <w:sz w:val="13"/>
        </w:rPr>
        <w:t>TM</w:t>
      </w:r>
      <w:r>
        <w:rPr>
          <w:color w:val="000000"/>
          <w:shd w:fill="FFFFFF" w:val="clear"/>
        </w:rPr>
        <w:t xml:space="preserve"> </w:t>
      </w:r>
      <w:r>
        <w:rPr>
          <w:rFonts w:ascii="Times New Roman;serif" w:hAnsi="Times New Roman;serif"/>
          <w:b w:val="false"/>
          <w:color w:val="000000"/>
          <w:sz w:val="20"/>
          <w:shd w:fill="FFFFFF" w:val="clear"/>
        </w:rPr>
        <w:t>platform;</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our ability to develop new products, workflows, and solutions that meet customer requirements;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introduction or development and commercialization by competitors of new products or enhancements to existing products with functionality and/or performance similar to our Nautilus</w:t>
      </w:r>
      <w:r>
        <w:rPr>
          <w:color w:val="000000"/>
        </w:rPr>
        <w:t xml:space="preserve"> </w:t>
      </w:r>
      <w:r>
        <w:rPr>
          <w:rFonts w:ascii="Times New Roman;serif" w:hAnsi="Times New Roman;serif"/>
          <w:b w:val="false"/>
          <w:color w:val="000000"/>
          <w:sz w:val="20"/>
        </w:rPr>
        <w:t>Voyager</w:t>
      </w:r>
      <w:r>
        <w:rPr>
          <w:color w:val="000000"/>
          <w:shd w:fill="FFFFFF" w:val="clear"/>
        </w:rPr>
        <w:t xml:space="preserve"> </w:t>
      </w:r>
      <w:r>
        <w:rPr>
          <w:rFonts w:ascii="Times New Roman;serif" w:hAnsi="Times New Roman;serif"/>
          <w:b w:val="false"/>
          <w:color w:val="000000"/>
          <w:sz w:val="20"/>
          <w:shd w:fill="FFFFFF" w:val="clear"/>
        </w:rPr>
        <w:t>platform; and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impact of our investments in product innovation and commercial growth.</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cannot assure you that we will be successful in addressing any of these criteria or any additional criteria that might affect the market acceptance of our products. If we are unsuccessful in achieving and maintaining market acceptance of our </w:t>
      </w:r>
      <w:r>
        <w:rPr>
          <w:rFonts w:ascii="Times New Roman;serif" w:hAnsi="Times New Roman;serif"/>
          <w:b w:val="false"/>
          <w:color w:val="000000"/>
          <w:sz w:val="20"/>
          <w:shd w:fill="FFFFFF" w:val="clear"/>
        </w:rPr>
        <w:t>Nautilus Voyager p</w:t>
      </w:r>
      <w:r>
        <w:rPr>
          <w:rFonts w:ascii="Times New Roman;serif" w:hAnsi="Times New Roman;serif"/>
          <w:b w:val="false"/>
          <w:color w:val="000000"/>
          <w:sz w:val="20"/>
        </w:rPr>
        <w:t>latform, our business, financial condition and results of operations would be adversely affected.</w:t>
      </w:r>
    </w:p>
    <w:p>
      <w:pPr>
        <w:pStyle w:val="TextBody"/>
        <w:bidi w:val="0"/>
        <w:spacing w:lineRule="auto" w:line="288" w:before="0" w:after="180"/>
        <w:ind w:left="0" w:right="0" w:firstLine="360"/>
        <w:jc w:val="left"/>
        <w:rPr/>
      </w:pPr>
      <w:r>
        <w:rPr>
          <w:rFonts w:ascii="Times New Roman;serif" w:hAnsi="Times New Roman;serif"/>
          <w:b/>
          <w:i/>
          <w:color w:val="000000"/>
          <w:sz w:val="20"/>
        </w:rPr>
        <w:t>We have no experience in manufacturing our products at commercial scale. If we are unable to establish manufacturing capacity by ourselves or with partners in a timely manner after completing development, commercialization of our Nautilus</w:t>
      </w:r>
      <w:r>
        <w:rPr>
          <w:color w:val="000000"/>
        </w:rPr>
        <w:t xml:space="preserve"> </w:t>
      </w:r>
      <w:r>
        <w:rPr>
          <w:rFonts w:ascii="Times New Roman;serif" w:hAnsi="Times New Roman;serif"/>
          <w:b/>
          <w:i/>
          <w:color w:val="000000"/>
          <w:sz w:val="20"/>
        </w:rPr>
        <w:t>Voyager</w:t>
      </w:r>
      <w:r>
        <w:rPr>
          <w:rFonts w:ascii="Times New Roman;serif" w:hAnsi="Times New Roman;serif"/>
          <w:b/>
          <w:i/>
          <w:color w:val="000000"/>
          <w:sz w:val="13"/>
        </w:rPr>
        <w:t>TM</w:t>
      </w:r>
      <w:r>
        <w:rPr>
          <w:color w:val="000000"/>
        </w:rPr>
        <w:t xml:space="preserve"> </w:t>
      </w:r>
      <w:r>
        <w:rPr>
          <w:rFonts w:ascii="Times New Roman;serif" w:hAnsi="Times New Roman;serif"/>
          <w:b/>
          <w:i/>
          <w:color w:val="000000"/>
          <w:sz w:val="20"/>
        </w:rPr>
        <w:t>platform would be delayed, which would result in lost revenue and harm our business.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order for us to commercialize our </w:t>
      </w:r>
      <w:r>
        <w:rPr>
          <w:rFonts w:ascii="Times New Roman;serif" w:hAnsi="Times New Roman;serif"/>
          <w:b w:val="false"/>
          <w:color w:val="000000"/>
          <w:sz w:val="20"/>
          <w:shd w:fill="FFFFFF" w:val="clear"/>
        </w:rPr>
        <w:t>Nautilus Voyager p</w:t>
      </w:r>
      <w:r>
        <w:rPr>
          <w:rFonts w:ascii="Times New Roman;serif" w:hAnsi="Times New Roman;serif"/>
          <w:b w:val="false"/>
          <w:color w:val="000000"/>
          <w:sz w:val="20"/>
        </w:rPr>
        <w:t xml:space="preserve">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Voyager</w:t>
      </w:r>
      <w:r>
        <w:rPr>
          <w:color w:val="000000"/>
          <w:shd w:fill="FFFFFF" w:val="clear"/>
        </w:rPr>
        <w:t xml:space="preserve"> </w:t>
      </w:r>
      <w:r>
        <w:rPr>
          <w:rFonts w:ascii="Times New Roman;serif" w:hAnsi="Times New Roman;serif"/>
          <w:b w:val="false"/>
          <w:color w:val="000000"/>
          <w:sz w:val="20"/>
          <w:shd w:fill="FFFFFF" w:val="clear"/>
        </w:rPr>
        <w:t>p</w:t>
      </w:r>
      <w:r>
        <w:rPr>
          <w:rFonts w:ascii="Times New Roman;serif" w:hAnsi="Times New Roman;serif"/>
          <w:b w:val="false"/>
          <w:color w:val="000000"/>
          <w:sz w:val="20"/>
        </w:rPr>
        <w:t xml:space="preserve">latform, including our proteome analysis system and related consumables. Among other factors, we will need to develop reliable supply chains for the various components in our platform instruments and consumables to support large-scale commercial production. In connection with our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Voyager</w:t>
      </w:r>
      <w:r>
        <w:rPr>
          <w:color w:val="000000"/>
          <w:shd w:fill="FFFFFF" w:val="clear"/>
        </w:rPr>
        <w:t xml:space="preserve"> </w:t>
      </w:r>
      <w:r>
        <w:rPr>
          <w:rFonts w:ascii="Times New Roman;serif" w:hAnsi="Times New Roman;serif"/>
          <w:b w:val="false"/>
          <w:color w:val="000000"/>
          <w:sz w:val="20"/>
          <w:shd w:fill="FFFFFF" w:val="clear"/>
        </w:rPr>
        <w:t>p</w:t>
      </w:r>
      <w:r>
        <w:rPr>
          <w:rFonts w:ascii="Times New Roman;serif" w:hAnsi="Times New Roman;serif"/>
          <w:b w:val="false"/>
          <w:color w:val="000000"/>
          <w:sz w:val="20"/>
        </w:rPr>
        <w:t xml:space="preserve">latform, we may utilize long lead time instrument system components, such as cameras and lasers, and as a result, it may impact our ability to consistently source such components. Additionally, we intend to utilize approximately 300 unique multi-affinity reagents and various antibodies in order to generate deep proteomic information at the speed and scale which we expect our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Voyager</w:t>
      </w:r>
      <w:r>
        <w:rPr>
          <w:color w:val="000000"/>
          <w:shd w:fill="FFFFFF" w:val="clear"/>
        </w:rPr>
        <w:t xml:space="preserve"> </w:t>
      </w:r>
      <w:r>
        <w:rPr>
          <w:rFonts w:ascii="Times New Roman;serif" w:hAnsi="Times New Roman;serif"/>
          <w:b w:val="false"/>
          <w:color w:val="000000"/>
          <w:sz w:val="20"/>
          <w:shd w:fill="FFFFFF" w:val="clear"/>
        </w:rPr>
        <w:t>p</w:t>
      </w:r>
      <w:r>
        <w:rPr>
          <w:rFonts w:ascii="Times New Roman;serif" w:hAnsi="Times New Roman;serif"/>
          <w:b w:val="false"/>
          <w:color w:val="000000"/>
          <w:sz w:val="20"/>
        </w:rPr>
        <w:t xml:space="preserve">latform to perform. Such reagents and antibodies are expected to be more difficult to manufacture and more expensive to procure. There are no assurances that we will be able to build manufacturing or consumable production capacity internally or find one or more suitable manufacturing or production partners, or both, to meet the volume and quality requirements necessary to be successful in the proteomics market. In addition, in connection with establishing third party relationships or sourcing component supplies, including with respect to instrument components, reagents and antibodies, we may incur costs that are higher than currently expected and that may adversely affect our gross margins and operating results following commercialization. Assuming we complete development of our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Voyager</w:t>
      </w:r>
      <w:r>
        <w:rPr>
          <w:color w:val="000000"/>
          <w:shd w:fill="FFFFFF" w:val="clear"/>
        </w:rPr>
        <w:t xml:space="preserve"> </w:t>
      </w:r>
      <w:r>
        <w:rPr>
          <w:rFonts w:ascii="Times New Roman;serif" w:hAnsi="Times New Roman;serif"/>
          <w:b w:val="false"/>
          <w:color w:val="000000"/>
          <w:sz w:val="20"/>
          <w:shd w:fill="FFFFFF" w:val="clear"/>
        </w:rPr>
        <w:t>p</w:t>
      </w:r>
      <w:r>
        <w:rPr>
          <w:rFonts w:ascii="Times New Roman;serif" w:hAnsi="Times New Roman;serif"/>
          <w:b w:val="false"/>
          <w:color w:val="000000"/>
          <w:sz w:val="20"/>
        </w:rPr>
        <w:t>latform, we may experience manufacturing and product quality issues as we increase the scale of our production. Any delay or inability in establishing or expanding our manufacturing capacity could diminish our ability to develop or sell our products, result in increased or unanticipated costs, result in lost revenue, and seriously harm our business, results of operations and financial condition.</w:t>
      </w:r>
    </w:p>
    <w:p>
      <w:pPr>
        <w:pStyle w:val="TextBody"/>
        <w:bidi w:val="0"/>
        <w:spacing w:lineRule="auto" w:line="288" w:before="0" w:after="180"/>
        <w:ind w:left="0" w:right="0" w:firstLine="360"/>
        <w:jc w:val="left"/>
        <w:rPr/>
      </w:pPr>
      <w:r>
        <w:rPr>
          <w:rFonts w:ascii="Times New Roman;serif" w:hAnsi="Times New Roman;serif"/>
          <w:b/>
          <w:i/>
          <w:color w:val="000000"/>
          <w:sz w:val="20"/>
        </w:rPr>
        <w:t>If we are unable to establish an effective commercial organization, including effective distribution channels and sales and marketing functions, we may not be successful in commercializing our Nautilus Voyager</w:t>
      </w:r>
      <w:r>
        <w:rPr>
          <w:rFonts w:ascii="Times New Roman;serif" w:hAnsi="Times New Roman;serif"/>
          <w:b/>
          <w:i/>
          <w:color w:val="000000"/>
          <w:sz w:val="13"/>
        </w:rPr>
        <w:t>TM</w:t>
      </w:r>
      <w:r>
        <w:rPr>
          <w:color w:val="000000"/>
        </w:rPr>
        <w:t xml:space="preserve"> </w:t>
      </w:r>
      <w:r>
        <w:rPr>
          <w:rFonts w:ascii="Times New Roman;serif" w:hAnsi="Times New Roman;serif"/>
          <w:b/>
          <w:i/>
          <w:color w:val="000000"/>
          <w:sz w:val="20"/>
        </w:rPr>
        <w:t>platform.</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are only beginning to establish an internal organization focused specifically on the commercialization of our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 xml:space="preserve">Voyager platform. Our initial hiring has focused on senior commercial leadership, and although this leadership has considerable industry experience, in order to achieve substantial revenue growth and profitability, we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We will be required to expend substantial financial resources to hire personnel and develop our commercial operations prior to commercial launch of our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Voyager platform. Accordingly, these initiatives will adversely affect our operating expenses prior to us having material off-setting revenue, if 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develop these functions successfully, we will face a number of additional risks, including:</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our ability to attract, retain, and manage the sales, marketing, customer service, and customer support force necessary to commercialize and gain market acceptance for our technology, with the additional challenge that many of these new hires will require specific scientific and technological expertise that may be more difficult to find; and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time and cost of establishing a specialized sales, marketing and customer service and support force.</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addition to our internal organization, we may seek to enlist one or more third parties to assist with sales, distribution, and customer service and support globally or in certain regions of the world. In certain markets, we could seek to establish partnerships with larger market participants to provide access to their distribution channels and which could also involve scientific or technological collaboration. There is no guarantee, if we do seek to enter into any of these arrangements, that we will be successful in attracting desirable partners or that we will be able to enter into such arrangements on commercially favorable terms. If our commercialization efforts, or those of any third-party partners, are not successful, our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Voyager</w:t>
      </w:r>
      <w:r>
        <w:rPr>
          <w:rFonts w:ascii="Times New Roman;serif" w:hAnsi="Times New Roman;serif"/>
          <w:b w:val="false"/>
          <w:color w:val="000000"/>
          <w:sz w:val="13"/>
        </w:rPr>
        <w:t>TM</w:t>
      </w:r>
      <w:r>
        <w:rPr>
          <w:color w:val="000000"/>
          <w:shd w:fill="FFFFFF" w:val="clear"/>
        </w:rPr>
        <w:t xml:space="preserve"> </w:t>
      </w:r>
      <w:r>
        <w:rPr>
          <w:rFonts w:ascii="Times New Roman;serif" w:hAnsi="Times New Roman;serif"/>
          <w:b w:val="false"/>
          <w:color w:val="000000"/>
          <w:sz w:val="20"/>
          <w:shd w:fill="FFFFFF" w:val="clear"/>
        </w:rPr>
        <w:t>p</w:t>
      </w:r>
      <w:r>
        <w:rPr>
          <w:rFonts w:ascii="Times New Roman;serif" w:hAnsi="Times New Roman;serif"/>
          <w:b w:val="false"/>
          <w:color w:val="000000"/>
          <w:sz w:val="20"/>
        </w:rPr>
        <w:t>latform may not gain market acceptance, which could materially impact our business and results of operations.</w:t>
      </w:r>
    </w:p>
    <w:p>
      <w:pPr>
        <w:pStyle w:val="TextBody"/>
        <w:bidi w:val="0"/>
        <w:spacing w:lineRule="auto" w:line="288" w:before="0" w:after="180"/>
        <w:ind w:left="0" w:right="0" w:firstLine="360"/>
        <w:jc w:val="left"/>
        <w:rPr/>
      </w:pPr>
      <w:r>
        <w:rPr>
          <w:rFonts w:ascii="Times New Roman;serif" w:hAnsi="Times New Roman;serif"/>
          <w:b/>
          <w:i/>
          <w:color w:val="000000"/>
          <w:sz w:val="20"/>
        </w:rPr>
        <w:t>The size of the markets for our Nautilus</w:t>
      </w:r>
      <w:r>
        <w:rPr>
          <w:color w:val="000000"/>
        </w:rPr>
        <w:t xml:space="preserve"> </w:t>
      </w:r>
      <w:r>
        <w:rPr>
          <w:rFonts w:ascii="Times New Roman;serif" w:hAnsi="Times New Roman;serif"/>
          <w:b/>
          <w:i/>
          <w:color w:val="000000"/>
          <w:sz w:val="20"/>
        </w:rPr>
        <w:t>Voyager</w:t>
      </w:r>
      <w:r>
        <w:rPr>
          <w:rFonts w:ascii="Times New Roman;serif" w:hAnsi="Times New Roman;serif"/>
          <w:b/>
          <w:i/>
          <w:color w:val="000000"/>
          <w:sz w:val="13"/>
        </w:rPr>
        <w:t>TM</w:t>
      </w:r>
      <w:r>
        <w:rPr>
          <w:color w:val="000000"/>
        </w:rPr>
        <w:t xml:space="preserve"> </w:t>
      </w:r>
      <w:r>
        <w:rPr>
          <w:rFonts w:ascii="Times New Roman;serif" w:hAnsi="Times New Roman;serif"/>
          <w:b/>
          <w:i/>
          <w:color w:val="000000"/>
          <w:sz w:val="20"/>
        </w:rPr>
        <w:t>platform may be smaller than estimated, and new market opportunities may not develop as quickly as we expect, or at all, limiting our ability to successfully sell our products.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market for proteomics technologies and products is evolving, making it difficult to predict with any accuracy the size of the markets for our current and future products, including our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Voyager</w:t>
      </w:r>
      <w:r>
        <w:rPr>
          <w:color w:val="000000"/>
          <w:shd w:fill="FFFFFF" w:val="clear"/>
        </w:rPr>
        <w:t xml:space="preserve"> </w:t>
      </w:r>
      <w:r>
        <w:rPr>
          <w:rFonts w:ascii="Times New Roman;serif" w:hAnsi="Times New Roman;serif"/>
          <w:b w:val="false"/>
          <w:color w:val="000000"/>
          <w:sz w:val="20"/>
          <w:shd w:fill="FFFFFF" w:val="clear"/>
        </w:rPr>
        <w:t>platform</w:t>
      </w:r>
      <w:r>
        <w:rPr>
          <w:rFonts w:ascii="Times New Roman;serif" w:hAnsi="Times New Roman;serif"/>
          <w:b w:val="false"/>
          <w:color w:val="000000"/>
          <w:sz w:val="20"/>
        </w:rPr>
        <w:t xml:space="preserve">. Our estimates of the total addressable market for our current and future products, including with respect to the proteomics market, the diagnostic market, and the mass spectrometry market,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market, the proteomics market may develop more slowly or differently. In addition, our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Voyager</w:t>
      </w:r>
      <w:r>
        <w:rPr>
          <w:color w:val="000000"/>
          <w:shd w:fill="FFFFFF" w:val="clear"/>
        </w:rPr>
        <w:t xml:space="preserve"> </w:t>
      </w:r>
      <w:r>
        <w:rPr>
          <w:rFonts w:ascii="Times New Roman;serif" w:hAnsi="Times New Roman;serif"/>
          <w:b w:val="false"/>
          <w:color w:val="000000"/>
          <w:sz w:val="20"/>
          <w:shd w:fill="FFFFFF" w:val="clear"/>
        </w:rPr>
        <w:t>platform</w:t>
      </w:r>
      <w:r>
        <w:rPr>
          <w:color w:val="000000"/>
        </w:rPr>
        <w:t xml:space="preserve"> </w:t>
      </w:r>
      <w:r>
        <w:rPr>
          <w:rFonts w:ascii="Times New Roman;serif" w:hAnsi="Times New Roman;serif"/>
          <w:b w:val="false"/>
          <w:color w:val="000000"/>
          <w:sz w:val="20"/>
        </w:rPr>
        <w:t>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erif" w:hAnsi="Times New Roman;serif"/>
          <w:b/>
          <w:i/>
          <w:color w:val="000000"/>
          <w:sz w:val="20"/>
        </w:rPr>
        <w:t>We are dependent on single source suppliers for some of the components and materials used in our</w:t>
      </w:r>
      <w:r>
        <w:rPr>
          <w:color w:val="000000"/>
          <w:shd w:fill="FFFFFF" w:val="clear"/>
        </w:rPr>
        <w:t xml:space="preserve"> </w:t>
      </w:r>
      <w:r>
        <w:rPr>
          <w:rFonts w:ascii="Times New Roman;serif" w:hAnsi="Times New Roman;serif"/>
          <w:b/>
          <w:i/>
          <w:color w:val="000000"/>
          <w:sz w:val="20"/>
        </w:rPr>
        <w:t>Nautilus Voyager</w:t>
      </w:r>
      <w:r>
        <w:rPr>
          <w:rFonts w:ascii="Times New Roman;serif" w:hAnsi="Times New Roman;serif"/>
          <w:b/>
          <w:i/>
          <w:color w:val="000000"/>
          <w:sz w:val="13"/>
        </w:rPr>
        <w:t>TM</w:t>
      </w:r>
      <w:r>
        <w:rPr>
          <w:color w:val="000000"/>
        </w:rPr>
        <w:t xml:space="preserve"> </w:t>
      </w:r>
      <w:r>
        <w:rPr>
          <w:rFonts w:ascii="Times New Roman;serif" w:hAnsi="Times New Roman;serif"/>
          <w:b/>
          <w:i/>
          <w:color w:val="000000"/>
          <w:sz w:val="20"/>
        </w:rPr>
        <w:t>platform, and the loss of any of these suppliers could harm our business.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rely on single source suppliers for certain components and materials used in our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Voyager</w:t>
      </w:r>
      <w:r>
        <w:rPr>
          <w:rFonts w:ascii="Times New Roman;serif" w:hAnsi="Times New Roman;serif"/>
          <w:b w:val="false"/>
          <w:color w:val="000000"/>
          <w:sz w:val="13"/>
        </w:rPr>
        <w:t>TM</w:t>
      </w:r>
      <w:r>
        <w:rPr>
          <w:color w:val="000000"/>
          <w:shd w:fill="FFFFFF" w:val="clear"/>
        </w:rPr>
        <w:t xml:space="preserve"> </w:t>
      </w:r>
      <w:r>
        <w:rPr>
          <w:rFonts w:ascii="Times New Roman;serif" w:hAnsi="Times New Roman;serif"/>
          <w:b w:val="false"/>
          <w:color w:val="000000"/>
          <w:sz w:val="20"/>
          <w:shd w:fill="FFFFFF" w:val="clear"/>
        </w:rPr>
        <w:t>platform. The loss of any of these single source suppliers would require us to expend significant time and effort to locate and qualify an alternative source of supply for these components. Though we do not c</w:t>
      </w:r>
      <w:r>
        <w:rPr>
          <w:rFonts w:ascii="Times New Roman;serif" w:hAnsi="Times New Roman;serif"/>
          <w:b w:val="false"/>
          <w:color w:val="000000"/>
          <w:sz w:val="20"/>
        </w:rPr>
        <w:t xml:space="preserve">urrently have contracts for third parties to provide manufacturing capabilities for each component of our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Voyager</w:t>
      </w:r>
      <w:r>
        <w:rPr>
          <w:color w:val="000000"/>
          <w:shd w:fill="FFFFFF" w:val="clear"/>
        </w:rPr>
        <w:t xml:space="preserve"> </w:t>
      </w:r>
      <w:r>
        <w:rPr>
          <w:rFonts w:ascii="Times New Roman;serif" w:hAnsi="Times New Roman;serif"/>
          <w:b w:val="false"/>
          <w:color w:val="000000"/>
          <w:sz w:val="20"/>
          <w:shd w:fill="FFFFFF" w:val="clear"/>
        </w:rPr>
        <w:t>platform for which we expect to employ such third party manufacturers</w:t>
      </w:r>
      <w:r>
        <w:rPr>
          <w:rFonts w:ascii="Times New Roman;serif" w:hAnsi="Times New Roman;serif"/>
          <w:b w:val="false"/>
          <w:color w:val="000000"/>
          <w:sz w:val="20"/>
        </w:rPr>
        <w:t>, if we are successful in reaching the point of manufacturing our products for commercialization, we may rely on a single company for such manufacturing. Any contractual disputes between us and such manufacturer or loss of manufacturing ability by such manufacturer could similarly require significant time, effort and expense to locate and qualify an alternative source of manufacturing, which could materially harm our business.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also rely, and expect to continue to rely, on third-party manufacturers and, in many cases, single third-party manufacturers for the production of certain reagents and antibodies needed to generate the deep proteomic information at the speed and scale which we expect our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Voyager</w:t>
      </w:r>
      <w:r>
        <w:rPr>
          <w:color w:val="000000"/>
          <w:shd w:fill="FFFFFF" w:val="clear"/>
        </w:rPr>
        <w:t xml:space="preserve"> </w:t>
      </w:r>
      <w:r>
        <w:rPr>
          <w:rFonts w:ascii="Times New Roman;serif" w:hAnsi="Times New Roman;serif"/>
          <w:b w:val="false"/>
          <w:color w:val="000000"/>
          <w:sz w:val="20"/>
          <w:shd w:fill="FFFFFF" w:val="clear"/>
        </w:rPr>
        <w:t>platform</w:t>
      </w:r>
      <w:r>
        <w:rPr>
          <w:color w:val="000000"/>
        </w:rPr>
        <w:t xml:space="preserve"> </w:t>
      </w:r>
      <w:r>
        <w:rPr>
          <w:rFonts w:ascii="Times New Roman;serif" w:hAnsi="Times New Roman;serif"/>
          <w:b w:val="false"/>
          <w:color w:val="000000"/>
          <w:sz w:val="20"/>
        </w:rPr>
        <w:t>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we may not be able to obtain favorable terms in agreements with suppliers. Given their complexity, our suppliers may not be able to provide these reagents and antibodies in a cost-effective manner or in a time frame that is consistent with our expected future needs. If our suppliers cease or interrupt production or if suppliers fail to supply materials, products or services to us for any reason, such interruption could delay development, or interrupt the commercial supply, with the potential for additional costs and lost revenue. If this were to occur, we might also need to seek alternative means to fulfill our manufacturing needs. Any such transition would require significant efforts in testing and validation and could result in delays or other issues, which could materially harm our business.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The life sciences technology market is highly competitive. If we fail to compete effectively, our business and results of operation will suffer.</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face significant competition in the life sciences technology market. We currently compete with technology and diagnostic companies tha</w:t>
      </w:r>
      <w:r>
        <w:rPr>
          <w:rFonts w:ascii="Times New Roman;serif" w:hAnsi="Times New Roman;serif"/>
          <w:b w:val="false"/>
          <w:color w:val="000000"/>
          <w:sz w:val="20"/>
          <w:shd w:fill="FFFFFF" w:val="clear"/>
        </w:rPr>
        <w:t>t supply components, products, and services to customers engaged in proteomics analysis. Major competitors include Thermo Fisher Scientific (including Olink); Bruker Corporation; Agilent Technologies; Danaher; (SCIEX); Becton, Dickinson and Company; Quanterix; and Illumina, Inc. (through its acquisition of the former Somalogic business from Standard Biotools Inc.). We also compete with a number of emerging companies that are developing proteomic products and solut</w:t>
      </w:r>
      <w:r>
        <w:rPr>
          <w:rFonts w:ascii="Times New Roman;serif" w:hAnsi="Times New Roman;serif"/>
          <w:b w:val="false"/>
          <w:color w:val="000000"/>
          <w:sz w:val="20"/>
        </w:rPr>
        <w: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of our current competitors are large publicly-traded companies, or are divisions of large publicly-traded companies, and enjoy a number of competitive advantages over us, including:</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greater name and brand recognition;</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greater financial and human resources;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broader product lines;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larger sales forces and more established distributor networks;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substantial intellectual property portfolios;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larger and more established customer bases and relationships; and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better established, larger scale and lower cost manufacturing capabilities.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cannot assure investors that our products will compete favorably or that we will be successful in the face of increasing competition from products and technologies introduced by our existing or future competitors or by companies entering our markets or that are developed by our customers internally. In addition, we cannot assure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investors that our competitors do not have or will not develop products or technologies that currently or in the future will enable them to produce competitive products with superior functionality or performance or at lower costs than ours or that are able to run comparable experiments at a lower total experiment cost. Additionally, the merger or consolidation of significant competitors would result in competitors with greater resources, which may enable them to offer a different market approach, or a lower cost structure through economies of scale or other efficiencies that we may be unable to match and which may intensify competition. Further, our competitors may seek to vertically integrate by buying suppliers that also supply products or components to us, which could enable them to further reduce prices, or could increase our costs. Any failure to compete effectively could materially and adversely affect our business, financial condition and operating results.</w:t>
      </w:r>
    </w:p>
    <w:p>
      <w:pPr>
        <w:pStyle w:val="TextBody"/>
        <w:bidi w:val="0"/>
        <w:spacing w:lineRule="auto" w:line="288" w:before="0" w:after="180"/>
        <w:ind w:left="0" w:right="0" w:firstLine="360"/>
        <w:jc w:val="left"/>
        <w:rPr/>
      </w:pPr>
      <w:r>
        <w:rPr>
          <w:rFonts w:ascii="Times New Roman;serif" w:hAnsi="Times New Roman;serif"/>
          <w:b/>
          <w:i/>
          <w:color w:val="000000"/>
          <w:sz w:val="20"/>
        </w:rPr>
        <w:t>Even if our Nautilus</w:t>
      </w:r>
      <w:r>
        <w:rPr>
          <w:color w:val="000000"/>
        </w:rPr>
        <w:t xml:space="preserve"> </w:t>
      </w:r>
      <w:r>
        <w:rPr>
          <w:rFonts w:ascii="Times New Roman;serif" w:hAnsi="Times New Roman;serif"/>
          <w:b/>
          <w:i/>
          <w:color w:val="000000"/>
          <w:sz w:val="20"/>
        </w:rPr>
        <w:t>Voyager</w:t>
      </w:r>
      <w:r>
        <w:rPr>
          <w:rFonts w:ascii="Times New Roman;serif" w:hAnsi="Times New Roman;serif"/>
          <w:b/>
          <w:i/>
          <w:color w:val="000000"/>
          <w:sz w:val="13"/>
        </w:rPr>
        <w:t>TM</w:t>
      </w:r>
      <w:r>
        <w:rPr>
          <w:color w:val="000000"/>
        </w:rPr>
        <w:t xml:space="preserve"> </w:t>
      </w:r>
      <w:r>
        <w:rPr>
          <w:rFonts w:ascii="Times New Roman;serif" w:hAnsi="Times New Roman;serif"/>
          <w:b/>
          <w:i/>
          <w:color w:val="000000"/>
          <w:sz w:val="20"/>
        </w:rPr>
        <w:t>platform is commercialized and achieves broad scientific and market acceptance, if we fail to improve it or introduce compelling new products, our revenue and our prospects could be harmed.</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life sciences industry is characterized by rapid and significant technological changes, frequent new product introductions and enhancements and evolving industry standards. Even if we are able to commercialize our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Voyager</w:t>
      </w:r>
      <w:r>
        <w:rPr>
          <w:rFonts w:ascii="Times New Roman;serif" w:hAnsi="Times New Roman;serif"/>
          <w:b w:val="false"/>
          <w:color w:val="000000"/>
          <w:sz w:val="13"/>
        </w:rPr>
        <w:t>TM</w:t>
      </w:r>
      <w:r>
        <w:rPr>
          <w:color w:val="000000"/>
          <w:shd w:fill="FFFFFF" w:val="clear"/>
        </w:rPr>
        <w:t xml:space="preserve"> </w:t>
      </w:r>
      <w:r>
        <w:rPr>
          <w:rFonts w:ascii="Times New Roman;serif" w:hAnsi="Times New Roman;serif"/>
          <w:b w:val="false"/>
          <w:color w:val="000000"/>
          <w:sz w:val="20"/>
          <w:shd w:fill="FFFFFF" w:val="clear"/>
        </w:rPr>
        <w:t>platform</w:t>
      </w:r>
      <w:r>
        <w:rPr>
          <w:color w:val="000000"/>
        </w:rPr>
        <w:t xml:space="preserve"> </w:t>
      </w:r>
      <w:r>
        <w:rPr>
          <w:rFonts w:ascii="Times New Roman;serif" w:hAnsi="Times New Roman;serif"/>
          <w:b w:val="false"/>
          <w:color w:val="000000"/>
          <w:sz w:val="20"/>
        </w:rPr>
        <w:t xml:space="preserve">and achieve broad scientific and market acceptance, our ability to attract new customers and increase revenue from existing customers will depend in large part on our ability to enhance and improve our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Voyager</w:t>
      </w:r>
      <w:r>
        <w:rPr>
          <w:color w:val="000000"/>
          <w:shd w:fill="FFFFFF" w:val="clear"/>
        </w:rPr>
        <w:t xml:space="preserve"> </w:t>
      </w:r>
      <w:r>
        <w:rPr>
          <w:rFonts w:ascii="Times New Roman;serif" w:hAnsi="Times New Roman;serif"/>
          <w:b w:val="false"/>
          <w:color w:val="000000"/>
          <w:sz w:val="20"/>
          <w:shd w:fill="FFFFFF" w:val="clear"/>
        </w:rPr>
        <w:t>platform</w:t>
      </w:r>
      <w:r>
        <w:rPr>
          <w:color w:val="000000"/>
        </w:rPr>
        <w:t xml:space="preserve"> </w:t>
      </w:r>
      <w:r>
        <w:rPr>
          <w:rFonts w:ascii="Times New Roman;serif" w:hAnsi="Times New Roman;serif"/>
          <w:b w:val="false"/>
          <w:color w:val="000000"/>
          <w:sz w:val="20"/>
        </w:rPr>
        <w:t xml:space="preserve">and to introduce compelling new products. The success of any enhancement to our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Voyager</w:t>
      </w:r>
      <w:r>
        <w:rPr>
          <w:color w:val="000000"/>
          <w:shd w:fill="FFFFFF" w:val="clear"/>
        </w:rPr>
        <w:t xml:space="preserve"> </w:t>
      </w:r>
      <w:r>
        <w:rPr>
          <w:rFonts w:ascii="Times New Roman;serif" w:hAnsi="Times New Roman;serif"/>
          <w:b w:val="false"/>
          <w:color w:val="000000"/>
          <w:sz w:val="20"/>
          <w:shd w:fill="FFFFFF" w:val="clear"/>
        </w:rPr>
        <w:t>platform</w:t>
      </w:r>
      <w:r>
        <w:rPr>
          <w:color w:val="000000"/>
        </w:rPr>
        <w:t xml:space="preserve"> </w:t>
      </w:r>
      <w:r>
        <w:rPr>
          <w:rFonts w:ascii="Times New Roman;serif" w:hAnsi="Times New Roman;serif"/>
          <w:b w:val="false"/>
          <w:color w:val="000000"/>
          <w:sz w:val="20"/>
        </w:rPr>
        <w:t xml:space="preserve">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our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Voyager</w:t>
      </w:r>
      <w:r>
        <w:rPr>
          <w:color w:val="000000"/>
          <w:shd w:fill="FFFFFF" w:val="clear"/>
        </w:rPr>
        <w:t xml:space="preserve"> </w:t>
      </w:r>
      <w:r>
        <w:rPr>
          <w:rFonts w:ascii="Times New Roman;serif" w:hAnsi="Times New Roman;serif"/>
          <w:b w:val="false"/>
          <w:color w:val="000000"/>
          <w:sz w:val="20"/>
          <w:shd w:fill="FFFFFF" w:val="clear"/>
        </w:rPr>
        <w:t>platform</w:t>
      </w:r>
      <w:r>
        <w:rPr>
          <w:color w:val="000000"/>
        </w:rPr>
        <w:t xml:space="preserve"> </w:t>
      </w:r>
      <w:r>
        <w:rPr>
          <w:rFonts w:ascii="Times New Roman;serif" w:hAnsi="Times New Roman;serif"/>
          <w:b w:val="false"/>
          <w:color w:val="000000"/>
          <w:sz w:val="20"/>
        </w:rPr>
        <w:t>that we develop may not be introduced in a timely or cost-effective manner, may contain defects, errors, vulnerabilities or bugs, or may not achieve the market acceptance necessary to generate significant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proteomics product platform to meet customer requirements, compete with alternative products, or otherwise gain and maintain market acceptance, our business, results of operations and financial condition could be harmed.</w:t>
      </w:r>
    </w:p>
    <w:p>
      <w:pPr>
        <w:pStyle w:val="TextBody"/>
        <w:bidi w:val="0"/>
        <w:spacing w:lineRule="auto" w:line="288" w:before="0" w:after="180"/>
        <w:ind w:left="0" w:right="0" w:firstLine="360"/>
        <w:jc w:val="left"/>
        <w:rPr/>
      </w:pPr>
      <w:r>
        <w:rPr>
          <w:rFonts w:ascii="Times New Roman;serif" w:hAnsi="Times New Roman;serif"/>
          <w:b/>
          <w:i/>
          <w:color w:val="000000"/>
          <w:sz w:val="20"/>
        </w:rPr>
        <w:t>We rely on third parties for development of certain aspects of the Nautilus</w:t>
      </w:r>
      <w:r>
        <w:rPr>
          <w:color w:val="000000"/>
        </w:rPr>
        <w:t xml:space="preserve"> </w:t>
      </w:r>
      <w:r>
        <w:rPr>
          <w:rFonts w:ascii="Times New Roman;serif" w:hAnsi="Times New Roman;serif"/>
          <w:b/>
          <w:i/>
          <w:color w:val="000000"/>
          <w:sz w:val="20"/>
        </w:rPr>
        <w:t>Voyager</w:t>
      </w:r>
      <w:r>
        <w:rPr>
          <w:rFonts w:ascii="Times New Roman;serif" w:hAnsi="Times New Roman;serif"/>
          <w:b/>
          <w:i/>
          <w:color w:val="000000"/>
          <w:sz w:val="13"/>
        </w:rPr>
        <w:t>TM</w:t>
      </w:r>
      <w:r>
        <w:rPr>
          <w:color w:val="000000"/>
        </w:rPr>
        <w:t xml:space="preserve"> </w:t>
      </w:r>
      <w:r>
        <w:rPr>
          <w:rFonts w:ascii="Times New Roman;serif" w:hAnsi="Times New Roman;serif"/>
          <w:b/>
          <w:i/>
          <w:color w:val="000000"/>
          <w:sz w:val="20"/>
        </w:rPr>
        <w:t>platform, and any failure of these third parties to perform their respective obligations in a timely manner or to our specifications could negatively impact our timelines, costs or product performance.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engaged with a number of third party collaborators who assist us in co-development of certain aspects of the Nautilus Voyager platform, including, for example, certain affinity reagents and array chip substrates. Our agreements with these third party collaborators include obligations for these third parties to deliver certain aspects of technology to be used in the Nautilus Voyager platform in accordance with certain defined timelines, in accordance with defined specifications, and in accordance with certain cost limitations. We have also sought to include redundancy and contingency planning with respect to the efforts of our third party collaborators where practicable. Despite our contractual assurances and contingency planning, it is possible that one or more of our third party collaborators may fail to deliver their respective technologies to us on time or in accordance with our specifications, and such failure could negatively impact the timing of the commercialization of the Nautilus Voyager platform, its performance, or its cost.</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Our business will depend significantly on research and development spending by pharmaceutical companies as well as by academic and other research institutions. Any reduction in spending could limit demand for our products and adversely affect our business, results of operations, financial condition and prospects.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expect that our revenue in the foreseeable future will be derived primarily from sales of our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Voyager</w:t>
      </w:r>
      <w:r>
        <w:rPr>
          <w:rFonts w:ascii="Times New Roman;serif" w:hAnsi="Times New Roman;serif"/>
          <w:b w:val="false"/>
          <w:color w:val="000000"/>
          <w:sz w:val="13"/>
        </w:rPr>
        <w:t>TM</w:t>
      </w:r>
      <w:r>
        <w:rPr>
          <w:color w:val="000000"/>
          <w:shd w:fill="FFFFFF" w:val="clear"/>
        </w:rPr>
        <w:t xml:space="preserve"> </w:t>
      </w:r>
      <w:r>
        <w:rPr>
          <w:rFonts w:ascii="Times New Roman;serif" w:hAnsi="Times New Roman;serif"/>
          <w:b w:val="false"/>
          <w:color w:val="000000"/>
          <w:sz w:val="20"/>
          <w:shd w:fill="FFFFFF" w:val="clear"/>
        </w:rPr>
        <w:t>platform</w:t>
      </w:r>
      <w:r>
        <w:rPr>
          <w:color w:val="000000"/>
        </w:rPr>
        <w:t xml:space="preserve"> </w:t>
      </w:r>
      <w:r>
        <w:rPr>
          <w:rFonts w:ascii="Times New Roman;serif" w:hAnsi="Times New Roman;serif"/>
          <w:b w:val="false"/>
          <w:color w:val="000000"/>
          <w:sz w:val="20"/>
        </w:rPr>
        <w:t xml:space="preserve">to biotechnology companies and life science laboratories worldwide, and to a lesser extent, academic institutions and non-profit organizations. Our success will depend upon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our </w:t>
      </w:r>
      <w:r>
        <w:rPr>
          <w:rFonts w:ascii="Times New Roman;serif" w:hAnsi="Times New Roman;serif"/>
          <w:b w:val="false"/>
          <w:color w:val="000000"/>
          <w:sz w:val="20"/>
          <w:shd w:fill="FFFFFF" w:val="clear"/>
        </w:rPr>
        <w:t>Nautilus Voyager platform</w:t>
      </w:r>
      <w:r>
        <w:rPr>
          <w:rFonts w:ascii="Times New Roman;serif" w:hAnsi="Times New Roman;serif"/>
          <w:b w:val="false"/>
          <w:color w:val="000000"/>
          <w:sz w:val="20"/>
        </w:rPr>
        <w:t>. These reductions and delays may result from factors that are not within our control, such as: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decreases in government funding of research and development, including any reductions in funding to the U.S. National Institutes of Health;</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 xml:space="preserve">changes in economic conditions, including recessionary effects, inflationary pressures </w:t>
      </w:r>
      <w:r>
        <w:rPr>
          <w:rFonts w:ascii="Times New Roman;serif" w:hAnsi="Times New Roman;serif"/>
          <w:b w:val="false"/>
          <w:color w:val="000000"/>
          <w:sz w:val="20"/>
        </w:rPr>
        <w:t xml:space="preserve">and volatility in the global financial markets, including with respect to </w:t>
      </w:r>
      <w:r>
        <w:rPr>
          <w:rFonts w:ascii="Times New Roman;serif" w:hAnsi="Times New Roman;serif"/>
          <w:b w:val="false"/>
          <w:color w:val="000000"/>
          <w:sz w:val="20"/>
          <w:shd w:fill="FFFFFF" w:val="clear"/>
        </w:rPr>
        <w:t>any</w:t>
      </w:r>
      <w:r>
        <w:rPr>
          <w:color w:val="000000"/>
        </w:rPr>
        <w:t xml:space="preserve"> </w:t>
      </w:r>
      <w:r>
        <w:rPr>
          <w:rFonts w:ascii="Times New Roman;serif" w:hAnsi="Times New Roman;serif"/>
          <w:b w:val="false"/>
          <w:color w:val="000000"/>
          <w:sz w:val="20"/>
        </w:rPr>
        <w:t>future financial institution failures</w:t>
      </w:r>
      <w:r>
        <w:rPr>
          <w:rFonts w:ascii="Times New Roman;serif" w:hAnsi="Times New Roman;serif"/>
          <w:b w:val="false"/>
          <w:color w:val="000000"/>
          <w:sz w:val="20"/>
          <w:shd w:fill="FFFFFF" w:val="clear"/>
        </w:rPr>
        <w:t>;</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changes in government programs that provide funding to research institutions and companies, including changes in the amount of funds allocated to different areas of research or changes that have the effect of increasing the length of time of the funding process;</w:t>
      </w:r>
    </w:p>
    <w:p>
      <w:pPr>
        <w:pStyle w:val="TextBody"/>
        <w:bidi w:val="0"/>
        <w:spacing w:lineRule="auto" w:line="288" w:before="0" w:after="180"/>
        <w:ind w:left="0" w:right="0" w:firstLine="360"/>
        <w:jc w:val="left"/>
        <w:rPr/>
      </w:pPr>
      <w:r>
        <w:rPr>
          <w:color w:val="000000"/>
          <w:shd w:fill="FFFFFF" w:val="clear"/>
        </w:rPr>
        <w:t>•</w:t>
      </w:r>
      <w:r>
        <w:rPr>
          <w:rFonts w:ascii="Times New Roman;serif" w:hAnsi="Times New Roman;serif"/>
          <w:b w:val="false"/>
          <w:color w:val="000000"/>
          <w:sz w:val="20"/>
          <w:shd w:fill="FFFFFF" w:val="clear"/>
        </w:rPr>
        <w:t>changes in tax legislation that may indirectly impact research institutions’ ability to allocate funds to different areas of research;</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changes in the regulatory environment affecting life science and Ag-Bio companies engaged in research and commercial activities;</w:t>
      </w:r>
    </w:p>
    <w:p>
      <w:pPr>
        <w:pStyle w:val="TextBody"/>
        <w:bidi w:val="0"/>
        <w:spacing w:lineRule="auto" w:line="288" w:before="0" w:after="180"/>
        <w:ind w:left="0" w:right="0" w:firstLine="360"/>
        <w:jc w:val="left"/>
        <w:rPr/>
      </w:pPr>
      <w:r>
        <w:rPr>
          <w:color w:val="000000"/>
          <w:shd w:fill="FFFFFF" w:val="clear"/>
        </w:rPr>
        <w:t>•</w:t>
      </w:r>
      <w:r>
        <w:rPr>
          <w:rFonts w:ascii="Times New Roman;serif" w:hAnsi="Times New Roman;serif"/>
          <w:b w:val="false"/>
          <w:color w:val="000000"/>
          <w:sz w:val="20"/>
          <w:shd w:fill="FFFFFF" w:val="clear"/>
        </w:rPr>
        <w:t xml:space="preserve">availability of AI and </w:t>
      </w:r>
      <w:r>
        <w:rPr>
          <w:rFonts w:ascii="Times New Roman;serif" w:hAnsi="Times New Roman;serif"/>
          <w:b w:val="false"/>
          <w:i/>
          <w:color w:val="000000"/>
          <w:sz w:val="20"/>
          <w:shd w:fill="FFFFFF" w:val="clear"/>
        </w:rPr>
        <w:t>in silico</w:t>
      </w:r>
      <w:r>
        <w:rPr>
          <w:color w:val="000000"/>
          <w:shd w:fill="FFFFFF" w:val="clear"/>
        </w:rPr>
        <w:t xml:space="preserve"> </w:t>
      </w:r>
      <w:r>
        <w:rPr>
          <w:rFonts w:ascii="Times New Roman;serif" w:hAnsi="Times New Roman;serif"/>
          <w:b w:val="false"/>
          <w:color w:val="000000"/>
          <w:sz w:val="20"/>
          <w:shd w:fill="FFFFFF" w:val="clear"/>
        </w:rPr>
        <w:t>based research and development approaches, such as in drug discovery, that could impact funding allocations for R&amp;D in the pharmaceutical and biotechnology industry;</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differences in budget cycles across various geographies and industries;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market-driven pressures on companies to consolidate operations and reduce costs;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mergers and acquisitions in the life science and Ag-Bio industries; and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other factors affecting research and development spending.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decrease in our customers’ budgets or expenditures or in the size, scope or frequency of capital or operating expenditures as a result of the foregoing or other factors could materially and adversely affect our business, results of operations, financial condition, and prospects.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Our operating results may fluctuate significantly in the future, which makes our future operating results difficult to predict and could cause our operating results to fall below expectations or any guidance we may provide.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quarterly and annual operating results may fluctuate significantly, which makes it difficult for us to predict our future operating results. In the near term, as we devote substantially all of our resources towards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val="false"/>
          <w:color w:val="000000"/>
          <w:sz w:val="20"/>
        </w:rPr>
        <w:t xml:space="preserve">development and anticipated future commercialization of our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specific factors that may result in fluctuations include, without limitation:</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timing and cost of, and level of investment in, research and development and commercialization activities relating to our Nautilus</w:t>
      </w:r>
      <w:r>
        <w:rPr>
          <w:color w:val="000000"/>
        </w:rPr>
        <w:t xml:space="preserve"> </w:t>
      </w:r>
      <w:r>
        <w:rPr>
          <w:rFonts w:ascii="Times New Roman;serif" w:hAnsi="Times New Roman;serif"/>
          <w:b w:val="false"/>
          <w:color w:val="000000"/>
          <w:sz w:val="20"/>
        </w:rPr>
        <w:t>Voyager</w:t>
      </w:r>
      <w:r>
        <w:rPr>
          <w:color w:val="000000"/>
          <w:shd w:fill="FFFFFF" w:val="clear"/>
        </w:rPr>
        <w:t xml:space="preserve"> </w:t>
      </w:r>
      <w:r>
        <w:rPr>
          <w:rFonts w:ascii="Times New Roman;serif" w:hAnsi="Times New Roman;serif"/>
          <w:b w:val="false"/>
          <w:color w:val="000000"/>
          <w:sz w:val="20"/>
          <w:shd w:fill="FFFFFF" w:val="clear"/>
        </w:rPr>
        <w:t>platform;</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 xml:space="preserve">our ability to successfully establish and successfully maintain appropriate collaborations and derive revenue from those collaborations; </w:t>
      </w:r>
    </w:p>
    <w:p>
      <w:pPr>
        <w:pStyle w:val="TextBody"/>
        <w:bidi w:val="0"/>
        <w:spacing w:lineRule="auto" w:line="288" w:before="0" w:after="180"/>
        <w:ind w:left="0" w:right="0" w:firstLine="360"/>
        <w:jc w:val="left"/>
        <w:rPr/>
      </w:pPr>
      <w:r>
        <w:rPr>
          <w:color w:val="000000"/>
          <w:shd w:fill="FFFFFF" w:val="clear"/>
        </w:rPr>
        <w:t>•</w:t>
      </w:r>
      <w:r>
        <w:rPr>
          <w:rFonts w:ascii="Times New Roman;serif" w:hAnsi="Times New Roman;serif"/>
          <w:b w:val="false"/>
          <w:color w:val="000000"/>
          <w:sz w:val="20"/>
        </w:rPr>
        <w:t>the impact that economic inflation may have on our costs for manufacturing our products;</w:t>
      </w:r>
    </w:p>
    <w:p>
      <w:pPr>
        <w:pStyle w:val="TextBody"/>
        <w:bidi w:val="0"/>
        <w:spacing w:lineRule="auto" w:line="288" w:before="0" w:after="180"/>
        <w:ind w:left="0" w:right="0" w:firstLine="360"/>
        <w:jc w:val="left"/>
        <w:rPr/>
      </w:pPr>
      <w:r>
        <w:rPr>
          <w:color w:val="000000"/>
          <w:shd w:fill="FFFFFF" w:val="clear"/>
        </w:rPr>
        <w:t>•</w:t>
      </w:r>
      <w:r>
        <w:rPr>
          <w:rFonts w:ascii="Times New Roman;serif" w:hAnsi="Times New Roman;serif"/>
          <w:b w:val="false"/>
          <w:color w:val="000000"/>
          <w:sz w:val="20"/>
          <w:shd w:fill="FFFFFF" w:val="clear"/>
        </w:rPr>
        <w:t>any litigation or governmental investigations involving us, our industry or both; and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our ability to successfully develop and commercialize our Nautilus</w:t>
      </w:r>
      <w:r>
        <w:rPr>
          <w:color w:val="000000"/>
        </w:rPr>
        <w:t xml:space="preserve"> </w:t>
      </w:r>
      <w:r>
        <w:rPr>
          <w:rFonts w:ascii="Times New Roman;serif" w:hAnsi="Times New Roman;serif"/>
          <w:b w:val="false"/>
          <w:color w:val="000000"/>
          <w:sz w:val="20"/>
        </w:rPr>
        <w:t>Voyager</w:t>
      </w:r>
      <w:r>
        <w:rPr>
          <w:color w:val="000000"/>
          <w:shd w:fill="FFFFFF" w:val="clear"/>
        </w:rPr>
        <w:t xml:space="preserve"> </w:t>
      </w:r>
      <w:r>
        <w:rPr>
          <w:rFonts w:ascii="Times New Roman;serif" w:hAnsi="Times New Roman;serif"/>
          <w:b w:val="false"/>
          <w:color w:val="000000"/>
          <w:sz w:val="20"/>
          <w:shd w:fill="FFFFFF" w:val="clear"/>
        </w:rPr>
        <w:t>platform on our anticipated timeline.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we transition from a company with a focus on research and development to a company capable of supporting manufacturing, these fluctuations may also occur due to a variety of other factors, many of which are outside of our control, including, but not limited to:</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level of demand for any products we are able to commercialize, particularly our Nautilus</w:t>
      </w:r>
      <w:r>
        <w:rPr>
          <w:color w:val="000000"/>
        </w:rPr>
        <w:t xml:space="preserve"> </w:t>
      </w:r>
      <w:r>
        <w:rPr>
          <w:rFonts w:ascii="Times New Roman;serif" w:hAnsi="Times New Roman;serif"/>
          <w:b w:val="false"/>
          <w:color w:val="000000"/>
          <w:sz w:val="20"/>
        </w:rPr>
        <w:t>Voyager</w:t>
      </w:r>
      <w:r>
        <w:rPr>
          <w:color w:val="000000"/>
          <w:shd w:fill="FFFFFF" w:val="clear"/>
        </w:rPr>
        <w:t xml:space="preserve"> </w:t>
      </w:r>
      <w:r>
        <w:rPr>
          <w:rFonts w:ascii="Times New Roman;serif" w:hAnsi="Times New Roman;serif"/>
          <w:b w:val="false"/>
          <w:color w:val="000000"/>
          <w:sz w:val="20"/>
          <w:shd w:fill="FFFFFF" w:val="clear"/>
        </w:rPr>
        <w:t>platform, which may vary significantly from period to period;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our ability to drive adoption of our Nautilus</w:t>
      </w:r>
      <w:r>
        <w:rPr>
          <w:color w:val="000000"/>
        </w:rPr>
        <w:t xml:space="preserve"> </w:t>
      </w:r>
      <w:r>
        <w:rPr>
          <w:rFonts w:ascii="Times New Roman;serif" w:hAnsi="Times New Roman;serif"/>
          <w:b w:val="false"/>
          <w:color w:val="000000"/>
          <w:sz w:val="20"/>
        </w:rPr>
        <w:t>Voyager</w:t>
      </w:r>
      <w:r>
        <w:rPr>
          <w:color w:val="000000"/>
          <w:shd w:fill="FFFFFF" w:val="clear"/>
        </w:rPr>
        <w:t xml:space="preserve"> </w:t>
      </w:r>
      <w:r>
        <w:rPr>
          <w:rFonts w:ascii="Times New Roman;serif" w:hAnsi="Times New Roman;serif"/>
          <w:b w:val="false"/>
          <w:color w:val="000000"/>
          <w:sz w:val="20"/>
          <w:shd w:fill="FFFFFF" w:val="clear"/>
        </w:rPr>
        <w:t>platform in our target markets and our ability to expand into any future target markets;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the impact that economic inflation may have on our costs for manufacturing our products;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prices at which we will be able to sell our Nautilus</w:t>
      </w:r>
      <w:r>
        <w:rPr>
          <w:color w:val="000000"/>
        </w:rPr>
        <w:t xml:space="preserve"> </w:t>
      </w:r>
      <w:r>
        <w:rPr>
          <w:rFonts w:ascii="Times New Roman;serif" w:hAnsi="Times New Roman;serif"/>
          <w:b w:val="false"/>
          <w:color w:val="000000"/>
          <w:sz w:val="20"/>
        </w:rPr>
        <w:t>Voyager</w:t>
      </w:r>
      <w:r>
        <w:rPr>
          <w:color w:val="000000"/>
          <w:shd w:fill="FFFFFF" w:val="clear"/>
        </w:rPr>
        <w:t xml:space="preserve"> </w:t>
      </w:r>
      <w:r>
        <w:rPr>
          <w:rFonts w:ascii="Times New Roman;serif" w:hAnsi="Times New Roman;serif"/>
          <w:b w:val="false"/>
          <w:color w:val="000000"/>
          <w:sz w:val="20"/>
          <w:shd w:fill="FFFFFF" w:val="clear"/>
        </w:rPr>
        <w:t>platform;</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volume and mix of our sales between consumables, instruments and software, or changes in the manufacturing or sales costs related to our products;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timing and amount of expenditures that we may incur to develop, commercialize or acquire additional products and technologies or for other purposes, such as the expansion of our facilities;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changes in governmental funding of life sciences research and development or changes that impact budgets and budget cycles;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seasonal spending patterns of our customers;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timing of when we recognize any revenue;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future accounting pronouncements or changes in our accounting policies;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higher than anticipated service, replacement and warranty costs;</w:t>
      </w:r>
    </w:p>
    <w:p>
      <w:pPr>
        <w:pStyle w:val="TextBody"/>
        <w:bidi w:val="0"/>
        <w:spacing w:lineRule="auto" w:line="288" w:before="0" w:after="180"/>
        <w:ind w:left="0" w:right="0" w:firstLine="360"/>
        <w:jc w:val="left"/>
        <w:rPr/>
      </w:pPr>
      <w:r>
        <w:rPr>
          <w:color w:val="000000"/>
          <w:shd w:fill="FFFFFF" w:val="clear"/>
        </w:rPr>
        <w:t>•</w:t>
      </w:r>
      <w:r>
        <w:rPr>
          <w:rFonts w:ascii="Times New Roman;serif" w:hAnsi="Times New Roman;serif"/>
          <w:b w:val="false"/>
          <w:color w:val="000000"/>
          <w:sz w:val="20"/>
          <w:shd w:fill="FFFFFF" w:val="clear"/>
        </w:rPr>
        <w:t>increased and/or unpredictable tariffs on our products, and/or on parts or materials that we source from foreign suppliers;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geopolitical conflicts, such as the conflicts in Eastern Europe and the Middle East, any potential future financial institution failures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and other national and global events on the economy, investment in life sciences and research industries, our business operations, and resources and operations of our customers, suppliers, and distributors; and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general industry, economic and market conditions and other factors, including factors unrelated to our operating performance or the operating performance of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Common Stock to decline.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We have a limited operating history, which may make it difficult to evaluate our current business and the prospects for our future viability, and to predict our future performance.</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are a life sciences technology company with a limited operating history. We have not completed development of our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platform or any other products and have not generated any revenue to date. Our operations to date have been limited to developing our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Voyager platform. Our prospects must be considered in light of the uncertainties, risks, expenses, and difficulties frequently encountered by companies in their early stages of operations. Consequently, predictions about our future success or viability are highly uncertain and may not be as accurate as they could be if we had a longer operating history or a company history of successfully developing and commercializing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manufacturing and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We expect that we will need to raise additional capital to fund our development and commercialization plans.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Based on our current plans, we believe that our available resources and existing cash, cash equivalents and short-term investments, will be sufficient to meet our anticipated cash requirements for at least 12 months from the date of this Quarterly Report on Form 10-Q. If our available resources and existing cash and cash equivalents and short-term investments are insufficient to satisfy our liquidity requirements, including because of the realization of other risks described in this Quarterly Report on Form 10-Q, we may be required to raise additional capital prior to such time through issuances of equity or convertible debt securities, enter into a credit facility or another form of third-party funding or seek other debt financing.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expect that we will need to raise additional capital in the future to expand our business, to pursue strategic investments, to take advantage of financing or acquisition opportunities or for other reasons, including:</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funding development and marketing efforts of our Nautilus</w:t>
      </w:r>
      <w:r>
        <w:rPr>
          <w:color w:val="000000"/>
        </w:rPr>
        <w:t xml:space="preserve"> </w:t>
      </w:r>
      <w:r>
        <w:rPr>
          <w:rFonts w:ascii="Times New Roman;serif" w:hAnsi="Times New Roman;serif"/>
          <w:b w:val="false"/>
          <w:color w:val="000000"/>
          <w:sz w:val="20"/>
        </w:rPr>
        <w:t>Voyager</w:t>
      </w:r>
      <w:r>
        <w:rPr>
          <w:color w:val="000000"/>
          <w:shd w:fill="FFFFFF" w:val="clear"/>
        </w:rPr>
        <w:t xml:space="preserve"> </w:t>
      </w:r>
      <w:r>
        <w:rPr>
          <w:rFonts w:ascii="Times New Roman;serif" w:hAnsi="Times New Roman;serif"/>
          <w:b w:val="false"/>
          <w:color w:val="000000"/>
          <w:sz w:val="20"/>
          <w:shd w:fill="FFFFFF" w:val="clear"/>
        </w:rPr>
        <w:t>platform or any other future products;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increasing our sales and marketing and other commercialization efforts to drive market adoption of our Nautilus</w:t>
      </w:r>
      <w:r>
        <w:rPr>
          <w:color w:val="000000"/>
        </w:rPr>
        <w:t xml:space="preserve"> </w:t>
      </w:r>
      <w:r>
        <w:rPr>
          <w:rFonts w:ascii="Times New Roman;serif" w:hAnsi="Times New Roman;serif"/>
          <w:b w:val="false"/>
          <w:color w:val="000000"/>
          <w:sz w:val="20"/>
        </w:rPr>
        <w:t>Voyager</w:t>
      </w:r>
      <w:r>
        <w:rPr>
          <w:color w:val="000000"/>
          <w:shd w:fill="FFFFFF" w:val="clear"/>
        </w:rPr>
        <w:t xml:space="preserve"> </w:t>
      </w:r>
      <w:r>
        <w:rPr>
          <w:rFonts w:ascii="Times New Roman;serif" w:hAnsi="Times New Roman;serif"/>
          <w:b w:val="false"/>
          <w:color w:val="000000"/>
          <w:sz w:val="20"/>
          <w:shd w:fill="FFFFFF" w:val="clear"/>
        </w:rPr>
        <w:t>platform, once commercialized;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expanding our technologies into additional markets;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preparing, filing, prosecuting, defending and enforcing any patent claims and other intellectual property rights;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acquiring, licensing or defending against third party intellectual property rights;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acquiring or investing in complementary technologies, businesses or assets;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financing capital expenditures and selling, general and administrative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present and future funding requirements will depend on many factors, including:</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delays in execution of our development plans;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scope and timing of our investment in our sales, marketing, and distribution capabilities;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changes we may make to our business that affect ongoing operating expenses;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costs of filing, prosecuting, defending and enforcing any patent claims and other intellectual property rights;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changes we may make in our business or commercialization strategy;</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changes we may make in our research and development spending plans;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effect of competing technological and market developments;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our need to implement additional infrastructure and internal systems;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global geopolitical conflicts, including war, trade embargoes, tariff policies and boycotts, changing interest rates, volatility in the global financial markets and general economic downturns</w:t>
      </w:r>
      <w:r>
        <w:rPr>
          <w:rFonts w:ascii="Times New Roman;serif" w:hAnsi="Times New Roman;serif"/>
          <w:b w:val="false"/>
          <w:color w:val="000000"/>
          <w:sz w:val="20"/>
          <w:shd w:fill="FFFFFF" w:val="clear"/>
        </w:rPr>
        <w:t>; and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other items affecting our forecasted level of expenditures and use of cash resources including potential acquisitions.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our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be unable to raise additional funds or to enter into such agreements or arrangements on favorable terms, or at all. We filed (i) on February 28, 2024, a shelf registration statement on Form S-3 with the SEC that became effective on March 6, 2024 and allows us to undertake various equity and debt offerings up to $300.0 million; and (ii) on March 6, 2024, a prospectus supplement to the shelf registration statement that covers the offering, issuance and sale of up to $125.0 million of our common stock from time to time through an “at-the-market” program under the Securities Act. Our ability to raise additional funds may be adversely impacted by potential worsening global economic conditions and disruptions to, and volatility in, the credit and financial markets in the United States and worldwide, global geopolitical conflicts, and otherwise. 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actual events involving limited liquidity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the collapse of Silicon Valley Bank and other financial institutions in March 2023 has caused and could continue to cause volatility in the global financial markets.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have arrangements directly, or the financial services industry or economy in general. These factors could include, among others, events such as liquidity constraints or failures, disruptions or volatility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 Credit and banking costs, generally, may also be adversely impacted by these factors, resulting in higher costs for the Company. For example, as part of our efforts to diversify our banking and credit arrangements following the collapse of Silicon Valley Bank, we have incurred higher banking related costs.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If we are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 and our ability to successfully commercialize our products may be impaired.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costs related to litigation or other patent proceedings in our attempts to recover or restrict use of our intellectual property.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are generally unpredictable, time-consuming and expensive.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depends in large part on our and any future licensor’s ability to obtain and maintain protection of the intellectual property we may own or license, whether solely or jointly, particularly patents, in the United States and other countries with respect to our products and technologies. We apply for patents to protect our products, technologies and commercial activities,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which may be licensed from or to third parties. In connection with any future licensing arrangements with third parties, these patents and applications may not be prosecuted and enforced by such third parties in a manner consistent with the best interests of our business.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addition, the patent position of life sciences technology companies generally is highly uncertain, involves complex legal and factual questions, and has been the </w:t>
      </w:r>
      <w:r>
        <w:rPr>
          <w:rFonts w:ascii="Times New Roman;serif" w:hAnsi="Times New Roman;serif"/>
          <w:b w:val="false"/>
          <w:color w:val="000000"/>
          <w:sz w:val="20"/>
          <w:shd w:fill="FFFFFF" w:val="clear"/>
        </w:rPr>
        <w:t xml:space="preserve">subject of much litigation in recent years. Changes in either the patent laws or in interpretations of patent laws in the United States or other jurisdictions may diminish the value of our intellectual property. As a result, the issuance, scope, validity, enforceability, and commercial value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patent rights are highly uncertain. It is possible that none of our pending patent applications will result in issued patents in a timely fashion or at all, and even if issued, the patents may not provide a basis for intellectual property protection of commercially viable products or services, may not provide us with any competitive advantages, or may be challenged, narrowed or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any future licensed patents or patent applications may be challenged at a future point in time and we may not be successful in defending any such challenges made against our patents or patent applications. Any successful third-party challenge to our patents could result in diminished or lost rights, for example, due to narrowing, unenforceability or invalidity of such patents and increased competition to our business. The outcome of patent litigation or other proceedings is generally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pStyle w:val="TextBody"/>
        <w:bidi w:val="0"/>
        <w:spacing w:lineRule="auto" w:line="288" w:before="0" w:after="18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 U.S. law relating to the patentability of certain inventions in the life sciences technology industry is uncertain and rapidly changing, which may adversely impact our existing patents or our ability to obtain patents in the future.</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Various courts, including the U.S. Supreme Court, have recently rendered decisions that impact the scope of patentability of certain inventions or discoveries relating to our technology and commercial goals. Specifically, these </w:t>
      </w:r>
      <w:r>
        <w:rPr>
          <w:rFonts w:ascii="Times New Roman;serif" w:hAnsi="Times New Roman;serif"/>
          <w:b w:val="false"/>
          <w:color w:val="000000"/>
          <w:sz w:val="20"/>
        </w:rPr>
        <w:t>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cannot assure you that our patent portfolio will not be negatively impacted by the current uncertain state of the law, new court rulings or changes in guidance or procedures issued by governments or patent offices around the world. From ti</w:t>
      </w:r>
      <w:r>
        <w:rPr>
          <w:rFonts w:ascii="Times New Roman;serif" w:hAnsi="Times New Roman;serif"/>
          <w:b w:val="false"/>
          <w:color w:val="000000"/>
          <w:sz w:val="20"/>
          <w:shd w:fill="FFFFFF" w:val="clear"/>
        </w:rPr>
        <w:t>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not be able to protect our intellectual property rights throughout the world.</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Filing, prosecuting and defending patents on our Nautilus</w:t>
      </w:r>
      <w:r>
        <w:rPr>
          <w:color w:val="000000"/>
        </w:rPr>
        <w:t xml:space="preserve"> </w:t>
      </w:r>
      <w:r>
        <w:rPr>
          <w:rFonts w:ascii="Times New Roman;serif" w:hAnsi="Times New Roman;serif"/>
          <w:b w:val="false"/>
          <w:color w:val="000000"/>
          <w:sz w:val="20"/>
        </w:rPr>
        <w:t>Voyager</w:t>
      </w:r>
      <w:r>
        <w:rPr>
          <w:rFonts w:ascii="Times New Roman;serif" w:hAnsi="Times New Roman;serif"/>
          <w:b w:val="false"/>
          <w:color w:val="000000"/>
          <w:sz w:val="13"/>
        </w:rPr>
        <w:t>TM</w:t>
      </w:r>
      <w:r>
        <w:rPr>
          <w:color w:val="000000"/>
          <w:shd w:fill="FFFFFF" w:val="clear"/>
        </w:rPr>
        <w:t xml:space="preserve"> </w:t>
      </w:r>
      <w:r>
        <w:rPr>
          <w:rFonts w:ascii="Times New Roman;serif" w:hAnsi="Times New Roman;serif"/>
          <w:b w:val="false"/>
          <w:color w:val="000000"/>
          <w:sz w:val="20"/>
          <w:shd w:fill="FFFFFF" w:val="clear"/>
        </w:rPr>
        <w:t>platform in all countries throughout the world would be prohibitively expensive, and our intellectual property rights in some countries outside the United States can be less extensive than those in the United States.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our own products and technologies and may also export infringing products to territories where we have patent protection, but enforcement is not as strong as that in the United States. These products may compete with our products. We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Many companies have enc</w:t>
      </w:r>
      <w:r>
        <w:rPr>
          <w:rFonts w:ascii="Times New Roman;serif" w:hAnsi="Times New Roman;serif"/>
          <w:b w:val="false"/>
          <w:color w:val="000000"/>
          <w:sz w:val="20"/>
        </w:rPr>
        <w:t>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Proceedings to enforce our or any future licensor’s patent rights in foreign jurisdictions could result in substantial cost and divert our efforts and attention from other aspects of our business, could put our and any future licensor’s patents at risk of being invalidated or interpreted narrowly and our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USPTO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patents. The outcome of any litigation or other proceeding is inherently uncertain and might not be favorable to us, and we might not be able to obtain licenses to technology that we require or a competitor may have already obtained an exclusive license to such technology in all fields. Even if such licenses are obtainable, they may not be available at a reasonable cost. We could therefore incur substantial costs related to 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our proprietary technology without authorization. We are aware that there are issued third party patents that are in the general proteomics field. Specifically, we are aware of various U.S. patents and U.S. non-provisional applications assigned to Washington University and the National Institute of Health, with claims directed to characterizing and identifying a polypeptide strand.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our competitors and others may have patents or may in the future obtain patents and may claim that use of our products infringes these patents. For example, we have received and may from time to time in the future receive letters, notices or “invitations to license” related to the use of intellectual property in our products or services, or may become the subject of claims that our products and business operations infringe or violate the intellectual property rights of others. Even if we were to prevail in any future litigation, litigation could also result in substantial costs and diversion of resources and could have a material adverse effect on our business, operating results or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we move into new markets and applications for our products, incumbent participants in such markets may assert their patents and other proprietary rights against us, alleging that our products or services infringe, misappropriate or otherwise violate their intellectual property rights, including patents and trade secrets, as a means of slowing or preventing our entry into such markets, or as a means to extract substantial license and royalty payments from us. The defense of these matters can be time consuming, costly to defend in litigation, divert management’s attention and resources, damage our reputation and brand and cause us to incur significant expenses or make substantial payments.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Issued patents covering our products could be found invalid or unenforceable if challenged.</w:t>
      </w:r>
    </w:p>
    <w:p>
      <w:pPr>
        <w:pStyle w:val="TextBody"/>
        <w:bidi w:val="0"/>
        <w:spacing w:lineRule="auto" w:line="288" w:before="0" w:after="180"/>
        <w:ind w:left="0" w:right="0" w:firstLine="360"/>
        <w:jc w:val="left"/>
        <w:rPr/>
      </w:pPr>
      <w:r>
        <w:rPr>
          <w:rFonts w:ascii="Times New Roman;serif" w:hAnsi="Times New Roman;serif"/>
          <w:b w:val="false"/>
          <w:color w:val="000000"/>
          <w:sz w:val="20"/>
        </w:rPr>
        <w:t>Our owned and any future licensed patents and</w:t>
      </w:r>
      <w:r>
        <w:rPr>
          <w:color w:val="000000"/>
          <w:shd w:fill="FFFFFF" w:val="clear"/>
        </w:rPr>
        <w:t xml:space="preserve"> </w:t>
      </w:r>
      <w:r>
        <w:rPr>
          <w:rFonts w:ascii="Times New Roman;serif" w:hAnsi="Times New Roman;serif"/>
          <w:b w:val="false"/>
          <w:color w:val="000000"/>
          <w:sz w:val="20"/>
          <w:shd w:fill="FFFFFF" w:val="clear"/>
        </w:rPr>
        <w:t xml:space="preserve">patent applications may be subject to validity, enforceability and priority disputes. The issuance of a patent is not conclusive as to its inventorship, scope, validity or enforceability. Some of our patents or patent applications may be challenged at a future point in time in opposition, derivation, reexamination, </w:t>
      </w:r>
      <w:r>
        <w:rPr>
          <w:rFonts w:ascii="Times New Roman;serif" w:hAnsi="Times New Roman;serif"/>
          <w:b w:val="false"/>
          <w:i/>
          <w:color w:val="000000"/>
          <w:sz w:val="20"/>
        </w:rPr>
        <w:t>inter partes</w:t>
      </w:r>
      <w:r>
        <w:rPr>
          <w:color w:val="000000"/>
          <w:shd w:fill="FFFFFF" w:val="clear"/>
        </w:rPr>
        <w:t xml:space="preserve"> </w:t>
      </w:r>
      <w:r>
        <w:rPr>
          <w:rFonts w:ascii="Times New Roman;serif" w:hAnsi="Times New Roman;serif"/>
          <w:b w:val="false"/>
          <w:color w:val="000000"/>
          <w:sz w:val="20"/>
          <w:shd w:fill="FFFFFF" w:val="clear"/>
        </w:rPr>
        <w:t>review, post-grant review or interference or other similar proceedings. Any successful third-party challenge to our patents in this or any other proceeding could result in the unenforceability or invalidity of such patents, which may lead to increase</w:t>
      </w:r>
      <w:r>
        <w:rPr>
          <w:rFonts w:ascii="Times New Roman;serif" w:hAnsi="Times New Roman;serif"/>
          <w:b w:val="false"/>
          <w:color w:val="000000"/>
          <w:sz w:val="20"/>
        </w:rPr>
        <w:t>d competition to our business, which could have a material adverse effect on our business, financial condition, results of operations and prospects. In addition, if we or any future licensor initiates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w:t>
      </w:r>
      <w:r>
        <w:rPr>
          <w:rFonts w:ascii="Times New Roman;serif" w:hAnsi="Times New Roman;serif"/>
          <w:b w:val="false"/>
          <w:color w:val="000000"/>
          <w:sz w:val="20"/>
          <w:shd w:fill="FFFFFF" w:val="clear"/>
        </w:rPr>
        <w:t xml:space="preserve">isleading statement, during prosecution. Third parties may also raise similar claims before administrative bodies in the United States or abroad, even outside the context of litigation. Such mechanisms include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val="false"/>
          <w:color w:val="000000"/>
          <w:sz w:val="20"/>
          <w:shd w:fill="FFFFFF" w:val="clear"/>
        </w:rPr>
        <w:t xml:space="preserve">ex parte re-examination, </w:t>
      </w:r>
      <w:r>
        <w:rPr>
          <w:rFonts w:ascii="Times New Roman;serif" w:hAnsi="Times New Roman;serif"/>
          <w:b w:val="false"/>
          <w:i/>
          <w:color w:val="000000"/>
          <w:sz w:val="20"/>
        </w:rPr>
        <w:t>inter partes</w:t>
      </w:r>
      <w:r>
        <w:rPr>
          <w:color w:val="000000"/>
          <w:shd w:fill="FFFFFF" w:val="clear"/>
        </w:rPr>
        <w:t xml:space="preserve"> </w:t>
      </w:r>
      <w:r>
        <w:rPr>
          <w:rFonts w:ascii="Times New Roman;serif" w:hAnsi="Times New Roman;serif"/>
          <w:b w:val="false"/>
          <w:color w:val="000000"/>
          <w:sz w:val="20"/>
          <w:shd w:fill="FFFFFF" w:val="clear"/>
        </w:rPr>
        <w:t>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us, any future licensor,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We may not be aware of all third-party intel</w:t>
      </w:r>
      <w:r>
        <w:rPr>
          <w:rFonts w:ascii="Times New Roman;serif" w:hAnsi="Times New Roman;serif"/>
          <w:b w:val="false"/>
          <w:color w:val="000000"/>
          <w:sz w:val="20"/>
        </w:rPr>
        <w:t>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If we are unable to protect the confidentiality of our trade secrets, the value of our technology could be materially adversely affected, and our business could be harmed.</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rely heavily on trade secrets and confidentiality agreements to protect our unpatented know-how, technology and other proprietary information, including parts of our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Voyager</w:t>
      </w:r>
      <w:r>
        <w:rPr>
          <w:rFonts w:ascii="Times New Roman;serif" w:hAnsi="Times New Roman;serif"/>
          <w:b w:val="false"/>
          <w:color w:val="000000"/>
          <w:sz w:val="13"/>
        </w:rPr>
        <w:t>TM</w:t>
      </w:r>
      <w:r>
        <w:rPr>
          <w:color w:val="000000"/>
          <w:shd w:fill="FFFFFF" w:val="clear"/>
        </w:rPr>
        <w:t xml:space="preserve"> </w:t>
      </w:r>
      <w:r>
        <w:rPr>
          <w:rFonts w:ascii="Times New Roman;serif" w:hAnsi="Times New Roman;serif"/>
          <w:b w:val="false"/>
          <w:color w:val="000000"/>
          <w:sz w:val="20"/>
          <w:shd w:fill="FFFFFF" w:val="clear"/>
        </w:rPr>
        <w:t>platform</w:t>
      </w:r>
      <w:r>
        <w:rPr>
          <w:rFonts w:ascii="Times New Roman;serif" w:hAnsi="Times New Roman;serif"/>
          <w:b w:val="false"/>
          <w:color w:val="000000"/>
          <w:sz w:val="20"/>
        </w:rPr>
        <w:t>,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outcome would be unpredictable. In addition, courts outside the United States may be less willing to protect trade secrets.</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w:t>
      </w:r>
      <w:r>
        <w:rPr>
          <w:rFonts w:ascii="Times New Roman;serif" w:hAnsi="Times New Roman;serif"/>
          <w:b w:val="false"/>
          <w:color w:val="000000"/>
          <w:sz w:val="20"/>
          <w:shd w:fill="FFFFFF" w:val="clear"/>
        </w:rPr>
        <w:t>,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pStyle w:val="TextBody"/>
        <w:bidi w:val="0"/>
        <w:spacing w:lineRule="auto" w:line="288" w:before="0" w:after="18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be subject to claims challenging the inventorship of our patents and other intellectual property.</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We or any future licensor may be subject to claims that former employees, collaborators or other third parties have an interest in our patents, trade secrets or other intellectual property. For example, us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w:t>
      </w:r>
      <w:r>
        <w:rPr>
          <w:rFonts w:ascii="Times New Roman;serif" w:hAnsi="Times New Roman;serif"/>
          <w:b w:val="false"/>
          <w:color w:val="000000"/>
          <w:sz w:val="20"/>
        </w:rPr>
        <w:t xml:space="preserve">portant to our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Voyager</w:t>
      </w:r>
      <w:r>
        <w:rPr>
          <w:rFonts w:ascii="Times New Roman;serif" w:hAnsi="Times New Roman;serif"/>
          <w:b w:val="false"/>
          <w:color w:val="000000"/>
          <w:sz w:val="13"/>
        </w:rPr>
        <w:t>TM</w:t>
      </w:r>
      <w:r>
        <w:rPr>
          <w:color w:val="000000"/>
          <w:shd w:fill="FFFFFF" w:val="clear"/>
        </w:rPr>
        <w:t xml:space="preserve"> </w:t>
      </w:r>
      <w:r>
        <w:rPr>
          <w:rFonts w:ascii="Times New Roman;serif" w:hAnsi="Times New Roman;serif"/>
          <w:b w:val="false"/>
          <w:color w:val="000000"/>
          <w:sz w:val="20"/>
          <w:shd w:fill="FFFFFF" w:val="clear"/>
        </w:rPr>
        <w:t>platform</w:t>
      </w:r>
      <w:r>
        <w:rPr>
          <w:rFonts w:ascii="Times New Roman;serif" w:hAnsi="Times New Roman;serif"/>
          <w:b w:val="false"/>
          <w:color w:val="000000"/>
          <w:sz w:val="20"/>
        </w:rPr>
        <w:t>,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We may not be able to protect and enforce our trademarks and trade names or build name recognition in our markets of interest thereby harming our competitive position.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erif" w:hAnsi="Times New Roman;serif"/>
          <w:b/>
          <w:i/>
          <w:color w:val="000000"/>
          <w:sz w:val="20"/>
        </w:rPr>
        <w:t>Patent terms may be inadequate to protect our competitive position on our Nautilus</w:t>
      </w:r>
      <w:r>
        <w:rPr>
          <w:color w:val="000000"/>
        </w:rPr>
        <w:t xml:space="preserve"> </w:t>
      </w:r>
      <w:r>
        <w:rPr>
          <w:rFonts w:ascii="Times New Roman;serif" w:hAnsi="Times New Roman;serif"/>
          <w:b/>
          <w:i/>
          <w:color w:val="000000"/>
          <w:sz w:val="20"/>
        </w:rPr>
        <w:t>Voyager</w:t>
      </w:r>
      <w:r>
        <w:rPr>
          <w:rFonts w:ascii="Times New Roman;serif" w:hAnsi="Times New Roman;serif"/>
          <w:b/>
          <w:i/>
          <w:color w:val="000000"/>
          <w:sz w:val="13"/>
        </w:rPr>
        <w:t>TM</w:t>
      </w:r>
      <w:r>
        <w:rPr>
          <w:color w:val="000000"/>
        </w:rPr>
        <w:t xml:space="preserve"> </w:t>
      </w:r>
      <w:r>
        <w:rPr>
          <w:rFonts w:ascii="Times New Roman;serif" w:hAnsi="Times New Roman;serif"/>
          <w:b/>
          <w:i/>
          <w:color w:val="000000"/>
          <w:sz w:val="20"/>
        </w:rPr>
        <w:t>platform for an adequate amount of time.</w:t>
      </w:r>
    </w:p>
    <w:p>
      <w:pPr>
        <w:pStyle w:val="TextBody"/>
        <w:bidi w:val="0"/>
        <w:spacing w:lineRule="auto" w:line="288" w:before="0" w:after="180"/>
        <w:ind w:left="0" w:right="0" w:firstLine="360"/>
        <w:jc w:val="left"/>
        <w:rPr/>
      </w:pPr>
      <w:r>
        <w:rPr>
          <w:rFonts w:ascii="Times New Roman;serif" w:hAnsi="Times New Roman;serif"/>
          <w:b w:val="false"/>
          <w:color w:val="000000"/>
          <w:sz w:val="20"/>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w:t>
      </w:r>
      <w:r>
        <w:rPr>
          <w:rFonts w:ascii="Times New Roman;serif" w:hAnsi="Times New Roman;serif"/>
          <w:b w:val="false"/>
          <w:color w:val="000000"/>
          <w:sz w:val="20"/>
          <w:shd w:fill="FFFFFF" w:val="clear"/>
        </w:rPr>
        <w:t>ensates a patentee for administrative delays by the USPTO in examining and granting a patent, or may be shortened</w:t>
      </w:r>
      <w:r>
        <w:rPr>
          <w:color w:val="000000"/>
        </w:rPr>
        <w:t xml:space="preserve"> </w:t>
      </w:r>
      <w:r>
        <w:rPr>
          <w:rFonts w:ascii="Times New Roman;serif" w:hAnsi="Times New Roman;serif"/>
          <w:b w:val="false"/>
          <w:color w:val="000000"/>
          <w:sz w:val="20"/>
        </w:rPr>
        <w:t>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We may be subject to claims that our employees, consultants or independent contractors have wrongfully used or disclosed confidential information of third parties or that our employees have wrongfully used or disclosed trade secrets of our former employers.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while it is our policy to require our employees and contractors who may be involved in the conception or development of intellectual property to execute agreements assigning such intellectual property to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pStyle w:val="TextBody"/>
        <w:bidi w:val="0"/>
        <w:spacing w:lineRule="auto" w:line="288" w:before="0" w:after="180"/>
        <w:ind w:left="0" w:right="0" w:firstLine="360"/>
        <w:jc w:val="left"/>
        <w:rPr/>
      </w:pPr>
      <w:r>
        <w:rPr>
          <w:rFonts w:ascii="Times New Roman;serif" w:hAnsi="Times New Roman;serif"/>
          <w:b w:val="false"/>
          <w:color w:val="000000"/>
          <w:sz w:val="20"/>
        </w:rPr>
        <w:t>Furthermore, we or any future licensor may in the futur</w:t>
      </w:r>
      <w:r>
        <w:rPr>
          <w:rFonts w:ascii="Times New Roman;serif" w:hAnsi="Times New Roman;serif"/>
          <w:b w:val="false"/>
          <w:color w:val="000000"/>
          <w:sz w:val="20"/>
          <w:shd w:fill="FFFFFF" w:val="clear"/>
        </w:rPr>
        <w:t xml:space="preserve">e be subject to claims by former or current employees, consultants or other third parties asserting an ownership right or inventorship in our owned, or any future licensed, patents or patent applications. For example, our Founder and Chief Scientist is employed by Stanford University and a member of the Stanford Cancer Institute. Stanford University and the Stanford Cancer Institute may assert an ownership right in any of our owned patents or patent applications. We may have </w:t>
      </w:r>
      <w:r>
        <w:rPr>
          <w:rFonts w:ascii="Times New Roman;serif" w:hAnsi="Times New Roman;serif"/>
          <w:b w:val="false"/>
          <w:color w:val="000000"/>
          <w:sz w:val="20"/>
        </w:rPr>
        <w:t>other consultants that are or have been employed by third parties, which may assert an ownership right in any of our owned patents or patent applications. In addition, we are aware that we might not be able to obtain ownership of or seek a license to any 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If we cannot license rights to use technologies on reasonable terms, we may not be able to commercialize new products in the future.</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may identify third-party technology that we may need to license or acquire in order to develop or commercialize our products or technologies, including our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Voyager</w:t>
      </w:r>
      <w:r>
        <w:rPr>
          <w:rFonts w:ascii="Times New Roman;serif" w:hAnsi="Times New Roman;serif"/>
          <w:b w:val="false"/>
          <w:color w:val="000000"/>
          <w:sz w:val="13"/>
        </w:rPr>
        <w:t>TM</w:t>
      </w:r>
      <w:r>
        <w:rPr>
          <w:color w:val="000000"/>
          <w:shd w:fill="FFFFFF" w:val="clear"/>
        </w:rPr>
        <w:t xml:space="preserve"> </w:t>
      </w:r>
      <w:r>
        <w:rPr>
          <w:rFonts w:ascii="Times New Roman;serif" w:hAnsi="Times New Roman;serif"/>
          <w:b w:val="false"/>
          <w:color w:val="000000"/>
          <w:sz w:val="20"/>
          <w:shd w:fill="FFFFFF" w:val="clear"/>
        </w:rPr>
        <w:t>platform</w:t>
      </w:r>
      <w:r>
        <w:rPr>
          <w:rFonts w:ascii="Times New Roman;serif" w:hAnsi="Times New Roman;serif"/>
          <w:b w:val="false"/>
          <w:color w:val="000000"/>
          <w:sz w:val="20"/>
        </w:rPr>
        <w:t>.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and commercialization capabilities. In addition, companies that perceive us to be a competitor may be unwilling to assign or license rights to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Our use of open source software and failure to comply with the terms of the underlying open source software licenses could impose limitations on our ability to commercialize our products and provide third parties to our proprietary software.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we review and monitors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Intellectual property rights do not necessarily address all potential threats.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others may be able to make products that are similar to products and technologies we may develop or may be able to utilize similar technologies that are not covered by the claims of the patents that we own or licenses now or in the future;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we, or any future licensor(s), might not have been the first to make the inventions covered by the issued patent or pending patent application that we license or may own in the future;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we, or any future licensor(s), might not have been the first to file patent applications covering certain of our or their inventions;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others may independently develop similar or alternative technologies or duplicate any of our technologies without infringing, misappropriating or otherwise violating our owned or future licensed intellectual property rights;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it is possible that our pending patent applications or those that we may license or own in the future will not lead to issued patents;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issued patents that we hold rights to may be held invalid or unenforceable, including as a result of legal challenges by our competitors;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we may not develop additional proprietary technologies that are patentable;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patents of others may harm our business;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we may choose not to file a patent for certain trade secrets or know-how, and a third party may independently derive, use, commercialize, publish or patent such intellectual property.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Should any of these events occur, they could materially adversely affect our business, financial condition, results of operations and prospects.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Risks Related to Litigation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We may become involved in litigation to enforce or defend our intellectual property rights, or defend ourselves from claims that we infringe the intellectual property rights of others, which litigation could consume significant resources and management time, and in which an adverse result could result in loss of our intellectual property rights, a requirement that we pay significant damages, and could prevent us from selling our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life sciences industry is highly competitive, and companies in this industry routinely engage in litigation and governmental proceedings to enforce and defend the intellectual property rights that they believe they possess. We may become involved in litigation or governmental and/or administrative proceedings to enforce or defend our intellectual property rights. Additionally, we have and may continue to become involved in litigation and/or governmental or administrative proceedings to defend ourselves from claims that our products or services infringe the intellectual property rights of others, or to challenge the claimed intellectual property rights of others where we believe they may not be entitled to such rights. Such litigation and governmental proceedings are inherently unpredictable and costly, and can require significant time and attention of management. In addition to the costs and distraction of litigation, if we are unsuccessful in enforcing our intellectual property rights, or in defending our intellectual property rights from challenges of others, which could result in our loss of our ability to exclude others from practicing aspects of our technology which could lead to greater competition for our products and services. Additionally, if we are unable to successfully defend ourselves from claims that we infringe the intellectual property rights of others and are unable to develop non-infringing alternative approaches for our products and services, we may be required to pay significant damages and ongoing royalties, or we may be prohibited from selling our products and services. Our success depends upon our ability to successfully enforce and defend our own intellectual property rights, and to defend ourselves from claims that we infringe the intellectual property rights of others.</w:t>
      </w:r>
    </w:p>
    <w:p>
      <w:pPr>
        <w:pStyle w:val="TextBody"/>
        <w:bidi w:val="0"/>
        <w:spacing w:lineRule="auto" w:line="288" w:before="0" w:after="180"/>
        <w:ind w:left="0" w:right="0" w:firstLine="360"/>
        <w:jc w:val="left"/>
        <w:rPr/>
      </w:pPr>
      <w:r>
        <w:rPr>
          <w:rFonts w:ascii="Times New Roman;serif" w:hAnsi="Times New Roman;serif"/>
          <w:b/>
          <w:i/>
          <w:color w:val="000000"/>
          <w:sz w:val="20"/>
        </w:rPr>
        <w:t>Our products could have unknown defects or errors, which may give rise to claims against us and adversely affect market adoption of our Nautilus Voyager</w:t>
      </w:r>
      <w:r>
        <w:rPr>
          <w:rFonts w:ascii="Times New Roman;serif" w:hAnsi="Times New Roman;serif"/>
          <w:b/>
          <w:i/>
          <w:color w:val="000000"/>
          <w:sz w:val="13"/>
        </w:rPr>
        <w:t>TM</w:t>
      </w:r>
      <w:r>
        <w:rPr>
          <w:color w:val="000000"/>
        </w:rPr>
        <w:t xml:space="preserve"> </w:t>
      </w:r>
      <w:r>
        <w:rPr>
          <w:rFonts w:ascii="Times New Roman;serif" w:hAnsi="Times New Roman;serif"/>
          <w:b/>
          <w:i/>
          <w:color w:val="000000"/>
          <w:sz w:val="20"/>
        </w:rPr>
        <w:t>platform.</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Our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Voyager</w:t>
      </w:r>
      <w:r>
        <w:rPr>
          <w:rFonts w:ascii="Times New Roman;serif" w:hAnsi="Times New Roman;serif"/>
          <w:b w:val="false"/>
          <w:color w:val="000000"/>
          <w:sz w:val="13"/>
        </w:rPr>
        <w:t>TM</w:t>
      </w:r>
      <w:r>
        <w:rPr>
          <w:color w:val="000000"/>
          <w:shd w:fill="FFFFFF" w:val="clear"/>
        </w:rPr>
        <w:t xml:space="preserve"> </w:t>
      </w:r>
      <w:r>
        <w:rPr>
          <w:rFonts w:ascii="Times New Roman;serif" w:hAnsi="Times New Roman;serif"/>
          <w:b w:val="false"/>
          <w:color w:val="000000"/>
          <w:sz w:val="20"/>
          <w:shd w:fill="FFFFFF" w:val="clear"/>
        </w:rPr>
        <w:t>platform</w:t>
      </w:r>
      <w:r>
        <w:rPr>
          <w:color w:val="000000"/>
        </w:rPr>
        <w:t xml:space="preserve"> </w:t>
      </w:r>
      <w:r>
        <w:rPr>
          <w:rFonts w:ascii="Times New Roman;serif" w:hAnsi="Times New Roman;serif"/>
          <w:b w:val="false"/>
          <w:color w:val="000000"/>
          <w:sz w:val="20"/>
        </w:rPr>
        <w:t xml:space="preserve">utilizes novel and complex technology applied on a microscopic scale, using key components that are not amenable to full characterization or quality assessment using conventional techniques or instrumentation, and such systems may develop or contain undetected defects or errors. We cannot assure you that material performance problems, defects or errors will not arise, and as we increase the density and integration of our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Voyager</w:t>
      </w:r>
      <w:r>
        <w:rPr>
          <w:color w:val="000000"/>
          <w:shd w:fill="FFFFFF" w:val="clear"/>
        </w:rPr>
        <w:t xml:space="preserve"> </w:t>
      </w:r>
      <w:r>
        <w:rPr>
          <w:rFonts w:ascii="Times New Roman;serif" w:hAnsi="Times New Roman;serif"/>
          <w:b w:val="false"/>
          <w:color w:val="000000"/>
          <w:sz w:val="20"/>
          <w:shd w:fill="FFFFFF" w:val="clear"/>
        </w:rPr>
        <w:t>platform</w:t>
      </w:r>
      <w:r>
        <w:rPr>
          <w:rFonts w:ascii="Times New Roman;serif" w:hAnsi="Times New Roman;serif"/>
          <w:b w:val="false"/>
          <w:color w:val="000000"/>
          <w:sz w:val="20"/>
        </w:rPr>
        <w:t xml:space="preserve">, these risks may increase. We expect to provide warranties that our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Voyager</w:t>
      </w:r>
      <w:r>
        <w:rPr>
          <w:color w:val="000000"/>
          <w:shd w:fill="FFFFFF" w:val="clear"/>
        </w:rPr>
        <w:t xml:space="preserve"> </w:t>
      </w:r>
      <w:r>
        <w:rPr>
          <w:rFonts w:ascii="Times New Roman;serif" w:hAnsi="Times New Roman;serif"/>
          <w:b w:val="false"/>
          <w:color w:val="000000"/>
          <w:sz w:val="20"/>
          <w:shd w:fill="FFFFFF" w:val="clear"/>
        </w:rPr>
        <w:t>platform</w:t>
      </w:r>
      <w:r>
        <w:rPr>
          <w:color w:val="000000"/>
        </w:rPr>
        <w:t xml:space="preserve"> </w:t>
      </w:r>
      <w:r>
        <w:rPr>
          <w:rFonts w:ascii="Times New Roman;serif" w:hAnsi="Times New Roman;serif"/>
          <w:b w:val="false"/>
          <w:color w:val="000000"/>
          <w:sz w:val="20"/>
        </w:rPr>
        <w:t>will meet performance expectations or be free from defects. The costs incurred in correcting any defects or errors may be substantial and could adversely affect our operating margins.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manufacturing our </w:t>
      </w:r>
      <w:r>
        <w:rPr>
          <w:rFonts w:ascii="Times New Roman;serif" w:hAnsi="Times New Roman;serif"/>
          <w:b w:val="false"/>
          <w:color w:val="000000"/>
          <w:sz w:val="20"/>
          <w:shd w:fill="FFFFFF" w:val="clear"/>
        </w:rPr>
        <w:t>Nautilus</w:t>
      </w:r>
      <w:r>
        <w:rPr>
          <w:color w:val="000000"/>
        </w:rPr>
        <w:t xml:space="preserve"> </w:t>
      </w:r>
      <w:r>
        <w:rPr>
          <w:rFonts w:ascii="Times New Roman;serif" w:hAnsi="Times New Roman;serif"/>
          <w:b w:val="false"/>
          <w:color w:val="000000"/>
          <w:sz w:val="20"/>
        </w:rPr>
        <w:t>Voyager</w:t>
      </w:r>
      <w:r>
        <w:rPr>
          <w:color w:val="000000"/>
          <w:shd w:fill="FFFFFF" w:val="clear"/>
        </w:rPr>
        <w:t xml:space="preserve"> </w:t>
      </w:r>
      <w:r>
        <w:rPr>
          <w:rFonts w:ascii="Times New Roman;serif" w:hAnsi="Times New Roman;serif"/>
          <w:b w:val="false"/>
          <w:color w:val="000000"/>
          <w:sz w:val="20"/>
          <w:shd w:fill="FFFFFF" w:val="clear"/>
        </w:rPr>
        <w:t>platform</w:t>
      </w:r>
      <w:r>
        <w:rPr>
          <w:rFonts w:ascii="Times New Roman;serif" w:hAnsi="Times New Roman;serif"/>
          <w:b w:val="false"/>
          <w:color w:val="000000"/>
          <w:sz w:val="20"/>
        </w:rPr>
        <w:t>,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our products contain defects, we may experience: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a failure to achieve market acceptance or expansion of our product sales;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loss of customer orders and delay in order fulfillment;</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damage to our brand reputation;</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increased cost of our warranty program due to product repair or replacement;</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product recalls or replacements;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inability to attract new customers;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diversion of resources from our manufacturing and research and development departments into our service department; and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 xml:space="preserve">legal claims against us, including product liability claims, which could be costly and time consuming to defend and result in substantial damages.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occurrence of any one or more of the foregoing could negatively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If we are sued for product liability, we could face substantial liabilities that exceed our resources.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marketing, sale and use of our products could lead to the filing of product liability claims were someone to allege that our products identified inaccurate or incomplete information regarding the proteins analyzed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Additionally, any product liability lawsuit could damage our reputation, or cause current customers to terminate existing agreements and potential partners to seek other partners, any of which could adversely impact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Risks Related to Regulatory and Legal Compliance Matters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Although our products currently are not labeled or intended for any use which would subject us to regulation by the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pStyle w:val="TextBody"/>
        <w:bidi w:val="0"/>
        <w:spacing w:lineRule="auto" w:line="288" w:before="0" w:after="180"/>
        <w:ind w:left="0" w:right="0" w:firstLine="360"/>
        <w:jc w:val="left"/>
        <w:rPr/>
      </w:pPr>
      <w:r>
        <w:rPr>
          <w:rFonts w:ascii="Times New Roman;serif" w:hAnsi="Times New Roman;serif"/>
          <w:b w:val="false"/>
          <w:color w:val="000000"/>
          <w:sz w:val="20"/>
        </w:rPr>
        <w:t>Our products are currently labeled and promoted, and are, and in the n</w:t>
      </w:r>
      <w:r>
        <w:rPr>
          <w:rFonts w:ascii="Times New Roman;serif" w:hAnsi="Times New Roman;serif"/>
          <w:b w:val="false"/>
          <w:color w:val="000000"/>
          <w:sz w:val="20"/>
          <w:shd w:fill="FFFFFF" w:val="clear"/>
        </w:rPr>
        <w:t>ear-future will be, sold primarily to research companies and academic and research institutions as research use only (“RUO”) products, and are not currently intended to be used, for clinical diagnostic tests or as medical devices.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 (the “QSR”),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 The FDA’s new Quality Management System Regulation (“QMSR”), effective February 2, 2026, which incorporates by reference certain requirements under ISO 13485. </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In addition, we may in the future submit 510(k) premarket notification applications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w:t>
      </w:r>
      <w:r>
        <w:rPr>
          <w:rFonts w:ascii="Times New Roman;serif" w:hAnsi="Times New Roman;serif"/>
          <w:b w:val="false"/>
          <w:color w:val="000000"/>
          <w:sz w:val="20"/>
        </w:rPr>
        <w:t xml:space="preserve">be required to obtain FDA 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Even if the FDA agreed that a 510(k) was appropriate, FDA clearance can be expensive and time consuming. It can take a significant amount of time to prepare and submit a 510(k) application,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cleared or approved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pStyle w:val="TextBody"/>
        <w:bidi w:val="0"/>
        <w:spacing w:lineRule="auto" w:line="288" w:before="0" w:after="180"/>
        <w:ind w:left="0" w:right="0" w:firstLine="360"/>
        <w:jc w:val="left"/>
        <w:rPr/>
      </w:pPr>
      <w:r>
        <w:rPr>
          <w:rFonts w:ascii="Times New Roman;serif" w:hAnsi="Times New Roman;serif"/>
          <w:b w:val="false"/>
          <w:color w:val="000000"/>
          <w:sz w:val="20"/>
        </w:rPr>
        <w:t>If w</w:t>
      </w:r>
      <w:r>
        <w:rPr>
          <w:rFonts w:ascii="Times New Roman;serif" w:hAnsi="Times New Roman;serif"/>
          <w:b w:val="false"/>
          <w:color w:val="000000"/>
          <w:sz w:val="20"/>
          <w:shd w:fill="FFFFFF" w:val="clear"/>
        </w:rPr>
        <w:t>e sought and received regulatory clearance or approval for certain of our products, we would be subject to ongoing FDA obligations and continued regulatory oversight and review, including the general controls listed above and the FDA’s QMSRs for our development and manufacturing operations. In addition, we may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w:t>
      </w:r>
      <w:r>
        <w:rPr>
          <w:rFonts w:ascii="Times New Roman;serif" w:hAnsi="Times New Roman;serif"/>
          <w:b w:val="false"/>
          <w:color w:val="000000"/>
          <w:sz w:val="20"/>
        </w:rPr>
        <w:t>nts or obtain and maintain required approvals, clearances or certifications could impair our ability to commercialize our products for diagnostic use outside of the United States.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do not currentl</w:t>
      </w:r>
      <w:r>
        <w:rPr>
          <w:rFonts w:ascii="Times New Roman;serif" w:hAnsi="Times New Roman;serif"/>
          <w:b w:val="false"/>
          <w:color w:val="000000"/>
          <w:sz w:val="20"/>
          <w:shd w:fill="FFFFFF" w:val="clear"/>
        </w:rPr>
        <w:t>y expect our Nautilus Voyager</w:t>
      </w:r>
      <w:r>
        <w:rPr>
          <w:rFonts w:ascii="Times New Roman;serif" w:hAnsi="Times New Roman;serif"/>
          <w:b w:val="false"/>
          <w:color w:val="000000"/>
          <w:sz w:val="13"/>
          <w:shd w:fill="FFFFFF" w:val="clear"/>
        </w:rPr>
        <w:t>TM</w:t>
      </w:r>
      <w:r>
        <w:rPr>
          <w:color w:val="000000"/>
          <w:shd w:fill="FFFFFF" w:val="clear"/>
        </w:rPr>
        <w:t xml:space="preserve"> </w:t>
      </w:r>
      <w:r>
        <w:rPr>
          <w:rFonts w:ascii="Times New Roman;serif" w:hAnsi="Times New Roman;serif"/>
          <w:b w:val="false"/>
          <w:color w:val="000000"/>
          <w:sz w:val="20"/>
          <w:shd w:fill="FFFFFF" w:val="clear"/>
        </w:rPr>
        <w:t xml:space="preserve">platform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Regulatory requirements related to marketing, selling, and distribution of RUO products could change or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The FDA has historically exercised enforcement discretion in not enforcing the medical device regulations against laboratories offering LDTs. In May 2024, FDA issued a final rule that amends FDA’s regulations to make explicit that </w:t>
      </w:r>
      <w:r>
        <w:rPr>
          <w:rFonts w:ascii="Times New Roman;serif" w:hAnsi="Times New Roman;serif"/>
          <w:b w:val="false"/>
          <w:i/>
          <w:color w:val="000000"/>
          <w:sz w:val="20"/>
        </w:rPr>
        <w:t>in vitro</w:t>
      </w:r>
      <w:r>
        <w:rPr>
          <w:color w:val="000000"/>
          <w:shd w:fill="FFFFFF" w:val="clear"/>
        </w:rPr>
        <w:t xml:space="preserve"> </w:t>
      </w:r>
      <w:r>
        <w:rPr>
          <w:rFonts w:ascii="Times New Roman;serif" w:hAnsi="Times New Roman;serif"/>
          <w:b w:val="false"/>
          <w:color w:val="000000"/>
          <w:sz w:val="20"/>
          <w:shd w:fill="FFFFFF" w:val="clear"/>
        </w:rPr>
        <w:t xml:space="preserve">diagnostics (“IVDs”) are devices under the Federal Food, Drug, and Cosmetic Act, including when the manufacturer of the IVD is a laboratory, and phases out its enforcement discretion for LDTs. On March 31, 2025, the U.S. District Court for the Eastern District of Texas vacated and set aside the FDA LDT Final Rule in its entirety. Further, in June 2024, the U.S. Supreme Court overruled the </w:t>
      </w:r>
      <w:r>
        <w:rPr>
          <w:rFonts w:ascii="Times New Roman;serif" w:hAnsi="Times New Roman;serif"/>
          <w:b w:val="false"/>
          <w:i/>
          <w:color w:val="000000"/>
          <w:sz w:val="20"/>
        </w:rPr>
        <w:t xml:space="preserve">Chevron </w:t>
      </w:r>
      <w:r>
        <w:rPr>
          <w:rFonts w:ascii="Times New Roman;serif" w:hAnsi="Times New Roman;serif"/>
          <w:b w:val="false"/>
          <w:color w:val="000000"/>
          <w:sz w:val="20"/>
          <w:shd w:fill="FFFFFF" w:val="clear"/>
        </w:rPr>
        <w:t>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FDA’s statutory interpretations, which can lead to uncertainties in the industry.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pStyle w:val="TextBody"/>
        <w:bidi w:val="0"/>
        <w:spacing w:lineRule="auto" w:line="288" w:before="0" w:after="180"/>
        <w:ind w:left="0" w:right="0" w:firstLine="360"/>
        <w:jc w:val="left"/>
        <w:rPr/>
      </w:pPr>
      <w:r>
        <w:rPr>
          <w:rFonts w:ascii="Times New Roman;serif" w:hAnsi="Times New Roman;serif"/>
          <w:b w:val="false"/>
          <w:color w:val="000000"/>
          <w:sz w:val="20"/>
        </w:rPr>
        <w:t>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w:t>
      </w:r>
      <w:r>
        <w:rPr>
          <w:rFonts w:ascii="Times New Roman;serif" w:hAnsi="Times New Roman;serif"/>
          <w:b w:val="false"/>
          <w:color w:val="000000"/>
          <w:sz w:val="20"/>
          <w:shd w:fill="FFFFFF" w:val="clear"/>
        </w:rPr>
        <w:t>rer reporting laws, and other laws and regulations applicable to medical device manufacturers. If our operations are found to be in violation of any applicable FDA or healthcare laws and regulations, we may be subject to penalties, monetary damages, disgorgement, imprisonment, the curtailment or restructuring of our operations, loss of eligibility to obtain clearance or approvals from the FDA, fees from regulators, fines, significant settlements or judgments, or exclusion from participation in government contracting, healthcare reimbursement or other government programs, including Medicare and Medicaid, or other restrictions on our operations, any of which could adversely impact our financial results. Any action against us for an alleged or suspected violation by a private party or governmental agency could cause us to incur significant legal expenses, adversely impact our reputation, and could divert our management’s attention from the operation of our business, even if our defense is successful. In addition, achieving and sustaining compliance with applicable laws and regulations may be costly to us in terms of money, time and resources.</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w:t>
      </w:r>
      <w:r>
        <w:rPr>
          <w:rFonts w:ascii="Times New Roman;serif" w:hAnsi="Times New Roman;serif"/>
          <w:b w:val="false"/>
          <w:color w:val="000000"/>
          <w:sz w:val="20"/>
        </w:rPr>
        <w:t>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Changes in the leadership of FDA and other federal agencies under the Trump administration, including mass layoffs and potential changes in future policies and regulations that can impact our industry, have resulted in significant uncertainties in the industry, including product developers and businesses of customers who use our products. Reduction in federal funding for research could negatively impact our customers and thus reduce the demand for our products. To the extent we are required to conduct clinical trials or to obtain regulatory authorization for our marketed products or future products due to changes in the regulatory requirements, delays in the commencement of our product launches or our changes to our current marketing strategy could significantly increase our costs and delay our commercialization plans, which could harm our financial prospects.</w: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ordinary course of our business, we currently, and, in the future, will, collect, store, transfer, use or process sensitive data, including personal information of employees,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pStyle w:val="TextBody"/>
        <w:bidi w:val="0"/>
        <w:spacing w:lineRule="auto" w:line="288" w:before="0" w:after="180"/>
        <w:ind w:left="0" w:right="0" w:firstLine="360"/>
        <w:jc w:val="left"/>
        <w:rPr/>
      </w:pPr>
      <w:r>
        <w:rPr>
          <w:rFonts w:ascii="Times New Roman;serif" w:hAnsi="Times New Roman;serif"/>
          <w:b w:val="false"/>
          <w:color w:val="000000"/>
          <w:sz w:val="20"/>
        </w:rPr>
        <w:t>In the United States, various federal and state regulators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provides for certain privacy rights for California residents and imposes obligations on companies that process their personal information, came into effect on January 1, 2020. Among other things, the CCPA requires covered companies to provide certain disclosures to California consumers and provide such co</w:t>
      </w:r>
      <w:r>
        <w:rPr>
          <w:rFonts w:ascii="Times New Roman;serif" w:hAnsi="Times New Roman;serif"/>
          <w:b w:val="false"/>
          <w:color w:val="000000"/>
          <w:sz w:val="20"/>
          <w:shd w:fill="FFFFFF" w:val="clear"/>
        </w:rPr>
        <w:t xml:space="preserve">nsumers with certain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 Act (the “CPRA”), which amended and expanded the CCPA as of January 1, 2023. Although the CCPA includes exemptions for certain clinical trial data, the law may increase our compliance costs and potential liability with respect to other personal information we collect about California customers. In addition to the CCPA, numerous other states’ legislatures are considering or have enacted similar data privacy laws. For example, Virginia, Colorado, Utah and Connecticut have each passed laws similar to but different from the CCPA and CPRA that took effect in 2023; Florida, Montana, Oregon and Texas have enacted similar laws that took effect in 2024; Tennessee, Delaware, Iowa, Maryland, Minnesota, New Hampshire, Nebraska and New Jersey have enacted similar laws that took effect in 2025; Indiana, Rhode Island and Kentucky have enacted similar laws that have taken effect in 2026; and Alabama and Oklahoma have enacted similar laws that take effect in 2027. </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Additionally, certain other state laws govern the privacy and security of health information in certain circumstances, such as Washington’s My Health, My Data Act, which contains a private right of action. These new state laws will require ongoing compliance efforts and investment. In addition, laws in all 50 U.S. states require businesses to provide notice to consumers whose personal information has been disclosed or otherwise processed as a result of a data breach. State laws are changing rapidly. The U.S. Department of Justice also has issued rules regarding certain bulk sensitive personal data transfers, and there is discussion in the U.S. Congress of comprehensive federal data privacy legislation. It is possible that these or other laws, regulations, or other actual or asserted obligations relating to privacy or security matters, or otherwise relating to the collection, use, transfer, or other processing of personal information, may be interpreted and applied in a manner that is inconsistent with our practices. If so, this could result in government-imposed fines or orders requiring that we change our practices, which could adversely affect our business.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Furthermore, regulations promulgated pursuant to the Health Insurance Portability and Accountability Act of 1996 (“HIPAA”) establish privacy and security standards that limit the use and disclosure of certain individually identifiable health information defined in HIPAA as “protected health information” and require the implementation of administrative, physical and technological safeguards to protect the privacy of protected health information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subject to a security incident, or otherwise compromised or disrupted due to various causes, including employee error, malfeasance or other malicious or inadvertent actions. Any such breach, incident, compromise or disruption could compromise our networks and the information stored there could be accessed by unauthorized parties, manipulated, publicly disclosed, lost, stolen, corrupted, made unavailable, or misused or otherwise processed without authorization. Any such access, breach or other loss of information could result in legal claims or proceedings, and liability under federal or state laws that protect the privacy of personal information, such as the HIPAA, the Health Information Technology for Economic and Clinical Health Act,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While we have implemented policies and contractual safeguards designed to address compliance with U.S. and foreign privacy laws and data transfer regulations, the complex and evolving landscape of privacy and data security laws and regulations both domestically and internationally, including the </w:t>
      </w:r>
      <w:r>
        <w:rPr>
          <w:rFonts w:ascii="Times New Roman;serif" w:hAnsi="Times New Roman;serif"/>
          <w:b w:val="false"/>
          <w:color w:val="000000"/>
          <w:sz w:val="20"/>
          <w:shd w:fill="FFFFFF" w:val="clear"/>
        </w:rPr>
        <w:t>evolving compliance and operatio</w:t>
      </w:r>
      <w:r>
        <w:rPr>
          <w:rFonts w:ascii="Times New Roman;serif" w:hAnsi="Times New Roman;serif"/>
          <w:b w:val="false"/>
          <w:color w:val="000000"/>
          <w:sz w:val="20"/>
        </w:rPr>
        <w:t>nal requirements for such laws and regulations,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which may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or consultants to comply with any applicable federal, state or similar foreign laws and regulations, contractual obligations or any other actual or asserted obligations relating to privacy, security, or the collection, use, transfer, or other processing of personal information could result in damage to our reputation, as well as claims, demands, proceedings or litigation by governmental agencies or other third parties, including class action privacy litigation in certain jurisdictions, which would subject us to significant fines, sanctions, awards, penalties, judgments and other liabilities, all of which could have a material adverse effect on our business, financial condition, results of operations and prospects.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Our use of artificial intelligence and machine learning technologies may result in reputational harm or liability.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incorporated and may continue to incorporate additional artificial intelligence and machine learning, or AIML, technologies into our platform, including within our decoding pipelines and otherwise within our business, and these solutions and features are key elements of our technological approach and to our future growth over time. We rely and expect to rely on AIML technologies in our platform, but there can be no assurance that we will realize the desired or anticipated benefits from AIML or any at all. We may also fail to properly implement or utilize AIML technologies. Our competitors, customers, or other third parties may incorporate AIML into their products and services or otherwise within their business more quickly or more successfully than us, which could impair our ability to compete with or serve them effectively, which could adversely affect our results of operations. Additionally, our use of AIML technologies may expose us to additional claims, demands and proceedings by private parties and regulatory authorities and subject us to legal liability as well as brand and reputational harm. For example, if output from AIML technologies or that they assist in producing are or are alleged to be deficient, inaccurate, or biased, or for such output, or such technologies or their development or deployment, including the collection, use, or other processing of data used to train or create such AIML technologies, to alleged to infringe upon or to have misappropriated third-party intellectual property rights, to violate other rights, or to violate applicable laws, regulations, or other actual or asserted legal obligations to which we are or may become subject, then our business, financial condition, and results of operations may be adversely affected. The legal, regulatory, and policy environments around AIML are evolving rapidly, and we may become subject to new and evolving legal and other obligations. These and other developments may require us to make significant changes to our use of AIML, including by limiting or restricting our use of AIML, and may require us to make significant changes to our policies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and practices, which may necessitate expenditure of significant time, expense, and other resources, AIML also presents emerging ethical issues, and if our use of AIML becomes controversial, we may experience brand or reputational harm. </w:t>
      </w:r>
    </w:p>
    <w:p>
      <w:pPr>
        <w:pStyle w:val="TextBody"/>
        <w:bidi w:val="0"/>
        <w:spacing w:lineRule="auto" w:line="288" w:before="0" w:after="180"/>
        <w:ind w:left="0" w:right="0" w:firstLine="360"/>
        <w:jc w:val="left"/>
        <w:rPr/>
      </w:pPr>
      <w:r>
        <w:rPr>
          <w:rFonts w:ascii="Times New Roman;serif" w:hAnsi="Times New Roman;serif"/>
          <w:b/>
          <w:i/>
          <w:color w:val="000000"/>
          <w:sz w:val="20"/>
        </w:rPr>
        <w:t>If we commercialize our Nautilus Voyager</w:t>
      </w:r>
      <w:r>
        <w:rPr>
          <w:rFonts w:ascii="Times New Roman;serif" w:hAnsi="Times New Roman;serif"/>
          <w:b/>
          <w:i/>
          <w:color w:val="000000"/>
          <w:sz w:val="13"/>
        </w:rPr>
        <w:t>TM</w:t>
      </w:r>
      <w:r>
        <w:rPr>
          <w:color w:val="000000"/>
        </w:rPr>
        <w:t xml:space="preserve"> </w:t>
      </w:r>
      <w:r>
        <w:rPr>
          <w:rFonts w:ascii="Times New Roman;serif" w:hAnsi="Times New Roman;serif"/>
          <w:b/>
          <w:i/>
          <w:color w:val="000000"/>
          <w:sz w:val="20"/>
        </w:rPr>
        <w:t>platform outside of the United States, our international business could expose us to business, tax, regulatory, political, operational, financial, and economic risks associated with doing business outside of the United States.</w:t>
      </w:r>
    </w:p>
    <w:p>
      <w:pPr>
        <w:pStyle w:val="TextBody"/>
        <w:bidi w:val="0"/>
        <w:spacing w:lineRule="auto" w:line="288" w:before="0" w:after="180"/>
        <w:ind w:left="0" w:right="0" w:firstLine="360"/>
        <w:jc w:val="left"/>
        <w:rPr/>
      </w:pPr>
      <w:r>
        <w:rPr>
          <w:rFonts w:ascii="Times New Roman;serif" w:hAnsi="Times New Roman;serif"/>
          <w:b w:val="false"/>
          <w:color w:val="000000"/>
          <w:sz w:val="20"/>
        </w:rPr>
        <w:t>If we commercialize our</w:t>
      </w:r>
      <w:r>
        <w:rPr>
          <w:color w:val="000000"/>
          <w:shd w:fill="FFFFFF" w:val="clear"/>
        </w:rPr>
        <w:t xml:space="preserve"> </w:t>
      </w:r>
      <w:r>
        <w:rPr>
          <w:rFonts w:ascii="Times New Roman;serif" w:hAnsi="Times New Roman;serif"/>
          <w:b w:val="false"/>
          <w:color w:val="000000"/>
          <w:sz w:val="20"/>
          <w:shd w:fill="FFFFFF" w:val="clear"/>
        </w:rPr>
        <w:t>Nautilus Voyager</w:t>
      </w:r>
      <w:r>
        <w:rPr>
          <w:rFonts w:ascii="Times New Roman;serif" w:hAnsi="Times New Roman;serif"/>
          <w:b w:val="false"/>
          <w:color w:val="000000"/>
          <w:sz w:val="13"/>
          <w:shd w:fill="FFFFFF" w:val="clear"/>
        </w:rPr>
        <w:t>TM</w:t>
      </w:r>
      <w:r>
        <w:rPr>
          <w:color w:val="000000"/>
          <w:shd w:fill="FFFFFF" w:val="clear"/>
        </w:rPr>
        <w:t xml:space="preserve"> </w:t>
      </w:r>
      <w:r>
        <w:rPr>
          <w:rFonts w:ascii="Times New Roman;serif" w:hAnsi="Times New Roman;serif"/>
          <w:b w:val="false"/>
          <w:color w:val="000000"/>
          <w:sz w:val="20"/>
          <w:shd w:fill="FFFFFF" w:val="clear"/>
        </w:rPr>
        <w:t>platform</w:t>
      </w:r>
      <w:r>
        <w:rPr>
          <w:color w:val="000000"/>
        </w:rPr>
        <w:t xml:space="preserve"> </w:t>
      </w:r>
      <w:r>
        <w:rPr>
          <w:rFonts w:ascii="Times New Roman;serif" w:hAnsi="Times New Roman;serif"/>
          <w:b w:val="false"/>
          <w:color w:val="000000"/>
          <w:sz w:val="20"/>
        </w:rPr>
        <w:t>outside of the United States, our international business may be adversely affected by changing economic, political and regulatory conditions in foreign countries, as well as changes resulting from new political administrations in the United States. Engaging in international business inherently involves a number of difficulties and risks, including:</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required compliance with existing and changing foreign regulatory requirements and laws;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required compliance with U.S. laws such as the Foreign Corrupt Practices Act, and other U.S. federal laws and regulations established by the office of Foreign Asset Control;</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export or import restrictions;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laws and business practices favoring local companies;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foreign currency exchange, longer payment cycles and difficulties in enforcing agreements and collecting receivables through certain foreign legal systems;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political and economic volatility;</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changes in social, economic, and political conditions or in laws, regulations and policies governing foreign trade, tariffs, intellectual property,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potentially adverse tax consequences, tariffs, customs charges, bureaucratic requirements and other trade barriers;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difficulties and costs of staffing and managing foreign operations, including compliance with diverse and complex local employment laws and practices; and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difficulties protecting, maintaining, enforcing or procuring intellectual property rights.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one or more of these risks occurs, it could require us to dedicate significant resources to remedy such occurrence, and if we are unsuccessful in finding a solution, our financial results will suffer.</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For example, on January 15, 2025, the United States Department of Commerce Bureau of Industry and Security (“BIS”) issued an </w:t>
      </w:r>
      <w:r>
        <w:rPr>
          <w:rFonts w:ascii="Times New Roman;serif" w:hAnsi="Times New Roman;serif"/>
          <w:b w:val="false"/>
          <w:color w:val="000000"/>
          <w:sz w:val="20"/>
          <w:shd w:fill="FFFFFF" w:val="clear"/>
        </w:rPr>
        <w:t>Interim Final Rule (“IFR”) implementing targeted export controls on certain laboratory instruments</w:t>
      </w:r>
      <w:r>
        <w:rPr>
          <w:rFonts w:ascii="Times New Roman;serif" w:hAnsi="Times New Roman;serif"/>
          <w:b w:val="false"/>
          <w:color w:val="000000"/>
          <w:sz w:val="20"/>
        </w:rPr>
        <w:t>. This IFR imposes certain new restrictions and license requirements on export to certain countries of certain analytical instruments that are highly suitable for generating large, detailed biological datasets, which can be analyzed to discover complex patterns governing the function of biological molecules, cells, and organisms. The IFR seeks to regulate exports of these analytical instruments based upon the potential to exploit these techniques for asymmetric military advantage. The analytical instruments subject to the IFR, as written, include high-parameter and spectral flow cytometers and cell sorters</w:t>
      </w:r>
      <w:r>
        <w:rPr>
          <w:color w:val="000000"/>
        </w:rPr>
        <w:t xml:space="preserve"> </w:t>
      </w:r>
      <w:r>
        <w:rPr>
          <w:rFonts w:ascii="Times New Roman;serif" w:hAnsi="Times New Roman;serif"/>
          <w:b w:val="false"/>
          <w:color w:val="000000"/>
          <w:sz w:val="20"/>
        </w:rPr>
        <w:t>and certain liquid chromatography mass spectrometers</w:t>
      </w:r>
      <w:r>
        <w:rPr>
          <w:color w:val="000000"/>
        </w:rPr>
        <w:t xml:space="preserve"> </w:t>
      </w:r>
      <w:r>
        <w:rPr>
          <w:rFonts w:ascii="Times New Roman;serif" w:hAnsi="Times New Roman;serif"/>
          <w:b w:val="false"/>
          <w:color w:val="000000"/>
          <w:sz w:val="20"/>
        </w:rPr>
        <w:t>(LC/MS) specially designed for proteomics. While the Company’s platform would not be not included under the current IFR, given the platform’s anticipated ability to generate large proteomic datasets, future BIS or other government regulations could potentially encompass our products and/or negatively impact our ability to export those products to certain countries and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addition, if we commercialize our </w:t>
      </w:r>
      <w:r>
        <w:rPr>
          <w:rFonts w:ascii="Times New Roman;serif" w:hAnsi="Times New Roman;serif"/>
          <w:b w:val="false"/>
          <w:color w:val="000000"/>
          <w:sz w:val="20"/>
          <w:shd w:fill="FFFFFF" w:val="clear"/>
        </w:rPr>
        <w:t>Nautilus Voyager</w:t>
      </w:r>
      <w:r>
        <w:rPr>
          <w:rFonts w:ascii="Times New Roman;serif" w:hAnsi="Times New Roman;serif"/>
          <w:b w:val="false"/>
          <w:color w:val="000000"/>
          <w:sz w:val="13"/>
          <w:shd w:fill="FFFFFF" w:val="clear"/>
        </w:rPr>
        <w:t>TM</w:t>
      </w:r>
      <w:r>
        <w:rPr>
          <w:color w:val="000000"/>
          <w:shd w:fill="FFFFFF" w:val="clear"/>
        </w:rPr>
        <w:t xml:space="preserve"> </w:t>
      </w:r>
      <w:r>
        <w:rPr>
          <w:rFonts w:ascii="Times New Roman;serif" w:hAnsi="Times New Roman;serif"/>
          <w:b w:val="false"/>
          <w:color w:val="000000"/>
          <w:sz w:val="20"/>
          <w:shd w:fill="FFFFFF" w:val="clear"/>
        </w:rPr>
        <w:t>platform</w:t>
      </w:r>
      <w:r>
        <w:rPr>
          <w:color w:val="000000"/>
        </w:rPr>
        <w:t xml:space="preserve"> </w:t>
      </w:r>
      <w:r>
        <w:rPr>
          <w:rFonts w:ascii="Times New Roman;serif" w:hAnsi="Times New Roman;serif"/>
          <w:b w:val="false"/>
          <w:color w:val="000000"/>
          <w:sz w:val="20"/>
        </w:rPr>
        <w:t xml:space="preserve">outside of the United States, we may rely on distributors for sales of our </w:t>
      </w:r>
      <w:r>
        <w:rPr>
          <w:rFonts w:ascii="Times New Roman;serif" w:hAnsi="Times New Roman;serif"/>
          <w:b w:val="false"/>
          <w:color w:val="000000"/>
          <w:sz w:val="20"/>
          <w:shd w:fill="FFFFFF" w:val="clear"/>
        </w:rPr>
        <w:t>Nautilus Voyager platform</w:t>
      </w:r>
      <w:r>
        <w:rPr>
          <w:color w:val="000000"/>
        </w:rPr>
        <w:t xml:space="preserve"> </w:t>
      </w:r>
      <w:r>
        <w:rPr>
          <w:rFonts w:ascii="Times New Roman;serif" w:hAnsi="Times New Roman;serif"/>
          <w:b w:val="false"/>
          <w:color w:val="000000"/>
          <w:sz w:val="20"/>
        </w:rPr>
        <w:t xml:space="preserve">and related products. To do so we must attract distributors and maintain distributors to maximize the commercial opportunity for our platform. There is no guarantee that we will be successful in attracting or retaining desirable sales and distribution partners or that we will be able to enter into such arrangements on favorable terms. Distributors may not commit the necessary resources to market and sell our </w:t>
      </w:r>
      <w:r>
        <w:rPr>
          <w:rFonts w:ascii="Times New Roman;serif" w:hAnsi="Times New Roman;serif"/>
          <w:b w:val="false"/>
          <w:color w:val="000000"/>
          <w:sz w:val="20"/>
          <w:shd w:fill="FFFFFF" w:val="clear"/>
        </w:rPr>
        <w:t>Nautilus Voyager platform</w:t>
      </w:r>
      <w:r>
        <w:rPr>
          <w:color w:val="000000"/>
        </w:rPr>
        <w:t xml:space="preserve"> </w:t>
      </w:r>
      <w:r>
        <w:rPr>
          <w:rFonts w:ascii="Times New Roman;serif" w:hAnsi="Times New Roman;serif"/>
          <w:b w:val="false"/>
          <w:color w:val="000000"/>
          <w:sz w:val="20"/>
        </w:rPr>
        <w:t>and related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and our financial results will suffer.</w:t>
      </w:r>
    </w:p>
    <w:p>
      <w:pPr>
        <w:pStyle w:val="TextBody"/>
        <w:bidi w:val="0"/>
        <w:spacing w:lineRule="auto" w:line="288" w:before="0" w:after="180"/>
        <w:ind w:left="0" w:right="0" w:firstLine="360"/>
        <w:jc w:val="left"/>
        <w:rPr/>
      </w:pPr>
      <w:r>
        <w:rPr>
          <w:rFonts w:ascii="Times New Roman;serif" w:hAnsi="Times New Roman;serif"/>
          <w:b/>
          <w:i/>
          <w:color w:val="000000"/>
          <w:sz w:val="20"/>
        </w:rPr>
        <w:t xml:space="preserve">If we expand our development and commercialization activities outside of the United States, we will be subject to an increased risk of conducting activities in a manner that violates the U.S. Foreign Corrupt Practices Act and similar laws. If that occurs, </w:t>
      </w:r>
      <w:r>
        <w:rPr>
          <w:rFonts w:ascii="Times New Roman;serif" w:hAnsi="Times New Roman;serif"/>
          <w:b/>
          <w:i/>
          <w:color w:val="000000"/>
          <w:sz w:val="20"/>
          <w:shd w:fill="FFFFFF" w:val="clear"/>
        </w:rPr>
        <w:t>we may be subject to civil or criminal penalties and other adverse consequences which could have a material adverse effect on our business, financial condition, results of operations and growth prospects.</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We are subject to the U.S. Foreign Corrupt Practices Act, or the FCPA, and similar anti-corruption laws which generally prohibit companies, their employees, agents, representatives, business partners, and third-party intermediaries from authorizing, offering, or providing, directly or indirectly, improper payments or benefits to recipients in the public or private sector.</w:t>
      </w:r>
      <w:r>
        <w:rPr>
          <w:color w:val="000000"/>
        </w:rPr>
        <w:t xml:space="preserve"> </w:t>
      </w:r>
      <w:r>
        <w:rPr>
          <w:rFonts w:ascii="Times New Roman;serif" w:hAnsi="Times New Roman;serif"/>
          <w:b w:val="false"/>
          <w:color w:val="000000"/>
          <w:sz w:val="20"/>
          <w:shd w:fill="FFFFFF" w:val="clear"/>
        </w:rPr>
        <w:t>Specifically,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Bribery Act, which prohibits both domestic and international bribery, as well as bribery across both public and private sectors.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we choose to establish and expand our commercial operations outside of the United States we will need to comply with non-U.S. regulatory requirements, may need to establish and expand business relationships with various third parties, and we, our employees, agents, representatives, business partners and third-party intermediaries may interact more frequently with foreign officials, including regulatory authorities, and we may be held liable for the corrupt or other illegal activities of these employees, agents, representatives, business partners or third-party intermediaries, even if we do not explicitly authorize such activities. Any interactions with any such parties or individuals where improper payments are provided that are found to be in violation of such laws could result in substantial fines and penalties and could materially harm our business. We cannot assure you that all of our employees, agents, representatives, business partners and third-party intermediaries will not take actions in violation of applicable law for which we may ultimately be held responsible.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 Further, as we increase our international sales and business, our risks under these laws may increase and expanded programs to maintain compliance with such laws may be costly and may not be effective.</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Furthermore, any finding of a violation under one country’s laws may increase the likelihood that we will be prosecuted and be found to have violated another country’s laws. If our business practices are alleged to be or are found to be in violation of the FCPA, UK Bribery Act or other similar anti-corruption laws, we may be subject to whistleblower complaints, sanctions, settlements, prosecution, enforcement actions, fines, damages, adverse media coverage, investigations, loss of export privileges, significant civil and criminal penalties, or suspension or debarment from government contracts, all of which co</w:t>
      </w:r>
      <w:r>
        <w:rPr>
          <w:rFonts w:ascii="Times New Roman;serif" w:hAnsi="Times New Roman;serif"/>
          <w:b w:val="false"/>
          <w:color w:val="000000"/>
          <w:sz w:val="20"/>
        </w:rPr>
        <w:t>uld have a material adverse effect on our reputation, financial condition and results of operations. Responding to any investigation or action will likely result in materially significant diversion of management’s attention and resources and significant defense costs and other professional fees.</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Environmental and health safety laws may result in liabilities, expenses and restrictions on our operations. Failure to comply with environmental laws and regulations could subject us to significant liability.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Federal, state, local and foreign laws regarding environmental protection, hazardous substances and human health and safety may adversely affect our business. 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we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Our employees, independent contractors, consultants, commercial partners, distributors and vendors may engage in misconduct or other improper activities, including noncompliance with regulatory standards and requirements.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exposed to the risk that our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Demand for our technology could be reduced by legal, social and ethical concerns surrounding the use of genetic information and biological materials.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products may be used to provide genetic information or analyze biological materials from humans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Significant developments or changes in national laws or policies to protect or promote domestic interests and/or address foreign competition could have an adverse effect on our business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Significant developments or changes in national laws or policies to protect or promote domestic interests and/or address foreign competition, including laws and policies in areas such as trade, manufacturing, government purchasing, health care, intellectual property and investment/development, could adversely affect our business, financial condition and results of operations. For example, certain governments have implemented policies to induce “re-shoring” of supply chains, reduce reliance on imported supplies and promote national production. The Chinese government has issued a series of policies in the past several years to promote the development and use of local medical devices. In addition, in recent years the U.S. has increased tariffs on certain imported goods and trade tensions between the U.S. and China escalated, with each country imposing significant, additional tariffs on a wide range of goods imported from the other country.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Risks Related to our Operations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If we experience a significant disruption in our information technology systems or breaches of data security, our business could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information technology systems to keep financial records, facilitate our research and development initiatives, manage our manufacturing operations, maintain quality control, fulfill customer orders, process customer data and information, maintain corporate records, communicate with staff and external parties and operate other critical functions. Our information technology systems and those of our vendors and partners are potentially vulnerable to disruption, failure and compromise due to breakdown, malicious intrusion and computer viruses, ransomware or other malicious software, or other disruptive events, including, but not limited to, natural disasters and catastrophes. Like other life sciences technology companies, we have experienced security incidents in the past, and we may experience them again in the future. For example, in January 2024, we experienced an incident involving unauthorized access to an employee account. The Company has worked, and continues to work with external cybersecurity experts, in detecting, blocking, containing, remediating, and investigating any security incidents and risks, and in further enhancing our cybersecurity safeguards. This incident did not, and other incidents have not impacted the availability of our systems, materially disrupted our operations, or had any material impact on our financial or operating results. Cybersecurity risks are constantly evolving, and as such, we anticipate additional work and expense in the future as we continue to further enhance our security processes and initiatives to meet the changing landscape of cybersecurity risks. While cyber insurance may be available for companies, any available insurance for cyber events, may be limited in amount, subject to deductibles, and may not be adequate to cover us for all costs arising from security incidents. Given increasing cybersecurity risks, cyber insurance may not be available to us in the future, or may not be available on commercially reasonable terms.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Cyberattacks and other malicious internet-based activity continue to increase and cloud-based platform providers of services have been and are expected to continue to be targeted. Furthermore, there may be a heightened risk of potential cyberattacks by state actors or others since the escalation of the conflicts in Eastern Europe and intensified conflicts in the Middle East. Methods of attacks on information technology systems and attempting or effecting data security breaches and incidents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Despite any of our current or future efforts to protect against cyberattacks and security breaches and incidents, there is no guarantee that our efforts are adequate to safeguard against all such attacks, breaches, and incidents. Moreover, it is possible that we may not be able to anticipate,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detect, appropriately react and respond to, or implement effective preventative measures against, all security incidents.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our security measures, or those of our vendors and partners, are compromised due to cyberattacks or security breaches or incidents, including as a result of third-party action, employee or customer error, malfeasance, stolen or fraudulently obtained credentials or otherwise, or if any of these events is perceived to have occurred, our reputation could be damaged, our business and reputation may be harmed, we could become subject to claims, demands and litigation by private parties, and regulatory investigations and other proceedings,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In addition, our information technology systems, and those of our vendors and partners, are potentially vulnerable to security breaches and incidents,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security breaches or incidents could lead to the loss of trade secrets or other intellectual property, or could lead to the loss, unavailability, exposure, unauthorized modification, alteration or other processing of personal information, including sensitive personal information, of our employees, customers and others, any of which could have a material adverse effect on our business, reputation,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any such access, disclosure or other loss or unauthorized use of information or data could result in legal claims or proceedings, regulatory investigations or actions, and other types of liability under federal, state and foreign laws and regulations relating to the privacy and security of personal information, violations of which could result in significant penalties and fines. Furthermore, defending a suit, regardless of its merit, could be costly, divert management’s attention and harm our reputation. In addition, although we seek to detect and investigate security incidents, security breaches and other incidents of unauthorized access to our information technology systems and data, these can be difficult to detect and any delay in identifying such breaches or incidents may lead to increased harm and legal exposure of the type described above. Moreover, there could be public announcements regarding any actual or perceived security breaches or incidents and any steps we take to respond to or remediate such breaches or incidents, and if securities analysts or investors perceive these announcements to be negative, it could, among other things, have a material adverse effect on the price of our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cost of protecting against, investigating, mitigating and responding to potential breaches of and other incidents impacting our information technology systems and data security breaches and incidents and complying with applicable breach notification obligations to individuals, regulators, partners and others can be significant. As security incidents continue to evolve, we may be required to expend significant additional resources to continue to modify or enhance our protective measures or to investigate and remediate information security vulnerabilities. Any failure to implement, maintain and upgrade adequate safeguards, or for this to be believed or asserted to be the case, could have a material adverse effect on our business, financial condition, results of operations and prospects.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We may be unable to manage our anticipated growth effectively.</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March 31, 2026, we had 127 employees. While in the first quarter of 2025 we implemented our workforce reductions, to execute our anticipated growth successfully, we must continue to attract and retain qualified personnel and manage and train them effectively. Developing and commercializing our </w:t>
      </w:r>
      <w:r>
        <w:rPr>
          <w:rFonts w:ascii="Times New Roman;serif" w:hAnsi="Times New Roman;serif"/>
          <w:b w:val="false"/>
          <w:color w:val="000000"/>
          <w:sz w:val="20"/>
          <w:shd w:fill="FFFFFF" w:val="clear"/>
        </w:rPr>
        <w:t>Nautilus Voyager</w:t>
      </w:r>
      <w:r>
        <w:rPr>
          <w:rFonts w:ascii="Times New Roman;serif" w:hAnsi="Times New Roman;serif"/>
          <w:b w:val="false"/>
          <w:color w:val="000000"/>
          <w:sz w:val="13"/>
          <w:shd w:fill="FFFFFF" w:val="clear"/>
        </w:rPr>
        <w:t>TM</w:t>
      </w:r>
      <w:r>
        <w:rPr>
          <w:color w:val="000000"/>
          <w:shd w:fill="FFFFFF" w:val="clear"/>
        </w:rPr>
        <w:t xml:space="preserve"> </w:t>
      </w:r>
      <w:r>
        <w:rPr>
          <w:rFonts w:ascii="Times New Roman;serif" w:hAnsi="Times New Roman;serif"/>
          <w:b w:val="false"/>
          <w:color w:val="000000"/>
          <w:sz w:val="20"/>
          <w:shd w:fill="FFFFFF" w:val="clear"/>
        </w:rPr>
        <w:t>platform</w:t>
      </w:r>
      <w:r>
        <w:rPr>
          <w:color w:val="000000"/>
        </w:rPr>
        <w:t xml:space="preserve"> </w:t>
      </w:r>
      <w:r>
        <w:rPr>
          <w:rFonts w:ascii="Times New Roman;serif" w:hAnsi="Times New Roman;serif"/>
          <w:b w:val="false"/>
          <w:color w:val="000000"/>
          <w:sz w:val="20"/>
        </w:rPr>
        <w:t>will require us to hire and retain scientific, sales and marketing, software, manufacturing, customer service, distribution and quality assurance personnel. In addition, we expect that we will need to hire additional accounting, finance and other personnel as a public company and as we begin commercialization. As a public company, our management and other personnel will need to devote a substantial amount of time towards maintaining compliance with these requirements and effectively manage our expected growth activities. We may face challenges integrating, developing and motivating our employee base.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successfully manage our expected growth is uncertain given the fact that we have been in operation only since 2016. As we continue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If we are unable to recruit and retain key executives and scientists, we may be unable to achieve our goals.</w:t>
      </w:r>
    </w:p>
    <w:p>
      <w:pPr>
        <w:pStyle w:val="TextBody"/>
        <w:bidi w:val="0"/>
        <w:spacing w:lineRule="auto" w:line="288" w:before="0" w:after="180"/>
        <w:ind w:left="0" w:right="0" w:firstLine="360"/>
        <w:jc w:val="left"/>
        <w:rPr/>
      </w:pPr>
      <w:r>
        <w:rPr>
          <w:rFonts w:ascii="Times New Roman;serif" w:hAnsi="Times New Roman;serif"/>
          <w:b w:val="false"/>
          <w:color w:val="000000"/>
          <w:sz w:val="20"/>
        </w:rPr>
        <w:t>Our performance is substan</w:t>
      </w:r>
      <w:r>
        <w:rPr>
          <w:rFonts w:ascii="Times New Roman;serif" w:hAnsi="Times New Roman;serif"/>
          <w:b w:val="false"/>
          <w:color w:val="000000"/>
          <w:sz w:val="20"/>
          <w:shd w:fill="FFFFFF" w:val="clear"/>
        </w:rPr>
        <w:t>tially dependent on the performance of our senior management and key scientific and technical personnel, particularly Sujal Patel, one of our founders and our Chief Executive Officer, and Parag Mallick, one of our founders and our Chief Scientist.</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fixed term employment contracts with any of our employees and do not maintain key man life insurance on any of our employees.</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biochemistry, surface chemistry, software, bioinformatics, assay development, mechanical engineering, electrical engineering, optics, fluidics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w:t>
      </w:r>
      <w:r>
        <w:rPr>
          <w:color w:val="000000"/>
        </w:rPr>
        <w:t xml:space="preserve"> </w:t>
      </w:r>
      <w:r>
        <w:rPr>
          <w:rFonts w:ascii="Times New Roman;serif" w:hAnsi="Times New Roman;serif"/>
          <w:b w:val="false"/>
          <w:color w:val="000000"/>
          <w:sz w:val="20"/>
        </w:rPr>
        <w:t>Workforce reductions, such as the workforce reduction implemented during the first quarter of 2025, may be negatively received by potential or current employees and accordingly result in attrition or difficulty in recruiting desirable candidates. As part of our retention and incentive efforts, in addition to salary and cash incentives, we have issued stock options that vest over time. The value to employees of stock options that vest over time may be significantly affected by decreases in our stock price (whether or not related to or proportional to our operating performance) and may at any time be insufficient to counteract more lucrative offers from other companies. We may face challenges in retaining and recruiting such individuals due to sustained declines in our stock price that could reduce the retention value of equity awards.</w:t>
      </w:r>
    </w:p>
    <w:p>
      <w:pPr>
        <w:pStyle w:val="TextBody"/>
        <w:bidi w:val="0"/>
        <w:spacing w:lineRule="auto" w:line="288" w:before="0" w:after="18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acquire other companies or technologies, which could divert our management’s attention, result in additional dilution to our stockholders and otherwise disrupt our operations and harm our operating results.</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We may in the future seek to acquire or invest in businesses, applications or technologies that we believe could complement or expand our Nautilus Voyager</w:t>
      </w:r>
      <w:r>
        <w:rPr>
          <w:rFonts w:ascii="Times New Roman;serif" w:hAnsi="Times New Roman;serif"/>
          <w:b w:val="false"/>
          <w:color w:val="000000"/>
          <w:sz w:val="13"/>
          <w:shd w:fill="FFFFFF" w:val="clear"/>
        </w:rPr>
        <w:t>TM</w:t>
      </w:r>
      <w:r>
        <w:rPr>
          <w:color w:val="000000"/>
          <w:shd w:fill="FFFFFF" w:val="clear"/>
        </w:rPr>
        <w:t xml:space="preserve"> </w:t>
      </w:r>
      <w:r>
        <w:rPr>
          <w:rFonts w:ascii="Times New Roman;serif" w:hAnsi="Times New Roman;serif"/>
          <w:b w:val="false"/>
          <w:color w:val="000000"/>
          <w:sz w:val="20"/>
          <w:shd w:fill="FFFFFF" w:val="clear"/>
        </w:rPr>
        <w:t>platform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Unfavorable U.S. or global economic conditions as a result of multiple global events, including global pandemics, geopolitical conflicts, such as the conflicts in Eastern Europe and the Middle East, changing tariff environments, potential trade wars and embargoes, changing interest rates, instability in the global financial markets, and general economic downturns, could adversely affect our ability to raise capital and our business, results of operations and financial condition.</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While the potential economic impact brought by multiple adverse global circumstances, such as the global pandemics, geopolitical conflicts such as the conflicts in Eastern Europe and the Middle East, potential uncertainty related to Taiwan and its relationship with China, changing tariff environments and potential for trade wars and embargoes, changing interest rates and general economic downturns, and related volatility in the global financial markets, are difficult to assess or predict, both as to magnitude and duration, these events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these events have resulted, and in the future may result, in disruptions in our supply chains or the supply chains of those entities providing services or products to us, restrictions in our ability to deploy our workforce in our own facilities, locally, nationally or internationally, restrictions on the operating capacity of the laboratories or research facilities of our customers, decreases in government funding of research and development, or changes to programs that provide funding to research laboratories that may have the impact of redirecting funding to other areas of research, or prolonging or delaying funding cycles, any of which could adversely impact our ability to manufacture and sell our products. Moreover, our results of operations could be adversely affected by general conditions in the global economy and financial markets. A severe or prolonged economic downturn could result in a variety of risks to our business, including weakened demand for our </w:t>
      </w:r>
      <w:r>
        <w:rPr>
          <w:rFonts w:ascii="Times New Roman;serif" w:hAnsi="Times New Roman;serif"/>
          <w:b w:val="false"/>
          <w:color w:val="000000"/>
          <w:sz w:val="20"/>
          <w:shd w:fill="FFFFFF" w:val="clear"/>
        </w:rPr>
        <w:t>Nautilus Voyager</w:t>
      </w:r>
      <w:r>
        <w:rPr>
          <w:rFonts w:ascii="Times New Roman;serif" w:hAnsi="Times New Roman;serif"/>
          <w:b w:val="false"/>
          <w:color w:val="000000"/>
          <w:sz w:val="13"/>
          <w:shd w:fill="FFFFFF" w:val="clear"/>
        </w:rPr>
        <w:t>TM</w:t>
      </w:r>
      <w:r>
        <w:rPr>
          <w:color w:val="000000"/>
          <w:shd w:fill="FFFFFF" w:val="clear"/>
        </w:rPr>
        <w:t xml:space="preserve"> </w:t>
      </w:r>
      <w:r>
        <w:rPr>
          <w:rFonts w:ascii="Times New Roman;serif" w:hAnsi="Times New Roman;serif"/>
          <w:b w:val="false"/>
          <w:color w:val="000000"/>
          <w:sz w:val="20"/>
          <w:shd w:fill="FFFFFF" w:val="clear"/>
        </w:rPr>
        <w:t>platform</w:t>
      </w:r>
      <w:r>
        <w:rPr>
          <w:color w:val="000000"/>
        </w:rPr>
        <w:t xml:space="preserve"> </w:t>
      </w:r>
      <w:r>
        <w:rPr>
          <w:rFonts w:ascii="Times New Roman;serif" w:hAnsi="Times New Roman;serif"/>
          <w:b w:val="false"/>
          <w:color w:val="000000"/>
          <w:sz w:val="20"/>
        </w:rPr>
        <w:t>and our ability to raise additional capital when needed on favorable terms, if at all. A weak or declining economy could strain our customers’ budgets or cause delays in their payments to us. As a result of such events, we or our contractors, partners and/or suppliers could experience shortages, business disruptions or delays for materials sourced or manufactured in countries affected by such events, and their ability to supply us with services or components may be adversely affected. In addition, our contractors and suppliers have raised and may continue to raise prices for goods and services we employ in our research and development efforts and for components or materials used in our Nautilus Voyager platform. Tariffs imposed upon products and materials used in manufacturing our products, or responsive tariffs imposed upon our exported products could impact our costs of manufacturing and ability to sell products in foreign countries, which could have a negative impact on our business. On February 20, 2026, the Supreme Court ruled against President Trump’s use of the International Emergency Economic Powers Act, or IEEPA, to impose tariffs on global trade partners. The case has been returned to the Court of International Trade for reconsideration in accordance with the Supreme Court ruling, and thus, the impact of this decision on previous tariffs is not yet clear. In addition, President Trump has already stated that he will impose new tariffs under different authorities including Section 122.</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Further, changes in U.S. government spending </w:t>
      </w:r>
      <w:r>
        <w:rPr>
          <w:rFonts w:ascii="Times New Roman;serif" w:hAnsi="Times New Roman;serif"/>
          <w:b w:val="false"/>
          <w:color w:val="000000"/>
          <w:sz w:val="20"/>
          <w:shd w:fill="FFFFFF" w:val="clear"/>
        </w:rPr>
        <w:t xml:space="preserve">resulting from new political administrations </w:t>
      </w:r>
      <w:r>
        <w:rPr>
          <w:rFonts w:ascii="Times New Roman;serif" w:hAnsi="Times New Roman;serif"/>
          <w:b w:val="false"/>
          <w:color w:val="000000"/>
          <w:sz w:val="20"/>
        </w:rPr>
        <w:t>could have adverse consequences on our financial position, results of operations and business Additionally, there is ongoing uncertainty regarding the federal budget and federal spending levels, including the possible impacts of a failure to increase the “debt ceiling.” Any U.S. government default on its debt could have broad macroeconomic effects that could, among other things, disrupt access to capital markets and deepen recessionary conditions. Further, as of March 31, 2026, we had cash, cash equivalents and investments of $143.4 million, consisting of U.S. treasury securities, mutual funds, corporate debt securities, commercial paper, and agency securities. Any default by the U.S. government or credit downgrade of the securities we hold could impact the liquidity or valuation of our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of the foregoing could harm our business, financial condition and results of operations, and we cannot anticipate all of the ways in which the current economic climate and financial market conditions could adversely impact our ability to raise capital, business, results of operations and financial condition.</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If our facilities become unavailable or inoperable, our research and development program and commercialization launch plan could be adversely impacted and manufacturing of our instruments and consumables could be interrupted.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Seattle, Washington, facility primarily houses our corporate executive team and our software development operations, while our facilities in San Carlos and San Diego, California primarily house our research and development teams.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facilities in Seattle, San Carlos and San Diego are vulnerable to natural disasters, public health crises, and other catastrophic events. For example, our San Carlos and San Diego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become unavailable for any reason, we cannot provide assurances that we will be able to secure alternative facilities with the necessary capabilities and equipment on acceptable terms, if at all. We may encounter particular difficulties in replacing our San Carlos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If our research and development program or planned commercialization program were disrupted by a disaster or catastrophe, the launch of new products, including our </w:t>
      </w:r>
      <w:r>
        <w:rPr>
          <w:rFonts w:ascii="Times New Roman;serif" w:hAnsi="Times New Roman;serif"/>
          <w:b w:val="false"/>
          <w:color w:val="000000"/>
          <w:sz w:val="20"/>
          <w:shd w:fill="FFFFFF" w:val="clear"/>
        </w:rPr>
        <w:t>Nautilus Voyager</w:t>
      </w:r>
      <w:r>
        <w:rPr>
          <w:rFonts w:ascii="Times New Roman;serif" w:hAnsi="Times New Roman;serif"/>
          <w:b w:val="false"/>
          <w:color w:val="000000"/>
          <w:sz w:val="13"/>
          <w:shd w:fill="FFFFFF" w:val="clear"/>
        </w:rPr>
        <w:t>TM</w:t>
      </w:r>
      <w:r>
        <w:rPr>
          <w:color w:val="000000"/>
          <w:shd w:fill="FFFFFF" w:val="clear"/>
        </w:rPr>
        <w:t xml:space="preserve"> </w:t>
      </w:r>
      <w:r>
        <w:rPr>
          <w:rFonts w:ascii="Times New Roman;serif" w:hAnsi="Times New Roman;serif"/>
          <w:b w:val="false"/>
          <w:color w:val="000000"/>
          <w:sz w:val="20"/>
          <w:shd w:fill="FFFFFF" w:val="clear"/>
        </w:rPr>
        <w:t>platform</w:t>
      </w:r>
      <w:r>
        <w:rPr>
          <w:rFonts w:ascii="Times New Roman;serif" w:hAnsi="Times New Roman;serif"/>
          <w:b w:val="false"/>
          <w:color w:val="000000"/>
          <w:sz w:val="20"/>
        </w:rPr>
        <w:t>, and the timing of improvements to our products could be significantly delayed and could adversely impact our ability to compete with other available products and solutions. If our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We use hazardous chemicals and biological materials in our business. Any claims relating to improper handling, storage or disposal of these materials could be time consuming and costly.</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Our research and development processes involve the controlled use of hazardous materials, including select chemicals that may be flammables, toxic or corrosives, as well as potential biohazard materials. We cannot eliminate the risk of accidental contamination or discharge and any resultant injury from these materials. In addition, our </w:t>
      </w:r>
      <w:r>
        <w:rPr>
          <w:rFonts w:ascii="Times New Roman;serif" w:hAnsi="Times New Roman;serif"/>
          <w:b w:val="false"/>
          <w:color w:val="000000"/>
          <w:sz w:val="20"/>
          <w:shd w:fill="FFFFFF" w:val="clear"/>
        </w:rPr>
        <w:t>Nautilus Voyager platform</w:t>
      </w:r>
      <w:r>
        <w:rPr>
          <w:color w:val="000000"/>
        </w:rPr>
        <w:t xml:space="preserve"> </w:t>
      </w:r>
      <w:r>
        <w:rPr>
          <w:rFonts w:ascii="Times New Roman;serif" w:hAnsi="Times New Roman;serif"/>
          <w:b w:val="false"/>
          <w:color w:val="000000"/>
          <w:sz w:val="20"/>
        </w:rPr>
        <w:t>involves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An active trading market for our Common Stock may never develop or be sustained.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the Business Combination, there was no public trading market for Legacy Nautilus’ Common Stock. Although our Common Stock is listed on the Nasdaq Capital Market, the market for our shares has demonstrated varying levels of trading activity. If an active trading market does not develop, or develops but is not maintained, you may have difficulty selling any of our Common Stock due to the limited public float.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Accordingly, we cannot assure you of your ability to sell your shares of our Common Stock when desired or at prices at or above the price you paid for your shares or at all.</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The market price of our Common Stock has been and may continue to be volatile, which could result in substantial losses for investors.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price of our Common Stock has been and may continue to be highly volatile and could be subject to wide fluctuations in response to various factors, some of which are beyond our control.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may fluctuate due to a variety of factors, including:</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timing of the launch and commercialization of our products and degree to which such launch and commercialization meets the expectations of securities analysts and investors;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actual or anticipated fluctuations in our operating results, including fluctuations in our quarterly and annual results;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operating expenses being more than anticipated;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failure or discontinuation of any of our product development and research programs;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changes in the structure or funding of research at academic and research laboratories and institutions, including changes that would affect their ability to purchase our instruments or consumables;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success of existing or new competitive businesses or technologies;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announcements about new research programs or products of our competitors;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developments or disputes concerning patent applications, issued patents or other proprietary rights;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recruitment or departure of key personnel;</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litigation and governmental investigations involving us, our industry or both;</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regulatory or legal developments in the United States and other countries;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volatility and variations in market conditions in the life sciences technology sector generally, or the proteomics or genomics sectors specifically;</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investor perceptions of us or our industry;</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level of expenses related to any of our research and development programs or products;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whether our financial results meet the expectations of securities analysts or investors;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announcement or expectation of additional financing efforts;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sales of our Common Stock by us or by our insiders or other stockholders;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general economic, industry and market conditions; and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global pandemics, natural disasters or major catastrophic events.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actual operating performance. These fluctuations may be even more pronounced in the trading market for our Common Stock. Following periods of such volatility in the market price of a company’s securities, securities class action litigation has often been brought against that company. Because of the potential volatility of our Common Stock price, we may become the target of securities litigation in the future. Securities litigation could result in substantial costs and divert management’s attention and resources from our business.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If we do not continue to satisfy the Nasdaq continued listing requirements, our Common Stock could be delisted from Nasdaq. Our ability to publicly or privately sell equity securities and the liquidity of our Common Stock could be adversely affected if our Common Stock is delisted.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must continue to satisfy the Nasdaq Capital Market’s continued listing requirements, including, among other things, a minimum closing bid price requirement of $1.00 per share for 30 consecutive business days. If a company fails for 30 consecutive business days to meet the $1.00 minimum closing bid price requirement, The Nasdaq Stock Market LLC (“Nasdaq”) will send a deficiency notice to the company, advising that it has been afforded a “compliance period” of 180 calendar days to regain compliance with the applicable requirements.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delisting of our common stock from the Nasdaq Capital Market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and employees.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1, 2025, we received a letter from the Listing Qualifications Staff (“Staff”) of Nasdaq indicating that, based upon the closing bid price of shares of our Common Stock for the 30 consecutive business day period between March 19, 2025, through April 30, 2025, we did not meet the Minimum Bid Price Requirement for continued listing on the Nasdaq Global Select Market pursuant to Nasdaq Listing Rule 5450(a)(1). On November 3, 2025, the Staff notified us that since the Company’s stock had achieved a closing bid price of greater than $1.00 for at least 10 consecutive business days, that we had regained compliance with the Nasdaq listing requirements. If the closing bid price of our Common Stock should fall below $1 for 30 consecutive business days in the future, we could again fail to meet the Minimum Bid Price Requirement for continued listing on the Nasdaq Capital Market and face a risk of delisting.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Even though we have regained compliance with the Nasdaq Capital Market’s minimum closing bid price requirement, there is no guarantee that we will remain in compliance with such listing requirements or other listing requirements in the future. Any failure to maintain compliance with continued listing requirements of the Nasdaq Capital Market could result in delisting of our common stock from the Nasdaq Capital Market and negatively impact our company and holders of our common stock, including by reducing the willingness of investors to hold our common stock because of the resulting decreased price, liquidity and trading of our common stock, limited availability of price quotations and reduced news and analyst coverage. Delisting may adversely impact the perception of our financial condition, cause reputational harm with investors, our employees and parties conducting business with us and limit our access to debt and equity financing.</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Our principal stockholders and management own a significant percentage of our Common Stock and will be able to exercise significant influence over matters subject to stockholder approval.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31, 2026, our directors, executive officers, holders of more than 5% of our outstanding shares of Common Stock and their respective affiliates beneficially owned a substantial portion of the outstanding shares of our Common Stock. As a result, these stockholders, if they act together, may significantly 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The sale or the perception of future sales of a substantial number of shares of our Common Stock could cause the market price of our Common Stock to drop significantly, even if our business is doing well.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Amended and Restated Registration Rights and Lock-Up Agreement (the “Registration Rights and Lock-Up Agreement”) and the Subscription Agreements entered into in connection with the PIPE Financing, we have filed resale registration statements to provide for the resale of the shares issued in the PIPE Financing and the shares of our Common Stock held by the parties to the Registration Rights and Lock-Up Agreement. The market price of our Common Stock could decline if the holders whose shares are registered under such registration statements sell their shares or are perceived by the market as intending to sell their shares.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We will have broad discretion over the use of the proceeds to us from our “at the market” equity offering program and may apply the proceeds to uses that do not improve our operating results or the value of your securities.</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will have broad discretion to use the net proceeds to us from our “at the market” equity offering program, and investors will be relying solely on the judgment of our board of directors and management regarding the application of these proceeds. Although we expect to use the net proceeds from our “at the market” equity offering program for general corporate purposes and working capital, including for continued product development of our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other research and development activities, and commercialization of our Nautilus Voyager platform, we have not allocated these net proceeds for specific purposes. Investors will not have the opportunity, as part of their investment decision, to assess whether the proceeds are being used appropriately. Our use of the proceeds may not improve our operating results or increase the value of the securities offered pursuant to the “at the market” equity offering program.</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We do not expect to pay any dividends for the foreseeable future. Investors may never obtain a return on their investment.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Common Stock. Accordingly, investors must rely on sales of our Common Stock after price appreciation, which may never occur, as the only way to realize any return on their investment. As a result, investors seeking cash dividends should not purchase our Common Stock.</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 (iii) any action arising pursuant to any provision of the Delaware General Corporation Law or our certificate of incorporation or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jc w:val="left"/>
        <w:rPr>
          <w:color w:val="000000"/>
        </w:rPr>
      </w:pPr>
      <w:r>
        <w:rPr>
          <w:color w:val="000000"/>
        </w:rPr>
        <w:t>“</w:t>
      </w:r>
      <w:r>
        <w:rPr>
          <w:rFonts w:ascii="Times New Roman;serif" w:hAnsi="Times New Roman;serif"/>
          <w:b w:val="false"/>
          <w:color w:val="000000"/>
          <w:sz w:val="20"/>
        </w:rPr>
        <w:t>Securities Act”). In addition, unless we give an Alternative Forum Consent, the federal district courts of the United States shall be the sole and exclusive forum for resolving any action asserting a claim arising under the Securities Act against any person in connection with any offering of the Company’s securities, including any auditor, underwriter, expert, control person or other defendant.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of America will be the exclusive forum for resolving any complaint asserting a cause of action arising under the Securities Act.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Delaware law and provisions in our certificate of incorporation and bylaws might discourage, delay or prevent a change in control of our company or changes in our management and, therefore, depress the trading price of our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without the approval of holders of 66 2/3% of the voting power of our stockholders other than the interested stockholder, even if a change of control would be beneficial to our existing stockholders. In addition, our certificate of incorporation and bylaws contain provisions that may make the acquisition of our company more difficult, including the following:</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our board of directors is classified into three classes of directors with staggered three-year terms and directors are only able to be removed from office for cause by the affirmative vote of holders of at least two-thirds of the voting power of our then outstanding capital stock;</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certain amendments to our certificate of incorporation require the approval of stockholders holding two-thirds of the voting power of our then outstanding capital stock;</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any stockholder-proposed amendment to certain provisions of our bylaws require the approval of stockholders holding two-thirds of the voting power of our then outstanding capital stock;</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our stockholders are only able to take action at a meeting of stockholders and are not able to take action by written consent for any matter;</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vacancies on our board of directors are able to be filled only by our board of directors and not by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only the chair of our board of directors, our chief executive officer, our president or a majority of our board of directors are authorized to call a special meeting of stockholders;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certain litigation against us can only be brought in Delaware;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our certificate of incorporation authorizes undesignated preferred stock, the terms of which may be established by our Board and shares of which may be issued, without the approval of the holders of our capital stock; and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advance notice procedures apply for stockholders to nominate candidates for election as directors or to bring matters before an annual meeting of stockholders.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anti-takeover defenses could discourage, delay, or prevent a transaction involving our change in control.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We will continue to incur significant increased costs and management resources as a result of operating as a public company.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public company, we will continue to incur significant legal, accounting, compliance and other expenses that we did not incur as a private company and these expenses may increase even more given we are no longer an “emerging growth company.” Our management and other personnel will need to devote a substantial amount of time and incur significant expense in connection with compliance initiatives. As a public company, we will continue to bear all of the internal and external costs of preparing and distributing periodic public reports in compliance with our obligations under the securities laws.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selling,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We have broad discretion in the use of the net proceeds from the Business Combination and the PIPE Financing and may not use them effectively.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cannot specify with certainty the particular uses of the net proceeds we received from the Business Combination and the PIPE Financing. Our management will have broad discretion in the application of the net proceeds. Our management may spend a portion or all of the net proceeds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the Business Combination and the PIPE Financing in a manner that does not produce income or that loses value.</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Our ability to use net operating losses and certain other tax attributes to offset future taxable income may be subject to certain limitations.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U.S. federal and state net operating loss carryforwards (“NOLs”), may be unavailable to offset future taxable income because of restrictions under U.S. federal and/or state law. U.S. federal NOLs that arose in tax years beginning after December 31, 2017, may be carried forward indefinitely, but the deductibility of such U.S. federal NOLs will be limited to 80% of our current year taxable income. State NOLs may be subject to similar or different limitations. As of December 31, 2025, we had U.S. federal NOLs of $203.7 million, of which $203.2 million do not expire, and state NOLs of $197.9 million that will begin to expire in 2037. </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In addition, Section 382 of the Internal Revenue Code of 1986, as amended (the “Code”), may limit the NOLs we may use in any year for U.S. federal income tax purposes in the event of certain changes in our ownership. A Code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Code Section 382 study to determine whether the use of our NOLs is impaired. We may have previously undergone an “ownership change.”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and other tax attributes. Any limitation on using NOLs could, depending on the extent of such limitations and the NOLs previously used, result in our retaining less cash after payment of U.S. federal and state income taxes during any year in which we have taxable income, rather than losses, than we would be entitled to retain if such NOLs were available as an offset against such taxable income for U.S. federal and state income tax reporting purposes, which coul</w:t>
      </w:r>
      <w:r>
        <w:rPr>
          <w:rFonts w:ascii="Times New Roman;serif" w:hAnsi="Times New Roman;serif"/>
          <w:b w:val="false"/>
          <w:color w:val="000000"/>
          <w:sz w:val="20"/>
        </w:rPr>
        <w:t>d adversely impact our operating results.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Changes in tax laws could have a material adverse effect on our future business, cash flows, results of operations or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tax laws, regulations, and policies of U.S. federal, state and local taxing jurisdictions and may in the future be subject to the tax laws, regulations, and policies of other taxing jurisdictions. Changes in tax laws, as well as other factors, could cause us to experience fluctuations in our tax obligations and effective tax rates and otherwise adversely affect our tax positions and/or our tax liabilities. In addition, many countries and local jurisdictions and organizations such as the Organisation for Economic Co-operation and Development (the “OECD”) have proposed or implemented new tax laws or changes to existing tax laws, including additional taxes on payroll or employees and a proposed 15% global minimum tax (“Pillar 2”) that is being implemented by several countries and is being considered for implementation by others. On January 5, 2026, the OECD announced a side-by-side elective safe harbor that exempts electing U.S.-parented multinational entities from certain provisions of Pillar Two for fiscal years beginning on or after January 1, 2026. Any new tax laws or changes to existing tax laws could adversely affect our future effective tax rate, operating results, tax credits or incentives or tax payments, which could have a material adverse effect on our future business, cash flows, results of operations or financial condition, including if we expand internationally. </w: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If we fail to maintain an effective system of internal control over financial reporting, we may not be able to accurately report our financial results in a timely manner or prevent fraud, which would harm our business.</w:t>
      </w:r>
    </w:p>
    <w:p>
      <w:pPr>
        <w:pStyle w:val="TextBody"/>
        <w:bidi w:val="0"/>
        <w:spacing w:lineRule="auto" w:line="288" w:before="0" w:after="180"/>
        <w:ind w:left="0" w:right="0" w:firstLine="360"/>
        <w:jc w:val="left"/>
        <w:rPr/>
      </w:pPr>
      <w:r>
        <w:rPr>
          <w:rFonts w:ascii="Times New Roman;serif" w:hAnsi="Times New Roman;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w:t>
      </w:r>
      <w:r>
        <w:rPr>
          <w:rFonts w:ascii="Times New Roman;serif" w:hAnsi="Times New Roman;serif"/>
          <w:b w:val="false"/>
          <w:color w:val="000000"/>
          <w:sz w:val="20"/>
          <w:shd w:fill="FFFFFF" w:val="clear"/>
        </w:rPr>
        <w:t>ligations in a timely manner, or at all. In addition, any testing by us conducted in connection with Section 404(a) of the Sarbanes-Oxley Act of 2002 (“SOX”) or any subsequent testing by our independent registered public accounting firm in connection with Sectio</w:t>
      </w:r>
      <w:r>
        <w:rPr>
          <w:rFonts w:ascii="Times New Roman;serif" w:hAnsi="Times New Roman;serif"/>
          <w:b w:val="false"/>
          <w:color w:val="000000"/>
          <w:sz w:val="20"/>
        </w:rPr>
        <w:t>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will be required to disclose material changes made in our internal controls over financial reporting and procedures on a quarterly basis and our management will be required to assess the effectiveness of these controls annually. We will be required to make a formal assessment of the effectiveness of our internal control over financial reporting, and once we cease to be a non-accelerated filer as such term is defined in Rule 12b-2 under the Securities Exchange Act of 1934, as amended (the “Exchange Act”), we will be required to include an attestation report on internal control over financial reporting issued by our independent registered public accounting firm. However, for as long as we remain a non-accelerated filer, our independent registered public accounting firm will not be required to attest to the effectiveness of our internal controls over financial reporting pursuant to Section 404(b) of SOX.</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achieve compliance with Section 404(a) of SOX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We are a “smaller reporting company” within the meaning of the Securities Act, and the reduced disclosure requirements applicable to smaller reporting companies may make our Common Stock less attractive to investors.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we ceased to be an “emerging growth company,” as defined in the JOBS Act, on December 31, 2025, we are currently a “smaller reporting company” as defined in the Exchange Act. Smaller reporting companies may take advantage of certain exemptions from various reporting requirements that are applicable to other public companies that are not smaller reporting companies, including, among others, reduced disclosure obligations regarding executive compensation in our periodic reports and proxy statements, and not being required to furnish a stock performance graph in our annual report. Additionally, as a smaller reporting company, we are only required to provide two years of audited financial statements in our SEC reports. We will remain a smaller reporting company until the last day of the fiscal year in which (1) the market value of our common stock held by non-affiliates equals or exceeds $250 million as of the prior June 30, or (2) our annual revenues equal or exceed $100 million during such completed fiscal year and the market value of our common stock held by non-affiliates equals or exceeds $700 million as of the prior June 30.</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take advantage of some or all of the reduced disclosure requirements available to smaller reporting companies, investors may find our common stock less attractive, which may result in a less active trading market for our common stock and greater stock price volatility.</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Reports published by analysts, including projections in those reports that differ from our actual results, could adversely affect the price and trading volume of our common shares.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research analysts may establish and publish their own periodic projections for us. These projections may vary widely and may not accurately predict the results we actually achieve. The share price of our Common Stock may decline if our actual results do not match the projections of these securities research analysts. Similarly, if one or more of the analysts who write reports on us downgrades our stock or publishes inaccurate or unfavorable research about our business, the share price of our Common Stock could decline. If one or more of these analysts ceases coverage of us or fails to publish reports on us regularly, the share price or trading volume of our Common Stock could decline.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Increased scrutiny of our environmental, social or governance responsibilities may result in additional costs and risks, and may adversely impact our reputation, employee retention, and willingness of customers and suppliers to do business with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Investor advocacy groups, proxy advisory services, investment funds, institutional investors, stockholders, and customers are increasingly focused on environmental, social, and governance (“ESG”) practices of companies. If our ESG practices fail to meet regulatory requirements or investor or other industry stakeholders' evolving expectations and standards for responsible corporate citizenship in areas including environmental stewardship, support for local communities, board and employee diversity, human capital management, employee health and safety practices, product quality, supply chain management, corporate governance and transparency, and employing ESG strategies in our operations, our brand, reputation and employee retention may be negatively impacted and customers and suppliers may be unwilling to do business with us. In addition, ESG reporting and disclosure may result in additional costs and require additional resources as well as additional attention from our board of directors and management. If we fail to adopt ESG standards or practices as quickly as stakeholders desire, report on our ESG efforts or practices accurately, or satisfy the expectations of stakeholders, or comply with applicable regulatory requirements, our reputation, business, financial performance, and growth may be adversely impacted.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2. UNREGISTERED SALES OF EQUITY SECURITIES AND USE OF PROCEEDS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Securities Trading Plans of Directors and Executive Officers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our last fiscal quarter, none of our directors or officers, as defined in Rule 16a-1(f), adopted and/or terminated a “Rule 10b5-1 trading arrangement” or a “non-Rule 10b5-1 trading arrangement,” as defined in Regulation S-K Item 408.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6. EXHIBITS</w: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2662"/>
        <w:gridCol w:w="2662"/>
        <w:gridCol w:w="3804"/>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380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8" w:type="dxa"/>
            <w:gridSpan w:val="3"/>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18"/>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Certificate of Incorporation of Nautilus Biotechnology, Inc. (incorporated by reference to Exhibit 3.1 to the Company’s Current Report on Form 8-K filed with the SEC on June 10, 2021)</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Amended and Restated Bylaws of Nautilus Biotechnology, Inc. (incorporated by reference to Exhibit 3.2 to the Company’s Quarterly Report on Form 10-Q filed with the SEC on August 2, 2023)</w:t>
              </w:r>
            </w:hyperlink>
          </w:p>
        </w:tc>
      </w:tr>
      <w:tr>
        <w:trPr/>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8" w:type="dxa"/>
            <w:gridSpan w:val="3"/>
            <w:tcBorders/>
            <w:vAlign w:val="center"/>
          </w:tcPr>
          <w:p>
            <w:pPr>
              <w:pStyle w:val="TableContents"/>
              <w:bidi w:val="0"/>
              <w:spacing w:before="0" w:after="283"/>
              <w:jc w:val="left"/>
              <w:rPr>
                <w:sz w:val="4"/>
                <w:szCs w:val="4"/>
              </w:rPr>
            </w:pPr>
            <w:r>
              <w:rPr>
                <w:sz w:val="4"/>
                <w:szCs w:val="4"/>
              </w:rPr>
            </w:r>
          </w:p>
        </w:tc>
      </w:tr>
      <w:tr>
        <w:trPr/>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8" w:type="dxa"/>
            <w:gridSpan w:val="3"/>
            <w:tcBorders/>
            <w:vAlign w:val="center"/>
          </w:tcPr>
          <w:p>
            <w:pPr>
              <w:pStyle w:val="TableContents"/>
              <w:bidi w:val="0"/>
              <w:spacing w:before="0" w:after="283"/>
              <w:jc w:val="left"/>
              <w:rPr>
                <w:sz w:val="4"/>
                <w:szCs w:val="4"/>
              </w:rPr>
            </w:pPr>
            <w:r>
              <w:rPr>
                <w:sz w:val="4"/>
                <w:szCs w:val="4"/>
              </w:rPr>
            </w:r>
          </w:p>
        </w:tc>
      </w:tr>
      <w:tr>
        <w:trPr/>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8" w:type="dxa"/>
            <w:gridSpan w:val="3"/>
            <w:tcBorders/>
            <w:vAlign w:val="center"/>
          </w:tcPr>
          <w:p>
            <w:pPr>
              <w:pStyle w:val="TableContents"/>
              <w:bidi w:val="0"/>
              <w:spacing w:before="0" w:after="283"/>
              <w:jc w:val="left"/>
              <w:rPr>
                <w:sz w:val="4"/>
                <w:szCs w:val="4"/>
              </w:rPr>
            </w:pPr>
            <w:r>
              <w:rPr>
                <w:sz w:val="4"/>
                <w:szCs w:val="4"/>
              </w:rPr>
            </w:r>
          </w:p>
        </w:tc>
      </w:tr>
      <w:tr>
        <w:trPr/>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8" w:type="dxa"/>
            <w:gridSpan w:val="3"/>
            <w:tcBorders/>
            <w:vAlign w:val="center"/>
          </w:tcPr>
          <w:p>
            <w:pPr>
              <w:pStyle w:val="TableContents"/>
              <w:bidi w:val="0"/>
              <w:spacing w:before="0" w:after="283"/>
              <w:jc w:val="left"/>
              <w:rPr>
                <w:sz w:val="4"/>
                <w:szCs w:val="4"/>
              </w:rPr>
            </w:pPr>
            <w:r>
              <w:rPr>
                <w:sz w:val="4"/>
                <w:szCs w:val="4"/>
              </w:rPr>
            </w:r>
          </w:p>
        </w:tc>
      </w:tr>
      <w:tr>
        <w:trPr/>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8" w:type="dxa"/>
            <w:gridSpan w:val="3"/>
            <w:tcBorders/>
            <w:vAlign w:val="center"/>
          </w:tcPr>
          <w:p>
            <w:pPr>
              <w:pStyle w:val="TableContents"/>
              <w:bidi w:val="0"/>
              <w:spacing w:before="0" w:after="283"/>
              <w:jc w:val="left"/>
              <w:rPr>
                <w:sz w:val="4"/>
                <w:szCs w:val="4"/>
              </w:rPr>
            </w:pPr>
            <w:r>
              <w:rPr>
                <w:sz w:val="4"/>
                <w:szCs w:val="4"/>
              </w:rPr>
            </w:r>
          </w:p>
        </w:tc>
      </w:tr>
      <w:tr>
        <w:trPr/>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8" w:type="dxa"/>
            <w:gridSpan w:val="3"/>
            <w:tcBorders/>
            <w:vAlign w:val="center"/>
          </w:tcPr>
          <w:p>
            <w:pPr>
              <w:pStyle w:val="TableContents"/>
              <w:bidi w:val="0"/>
              <w:spacing w:before="0" w:after="283"/>
              <w:jc w:val="left"/>
              <w:rPr>
                <w:sz w:val="4"/>
                <w:szCs w:val="4"/>
              </w:rPr>
            </w:pPr>
            <w:r>
              <w:rPr>
                <w:sz w:val="4"/>
                <w:szCs w:val="4"/>
              </w:rPr>
            </w:r>
          </w:p>
        </w:tc>
      </w:tr>
      <w:tr>
        <w:trPr/>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8" w:type="dxa"/>
            <w:gridSpan w:val="3"/>
            <w:tcBorders/>
            <w:vAlign w:val="center"/>
          </w:tcPr>
          <w:p>
            <w:pPr>
              <w:pStyle w:val="TableContents"/>
              <w:bidi w:val="0"/>
              <w:spacing w:before="0" w:after="283"/>
              <w:jc w:val="left"/>
              <w:rPr>
                <w:sz w:val="4"/>
                <w:szCs w:val="4"/>
              </w:rPr>
            </w:pPr>
            <w:r>
              <w:rPr>
                <w:sz w:val="4"/>
                <w:szCs w:val="4"/>
              </w:rPr>
            </w:r>
          </w:p>
        </w:tc>
      </w:tr>
      <w:tr>
        <w:trPr/>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8" w:type="dxa"/>
            <w:gridSpan w:val="3"/>
            <w:tcBorders/>
            <w:vAlign w:val="center"/>
          </w:tcPr>
          <w:p>
            <w:pPr>
              <w:pStyle w:val="TableContents"/>
              <w:bidi w:val="0"/>
              <w:spacing w:before="0" w:after="283"/>
              <w:jc w:val="left"/>
              <w:rPr>
                <w:sz w:val="4"/>
                <w:szCs w:val="4"/>
              </w:rPr>
            </w:pPr>
            <w:r>
              <w:rPr>
                <w:sz w:val="4"/>
                <w:szCs w:val="4"/>
              </w:rPr>
            </w:r>
          </w:p>
        </w:tc>
      </w:tr>
      <w:tr>
        <w:trPr/>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8" w:type="dxa"/>
            <w:gridSpan w:val="3"/>
            <w:tcBorders/>
            <w:vAlign w:val="center"/>
          </w:tcPr>
          <w:p>
            <w:pPr>
              <w:pStyle w:val="TableContents"/>
              <w:bidi w:val="0"/>
              <w:spacing w:before="0" w:after="283"/>
              <w:jc w:val="left"/>
              <w:rPr>
                <w:sz w:val="4"/>
                <w:szCs w:val="4"/>
              </w:rPr>
            </w:pPr>
            <w:r>
              <w:rPr>
                <w:sz w:val="4"/>
                <w:szCs w:val="4"/>
              </w:rPr>
            </w:r>
          </w:p>
        </w:tc>
      </w:tr>
      <w:tr>
        <w:trPr/>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8" w:type="dxa"/>
            <w:gridSpan w:val="3"/>
            <w:tcBorders/>
            <w:vAlign w:val="center"/>
          </w:tcPr>
          <w:p>
            <w:pPr>
              <w:pStyle w:val="TableContents"/>
              <w:bidi w:val="0"/>
              <w:spacing w:before="0" w:after="283"/>
              <w:jc w:val="left"/>
              <w:rPr>
                <w:sz w:val="4"/>
                <w:szCs w:val="4"/>
              </w:rPr>
            </w:pPr>
            <w:r>
              <w:rPr>
                <w:sz w:val="4"/>
                <w:szCs w:val="4"/>
              </w:rPr>
            </w:r>
          </w:p>
        </w:tc>
      </w:tr>
      <w:tr>
        <w:trPr/>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8" w:type="dxa"/>
            <w:gridSpan w:val="3"/>
            <w:tcBorders/>
            <w:vAlign w:val="center"/>
          </w:tcPr>
          <w:p>
            <w:pPr>
              <w:pStyle w:val="TableContents"/>
              <w:bidi w:val="0"/>
              <w:spacing w:before="0" w:after="283"/>
              <w:jc w:val="left"/>
              <w:rPr>
                <w:sz w:val="4"/>
                <w:szCs w:val="4"/>
              </w:rPr>
            </w:pPr>
            <w:r>
              <w:rPr>
                <w:sz w:val="4"/>
                <w:szCs w:val="4"/>
              </w:rPr>
            </w:r>
          </w:p>
        </w:tc>
      </w:tr>
      <w:tr>
        <w:trPr/>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8" w:type="dxa"/>
            <w:gridSpan w:val="3"/>
            <w:tcBorders/>
            <w:vAlign w:val="center"/>
          </w:tcPr>
          <w:p>
            <w:pPr>
              <w:pStyle w:val="TableContents"/>
              <w:bidi w:val="0"/>
              <w:spacing w:before="0" w:after="283"/>
              <w:jc w:val="left"/>
              <w:rPr>
                <w:sz w:val="4"/>
                <w:szCs w:val="4"/>
              </w:rPr>
            </w:pPr>
            <w:r>
              <w:rPr>
                <w:sz w:val="4"/>
                <w:szCs w:val="4"/>
              </w:rPr>
            </w:r>
          </w:p>
        </w:tc>
      </w:tr>
      <w:tr>
        <w:trPr/>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8" w:type="dxa"/>
            <w:gridSpan w:val="3"/>
            <w:tcBorders/>
            <w:vAlign w:val="center"/>
          </w:tcPr>
          <w:p>
            <w:pPr>
              <w:pStyle w:val="TableContents"/>
              <w:bidi w:val="0"/>
              <w:spacing w:before="0" w:after="283"/>
              <w:jc w:val="left"/>
              <w:rPr>
                <w:sz w:val="4"/>
                <w:szCs w:val="4"/>
              </w:rPr>
            </w:pPr>
            <w:r>
              <w:rPr>
                <w:sz w:val="4"/>
                <w:szCs w:val="4"/>
              </w:rPr>
            </w:r>
          </w:p>
        </w:tc>
      </w:tr>
      <w:tr>
        <w:trPr/>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8" w:type="dxa"/>
            <w:gridSpan w:val="3"/>
            <w:tcBorders/>
            <w:vAlign w:val="center"/>
          </w:tcPr>
          <w:p>
            <w:pPr>
              <w:pStyle w:val="TableContents"/>
              <w:bidi w:val="0"/>
              <w:spacing w:before="0" w:after="283"/>
              <w:jc w:val="left"/>
              <w:rPr>
                <w:sz w:val="4"/>
                <w:szCs w:val="4"/>
              </w:rPr>
            </w:pPr>
            <w:r>
              <w:rPr>
                <w:sz w:val="4"/>
                <w:szCs w:val="4"/>
              </w:rPr>
            </w:r>
          </w:p>
        </w:tc>
      </w:tr>
      <w:tr>
        <w:trPr/>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8" w:type="dxa"/>
            <w:gridSpan w:val="3"/>
            <w:tcBorders/>
            <w:vAlign w:val="center"/>
          </w:tcPr>
          <w:p>
            <w:pPr>
              <w:pStyle w:val="TableContents"/>
              <w:bidi w:val="0"/>
              <w:spacing w:before="0" w:after="283"/>
              <w:jc w:val="left"/>
              <w:rPr>
                <w:sz w:val="4"/>
                <w:szCs w:val="4"/>
              </w:rPr>
            </w:pPr>
            <w:r>
              <w:rPr>
                <w:sz w:val="4"/>
                <w:szCs w:val="4"/>
              </w:rPr>
            </w:r>
          </w:p>
        </w:tc>
      </w:tr>
      <w:tr>
        <w:trPr/>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8" w:type="dxa"/>
            <w:gridSpan w:val="3"/>
            <w:tcBorders/>
            <w:vAlign w:val="center"/>
          </w:tcPr>
          <w:p>
            <w:pPr>
              <w:pStyle w:val="TableContents"/>
              <w:bidi w:val="0"/>
              <w:spacing w:before="0" w:after="283"/>
              <w:jc w:val="left"/>
              <w:rPr>
                <w:sz w:val="4"/>
                <w:szCs w:val="4"/>
              </w:rPr>
            </w:pPr>
            <w:r>
              <w:rPr>
                <w:sz w:val="4"/>
                <w:szCs w:val="4"/>
              </w:rPr>
            </w:r>
          </w:p>
        </w:tc>
      </w:tr>
      <w:tr>
        <w:trPr/>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8" w:type="dxa"/>
            <w:gridSpan w:val="3"/>
            <w:tcBorders/>
            <w:vAlign w:val="center"/>
          </w:tcPr>
          <w:p>
            <w:pPr>
              <w:pStyle w:val="TableContents"/>
              <w:bidi w:val="0"/>
              <w:spacing w:before="0" w:after="283"/>
              <w:jc w:val="left"/>
              <w:rPr>
                <w:sz w:val="4"/>
                <w:szCs w:val="4"/>
              </w:rPr>
            </w:pPr>
            <w:r>
              <w:rPr>
                <w:sz w:val="4"/>
                <w:szCs w:val="4"/>
              </w:rPr>
            </w:r>
          </w:p>
        </w:tc>
      </w:tr>
      <w:tr>
        <w:trPr/>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8" w:type="dxa"/>
            <w:gridSpan w:val="3"/>
            <w:tcBorders/>
            <w:vAlign w:val="center"/>
          </w:tcPr>
          <w:p>
            <w:pPr>
              <w:pStyle w:val="TableContents"/>
              <w:bidi w:val="0"/>
              <w:spacing w:before="0" w:after="283"/>
              <w:jc w:val="left"/>
              <w:rPr>
                <w:sz w:val="4"/>
                <w:szCs w:val="4"/>
              </w:rPr>
            </w:pPr>
            <w:r>
              <w:rPr>
                <w:sz w:val="4"/>
                <w:szCs w:val="4"/>
              </w:rPr>
            </w:r>
          </w:p>
        </w:tc>
      </w:tr>
      <w:tr>
        <w:trPr/>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8" w:type="dxa"/>
            <w:gridSpan w:val="3"/>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126.htm">
              <w:r>
                <w:rPr>
                  <w:rStyle w:val="InternetLink"/>
                  <w:rFonts w:ascii="Times New Roman;serif" w:hAnsi="Times New Roman;serif"/>
                  <w:b w:val="false"/>
                  <w:color w:val="0000FF"/>
                  <w:sz w:val="18"/>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126.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126.htm">
              <w:r>
                <w:rPr>
                  <w:rStyle w:val="InternetLink"/>
                  <w:rFonts w:ascii="Times New Roman;serif" w:hAnsi="Times New Roman;serif"/>
                  <w:b w:val="false"/>
                  <w:color w:val="0000FF"/>
                  <w:sz w:val="18"/>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126.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126.htm">
              <w:r>
                <w:rPr>
                  <w:rStyle w:val="InternetLink"/>
                  <w:rFonts w:ascii="Times New Roman;serif" w:hAnsi="Times New Roman;serif"/>
                  <w:b w:val="false"/>
                  <w:color w:val="0000FF"/>
                  <w:sz w:val="18"/>
                  <w:u w:val="single"/>
                </w:rPr>
                <w:t>32.1*</w:t>
              </w:r>
            </w:hyperlink>
            <w:hyperlink w:anchor="exhibit321-q126.htm">
              <w:r>
                <w:rPr>
                  <w:rStyle w:val="InternetLink"/>
                  <w:color w:val="0000FF"/>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126.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126.htm">
              <w:r>
                <w:rPr>
                  <w:rStyle w:val="InternetLink"/>
                  <w:rFonts w:ascii="Times New Roman;serif" w:hAnsi="Times New Roman;serif"/>
                  <w:b w:val="false"/>
                  <w:color w:val="0000FF"/>
                  <w:sz w:val="18"/>
                  <w:u w:val="single"/>
                </w:rPr>
                <w:t>32.2*</w:t>
              </w:r>
            </w:hyperlink>
            <w:hyperlink w:anchor="exhibit322-q126.htm">
              <w:r>
                <w:rPr>
                  <w:rStyle w:val="InternetLink"/>
                  <w:color w:val="0000FF"/>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126.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 the Inline XBRL document)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Filed herewith.</w:t>
      </w:r>
    </w:p>
    <w:p>
      <w:pPr>
        <w:pStyle w:val="TextBody"/>
        <w:bidi w:val="0"/>
        <w:spacing w:lineRule="auto" w:line="288" w:before="0" w:after="0"/>
        <w:ind w:left="0" w:right="0" w:hanging="360"/>
        <w:jc w:val="left"/>
        <w:rPr>
          <w:color w:val="000000"/>
        </w:rPr>
      </w:pPr>
      <w:r>
        <w:rPr>
          <w:color w:val="000000"/>
        </w:rPr>
        <w:t xml:space="preserve">† </w:t>
      </w:r>
      <w:r>
        <w:rPr>
          <w:rFonts w:ascii="Times New Roman;serif" w:hAnsi="Times New Roman;serif"/>
          <w:b w:val="false"/>
          <w:color w:val="000000"/>
          <w:sz w:val="16"/>
        </w:rPr>
        <w:t>The certifications attached as Exhibit 32.1 and 32.2 that accompany this Quarterly Report on Form 10-Q are deemed furnished and not filed with the Securities and Exchange Commission and are not to be incorporated by reference into any filing of Nautilus Biotechnology,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9056" w:type="dxa"/>
        <w:jc w:val="center"/>
        <w:tblInd w:w="0" w:type="dxa"/>
        <w:tblLayout w:type="fixed"/>
        <w:tblCellMar>
          <w:top w:w="28" w:type="dxa"/>
          <w:left w:w="28" w:type="dxa"/>
          <w:bottom w:w="28" w:type="dxa"/>
          <w:right w:w="28" w:type="dxa"/>
        </w:tblCellMar>
      </w:tblPr>
      <w:tblGrid>
        <w:gridCol w:w="645"/>
        <w:gridCol w:w="568"/>
        <w:gridCol w:w="571"/>
        <w:gridCol w:w="534"/>
        <w:gridCol w:w="534"/>
        <w:gridCol w:w="534"/>
        <w:gridCol w:w="1654"/>
        <w:gridCol w:w="1654"/>
        <w:gridCol w:w="2362"/>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NAUTILUS BIOTECHNOLOGY,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28, 2026</w:t>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Sujal Patel </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Sujal Patel</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(Principal Executive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28, 2026</w:t>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Anna Mowry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Anna Mowry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and Accounting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Sujal Patel, certify that:</w:t>
      </w:r>
    </w:p>
    <w:p>
      <w:pPr>
        <w:pStyle w:val="TextBody"/>
        <w:bidi w:val="0"/>
        <w:spacing w:before="0" w:after="0"/>
        <w:jc w:val="left"/>
        <w:rPr/>
      </w:pPr>
      <w:r>
        <w:rPr/>
      </w:r>
    </w:p>
    <w:p>
      <w:pPr>
        <w:pStyle w:val="TextBody"/>
        <w:bidi w:val="0"/>
        <w:spacing w:lineRule="auto" w:line="26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Nautilus Biotechnology, Inc.;</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tbl>
      <w:tblPr>
        <w:tblW w:w="5517"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970"/>
        <w:gridCol w:w="970"/>
        <w:gridCol w:w="1389"/>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56" w:before="120" w:after="283"/>
              <w:jc w:val="left"/>
              <w:rPr>
                <w:rFonts w:ascii="Times New Roman;serif" w:hAnsi="Times New Roman;serif"/>
                <w:b w:val="false"/>
                <w:color w:val="000000"/>
                <w:sz w:val="20"/>
              </w:rPr>
            </w:pPr>
            <w:r>
              <w:rPr>
                <w:rFonts w:ascii="Times New Roman;serif" w:hAnsi="Times New Roman;serif"/>
                <w:b w:val="false"/>
                <w:color w:val="000000"/>
                <w:sz w:val="20"/>
              </w:rPr>
              <w:t>Date: April 28,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 Sujal Patel </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Sujal Patel</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President and Chief Executive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Anna Mowry, certify that:</w:t>
      </w:r>
    </w:p>
    <w:p>
      <w:pPr>
        <w:pStyle w:val="TextBody"/>
        <w:bidi w:val="0"/>
        <w:spacing w:before="0" w:after="0"/>
        <w:jc w:val="left"/>
        <w:rPr/>
      </w:pPr>
      <w:r>
        <w:rPr/>
      </w:r>
    </w:p>
    <w:p>
      <w:pPr>
        <w:pStyle w:val="TextBody"/>
        <w:bidi w:val="0"/>
        <w:spacing w:lineRule="auto" w:line="26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Nautilus Biotechnology, Inc.;</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tbl>
      <w:tblPr>
        <w:tblW w:w="6118"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1148"/>
        <w:gridCol w:w="1148"/>
        <w:gridCol w:w="163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56" w:before="120" w:after="283"/>
              <w:jc w:val="left"/>
              <w:rPr>
                <w:rFonts w:ascii="Times New Roman;serif" w:hAnsi="Times New Roman;serif"/>
                <w:b w:val="false"/>
                <w:color w:val="000000"/>
                <w:sz w:val="20"/>
              </w:rPr>
            </w:pPr>
            <w:r>
              <w:rPr>
                <w:rFonts w:ascii="Times New Roman;serif" w:hAnsi="Times New Roman;serif"/>
                <w:b w:val="false"/>
                <w:color w:val="000000"/>
                <w:sz w:val="20"/>
              </w:rPr>
              <w:t>Date: April 28,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 Anna Mowry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Anna Mowry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Nautilus Biotechnology, Inc. (the “Company”) on Form 10-Q for the period ended March 31, 2026 as filed with the Securities and Exchange Commission on the date hereof (the “Report”), I, Sujal Patel, hereby certify, pursuant to 18 U.S.C. § 1350, as adopted pursuant to § 906 of the Sarbanes-Oxley Act of 2002, that:</w:t>
      </w:r>
    </w:p>
    <w:p>
      <w:pPr>
        <w:pStyle w:val="TextBody"/>
        <w:bidi w:val="0"/>
        <w:spacing w:before="0" w:after="0"/>
        <w:jc w:val="left"/>
        <w:rPr/>
      </w:pPr>
      <w:r>
        <w:rPr/>
      </w:r>
    </w:p>
    <w:p>
      <w:pPr>
        <w:pStyle w:val="TextBody"/>
        <w:bidi w:val="0"/>
        <w:spacing w:lineRule="auto" w:line="26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6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jc w:val="left"/>
        <w:rPr/>
      </w:pPr>
      <w:r>
        <w:rPr/>
      </w:r>
    </w:p>
    <w:p>
      <w:pPr>
        <w:pStyle w:val="TextBody"/>
        <w:bidi w:val="0"/>
        <w:spacing w:before="120" w:after="283"/>
        <w:jc w:val="left"/>
        <w:rPr/>
      </w:pPr>
      <w:r>
        <w:rPr/>
      </w:r>
    </w:p>
    <w:tbl>
      <w:tblPr>
        <w:tblW w:w="5517"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970"/>
        <w:gridCol w:w="970"/>
        <w:gridCol w:w="1389"/>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56" w:before="120" w:after="283"/>
              <w:jc w:val="left"/>
              <w:rPr>
                <w:rFonts w:ascii="Times New Roman;serif" w:hAnsi="Times New Roman;serif"/>
                <w:b w:val="false"/>
                <w:color w:val="000000"/>
                <w:sz w:val="20"/>
              </w:rPr>
            </w:pPr>
            <w:r>
              <w:rPr>
                <w:rFonts w:ascii="Times New Roman;serif" w:hAnsi="Times New Roman;serif"/>
                <w:b w:val="false"/>
                <w:color w:val="000000"/>
                <w:sz w:val="20"/>
              </w:rPr>
              <w:t>Date: April 28,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 Sujal Patel </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Sujal Patel</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President and Chief Executive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Nautilus Biotechnology, Inc. (the “Company”) on Form 10-Q for the period ended March 31, 2026 as filed with the Securities and Exchange Commission on the date hereof (the “Report”), I, Anna Mowry, hereby certify, pursuant to 18 U.S.C. § 1350, as adopted pursuant to § 906 of the Sarbanes-Oxley Act of 2002, that:</w:t>
      </w:r>
    </w:p>
    <w:p>
      <w:pPr>
        <w:pStyle w:val="TextBody"/>
        <w:bidi w:val="0"/>
        <w:spacing w:before="0" w:after="0"/>
        <w:jc w:val="left"/>
        <w:rPr/>
      </w:pPr>
      <w:r>
        <w:rPr/>
      </w:r>
    </w:p>
    <w:p>
      <w:pPr>
        <w:pStyle w:val="TextBody"/>
        <w:bidi w:val="0"/>
        <w:spacing w:lineRule="auto" w:line="26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6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jc w:val="left"/>
        <w:rPr/>
      </w:pPr>
      <w:r>
        <w:rPr/>
      </w:r>
    </w:p>
    <w:p>
      <w:pPr>
        <w:pStyle w:val="TextBody"/>
        <w:bidi w:val="0"/>
        <w:spacing w:before="120" w:after="283"/>
        <w:jc w:val="left"/>
        <w:rPr/>
      </w:pPr>
      <w:r>
        <w:rPr/>
      </w:r>
    </w:p>
    <w:tbl>
      <w:tblPr>
        <w:tblW w:w="6118"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1148"/>
        <w:gridCol w:w="1148"/>
        <w:gridCol w:w="163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56" w:before="120" w:after="283"/>
              <w:jc w:val="left"/>
              <w:rPr>
                <w:rFonts w:ascii="Times New Roman;serif" w:hAnsi="Times New Roman;serif"/>
                <w:b w:val="false"/>
                <w:color w:val="000000"/>
                <w:sz w:val="20"/>
              </w:rPr>
            </w:pPr>
            <w:r>
              <w:rPr>
                <w:rFonts w:ascii="Times New Roman;serif" w:hAnsi="Times New Roman;serif"/>
                <w:b w:val="false"/>
                <w:color w:val="000000"/>
                <w:sz w:val="20"/>
              </w:rPr>
              <w:t>Date: April 28,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 Anna Mowry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Anna Mowry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(Principal Financial and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8805/000162828021011892/exhibit31-form8xkclosing.htm" TargetMode="External"/><Relationship Id="rId3" Type="http://schemas.openxmlformats.org/officeDocument/2006/relationships/hyperlink" Target="https://www.sec.gov/Archives/edgar/data/1808805/000162828021011892/exhibit31-form8xkclosing.htm" TargetMode="External"/><Relationship Id="rId4" Type="http://schemas.openxmlformats.org/officeDocument/2006/relationships/hyperlink" Target="https://www.sec.gov/Archives/edgar/data/1808805/000180880523000069/exhibit32-nautilusbiotechn.htm" TargetMode="External"/><Relationship Id="rId5" Type="http://schemas.openxmlformats.org/officeDocument/2006/relationships/hyperlink" Target="https://www.sec.gov/Archives/edgar/data/1808805/000180880523000069/exhibit32-nautilusbiotechn.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47454</Words>
  <Characters>268571</Characters>
  <CharactersWithSpaces>314674</CharactersWithSpaces>
  <Paragraphs>1934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