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4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ALTMAN MICHAEL SETH</w:t>
              </w:r>
            </w:hyperlink>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ARYA Sciences Acquisition Corp III</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ARYA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38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920"/>
        <w:spacing w:after="0" w:line="199" w:lineRule="auto"/>
        <w:rPr>
          <w:sz w:val="20"/>
          <w:szCs w:val="20"/>
          <w:color w:val="auto"/>
        </w:rPr>
      </w:pPr>
      <w:r>
        <w:rPr>
          <w:rFonts w:ascii="Arial" w:cs="Arial" w:eastAsia="Arial" w:hAnsi="Arial"/>
          <w:sz w:val="9"/>
          <w:szCs w:val="9"/>
          <w:color w:val="auto"/>
        </w:rPr>
        <w:t>3. Date of Earliest Transaction (Month/Day/Year)</w:t>
      </w:r>
    </w:p>
    <w:p>
      <w:pPr>
        <w:ind w:left="120" w:right="2960"/>
        <w:spacing w:after="0" w:line="193" w:lineRule="auto"/>
        <w:rPr>
          <w:sz w:val="20"/>
          <w:szCs w:val="20"/>
          <w:color w:val="auto"/>
        </w:rPr>
      </w:pPr>
      <w:r>
        <w:rPr>
          <w:rFonts w:ascii="Arial" w:cs="Arial" w:eastAsia="Arial" w:hAnsi="Arial"/>
          <w:sz w:val="17"/>
          <w:szCs w:val="17"/>
          <w:color w:val="0000FF"/>
        </w:rPr>
        <w:t xml:space="preserve">C/O ARYA SCIENCES ACQUISITION CORP III </w:t>
      </w:r>
      <w:r>
        <w:rPr>
          <w:rFonts w:ascii="Arial" w:cs="Arial" w:eastAsia="Arial" w:hAnsi="Arial"/>
          <w:sz w:val="34"/>
          <w:szCs w:val="34"/>
          <w:color w:val="0000FF"/>
          <w:vertAlign w:val="subscript"/>
        </w:rPr>
        <w:t>08/11/2020</w:t>
      </w:r>
      <w:r>
        <w:rPr>
          <w:rFonts w:ascii="Arial" w:cs="Arial" w:eastAsia="Arial" w:hAnsi="Arial"/>
          <w:sz w:val="17"/>
          <w:szCs w:val="17"/>
          <w:color w:val="0000FF"/>
        </w:rPr>
        <w:t xml:space="preserve"> 51 ASTOR PLACE, 10TH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666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ARYA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ordinary shares</w:t>
            </w: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08/11/2020</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60" w:type="dxa"/>
            <w:vAlign w:val="bottom"/>
          </w:tcPr>
          <w:p>
            <w:pPr>
              <w:ind w:left="140"/>
              <w:spacing w:after="0"/>
              <w:rPr>
                <w:sz w:val="20"/>
                <w:szCs w:val="20"/>
                <w:color w:val="auto"/>
              </w:rPr>
            </w:pPr>
            <w:r>
              <w:rPr>
                <w:rFonts w:ascii="Arial" w:cs="Arial" w:eastAsia="Arial" w:hAnsi="Arial"/>
                <w:sz w:val="17"/>
                <w:szCs w:val="17"/>
                <w:color w:val="0000FF"/>
                <w:w w:val="97"/>
              </w:rPr>
              <w:t>499,000</w:t>
            </w:r>
          </w:p>
        </w:tc>
        <w:tc>
          <w:tcPr>
            <w:tcW w:w="400" w:type="dxa"/>
            <w:vAlign w:val="bottom"/>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w:t>
            </w:r>
          </w:p>
        </w:tc>
        <w:tc>
          <w:tcPr>
            <w:tcW w:w="1380" w:type="dxa"/>
            <w:vAlign w:val="bottom"/>
            <w:gridSpan w:val="3"/>
          </w:tcPr>
          <w:p>
            <w:pPr>
              <w:ind w:left="460"/>
              <w:spacing w:after="0"/>
              <w:rPr>
                <w:sz w:val="20"/>
                <w:szCs w:val="20"/>
                <w:color w:val="auto"/>
              </w:rPr>
            </w:pPr>
            <w:r>
              <w:rPr>
                <w:rFonts w:ascii="Arial" w:cs="Arial" w:eastAsia="Arial" w:hAnsi="Arial"/>
                <w:sz w:val="17"/>
                <w:szCs w:val="17"/>
                <w:color w:val="0000FF"/>
              </w:rPr>
              <w:t>499,000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Sciences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gridSpan w:val="4"/>
          </w:tcPr>
          <w:p>
            <w:pPr>
              <w:ind w:left="20"/>
              <w:spacing w:after="0" w:line="275" w:lineRule="exact"/>
              <w:rPr>
                <w:sz w:val="20"/>
                <w:szCs w:val="20"/>
                <w:color w:val="auto"/>
              </w:rPr>
            </w:pPr>
            <w:r>
              <w:rPr>
                <w:rFonts w:ascii="Arial" w:cs="Arial" w:eastAsia="Arial" w:hAnsi="Arial"/>
                <w:sz w:val="31"/>
                <w:szCs w:val="31"/>
                <w:color w:val="0000FF"/>
                <w:vertAlign w:val="subscript"/>
              </w:rPr>
              <w:t>III</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Class A ordinary shares were purchased as Private Placement Shares by ARYA Sciences Holdings III (the "Sponsor") for $10.00 per share, as described under the heading "Description of Securities " in the Issuer's registration statement on Form S-1 (File No. 333- 239986).</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reported herein are held by the Sponsor. The Sponsor is governed by a board of directors consisting of two directors, Adam Stone and the Reporting Person. As such, Mr. Stone and the Reporting Person have voting and investment discretion with respect to the Class A ordinary shares held of record by the Sponsor and may be deemed to have shared beneficial ownership of the Class A ordinary shares held directly by the Sponsor.</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Samuel M. Cohn,</w:t>
            </w:r>
          </w:p>
        </w:tc>
        <w:tc>
          <w:tcPr>
            <w:tcW w:w="6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08/11/2020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673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2020-08-11T19:39:37Z</dcterms:created>
  <dcterms:modified xsi:type="dcterms:W3CDTF">2020-08-11T19:39:37Z</dcterms:modified>
</cp:coreProperties>
</file>