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2802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80289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2"/>
            <w:vMerge w:val="restart"/>
          </w:tcPr>
          <w:p>
            <w:pPr>
              <w:spacing w:after="0" w:line="181" w:lineRule="exact"/>
              <w:rPr>
                <w:rFonts w:ascii="Arial" w:cs="Arial" w:eastAsia="Arial" w:hAnsi="Arial"/>
                <w:sz w:val="16"/>
                <w:szCs w:val="16"/>
                <w:color w:val="0000EE"/>
                <w:w w:val="90"/>
              </w:rPr>
            </w:pPr>
            <w:hyperlink r:id="rId11">
              <w:r>
                <w:rPr>
                  <w:rFonts w:ascii="Arial" w:cs="Arial" w:eastAsia="Arial" w:hAnsi="Arial"/>
                  <w:sz w:val="16"/>
                  <w:szCs w:val="16"/>
                  <w:color w:val="0000EE"/>
                  <w:w w:val="90"/>
                </w:rPr>
                <w:t>Nelson Nicholas A.</w:t>
              </w:r>
            </w:hyperlink>
          </w:p>
        </w:tc>
        <w:tc>
          <w:tcPr>
            <w:tcW w:w="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tcBorders>
              <w:bottom w:val="single" w:sz="8" w:color="0000EE"/>
            </w:tcBorders>
            <w:gridSpan w:val="2"/>
            <w:vMerge w:val="continue"/>
          </w:tcPr>
          <w:p>
            <w:pPr>
              <w:spacing w:after="0"/>
              <w:rPr>
                <w:sz w:val="9"/>
                <w:szCs w:val="9"/>
                <w:color w:val="auto"/>
              </w:rPr>
            </w:pPr>
          </w:p>
        </w:tc>
        <w:tc>
          <w:tcPr>
            <w:tcW w:w="76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Arial" w:cs="Arial" w:eastAsia="Arial" w:hAnsi="Arial"/>
                <w:sz w:val="13"/>
                <w:szCs w:val="13"/>
                <w:color w:val="0000FF"/>
              </w:rPr>
              <w:t>06/09/2021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gridSpan w:val="2"/>
          </w:tcPr>
          <w:p>
            <w:pPr>
              <w:spacing w:after="0"/>
              <w:rPr>
                <w:sz w:val="3"/>
                <w:szCs w:val="3"/>
                <w:color w:val="auto"/>
              </w:rPr>
            </w:pPr>
          </w:p>
        </w:tc>
        <w:tc>
          <w:tcPr>
            <w:tcW w:w="76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0"/>
                <w:szCs w:val="10"/>
                <w:color w:val="auto"/>
              </w:rPr>
              <w:t>(Last)</w:t>
            </w:r>
          </w:p>
        </w:tc>
        <w:tc>
          <w:tcPr>
            <w:tcW w:w="1360" w:type="dxa"/>
            <w:vAlign w:val="bottom"/>
            <w:gridSpan w:val="2"/>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spacing w:after="0"/>
        <w:rPr>
          <w:rFonts w:ascii="Arial" w:cs="Arial" w:eastAsia="Arial" w:hAnsi="Arial"/>
          <w:sz w:val="15"/>
          <w:szCs w:val="15"/>
          <w:color w:val="0000EE"/>
        </w:rPr>
      </w:pPr>
      <w:hyperlink r:id="rId12">
        <w:r>
          <w:rPr>
            <w:rFonts w:ascii="Arial" w:cs="Arial" w:eastAsia="Arial" w:hAnsi="Arial"/>
            <w:sz w:val="15"/>
            <w:szCs w:val="15"/>
            <w:u w:val="single" w:color="auto"/>
            <w:color w:val="0000EE"/>
          </w:rPr>
          <w:t>Nautilus Biotechnology,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NAUT</w:t>
      </w:r>
      <w:r>
        <w:rPr>
          <w:rFonts w:ascii="Arial" w:cs="Arial" w:eastAsia="Arial" w:hAnsi="Arial"/>
          <w:sz w:val="15"/>
          <w:szCs w:val="15"/>
          <w:color w:val="0000EE"/>
        </w:rPr>
        <w:t xml:space="preserve"> </w:t>
      </w:r>
      <w:r>
        <w:rPr>
          <w:rFonts w:ascii="Arial" w:cs="Arial" w:eastAsia="Arial" w:hAnsi="Arial"/>
          <w:sz w:val="15"/>
          <w:szCs w:val="15"/>
          <w:color w:val="000000"/>
        </w:rPr>
        <w:t>]</w:t>
      </w:r>
    </w:p>
    <w:p>
      <w:pPr>
        <w:spacing w:after="0" w:line="361"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114"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C/O NAUTILUS BIOTECHNOLOGY, INC.</w:t>
      </w:r>
    </w:p>
    <w:p>
      <w:pPr>
        <w:spacing w:after="0" w:line="51"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425 PONTIUS AVE N, STE 202</w:t>
      </w:r>
    </w:p>
    <w:p>
      <w:pPr>
        <w:spacing w:after="0" w:line="226" w:lineRule="exact"/>
        <w:rPr>
          <w:sz w:val="24"/>
          <w:szCs w:val="24"/>
          <w:color w:val="auto"/>
        </w:rPr>
      </w:pPr>
    </w:p>
    <w:p>
      <w:pPr>
        <w:ind w:left="60"/>
        <w:spacing w:after="0"/>
        <w:rPr>
          <w:sz w:val="20"/>
          <w:szCs w:val="20"/>
          <w:color w:val="auto"/>
        </w:rPr>
      </w:pPr>
      <w:r>
        <w:rPr>
          <w:rFonts w:ascii="Arial" w:cs="Arial" w:eastAsia="Arial" w:hAnsi="Arial"/>
          <w:sz w:val="10"/>
          <w:szCs w:val="10"/>
          <w:color w:val="auto"/>
        </w:rPr>
        <w:t>(Street)</w:t>
      </w:r>
    </w:p>
    <w:p>
      <w:pPr>
        <w:spacing w:after="0" w:line="20"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3"/>
          <w:szCs w:val="13"/>
          <w:color w:val="0000FF"/>
        </w:rPr>
        <w:t>SEATTLE</w:t>
      </w:r>
      <w:r>
        <w:rPr>
          <w:sz w:val="20"/>
          <w:szCs w:val="20"/>
          <w:color w:val="auto"/>
        </w:rPr>
        <w:tab/>
      </w:r>
      <w:r>
        <w:rPr>
          <w:rFonts w:ascii="Arial" w:cs="Arial" w:eastAsia="Arial" w:hAnsi="Arial"/>
          <w:sz w:val="13"/>
          <w:szCs w:val="13"/>
          <w:color w:val="0000FF"/>
        </w:rPr>
        <w:t>WA</w:t>
      </w:r>
      <w:r>
        <w:rPr>
          <w:sz w:val="20"/>
          <w:szCs w:val="20"/>
          <w:color w:val="auto"/>
        </w:rPr>
        <w:tab/>
      </w:r>
      <w:r>
        <w:rPr>
          <w:rFonts w:ascii="Arial" w:cs="Arial" w:eastAsia="Arial" w:hAnsi="Arial"/>
          <w:sz w:val="11"/>
          <w:szCs w:val="11"/>
          <w:color w:val="0000FF"/>
        </w:rPr>
        <w:t>98109</w:t>
      </w:r>
    </w:p>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 w:lineRule="exact"/>
        <w:rPr>
          <w:sz w:val="24"/>
          <w:szCs w:val="24"/>
          <w:color w:val="auto"/>
        </w:rPr>
      </w:pP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80" w:lineRule="exact"/>
        <w:rPr>
          <w:sz w:val="24"/>
          <w:szCs w:val="24"/>
          <w:color w:val="auto"/>
        </w:rPr>
      </w:pPr>
    </w:p>
    <w:p>
      <w:pPr>
        <w:ind w:left="825"/>
        <w:spacing w:after="0"/>
        <w:rPr>
          <w:sz w:val="20"/>
          <w:szCs w:val="20"/>
          <w:color w:val="auto"/>
        </w:rPr>
      </w:pPr>
      <w:r>
        <w:rPr>
          <w:rFonts w:ascii="Arial" w:cs="Arial" w:eastAsia="Arial" w:hAnsi="Arial"/>
          <w:sz w:val="13"/>
          <w:szCs w:val="13"/>
          <w:color w:val="0000FF"/>
        </w:rPr>
        <w:t>CBO &amp; Senior VP, Bus. Dev.</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6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339"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56"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3"/>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5"/>
        </w:trPr>
        <w:tc>
          <w:tcPr>
            <w:tcW w:w="2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70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126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Expiration Date</w:t>
            </w:r>
          </w:p>
        </w:tc>
        <w:tc>
          <w:tcPr>
            <w:tcW w:w="182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Security (Instr. 4)</w:t>
            </w:r>
          </w:p>
        </w:tc>
        <w:tc>
          <w:tcPr>
            <w:tcW w:w="9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(Month/Day/Year)</w:t>
            </w:r>
          </w:p>
        </w:tc>
        <w:tc>
          <w:tcPr>
            <w:tcW w:w="1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70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960" w:type="dxa"/>
            <w:vAlign w:val="bottom"/>
            <w:vMerge w:val="restart"/>
          </w:tcPr>
          <w:p>
            <w:pPr>
              <w:ind w:left="3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Date</w:t>
            </w:r>
          </w:p>
        </w:tc>
        <w:tc>
          <w:tcPr>
            <w:tcW w:w="60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Expiration</w:t>
            </w:r>
          </w:p>
        </w:tc>
        <w:tc>
          <w:tcPr>
            <w:tcW w:w="18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960" w:type="dxa"/>
            <w:vAlign w:val="bottom"/>
          </w:tcPr>
          <w:p>
            <w:pPr>
              <w:ind w:left="3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0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1820" w:type="dxa"/>
            <w:vAlign w:val="bottom"/>
            <w:vMerge w:val="continue"/>
          </w:tcPr>
          <w:p>
            <w:pPr>
              <w:spacing w:after="0"/>
              <w:rPr>
                <w:sz w:val="11"/>
                <w:szCs w:val="11"/>
                <w:color w:val="auto"/>
              </w:rPr>
            </w:pPr>
          </w:p>
        </w:tc>
        <w:tc>
          <w:tcPr>
            <w:tcW w:w="960" w:type="dxa"/>
            <w:vAlign w:val="bottom"/>
          </w:tcPr>
          <w:p>
            <w:pPr>
              <w:ind w:left="3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7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00" w:type="dxa"/>
            <w:vAlign w:val="bottom"/>
          </w:tcPr>
          <w:p>
            <w:pPr>
              <w:ind w:left="40"/>
              <w:spacing w:after="0"/>
              <w:rPr>
                <w:sz w:val="20"/>
                <w:szCs w:val="20"/>
                <w:color w:val="auto"/>
              </w:rPr>
            </w:pPr>
            <w:r>
              <w:rPr>
                <w:rFonts w:ascii="Arial" w:cs="Arial" w:eastAsia="Arial" w:hAnsi="Arial"/>
                <w:sz w:val="13"/>
                <w:szCs w:val="13"/>
                <w:color w:val="0000FF"/>
              </w:rPr>
              <w:t>Stock Option (Right to Buy)</w:t>
            </w:r>
          </w:p>
        </w:tc>
        <w:tc>
          <w:tcPr>
            <w:tcW w:w="660" w:type="dxa"/>
            <w:vAlign w:val="bottom"/>
          </w:tcPr>
          <w:p>
            <w:pPr>
              <w:ind w:left="280"/>
              <w:spacing w:after="0"/>
              <w:rPr>
                <w:sz w:val="20"/>
                <w:szCs w:val="20"/>
                <w:color w:val="auto"/>
              </w:rPr>
            </w:pPr>
            <w:r>
              <w:rPr>
                <w:rFonts w:ascii="Arial" w:cs="Arial" w:eastAsia="Arial" w:hAnsi="Arial"/>
                <w:sz w:val="8"/>
                <w:szCs w:val="8"/>
                <w:color w:val="008000"/>
              </w:rPr>
              <w:t>(1)</w:t>
            </w:r>
          </w:p>
        </w:tc>
        <w:tc>
          <w:tcPr>
            <w:tcW w:w="600" w:type="dxa"/>
            <w:vAlign w:val="bottom"/>
          </w:tcPr>
          <w:p>
            <w:pPr>
              <w:jc w:val="right"/>
              <w:ind w:right="30"/>
              <w:spacing w:after="0"/>
              <w:rPr>
                <w:sz w:val="20"/>
                <w:szCs w:val="20"/>
                <w:color w:val="auto"/>
              </w:rPr>
            </w:pPr>
            <w:r>
              <w:rPr>
                <w:rFonts w:ascii="Arial" w:cs="Arial" w:eastAsia="Arial" w:hAnsi="Arial"/>
                <w:sz w:val="10"/>
                <w:szCs w:val="10"/>
                <w:color w:val="0000FF"/>
                <w:w w:val="99"/>
              </w:rPr>
              <w:t>10/15/2030</w:t>
            </w:r>
          </w:p>
        </w:tc>
        <w:tc>
          <w:tcPr>
            <w:tcW w:w="1820" w:type="dxa"/>
            <w:vAlign w:val="bottom"/>
          </w:tcPr>
          <w:p>
            <w:pPr>
              <w:ind w:left="660"/>
              <w:spacing w:after="0"/>
              <w:rPr>
                <w:sz w:val="20"/>
                <w:szCs w:val="20"/>
                <w:color w:val="auto"/>
              </w:rPr>
            </w:pPr>
            <w:r>
              <w:rPr>
                <w:rFonts w:ascii="Arial" w:cs="Arial" w:eastAsia="Arial" w:hAnsi="Arial"/>
                <w:sz w:val="13"/>
                <w:szCs w:val="13"/>
                <w:color w:val="0000FF"/>
              </w:rPr>
              <w:t>Common Stock</w:t>
            </w:r>
          </w:p>
        </w:tc>
        <w:tc>
          <w:tcPr>
            <w:tcW w:w="960" w:type="dxa"/>
            <w:vAlign w:val="bottom"/>
          </w:tcPr>
          <w:p>
            <w:pPr>
              <w:jc w:val="right"/>
              <w:ind w:right="46"/>
              <w:spacing w:after="0"/>
              <w:rPr>
                <w:sz w:val="20"/>
                <w:szCs w:val="20"/>
                <w:color w:val="auto"/>
              </w:rPr>
            </w:pPr>
            <w:r>
              <w:rPr>
                <w:rFonts w:ascii="Arial" w:cs="Arial" w:eastAsia="Arial" w:hAnsi="Arial"/>
                <w:sz w:val="13"/>
                <w:szCs w:val="13"/>
                <w:color w:val="0000FF"/>
              </w:rPr>
              <w:t>816,315</w:t>
            </w:r>
          </w:p>
        </w:tc>
        <w:tc>
          <w:tcPr>
            <w:tcW w:w="720" w:type="dxa"/>
            <w:vAlign w:val="bottom"/>
          </w:tcPr>
          <w:p>
            <w:pPr>
              <w:ind w:left="280"/>
              <w:spacing w:after="0"/>
              <w:rPr>
                <w:sz w:val="20"/>
                <w:szCs w:val="20"/>
                <w:color w:val="auto"/>
              </w:rPr>
            </w:pPr>
            <w:r>
              <w:rPr>
                <w:rFonts w:ascii="Arial" w:cs="Arial" w:eastAsia="Arial" w:hAnsi="Arial"/>
                <w:sz w:val="13"/>
                <w:szCs w:val="13"/>
                <w:color w:val="0000FF"/>
              </w:rPr>
              <w:t>1.14</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3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70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right="460" w:hanging="10"/>
        <w:spacing w:after="0" w:line="281" w:lineRule="auto"/>
        <w:tabs>
          <w:tab w:leader="none" w:pos="140" w:val="left"/>
        </w:tabs>
        <w:numPr>
          <w:ilvl w:val="0"/>
          <w:numId w:val="3"/>
        </w:numPr>
        <w:rPr>
          <w:rFonts w:ascii="Arial" w:cs="Arial" w:eastAsia="Arial" w:hAnsi="Arial"/>
          <w:sz w:val="9"/>
          <w:szCs w:val="9"/>
          <w:color w:val="008000"/>
        </w:rPr>
      </w:pPr>
      <w:r>
        <w:rPr>
          <w:rFonts w:ascii="Arial" w:cs="Arial" w:eastAsia="Arial" w:hAnsi="Arial"/>
          <w:sz w:val="9"/>
          <w:szCs w:val="9"/>
          <w:color w:val="008000"/>
        </w:rPr>
        <w:t>Subject to reporting person's continuous status as a "Service Provider" (as defined in the Nautilus Subsidiary, Inc. 2017 Equity Incentive Plan) through each vesting date, twenty-five percent (25%) of the shares subject to the Option shall vest on the one (1) year anniversary of the Vesting Commencement Date (as defined below), and one thirty-sixth (1/36th) of the remaining shares subject to the Option shall vest each month thereafter on the same day of the month as the Vesting Commencement Date (and if there is no corresponding day, on the last day of the month). as the Vesting Commencement Date (and if there is no corresponding day, on the last day of the month). The Vesting Commencement Date is October 5, 2020.</w:t>
      </w: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24: Power of Attorney</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Arial" w:cs="Arial" w:eastAsia="Arial" w:hAnsi="Arial"/>
                <w:sz w:val="13"/>
                <w:szCs w:val="13"/>
                <w:color w:val="0000FF"/>
              </w:rPr>
              <w:t>/s/ Anna Mowry, as Attorney-in-Fact</w:t>
            </w:r>
          </w:p>
        </w:tc>
        <w:tc>
          <w:tcPr>
            <w:tcW w:w="600" w:type="dxa"/>
            <w:vAlign w:val="bottom"/>
          </w:tcPr>
          <w:p>
            <w:pPr>
              <w:spacing w:after="0"/>
              <w:rPr>
                <w:sz w:val="20"/>
                <w:szCs w:val="20"/>
                <w:color w:val="auto"/>
              </w:rPr>
            </w:pPr>
            <w:r>
              <w:rPr>
                <w:rFonts w:ascii="Arial" w:cs="Arial" w:eastAsia="Arial" w:hAnsi="Arial"/>
                <w:sz w:val="13"/>
                <w:szCs w:val="13"/>
                <w:color w:val="0000FF"/>
                <w:w w:val="89"/>
              </w:rPr>
              <w:t>06/09/2021</w:t>
            </w:r>
          </w:p>
        </w:tc>
      </w:tr>
      <w:tr>
        <w:trPr>
          <w:trHeight w:val="170"/>
        </w:trPr>
        <w:tc>
          <w:tcPr>
            <w:tcW w:w="6580" w:type="dxa"/>
            <w:vAlign w:val="bottom"/>
          </w:tcPr>
          <w:p>
            <w:pPr>
              <w:spacing w:after="0"/>
              <w:rPr>
                <w:sz w:val="14"/>
                <w:szCs w:val="14"/>
                <w:color w:val="auto"/>
              </w:rPr>
            </w:pPr>
          </w:p>
        </w:tc>
        <w:tc>
          <w:tcPr>
            <w:tcW w:w="19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28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as a Section 16 reporting person of Nautilus Biotechnology, Inc. (the "Company"), hereby constitutes and appoints Sujal Patel</w:t>
      </w:r>
    </w:p>
    <w:p>
      <w:pPr>
        <w:spacing w:after="0" w:line="153" w:lineRule="exact"/>
        <w:rPr>
          <w:sz w:val="20"/>
          <w:szCs w:val="20"/>
          <w:color w:val="auto"/>
        </w:rPr>
      </w:pPr>
    </w:p>
    <w:p>
      <w:pPr>
        <w:ind w:left="460" w:hanging="460"/>
        <w:spacing w:after="0"/>
        <w:tabs>
          <w:tab w:leader="none" w:pos="46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complete and execute Forms 3, 4 and 5 and other forms and all amendments thereto as such attorneys-in-fact shall in their discretion det</w:t>
      </w:r>
    </w:p>
    <w:p>
      <w:pPr>
        <w:spacing w:after="0" w:line="153" w:lineRule="exact"/>
        <w:rPr>
          <w:rFonts w:ascii="Courier New" w:cs="Courier New" w:eastAsia="Courier New" w:hAnsi="Courier New"/>
          <w:sz w:val="13"/>
          <w:szCs w:val="13"/>
          <w:color w:val="auto"/>
        </w:rPr>
      </w:pPr>
    </w:p>
    <w:p>
      <w:pPr>
        <w:jc w:val="both"/>
        <w:spacing w:after="0" w:line="488" w:lineRule="auto"/>
        <w:tabs>
          <w:tab w:leader="none" w:pos="468"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all acts necessary in order to file such forms with the Securities and Exchange Commission, any securities exchange or national assoc The undersigned hereby ratifies and confirms all that said attorneys in-fact and agent shall do or cause to be done by virtue hereof. The und This Power of Attorney shall remain in full force and effect until the undersigned is no longer required to file Forms 3, 4 and 5 with respect IN WITNESS WHEREOF, the undersigned has caused this Power of Attorney to be executed as of this 9th day of June, 2021.</w:t>
      </w:r>
    </w:p>
    <w:p>
      <w:pPr>
        <w:spacing w:after="0" w:line="303"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3"/>
          <w:szCs w:val="13"/>
          <w:color w:val="auto"/>
        </w:rPr>
        <w:t>Signature:</w:t>
      </w:r>
      <w:r>
        <w:rPr>
          <w:sz w:val="20"/>
          <w:szCs w:val="20"/>
          <w:color w:val="auto"/>
        </w:rPr>
        <w:tab/>
      </w:r>
      <w:r>
        <w:rPr>
          <w:rFonts w:ascii="Courier New" w:cs="Courier New" w:eastAsia="Courier New" w:hAnsi="Courier New"/>
          <w:sz w:val="13"/>
          <w:szCs w:val="13"/>
          <w:color w:val="auto"/>
        </w:rPr>
        <w:t>/s/ Nicholas A. Nelson</w:t>
      </w:r>
    </w:p>
    <w:p>
      <w:pPr>
        <w:spacing w:after="0" w:line="153"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3"/>
          <w:szCs w:val="13"/>
          <w:color w:val="auto"/>
        </w:rPr>
        <w:t>Print Name:</w:t>
      </w:r>
      <w:r>
        <w:rPr>
          <w:sz w:val="20"/>
          <w:szCs w:val="20"/>
          <w:color w:val="auto"/>
        </w:rPr>
        <w:tab/>
      </w:r>
      <w:r>
        <w:rPr>
          <w:rFonts w:ascii="Courier New" w:cs="Courier New" w:eastAsia="Courier New" w:hAnsi="Courier New"/>
          <w:sz w:val="12"/>
          <w:szCs w:val="12"/>
          <w:color w:val="auto"/>
        </w:rPr>
        <w:t>Nicholas A. Nelson</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857944" TargetMode="External"/><Relationship Id="rId12"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2021-06-09T20:45:54Z</dcterms:created>
  <dcterms:modified xsi:type="dcterms:W3CDTF">2021-06-09T20:45:54Z</dcterms:modified>
</cp:coreProperties>
</file>