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right="120" w:firstLine="142"/>
        <w:spacing w:after="0" w:line="347" w:lineRule="auto"/>
        <w:rPr>
          <w:sz w:val="20"/>
          <w:szCs w:val="20"/>
          <w:color w:val="auto"/>
        </w:rPr>
      </w:pPr>
      <w:r>
        <w:rPr>
          <w:rFonts w:ascii="Arial" w:cs="Arial" w:eastAsia="Arial" w:hAnsi="Arial"/>
          <w:sz w:val="16"/>
          <w:szCs w:val="16"/>
          <w:b w:val="1"/>
          <w:bCs w:val="1"/>
          <w:color w:val="auto"/>
        </w:rPr>
        <w:t>As submitted confidentially with the U.S. Securities and Exchange Commission on April 16, 2020. This draft registration statement has not been publicly filed with the U.S. Securities and Exchange Commission and all information herein remains strictly confidential.</w:t>
      </w:r>
    </w:p>
    <w:p>
      <w:pPr>
        <w:spacing w:after="0" w:line="1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ARYA Sciences Acquisition Corp III</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220" w:type="dxa"/>
        <w:tblCellMar>
          <w:top w:w="0" w:type="dxa"/>
          <w:left w:w="0" w:type="dxa"/>
          <w:bottom w:w="0" w:type="dxa"/>
          <w:right w:w="0" w:type="dxa"/>
        </w:tblCellMar>
      </w:tblPr>
      <w:tr>
        <w:trPr>
          <w:trHeight w:val="220"/>
        </w:trPr>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Cayman Islands</w:t>
            </w:r>
          </w:p>
        </w:tc>
        <w:tc>
          <w:tcPr>
            <w:tcW w:w="3120" w:type="dxa"/>
            <w:vAlign w:val="bottom"/>
            <w:gridSpan w:val="2"/>
          </w:tcPr>
          <w:p>
            <w:pPr>
              <w:jc w:val="center"/>
              <w:ind w:left="830"/>
              <w:spacing w:after="0"/>
              <w:rPr>
                <w:sz w:val="20"/>
                <w:szCs w:val="20"/>
                <w:color w:val="auto"/>
              </w:rPr>
            </w:pPr>
            <w:r>
              <w:rPr>
                <w:rFonts w:ascii="Arial" w:cs="Arial" w:eastAsia="Arial" w:hAnsi="Arial"/>
                <w:sz w:val="18"/>
                <w:szCs w:val="18"/>
                <w:b w:val="1"/>
                <w:bCs w:val="1"/>
                <w:color w:val="auto"/>
                <w:w w:val="89"/>
              </w:rPr>
              <w:t>6770</w:t>
            </w:r>
          </w:p>
        </w:tc>
        <w:tc>
          <w:tcPr>
            <w:tcW w:w="1160" w:type="dxa"/>
            <w:vAlign w:val="bottom"/>
          </w:tcPr>
          <w:p>
            <w:pPr>
              <w:spacing w:after="0"/>
              <w:rPr>
                <w:sz w:val="19"/>
                <w:szCs w:val="19"/>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r>
      <w:tr>
        <w:trPr>
          <w:trHeight w:val="216"/>
        </w:trPr>
        <w:tc>
          <w:tcPr>
            <w:tcW w:w="340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 incorporation or</w:t>
            </w:r>
          </w:p>
        </w:tc>
        <w:tc>
          <w:tcPr>
            <w:tcW w:w="4280" w:type="dxa"/>
            <w:vAlign w:val="bottom"/>
            <w:gridSpan w:val="3"/>
          </w:tcPr>
          <w:p>
            <w:pPr>
              <w:jc w:val="center"/>
              <w:ind w:right="170"/>
              <w:spacing w:after="0"/>
              <w:rPr>
                <w:sz w:val="20"/>
                <w:szCs w:val="20"/>
                <w:color w:val="auto"/>
              </w:rPr>
            </w:pPr>
            <w:r>
              <w:rPr>
                <w:rFonts w:ascii="Arial" w:cs="Arial" w:eastAsia="Arial" w:hAnsi="Arial"/>
                <w:sz w:val="18"/>
                <w:szCs w:val="18"/>
                <w:color w:val="auto"/>
                <w:w w:val="91"/>
              </w:rPr>
              <w:t>(Primary Standard Industrial Classification Code</w:t>
            </w:r>
          </w:p>
        </w:tc>
        <w:tc>
          <w:tcPr>
            <w:tcW w:w="3200" w:type="dxa"/>
            <w:vAlign w:val="bottom"/>
          </w:tcPr>
          <w:p>
            <w:pPr>
              <w:jc w:val="center"/>
              <w:ind w:right="130"/>
              <w:spacing w:after="0"/>
              <w:rPr>
                <w:sz w:val="20"/>
                <w:szCs w:val="20"/>
                <w:color w:val="auto"/>
              </w:rPr>
            </w:pPr>
            <w:r>
              <w:rPr>
                <w:rFonts w:ascii="Arial" w:cs="Arial" w:eastAsia="Arial" w:hAnsi="Arial"/>
                <w:sz w:val="18"/>
                <w:szCs w:val="18"/>
                <w:color w:val="auto"/>
                <w:w w:val="93"/>
              </w:rPr>
              <w:t>(I.R.S. Employer Identification Number)</w:t>
            </w:r>
          </w:p>
        </w:tc>
      </w:tr>
      <w:tr>
        <w:trPr>
          <w:trHeight w:val="230"/>
        </w:trPr>
        <w:tc>
          <w:tcPr>
            <w:tcW w:w="3400" w:type="dxa"/>
            <w:vAlign w:val="bottom"/>
          </w:tcPr>
          <w:p>
            <w:pPr>
              <w:jc w:val="center"/>
              <w:ind w:right="30"/>
              <w:spacing w:after="0"/>
              <w:rPr>
                <w:sz w:val="20"/>
                <w:szCs w:val="20"/>
                <w:color w:val="auto"/>
              </w:rPr>
            </w:pPr>
            <w:r>
              <w:rPr>
                <w:rFonts w:ascii="Arial" w:cs="Arial" w:eastAsia="Arial" w:hAnsi="Arial"/>
                <w:sz w:val="18"/>
                <w:szCs w:val="18"/>
                <w:color w:val="auto"/>
                <w:w w:val="92"/>
              </w:rPr>
              <w:t>organization)</w:t>
            </w:r>
          </w:p>
        </w:tc>
        <w:tc>
          <w:tcPr>
            <w:tcW w:w="880" w:type="dxa"/>
            <w:vAlign w:val="bottom"/>
          </w:tcPr>
          <w:p>
            <w:pPr>
              <w:spacing w:after="0"/>
              <w:rPr>
                <w:sz w:val="20"/>
                <w:szCs w:val="20"/>
                <w:color w:val="auto"/>
              </w:rPr>
            </w:pPr>
          </w:p>
        </w:tc>
        <w:tc>
          <w:tcPr>
            <w:tcW w:w="3400" w:type="dxa"/>
            <w:vAlign w:val="bottom"/>
            <w:gridSpan w:val="2"/>
          </w:tcPr>
          <w:p>
            <w:pPr>
              <w:jc w:val="center"/>
              <w:ind w:right="1050"/>
              <w:spacing w:after="0"/>
              <w:rPr>
                <w:sz w:val="20"/>
                <w:szCs w:val="20"/>
                <w:color w:val="auto"/>
              </w:rPr>
            </w:pPr>
            <w:r>
              <w:rPr>
                <w:rFonts w:ascii="Arial" w:cs="Arial" w:eastAsia="Arial" w:hAnsi="Arial"/>
                <w:sz w:val="18"/>
                <w:szCs w:val="18"/>
                <w:color w:val="auto"/>
                <w:w w:val="94"/>
              </w:rPr>
              <w:t>Number)</w:t>
            </w:r>
          </w:p>
        </w:tc>
        <w:tc>
          <w:tcPr>
            <w:tcW w:w="320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0"/>
              </w:rPr>
              <w:t>51 Astor Place, 10th Floor</w:t>
            </w:r>
          </w:p>
        </w:tc>
        <w:tc>
          <w:tcPr>
            <w:tcW w:w="32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2"/>
              </w:rPr>
              <w:t>New York, New York 10003</w:t>
            </w:r>
          </w:p>
        </w:tc>
        <w:tc>
          <w:tcPr>
            <w:tcW w:w="320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Tel.: (212) 284 2300</w:t>
            </w:r>
          </w:p>
        </w:tc>
        <w:tc>
          <w:tcPr>
            <w:tcW w:w="3200" w:type="dxa"/>
            <w:vAlign w:val="bottom"/>
          </w:tcPr>
          <w:p>
            <w:pPr>
              <w:spacing w:after="0"/>
              <w:rPr>
                <w:sz w:val="19"/>
                <w:szCs w:val="19"/>
                <w:color w:val="auto"/>
              </w:rPr>
            </w:pPr>
          </w:p>
        </w:tc>
      </w:tr>
      <w:tr>
        <w:trPr>
          <w:trHeight w:val="216"/>
        </w:trPr>
        <w:tc>
          <w:tcPr>
            <w:tcW w:w="3400" w:type="dxa"/>
            <w:vAlign w:val="bottom"/>
          </w:tcPr>
          <w:p>
            <w:pPr>
              <w:spacing w:after="0"/>
              <w:rPr>
                <w:sz w:val="18"/>
                <w:szCs w:val="18"/>
                <w:color w:val="auto"/>
              </w:rPr>
            </w:pPr>
          </w:p>
        </w:tc>
        <w:tc>
          <w:tcPr>
            <w:tcW w:w="4280" w:type="dxa"/>
            <w:vAlign w:val="bottom"/>
            <w:gridSpan w:val="3"/>
          </w:tcPr>
          <w:p>
            <w:pPr>
              <w:jc w:val="center"/>
              <w:ind w:right="190"/>
              <w:spacing w:after="0"/>
              <w:rPr>
                <w:sz w:val="20"/>
                <w:szCs w:val="20"/>
                <w:color w:val="auto"/>
              </w:rPr>
            </w:pPr>
            <w:r>
              <w:rPr>
                <w:rFonts w:ascii="Arial" w:cs="Arial" w:eastAsia="Arial" w:hAnsi="Arial"/>
                <w:sz w:val="18"/>
                <w:szCs w:val="18"/>
                <w:color w:val="auto"/>
                <w:w w:val="90"/>
              </w:rPr>
              <w:t>(Address, including zip code, and telephone number,</w:t>
            </w:r>
          </w:p>
        </w:tc>
        <w:tc>
          <w:tcPr>
            <w:tcW w:w="3200" w:type="dxa"/>
            <w:vAlign w:val="bottom"/>
          </w:tcPr>
          <w:p>
            <w:pPr>
              <w:spacing w:after="0"/>
              <w:rPr>
                <w:sz w:val="18"/>
                <w:szCs w:val="18"/>
                <w:color w:val="auto"/>
              </w:rPr>
            </w:pPr>
          </w:p>
        </w:tc>
      </w:tr>
      <w:tr>
        <w:trPr>
          <w:trHeight w:val="230"/>
        </w:trPr>
        <w:tc>
          <w:tcPr>
            <w:tcW w:w="7680" w:type="dxa"/>
            <w:vAlign w:val="bottom"/>
            <w:gridSpan w:val="4"/>
          </w:tcPr>
          <w:p>
            <w:pPr>
              <w:jc w:val="center"/>
              <w:ind w:left="3050"/>
              <w:spacing w:after="0"/>
              <w:rPr>
                <w:sz w:val="20"/>
                <w:szCs w:val="20"/>
                <w:color w:val="auto"/>
              </w:rPr>
            </w:pPr>
            <w:r>
              <w:rPr>
                <w:rFonts w:ascii="Arial" w:cs="Arial" w:eastAsia="Arial" w:hAnsi="Arial"/>
                <w:sz w:val="18"/>
                <w:szCs w:val="18"/>
                <w:color w:val="auto"/>
                <w:w w:val="91"/>
              </w:rPr>
              <w:t>including area code, of registrant’s principal executive offices)</w:t>
            </w:r>
          </w:p>
        </w:tc>
        <w:tc>
          <w:tcPr>
            <w:tcW w:w="3200" w:type="dxa"/>
            <w:vAlign w:val="bottom"/>
          </w:tcPr>
          <w:p>
            <w:pPr>
              <w:spacing w:after="0"/>
              <w:rPr>
                <w:sz w:val="20"/>
                <w:szCs w:val="20"/>
                <w:color w:val="auto"/>
              </w:rPr>
            </w:pPr>
          </w:p>
        </w:tc>
      </w:tr>
      <w:tr>
        <w:trPr>
          <w:trHeight w:val="414"/>
        </w:trPr>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89"/>
              </w:rPr>
              <w:t>Adam Stone</w:t>
            </w:r>
          </w:p>
        </w:tc>
        <w:tc>
          <w:tcPr>
            <w:tcW w:w="320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0"/>
              </w:rPr>
              <w:t>51 Astor Place, 10th Floor</w:t>
            </w:r>
          </w:p>
        </w:tc>
        <w:tc>
          <w:tcPr>
            <w:tcW w:w="32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w w:val="92"/>
              </w:rPr>
              <w:t>New York, New York 10003</w:t>
            </w:r>
          </w:p>
        </w:tc>
        <w:tc>
          <w:tcPr>
            <w:tcW w:w="3200" w:type="dxa"/>
            <w:vAlign w:val="bottom"/>
          </w:tcPr>
          <w:p>
            <w:pPr>
              <w:spacing w:after="0"/>
              <w:rPr>
                <w:sz w:val="18"/>
                <w:szCs w:val="18"/>
                <w:color w:val="auto"/>
              </w:rPr>
            </w:pPr>
          </w:p>
        </w:tc>
      </w:tr>
      <w:tr>
        <w:trPr>
          <w:trHeight w:val="220"/>
        </w:trPr>
        <w:tc>
          <w:tcPr>
            <w:tcW w:w="3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Tel.: (212) 284 2300</w:t>
            </w:r>
          </w:p>
        </w:tc>
        <w:tc>
          <w:tcPr>
            <w:tcW w:w="3200" w:type="dxa"/>
            <w:vAlign w:val="bottom"/>
          </w:tcPr>
          <w:p>
            <w:pPr>
              <w:spacing w:after="0"/>
              <w:rPr>
                <w:sz w:val="19"/>
                <w:szCs w:val="19"/>
                <w:color w:val="auto"/>
              </w:rPr>
            </w:pPr>
          </w:p>
        </w:tc>
      </w:tr>
      <w:tr>
        <w:trPr>
          <w:trHeight w:val="216"/>
        </w:trPr>
        <w:tc>
          <w:tcPr>
            <w:tcW w:w="7680" w:type="dxa"/>
            <w:vAlign w:val="bottom"/>
            <w:gridSpan w:val="4"/>
          </w:tcPr>
          <w:p>
            <w:pPr>
              <w:jc w:val="center"/>
              <w:ind w:left="3050"/>
              <w:spacing w:after="0"/>
              <w:rPr>
                <w:sz w:val="20"/>
                <w:szCs w:val="20"/>
                <w:color w:val="auto"/>
              </w:rPr>
            </w:pPr>
            <w:r>
              <w:rPr>
                <w:rFonts w:ascii="Arial" w:cs="Arial" w:eastAsia="Arial" w:hAnsi="Arial"/>
                <w:sz w:val="18"/>
                <w:szCs w:val="18"/>
                <w:color w:val="auto"/>
                <w:w w:val="89"/>
              </w:rPr>
              <w:t>(Name, address, including zip code, and telephone number,</w:t>
            </w:r>
          </w:p>
        </w:tc>
        <w:tc>
          <w:tcPr>
            <w:tcW w:w="320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4280" w:type="dxa"/>
            <w:vAlign w:val="bottom"/>
            <w:gridSpan w:val="3"/>
          </w:tcPr>
          <w:p>
            <w:pPr>
              <w:jc w:val="center"/>
              <w:ind w:right="190"/>
              <w:spacing w:after="0"/>
              <w:rPr>
                <w:sz w:val="20"/>
                <w:szCs w:val="20"/>
                <w:color w:val="auto"/>
              </w:rPr>
            </w:pPr>
            <w:r>
              <w:rPr>
                <w:rFonts w:ascii="Arial" w:cs="Arial" w:eastAsia="Arial" w:hAnsi="Arial"/>
                <w:sz w:val="18"/>
                <w:szCs w:val="18"/>
                <w:color w:val="auto"/>
                <w:w w:val="91"/>
              </w:rPr>
              <w:t>including area code, of agent for service)</w:t>
            </w:r>
          </w:p>
        </w:tc>
        <w:tc>
          <w:tcPr>
            <w:tcW w:w="320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gridSpan w:val="2"/>
          </w:tcPr>
          <w:p>
            <w:pPr>
              <w:jc w:val="center"/>
              <w:ind w:right="1050"/>
              <w:spacing w:after="0"/>
              <w:rPr>
                <w:sz w:val="20"/>
                <w:szCs w:val="20"/>
                <w:color w:val="auto"/>
              </w:rPr>
            </w:pPr>
            <w:r>
              <w:rPr>
                <w:rFonts w:ascii="Arial" w:cs="Arial" w:eastAsia="Arial" w:hAnsi="Arial"/>
                <w:sz w:val="18"/>
                <w:szCs w:val="18"/>
                <w:b w:val="1"/>
                <w:bCs w:val="1"/>
                <w:i w:val="1"/>
                <w:iCs w:val="1"/>
                <w:color w:val="auto"/>
                <w:w w:val="84"/>
              </w:rPr>
              <w:t>Copies to:</w:t>
            </w:r>
          </w:p>
        </w:tc>
        <w:tc>
          <w:tcPr>
            <w:tcW w:w="3200" w:type="dxa"/>
            <w:vAlign w:val="bottom"/>
          </w:tcPr>
          <w:p>
            <w:pPr>
              <w:spacing w:after="0"/>
              <w:rPr>
                <w:sz w:val="24"/>
                <w:szCs w:val="24"/>
                <w:color w:val="auto"/>
              </w:rPr>
            </w:pPr>
          </w:p>
        </w:tc>
      </w:tr>
      <w:tr>
        <w:trPr>
          <w:trHeight w:val="414"/>
        </w:trPr>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Christian O. Nagler</w:t>
            </w: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Gregg A. Noel</w:t>
            </w:r>
          </w:p>
        </w:tc>
      </w:tr>
      <w:tr>
        <w:trPr>
          <w:trHeight w:val="216"/>
        </w:trPr>
        <w:tc>
          <w:tcPr>
            <w:tcW w:w="34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Ross M. Leff</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Michael J. Mies</w:t>
            </w:r>
          </w:p>
        </w:tc>
      </w:tr>
      <w:tr>
        <w:trPr>
          <w:trHeight w:val="216"/>
        </w:trPr>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Kirkland &amp; Ellis LLP</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36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3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601 Lexington Avenue</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525 University Avenue, Suite 1400</w:t>
            </w:r>
          </w:p>
        </w:tc>
      </w:tr>
      <w:tr>
        <w:trPr>
          <w:trHeight w:val="216"/>
        </w:trPr>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10022</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Palo Alto, California 94301</w:t>
            </w:r>
          </w:p>
        </w:tc>
      </w:tr>
      <w:tr>
        <w:trPr>
          <w:trHeight w:val="216"/>
        </w:trPr>
        <w:tc>
          <w:tcPr>
            <w:tcW w:w="3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Tel: (212) 446 4800</w:t>
            </w: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Tel: (650) 470 4500</w:t>
            </w:r>
          </w:p>
        </w:tc>
      </w:tr>
      <w:tr>
        <w:trPr>
          <w:trHeight w:val="241"/>
        </w:trPr>
        <w:tc>
          <w:tcPr>
            <w:tcW w:w="34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Fax: (212) 446 4900</w:t>
            </w:r>
          </w:p>
        </w:tc>
        <w:tc>
          <w:tcPr>
            <w:tcW w:w="88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Fax: (650) 470 4570</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68"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9"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9"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If this Form is a post</w:t>
      </w:r>
      <w:r>
        <w:rPr>
          <w:rFonts w:ascii="MS PGothic" w:cs="MS PGothic" w:eastAsia="MS PGothic" w:hAnsi="MS PGothic"/>
          <w:sz w:val="18"/>
          <w:szCs w:val="18"/>
          <w:color w:val="auto"/>
        </w:rPr>
        <w:t>‑</w:t>
      </w:r>
      <w:r>
        <w:rPr>
          <w:rFonts w:ascii="Arial" w:cs="Arial" w:eastAsia="Arial" w:hAnsi="Arial"/>
          <w:sz w:val="18"/>
          <w:szCs w:val="18"/>
          <w:color w:val="auto"/>
        </w:rPr>
        <w:t xml:space="preserve">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9"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If this Form is a post</w:t>
      </w:r>
      <w:r>
        <w:rPr>
          <w:rFonts w:ascii="MS PGothic" w:cs="MS PGothic" w:eastAsia="MS PGothic" w:hAnsi="MS PGothic"/>
          <w:sz w:val="18"/>
          <w:szCs w:val="18"/>
          <w:color w:val="auto"/>
        </w:rPr>
        <w:t>‑</w:t>
      </w:r>
      <w:r>
        <w:rPr>
          <w:rFonts w:ascii="Arial" w:cs="Arial" w:eastAsia="Arial" w:hAnsi="Arial"/>
          <w:sz w:val="18"/>
          <w:szCs w:val="18"/>
          <w:color w:val="auto"/>
        </w:rPr>
        <w:t xml:space="preserve">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9" w:lineRule="exact"/>
        <w:rPr>
          <w:sz w:val="24"/>
          <w:szCs w:val="24"/>
          <w:color w:val="auto"/>
        </w:rPr>
      </w:pPr>
    </w:p>
    <w:p>
      <w:pPr>
        <w:ind w:right="120" w:firstLine="324"/>
        <w:spacing w:after="0" w:line="220"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1240"/>
          </w:cols>
          <w:pgMar w:left="320" w:top="229" w:right="339" w:bottom="0" w:gutter="0" w:footer="0" w:header="0"/>
        </w:sect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0" w:lineRule="exact"/>
        <w:rPr>
          <w:sz w:val="24"/>
          <w:szCs w:val="24"/>
          <w:color w:val="auto"/>
        </w:rPr>
      </w:pPr>
    </w:p>
    <w:p>
      <w:pPr>
        <w:sectPr>
          <w:pgSz w:w="11900" w:h="16838" w:orient="portrait"/>
          <w:cols w:equalWidth="0" w:num="8">
            <w:col w:w="1620" w:space="200"/>
            <w:col w:w="620" w:space="720"/>
            <w:col w:w="1220" w:space="140"/>
            <w:col w:w="420" w:space="720"/>
            <w:col w:w="1520" w:space="140"/>
            <w:col w:w="740" w:space="720"/>
            <w:col w:w="1980" w:space="260"/>
            <w:col w:w="220"/>
          </w:cols>
          <w:pgMar w:left="320" w:top="229" w:right="339" w:bottom="0" w:gutter="0" w:footer="0" w:header="0"/>
          <w:type w:val="continuous"/>
        </w:sect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406400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Borders>
              <w:top w:val="single" w:sz="8" w:color="auto"/>
            </w:tcBorders>
          </w:tcPr>
          <w:p>
            <w:pPr>
              <w:spacing w:after="0"/>
              <w:rPr>
                <w:sz w:val="17"/>
                <w:szCs w:val="17"/>
                <w:color w:val="auto"/>
              </w:rPr>
            </w:pPr>
          </w:p>
        </w:tc>
        <w:tc>
          <w:tcPr>
            <w:tcW w:w="4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6"/>
              </w:rPr>
              <w:t>Proposed</w:t>
            </w: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7"/>
              </w:rPr>
              <w:t>Proposed Maximum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 of</w:t>
            </w: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12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20" w:type="dxa"/>
            <w:vAlign w:val="bottom"/>
          </w:tcPr>
          <w:p>
            <w:pPr>
              <w:spacing w:after="0"/>
              <w:rPr>
                <w:sz w:val="17"/>
                <w:szCs w:val="17"/>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251"/>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Securities to be Registered</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440" w:type="dxa"/>
            <w:vAlign w:val="bottom"/>
            <w:gridSpan w:val="4"/>
          </w:tcPr>
          <w:p>
            <w:pPr>
              <w:jc w:val="center"/>
              <w:ind w:right="80"/>
              <w:spacing w:after="0" w:line="243" w:lineRule="exact"/>
              <w:rPr>
                <w:sz w:val="20"/>
                <w:szCs w:val="20"/>
                <w:color w:val="auto"/>
              </w:rPr>
            </w:pPr>
            <w:r>
              <w:rPr>
                <w:rFonts w:ascii="Arial" w:cs="Arial" w:eastAsia="Arial" w:hAnsi="Arial"/>
                <w:sz w:val="17"/>
                <w:szCs w:val="17"/>
                <w:b w:val="1"/>
                <w:bCs w:val="1"/>
                <w:color w:val="auto"/>
                <w:w w:val="91"/>
              </w:rPr>
              <w:t>Per Security</w:t>
            </w:r>
            <w:r>
              <w:rPr>
                <w:rFonts w:ascii="Arial" w:cs="Arial" w:eastAsia="Arial" w:hAnsi="Arial"/>
                <w:sz w:val="28"/>
                <w:szCs w:val="28"/>
                <w:b w:val="1"/>
                <w:bCs w:val="1"/>
                <w:color w:val="auto"/>
                <w:w w:val="91"/>
                <w:vertAlign w:val="superscript"/>
              </w:rPr>
              <w:t>(1)</w:t>
            </w:r>
          </w:p>
        </w:tc>
        <w:tc>
          <w:tcPr>
            <w:tcW w:w="120" w:type="dxa"/>
            <w:vAlign w:val="bottom"/>
          </w:tcPr>
          <w:p>
            <w:pPr>
              <w:spacing w:after="0"/>
              <w:rPr>
                <w:sz w:val="21"/>
                <w:szCs w:val="21"/>
                <w:color w:val="auto"/>
              </w:rPr>
            </w:pPr>
          </w:p>
        </w:tc>
        <w:tc>
          <w:tcPr>
            <w:tcW w:w="1560" w:type="dxa"/>
            <w:vAlign w:val="bottom"/>
            <w:gridSpan w:val="2"/>
          </w:tcPr>
          <w:p>
            <w:pPr>
              <w:jc w:val="right"/>
              <w:ind w:right="260"/>
              <w:spacing w:after="0" w:line="243" w:lineRule="exact"/>
              <w:rPr>
                <w:sz w:val="20"/>
                <w:szCs w:val="20"/>
                <w:color w:val="auto"/>
              </w:rPr>
            </w:pPr>
            <w:r>
              <w:rPr>
                <w:rFonts w:ascii="Arial" w:cs="Arial" w:eastAsia="Arial" w:hAnsi="Arial"/>
                <w:sz w:val="17"/>
                <w:szCs w:val="17"/>
                <w:b w:val="1"/>
                <w:bCs w:val="1"/>
                <w:color w:val="auto"/>
                <w:w w:val="94"/>
              </w:rPr>
              <w:t>Offering Price</w:t>
            </w:r>
            <w:r>
              <w:rPr>
                <w:rFonts w:ascii="Arial" w:cs="Arial" w:eastAsia="Arial" w:hAnsi="Arial"/>
                <w:sz w:val="28"/>
                <w:szCs w:val="28"/>
                <w:b w:val="1"/>
                <w:bCs w:val="1"/>
                <w:color w:val="auto"/>
                <w:w w:val="94"/>
                <w:vertAlign w:val="superscript"/>
              </w:rPr>
              <w:t>(1)</w:t>
            </w:r>
          </w:p>
        </w:tc>
        <w:tc>
          <w:tcPr>
            <w:tcW w:w="14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Registration Fee</w:t>
            </w:r>
          </w:p>
        </w:tc>
        <w:tc>
          <w:tcPr>
            <w:tcW w:w="0" w:type="dxa"/>
            <w:vAlign w:val="bottom"/>
          </w:tcPr>
          <w:p>
            <w:pPr>
              <w:spacing w:after="0"/>
              <w:rPr>
                <w:sz w:val="1"/>
                <w:szCs w:val="1"/>
                <w:color w:val="auto"/>
              </w:rPr>
            </w:pPr>
          </w:p>
        </w:tc>
      </w:tr>
      <w:tr>
        <w:trPr>
          <w:trHeight w:val="192"/>
        </w:trPr>
        <w:tc>
          <w:tcPr>
            <w:tcW w:w="556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8"/>
                <w:szCs w:val="18"/>
                <w:color w:val="auto"/>
                <w:w w:val="90"/>
              </w:rPr>
              <w:t>Units, each consisting of one Class A ordinary share, $0.0001 par value, and</w:t>
            </w:r>
          </w:p>
        </w:tc>
        <w:tc>
          <w:tcPr>
            <w:tcW w:w="12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8"/>
                <w:szCs w:val="18"/>
                <w:color w:val="auto"/>
                <w:w w:val="90"/>
              </w:rPr>
              <w:t>14,375,000</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560" w:type="dxa"/>
            <w:vAlign w:val="bottom"/>
            <w:gridSpan w:val="2"/>
            <w:shd w:val="clear" w:color="auto" w:fill="CCEEFF"/>
          </w:tcPr>
          <w:p>
            <w:pPr>
              <w:ind w:left="80"/>
              <w:spacing w:after="0" w:line="240" w:lineRule="exact"/>
              <w:rPr>
                <w:sz w:val="20"/>
                <w:szCs w:val="20"/>
                <w:color w:val="auto"/>
              </w:rPr>
            </w:pPr>
            <w:r>
              <w:rPr>
                <w:rFonts w:ascii="Arial" w:cs="Arial" w:eastAsia="Arial" w:hAnsi="Arial"/>
                <w:sz w:val="17"/>
                <w:szCs w:val="17"/>
                <w:color w:val="auto"/>
              </w:rPr>
              <w:t>one-fourth of one redeemable warrant</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units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Class A ordinary shares included as part of the units</w:t>
            </w:r>
            <w:r>
              <w:rPr>
                <w:rFonts w:ascii="Arial" w:cs="Arial" w:eastAsia="Arial" w:hAnsi="Arial"/>
                <w:sz w:val="29"/>
                <w:szCs w:val="29"/>
                <w:color w:val="auto"/>
                <w:vertAlign w:val="superscript"/>
              </w:rPr>
              <w:t>(3)</w:t>
            </w:r>
          </w:p>
        </w:tc>
        <w:tc>
          <w:tcPr>
            <w:tcW w:w="1100" w:type="dxa"/>
            <w:vAlign w:val="bottom"/>
            <w:gridSpan w:val="2"/>
          </w:tcPr>
          <w:p>
            <w:pPr>
              <w:jc w:val="center"/>
              <w:ind w:left="30"/>
              <w:spacing w:after="0" w:line="201" w:lineRule="exact"/>
              <w:rPr>
                <w:sz w:val="20"/>
                <w:szCs w:val="20"/>
                <w:color w:val="auto"/>
              </w:rPr>
            </w:pPr>
            <w:r>
              <w:rPr>
                <w:rFonts w:ascii="Arial" w:cs="Arial" w:eastAsia="Arial" w:hAnsi="Arial"/>
                <w:sz w:val="18"/>
                <w:szCs w:val="18"/>
                <w:color w:val="auto"/>
                <w:w w:val="90"/>
              </w:rPr>
              <w:t>14,375,000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5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100" w:type="dxa"/>
            <w:vAlign w:val="bottom"/>
            <w:gridSpan w:val="2"/>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9"/>
              </w:rPr>
              <w:t>3,593,750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warrants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143,750,000</w:t>
            </w:r>
          </w:p>
        </w:tc>
        <w:tc>
          <w:tcPr>
            <w:tcW w:w="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20" w:type="dxa"/>
            <w:vAlign w:val="bottom"/>
            <w:tcBorders>
              <w:bottom w:val="single" w:sz="8" w:color="auto"/>
            </w:tcBorders>
          </w:tcPr>
          <w:p>
            <w:pPr>
              <w:spacing w:after="0"/>
              <w:rPr>
                <w:sz w:val="21"/>
                <w:szCs w:val="21"/>
                <w:color w:val="auto"/>
              </w:rPr>
            </w:pPr>
          </w:p>
        </w:tc>
        <w:tc>
          <w:tcPr>
            <w:tcW w:w="4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252"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1,875,000 units, consisting of 1,875,000 Class A ordinary shares and 468,750 warrants, which may be issued upon exercise of a 45-day option granted to the underwriters to cover over allotments, if any.</w:t>
      </w:r>
    </w:p>
    <w:p>
      <w:pPr>
        <w:spacing w:after="0" w:line="197"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share splits, share dividends or similar transactions.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52" w:lineRule="exact"/>
        <w:rPr>
          <w:sz w:val="20"/>
          <w:szCs w:val="20"/>
          <w:color w:val="auto"/>
        </w:rPr>
      </w:pPr>
    </w:p>
    <w:p>
      <w:pPr>
        <w:ind w:left="340" w:right="2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457(o) under the Securities Act of 1933, as amended. Includes offering price of shares that the underwriters have the option to purchase.</w:t>
      </w:r>
    </w:p>
    <w:p>
      <w:pPr>
        <w:spacing w:after="0" w:line="193" w:lineRule="exact"/>
        <w:rPr>
          <w:sz w:val="20"/>
          <w:szCs w:val="20"/>
          <w:color w:val="auto"/>
        </w:rPr>
      </w:pPr>
    </w:p>
    <w:p>
      <w:pPr>
        <w:ind w:right="40"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right="100"/>
        <w:spacing w:after="0" w:line="289" w:lineRule="auto"/>
        <w:rPr>
          <w:sz w:val="20"/>
          <w:szCs w:val="20"/>
          <w:color w:val="auto"/>
        </w:rPr>
      </w:pPr>
      <w:r>
        <w:rPr>
          <w:rFonts w:ascii="Arial" w:cs="Arial" w:eastAsia="Arial" w:hAnsi="Arial"/>
          <w:sz w:val="17"/>
          <w:szCs w:val="17"/>
          <w:b w:val="1"/>
          <w:bCs w:val="1"/>
          <w:color w:val="C0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C00000"/>
        </w:rPr>
        <w:t>SUBJECT TO COMPLETION, DATED APRIL 16,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 Units</w:t>
      </w:r>
    </w:p>
    <w:p>
      <w:pPr>
        <w:spacing w:after="0" w:line="23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ARYA Sciences Acquisition Corp III is a newly organized blank check company incorporated as a Cayman Islands exempted company and formed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w:t>
      </w:r>
    </w:p>
    <w:p>
      <w:pPr>
        <w:spacing w:after="0" w:line="198"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This is an initial public offering of our securities. Each unit has an offering price of $10.00 and consists of one Class A ordinary share and one</w:t>
      </w:r>
      <w:r>
        <w:rPr>
          <w:rFonts w:ascii="MS PGothic" w:cs="MS PGothic" w:eastAsia="MS PGothic" w:hAnsi="MS PGothic"/>
          <w:sz w:val="18"/>
          <w:szCs w:val="18"/>
          <w:color w:val="auto"/>
        </w:rPr>
        <w:t>‑</w:t>
      </w:r>
      <w:r>
        <w:rPr>
          <w:rFonts w:ascii="Arial" w:cs="Arial" w:eastAsia="Arial" w:hAnsi="Arial"/>
          <w:sz w:val="18"/>
          <w:szCs w:val="18"/>
          <w:color w:val="auto"/>
        </w:rPr>
        <w:t>fourth of one redeemable warrant. Each whole warrant entitles the holder thereof to purchase one Class A ordinary share at a price of $11.50 per share, subject to adjustment, terms and limitations as described herein. The underwriters have a 45</w:t>
      </w:r>
      <w:r>
        <w:rPr>
          <w:rFonts w:ascii="MS PGothic" w:cs="MS PGothic" w:eastAsia="MS PGothic" w:hAnsi="MS PGothic"/>
          <w:sz w:val="18"/>
          <w:szCs w:val="18"/>
          <w:color w:val="auto"/>
        </w:rPr>
        <w:t>‑</w:t>
      </w:r>
      <w:r>
        <w:rPr>
          <w:rFonts w:ascii="Arial" w:cs="Arial" w:eastAsia="Arial" w:hAnsi="Arial"/>
          <w:sz w:val="18"/>
          <w:szCs w:val="18"/>
          <w:color w:val="auto"/>
        </w:rPr>
        <w:t>day option from the date of this prospectus to purchase up to 1,875,000 additional units to cover over</w:t>
      </w:r>
      <w:r>
        <w:rPr>
          <w:rFonts w:ascii="MS PGothic" w:cs="MS PGothic" w:eastAsia="MS PGothic" w:hAnsi="MS PGothic"/>
          <w:sz w:val="18"/>
          <w:szCs w:val="18"/>
          <w:color w:val="auto"/>
        </w:rPr>
        <w:t>‑</w:t>
      </w:r>
      <w:r>
        <w:rPr>
          <w:rFonts w:ascii="Arial" w:cs="Arial" w:eastAsia="Arial" w:hAnsi="Arial"/>
          <w:sz w:val="18"/>
          <w:szCs w:val="18"/>
          <w:color w:val="auto"/>
        </w:rPr>
        <w:t>allotments, if any.</w:t>
      </w:r>
    </w:p>
    <w:p>
      <w:pPr>
        <w:spacing w:after="0" w:line="23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subject to the limitations as described herein. If we do not consummate an initial business combination within 24 months from the closing of this offering, we will redeem 100% of the public shares for cash, subject to applicable law and certain conditions as described herein.</w:t>
      </w:r>
    </w:p>
    <w:p>
      <w:pPr>
        <w:spacing w:after="0" w:line="176"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auto"/>
        </w:rPr>
        <w:t>Our sponsor, ARYA Sciences Holdings III, has agreed to purchase 450,000 units (or 487,500 units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at a price of $10.00 per unit in a private placement to occur concurrently with the closing of this offering for an aggregate purchase price of $4,500,000 (or $4,875,000 if the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that will close simultaneously with the closing of this offering. The private placement units are identical to the units sold in this offering, subject to certain limited exceptions as described in this prospectus.</w:t>
      </w:r>
    </w:p>
    <w:p>
      <w:pPr>
        <w:spacing w:after="0" w:line="23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initial shareholders currently own 3,593,750 Class B ordinary shares (up to 468,750 of which are subject to forfeiture) which will automatically convert into Class A ordinary shares at the time of our initial business combination as described herein. Prior to the completion of our initial business combination, only holders of our Class B ordinary shares will be entitled to vote on the election of directors.</w:t>
      </w:r>
    </w:p>
    <w:p>
      <w:pPr>
        <w:spacing w:after="0" w:line="192"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Our sponsor has indicated an interest to purchase up to an aggregate of $25,000,000 of our ordinary shares in a private placement that would occur concurrently with the consummation of our initial business combination. The capital from such private placement would be used as part of the consideration to the sellers in our initial business combination, and any excess capital from such private placement would be used for working capital in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Currently, there is no public market for our securities. We intend to apply to have our units listed on The Nasdaq Capital Market, or Nasdaq, under the</w:t>
      </w:r>
    </w:p>
    <w:p>
      <w:pPr>
        <w:spacing w:after="0" w:line="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symbol “</w:t>
      </w:r>
      <w:r>
        <w:rPr>
          <w:sz w:val="20"/>
          <w:szCs w:val="20"/>
          <w:color w:val="auto"/>
        </w:rPr>
        <w:tab/>
      </w:r>
      <w:r>
        <w:rPr>
          <w:rFonts w:ascii="Arial" w:cs="Arial" w:eastAsia="Arial" w:hAnsi="Arial"/>
          <w:sz w:val="16"/>
          <w:szCs w:val="16"/>
          <w:color w:val="auto"/>
        </w:rPr>
        <w:t>.” We expect the Class A ordinary shares and warrants comprising the units to begin separate trading on Nasdaq under the symbols “</w:t>
      </w:r>
    </w:p>
    <w:p>
      <w:pPr>
        <w:spacing w:after="0" w:line="9"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respectively, on the 52nd day following the date of this prospectus unless the underwriters permit earlier separate trading and we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satisfied certain conditions described herein.</w:t>
      </w:r>
    </w:p>
    <w:p>
      <w:pPr>
        <w:spacing w:after="0" w:line="23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We are an “emerging growth company” and “smaller reporting company” under applicable federal securities laws and will be subject to reduced public company reporting requirements. Investing in our securities involves a high degree of risk. See “Risk Factors” beginning on page 27 for a discussion of information that should be considered in connection with an investment in our securities. Investors will not be entitled to protections normally afforded to investors in Rule 419 blank check offerings.</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 Unit</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125,000,000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line="216"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5"/>
                <w:szCs w:val="25"/>
                <w:color w:val="auto"/>
                <w:vertAlign w:val="superscript"/>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6,875,000</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118,125,000</w:t>
            </w:r>
          </w:p>
        </w:tc>
      </w:tr>
      <w:tr>
        <w:trPr>
          <w:trHeight w:val="250"/>
        </w:trPr>
        <w:tc>
          <w:tcPr>
            <w:tcW w:w="1120" w:type="dxa"/>
            <w:vAlign w:val="bottom"/>
            <w:tcBorders>
              <w:bottom w:val="single" w:sz="8" w:color="auto"/>
            </w:tcBorders>
          </w:tcPr>
          <w:p>
            <w:pPr>
              <w:spacing w:after="0"/>
              <w:rPr>
                <w:sz w:val="21"/>
                <w:szCs w:val="21"/>
                <w:color w:val="auto"/>
              </w:rPr>
            </w:pPr>
          </w:p>
        </w:tc>
        <w:tc>
          <w:tcPr>
            <w:tcW w:w="7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9" w:lineRule="exact"/>
        <w:rPr>
          <w:sz w:val="20"/>
          <w:szCs w:val="20"/>
          <w:color w:val="auto"/>
        </w:rPr>
      </w:pPr>
    </w:p>
    <w:p>
      <w:pPr>
        <w:ind w:left="340" w:right="140" w:hanging="332"/>
        <w:spacing w:after="0" w:line="220" w:lineRule="exact"/>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$0.35 per unit, or $4,375,000 in the aggregate (or $5,031,250 in the aggregate if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beginning on page 142 for a description of compensation and other items of value payable to the underwriters.</w:t>
      </w:r>
    </w:p>
    <w:p>
      <w:pPr>
        <w:spacing w:after="0" w:line="23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Of the proceeds we receive from this offering and the sale of the private placement units described in this prospectus, $125.0 million, or $143.75 million if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($10.00 per unit in either case), will be deposited into a trust account located in the United States with Continental Stock Transfer &amp; Trust Company acting as trustee.</w:t>
      </w:r>
    </w:p>
    <w:p>
      <w:pPr>
        <w:spacing w:after="0" w:line="2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underwriters are offering the units for sale on a firm commitment basis. The underwriters expect to deliver the units to the purchasers on or about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i w:val="1"/>
          <w:iCs w:val="1"/>
          <w:color w:val="auto"/>
        </w:rPr>
        <w:t>Sole Book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Running Manager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46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SUMMARY</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SUMMARY FINANCIAL DATA</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line="207" w:lineRule="exact"/>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CAUTIONARY NOTE REGARDING FORWARD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LOOKING STATEMENTS</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DIVIDEND POLICY</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MANAGEMENT’S DISCUSSION AND ANALYSIS OF FINANCIAL CONDITION AND RESULTS OF OPERATIONS</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MANAGEMENT</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PRINCIPAL SHAREHOLDERS</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CERTAIN RELATIONSHIPS AND RELATED PARTY TRANSACTIONS</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DESCRIPTION OF SECURITIES</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TAXATION</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UNDERWRITING</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LEGAL MATTERS</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EXPERTS</w:t>
              </w:r>
            </w:hyperlink>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gridSpan w:val="3"/>
            <w:shd w:val="clear" w:color="auto" w:fill="CCEEFF"/>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WHERE YOU CAN FIND ADDITIONAL INFORMATION</w:t>
              </w:r>
            </w:hyperlink>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00" w:type="dxa"/>
            <w:vAlign w:val="bottom"/>
            <w:gridSpan w:val="3"/>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INDEX TO FINANCIAL STATEMENTS</w:t>
              </w:r>
            </w:hyperlink>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180"/>
        <w:spacing w:after="0" w:line="281" w:lineRule="auto"/>
        <w:rPr>
          <w:sz w:val="20"/>
          <w:szCs w:val="20"/>
          <w:color w:val="auto"/>
        </w:rPr>
      </w:pPr>
      <w:r>
        <w:rPr>
          <w:rFonts w:ascii="Arial" w:cs="Arial" w:eastAsia="Arial" w:hAnsi="Arial"/>
          <w:sz w:val="17"/>
          <w:szCs w:val="17"/>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7127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7127875"/>
                    </a:xfrm>
                    <a:prstGeom prst="rect">
                      <a:avLst/>
                    </a:prstGeom>
                    <a:noFill/>
                  </pic:spPr>
                </pic:pic>
              </a:graphicData>
            </a:graphic>
          </wp:anchor>
        </w:drawing>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left="100"/>
        <w:spacing w:after="0" w:line="34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252" w:lineRule="exact"/>
        <w:rPr>
          <w:sz w:val="20"/>
          <w:szCs w:val="20"/>
          <w:color w:val="auto"/>
        </w:rPr>
      </w:pPr>
    </w:p>
    <w:p>
      <w:pPr>
        <w:ind w:left="1080" w:hanging="330"/>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“Companies Law” are to the Companies Law (2020 Revision) of the Cayman Islands as the same may be amended from time to time;</w:t>
      </w:r>
    </w:p>
    <w:p>
      <w:pPr>
        <w:spacing w:after="0" w:line="263" w:lineRule="exact"/>
        <w:rPr>
          <w:rFonts w:ascii="Arial" w:cs="Arial" w:eastAsia="Arial" w:hAnsi="Arial"/>
          <w:sz w:val="17"/>
          <w:szCs w:val="17"/>
          <w:color w:val="auto"/>
        </w:rPr>
      </w:pPr>
    </w:p>
    <w:p>
      <w:pPr>
        <w:ind w:left="1080" w:hanging="330"/>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“company,” “we,” “us,” “our,” or “our company” are to ARYA Sciences Acquisition Corp III, a Cayman Islands exempted company;</w:t>
      </w:r>
    </w:p>
    <w:p>
      <w:pPr>
        <w:spacing w:after="0" w:line="263" w:lineRule="exact"/>
        <w:rPr>
          <w:rFonts w:ascii="Arial" w:cs="Arial" w:eastAsia="Arial" w:hAnsi="Arial"/>
          <w:sz w:val="17"/>
          <w:szCs w:val="17"/>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“founders” are to Adam Stone and Michael Altman, senior executives of Perceptive Advisors;</w:t>
      </w:r>
    </w:p>
    <w:p>
      <w:pPr>
        <w:spacing w:after="0" w:line="252" w:lineRule="exact"/>
        <w:rPr>
          <w:rFonts w:ascii="Arial" w:cs="Arial" w:eastAsia="Arial" w:hAnsi="Arial"/>
          <w:sz w:val="18"/>
          <w:szCs w:val="18"/>
          <w:color w:val="auto"/>
        </w:rPr>
      </w:pPr>
    </w:p>
    <w:p>
      <w:pPr>
        <w:ind w:left="1080" w:right="40" w:hanging="330"/>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210" w:lineRule="exact"/>
        <w:rPr>
          <w:rFonts w:ascii="Arial" w:cs="Arial" w:eastAsia="Arial" w:hAnsi="Arial"/>
          <w:sz w:val="18"/>
          <w:szCs w:val="18"/>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shareholders” are to our sponsor and each other holder of founder shares upon the consummation of this offering;</w:t>
      </w:r>
    </w:p>
    <w:p>
      <w:pPr>
        <w:spacing w:after="0" w:line="252" w:lineRule="exact"/>
        <w:rPr>
          <w:rFonts w:ascii="Arial" w:cs="Arial" w:eastAsia="Arial" w:hAnsi="Arial"/>
          <w:sz w:val="18"/>
          <w:szCs w:val="18"/>
          <w:color w:val="auto"/>
        </w:rPr>
      </w:pPr>
    </w:p>
    <w:p>
      <w:pPr>
        <w:ind w:left="1080" w:right="260" w:hanging="330"/>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 (including our director nominees who will become directors at the consummation of this offering);</w:t>
      </w:r>
    </w:p>
    <w:p>
      <w:pPr>
        <w:spacing w:after="0" w:line="197" w:lineRule="exact"/>
        <w:rPr>
          <w:rFonts w:ascii="Arial" w:cs="Arial" w:eastAsia="Arial" w:hAnsi="Arial"/>
          <w:sz w:val="18"/>
          <w:szCs w:val="18"/>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252" w:lineRule="exact"/>
        <w:rPr>
          <w:rFonts w:ascii="Arial" w:cs="Arial" w:eastAsia="Arial" w:hAnsi="Arial"/>
          <w:sz w:val="18"/>
          <w:szCs w:val="18"/>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“Perceptive Advisors” are to Perceptive Advisors, LLC, an affiliate of our sponsor;</w:t>
      </w:r>
    </w:p>
    <w:p>
      <w:pPr>
        <w:spacing w:after="0" w:line="252" w:lineRule="exact"/>
        <w:rPr>
          <w:rFonts w:ascii="Arial" w:cs="Arial" w:eastAsia="Arial" w:hAnsi="Arial"/>
          <w:sz w:val="18"/>
          <w:szCs w:val="18"/>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shares” are to the Class A ordinary shares sold as part of the private placement units;</w:t>
      </w:r>
    </w:p>
    <w:p>
      <w:pPr>
        <w:spacing w:after="0" w:line="252" w:lineRule="exact"/>
        <w:rPr>
          <w:rFonts w:ascii="Arial" w:cs="Arial" w:eastAsia="Arial" w:hAnsi="Arial"/>
          <w:sz w:val="18"/>
          <w:szCs w:val="18"/>
          <w:color w:val="auto"/>
        </w:rPr>
      </w:pPr>
    </w:p>
    <w:p>
      <w:pPr>
        <w:ind w:left="1080" w:right="20" w:hanging="330"/>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units” are to the units to be issued to our sponsor in a private placement simultaneously with the closing of this offering, which private placement units are identical to the units sold in this offering, subject to certain limited exceptions as described in this prospectus;</w:t>
      </w:r>
    </w:p>
    <w:p>
      <w:pPr>
        <w:spacing w:after="0" w:line="210" w:lineRule="exact"/>
        <w:rPr>
          <w:rFonts w:ascii="Arial" w:cs="Arial" w:eastAsia="Arial" w:hAnsi="Arial"/>
          <w:sz w:val="18"/>
          <w:szCs w:val="18"/>
          <w:color w:val="auto"/>
        </w:rPr>
      </w:pPr>
    </w:p>
    <w:p>
      <w:pPr>
        <w:ind w:left="1080" w:hanging="330"/>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placement warrants” are to the warrants sold as part of the private placement units and upon conversion of working capital loans, if any;</w:t>
      </w:r>
    </w:p>
    <w:p>
      <w:pPr>
        <w:spacing w:after="0" w:line="197" w:lineRule="exact"/>
        <w:rPr>
          <w:rFonts w:ascii="Arial" w:cs="Arial" w:eastAsia="Arial" w:hAnsi="Arial"/>
          <w:sz w:val="18"/>
          <w:szCs w:val="18"/>
          <w:color w:val="auto"/>
        </w:rPr>
      </w:pPr>
    </w:p>
    <w:p>
      <w:pPr>
        <w:jc w:val="both"/>
        <w:ind w:left="1080" w:right="100" w:hanging="330"/>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“public shareholders” are to the holders of our public shares, including our sponsor and management team to the extent our sponsor and/or members of our management team purchase public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our sponsor’s and each member of our management team’s status as a “public shareholder” will only exist with respect to such public shares;</w:t>
      </w:r>
    </w:p>
    <w:p>
      <w:pPr>
        <w:spacing w:after="0" w:line="210" w:lineRule="exact"/>
        <w:rPr>
          <w:rFonts w:ascii="Arial" w:cs="Arial" w:eastAsia="Arial" w:hAnsi="Arial"/>
          <w:sz w:val="18"/>
          <w:szCs w:val="18"/>
          <w:color w:val="auto"/>
        </w:rPr>
      </w:pPr>
    </w:p>
    <w:p>
      <w:pPr>
        <w:ind w:left="1080" w:right="40" w:hanging="330"/>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shares” are to our Class A ordinary shares to be sold as part of the units in this offering (whether they are purchased in this offering or thereafter in the open market); and</w:t>
      </w:r>
    </w:p>
    <w:p>
      <w:pPr>
        <w:spacing w:after="0" w:line="197" w:lineRule="exact"/>
        <w:rPr>
          <w:rFonts w:ascii="Arial" w:cs="Arial" w:eastAsia="Arial" w:hAnsi="Arial"/>
          <w:sz w:val="18"/>
          <w:szCs w:val="18"/>
          <w:color w:val="auto"/>
        </w:rPr>
      </w:pPr>
    </w:p>
    <w:p>
      <w:pPr>
        <w:ind w:left="1080" w:hanging="330"/>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 are to ARYA Sciences Holdings III, a Cayman Islands exempted limited company.</w:t>
      </w:r>
    </w:p>
    <w:p>
      <w:pPr>
        <w:spacing w:after="0" w:line="252" w:lineRule="exact"/>
        <w:rPr>
          <w:sz w:val="20"/>
          <w:szCs w:val="20"/>
          <w:color w:val="auto"/>
        </w:rPr>
      </w:pPr>
    </w:p>
    <w:p>
      <w:pPr>
        <w:ind w:left="100" w:right="20"/>
        <w:spacing w:after="0" w:line="259" w:lineRule="auto"/>
        <w:rPr>
          <w:sz w:val="20"/>
          <w:szCs w:val="20"/>
          <w:color w:val="auto"/>
        </w:rPr>
      </w:pPr>
      <w:r>
        <w:rPr>
          <w:rFonts w:ascii="Arial" w:cs="Arial" w:eastAsia="Arial" w:hAnsi="Arial"/>
          <w:sz w:val="18"/>
          <w:szCs w:val="18"/>
          <w:color w:val="auto"/>
        </w:rPr>
        <w:t>Any forfeiture or transfer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562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6562090"/>
                    </a:xfrm>
                    <a:prstGeom prst="rect">
                      <a:avLst/>
                    </a:prstGeom>
                    <a:noFill/>
                  </pic:spPr>
                </pic:pic>
              </a:graphicData>
            </a:graphic>
          </wp:anchor>
        </w:drawing>
      </w:r>
    </w:p>
    <w:p>
      <w:pPr>
        <w:spacing w:after="0" w:line="241" w:lineRule="exact"/>
        <w:rPr>
          <w:sz w:val="20"/>
          <w:szCs w:val="20"/>
          <w:color w:val="auto"/>
        </w:rPr>
      </w:pPr>
    </w:p>
    <w:p>
      <w:pPr>
        <w:ind w:left="100"/>
        <w:spacing w:after="0" w:line="207" w:lineRule="exact"/>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w:t>
      </w:r>
      <w:r>
        <w:rPr>
          <w:rFonts w:ascii="MS PGothic" w:cs="MS PGothic" w:eastAsia="MS PGothic" w:hAnsi="MS PGothic"/>
          <w:sz w:val="18"/>
          <w:szCs w:val="18"/>
          <w:color w:val="auto"/>
        </w:rPr>
        <w:t>‑</w:t>
      </w:r>
      <w:r>
        <w:rPr>
          <w:rFonts w:ascii="Arial" w:cs="Arial" w:eastAsia="Arial" w:hAnsi="Arial"/>
          <w:sz w:val="18"/>
          <w:szCs w:val="18"/>
          <w:color w:val="auto"/>
        </w:rPr>
        <w:t>allotment option.</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left="100" w:right="120"/>
        <w:spacing w:after="0" w:line="293" w:lineRule="auto"/>
        <w:rPr>
          <w:sz w:val="20"/>
          <w:szCs w:val="20"/>
          <w:color w:val="auto"/>
        </w:rPr>
      </w:pPr>
      <w:r>
        <w:rPr>
          <w:rFonts w:ascii="Arial" w:cs="Arial" w:eastAsia="Arial" w:hAnsi="Arial"/>
          <w:sz w:val="16"/>
          <w:szCs w:val="16"/>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91" w:lineRule="exact"/>
        <w:rPr>
          <w:sz w:val="20"/>
          <w:szCs w:val="20"/>
          <w:color w:val="auto"/>
        </w:rPr>
      </w:pPr>
    </w:p>
    <w:p>
      <w:pPr>
        <w:ind w:left="100" w:right="80"/>
        <w:spacing w:after="0" w:line="219" w:lineRule="exact"/>
        <w:rPr>
          <w:sz w:val="20"/>
          <w:szCs w:val="20"/>
          <w:color w:val="auto"/>
        </w:rPr>
      </w:pPr>
      <w:r>
        <w:rPr>
          <w:rFonts w:ascii="Arial" w:cs="Arial" w:eastAsia="Arial" w:hAnsi="Arial"/>
          <w:sz w:val="16"/>
          <w:szCs w:val="16"/>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 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Founders</w:t>
      </w:r>
    </w:p>
    <w:p>
      <w:pPr>
        <w:spacing w:after="0" w:line="256" w:lineRule="exact"/>
        <w:rPr>
          <w:sz w:val="20"/>
          <w:szCs w:val="20"/>
          <w:color w:val="auto"/>
        </w:rPr>
      </w:pPr>
    </w:p>
    <w:p>
      <w:pPr>
        <w:ind w:left="100" w:right="20"/>
        <w:spacing w:after="0" w:line="217" w:lineRule="exact"/>
        <w:rPr>
          <w:sz w:val="20"/>
          <w:szCs w:val="20"/>
          <w:color w:val="auto"/>
        </w:rPr>
      </w:pPr>
      <w:r>
        <w:rPr>
          <w:rFonts w:ascii="Arial" w:cs="Arial" w:eastAsia="Arial" w:hAnsi="Arial"/>
          <w:sz w:val="17"/>
          <w:szCs w:val="17"/>
          <w:color w:val="auto"/>
        </w:rPr>
        <w:t>Our sponsor is an affiliate of Perceptive Advisors, a leading life sciences focused investment firm with over $7 billion of regulatory assets under management as of December 31, 2019. Since its launch in 1999, Perceptive Advisors has focused exclusively on the healthcare industry. Our founders are the founder and management of Perceptive Advisors. Adam Stone, our Chief Executive Officer, is the Chief Investment Officer of Perceptive Advisors, and Michael Altman, our Chief Financial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w:t>
      </w:r>
      <w:r>
        <w:rPr>
          <w:rFonts w:ascii="MS PGothic" w:cs="MS PGothic" w:eastAsia="MS PGothic" w:hAnsi="MS PGothic"/>
          <w:sz w:val="17"/>
          <w:szCs w:val="17"/>
          <w:color w:val="auto"/>
        </w:rPr>
        <w:t>‑</w:t>
      </w:r>
      <w:r>
        <w:rPr>
          <w:rFonts w:ascii="Arial" w:cs="Arial" w:eastAsia="Arial" w:hAnsi="Arial"/>
          <w:sz w:val="17"/>
          <w:szCs w:val="17"/>
          <w:color w:val="auto"/>
        </w:rPr>
        <w:t>IPO financing rounds known as “crossovers.” Perceptive Advisors has invested in over 75 private companies since 2013 and in 2019 met with over 200 private companies in evaluation of private growth financing rounds, crossovers, and pre</w:t>
      </w:r>
      <w:r>
        <w:rPr>
          <w:rFonts w:ascii="MS PGothic" w:cs="MS PGothic" w:eastAsia="MS PGothic" w:hAnsi="MS PGothic"/>
          <w:sz w:val="17"/>
          <w:szCs w:val="17"/>
          <w:color w:val="auto"/>
        </w:rPr>
        <w:t>‑</w:t>
      </w:r>
      <w:r>
        <w:rPr>
          <w:rFonts w:ascii="Arial" w:cs="Arial" w:eastAsia="Arial" w:hAnsi="Arial"/>
          <w:sz w:val="17"/>
          <w:szCs w:val="17"/>
          <w:color w:val="auto"/>
        </w:rPr>
        <w:t>IPO analysis. We have not selected any business combination target and we have not, nor has anyone on our behalf, initiated any substantive discussions, directly or indirectly, with any business combination target.</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Board of Directors and Management</w:t>
      </w:r>
    </w:p>
    <w:p>
      <w:pPr>
        <w:spacing w:after="0" w:line="256" w:lineRule="exact"/>
        <w:rPr>
          <w:sz w:val="20"/>
          <w:szCs w:val="20"/>
          <w:color w:val="auto"/>
        </w:rPr>
      </w:pPr>
    </w:p>
    <w:p>
      <w:pPr>
        <w:ind w:left="100"/>
        <w:spacing w:after="0" w:line="255" w:lineRule="auto"/>
        <w:rPr>
          <w:sz w:val="20"/>
          <w:szCs w:val="20"/>
          <w:color w:val="auto"/>
        </w:rPr>
      </w:pPr>
      <w:r>
        <w:rPr>
          <w:rFonts w:ascii="Arial" w:cs="Arial" w:eastAsia="Arial" w:hAnsi="Arial"/>
          <w:sz w:val="18"/>
          <w:szCs w:val="18"/>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(Nasdaq: ARYA), ARYA Sciences Acquisition Corp II, Solid Biosciences (Nasdaq: SLDB), Renovia, and Xontogeny, which are portfolio companies of Perceptive Advisors.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219" w:lineRule="exact"/>
        <w:rPr>
          <w:sz w:val="20"/>
          <w:szCs w:val="20"/>
          <w:color w:val="auto"/>
        </w:rPr>
      </w:pPr>
    </w:p>
    <w:p>
      <w:pPr>
        <w:ind w:left="100" w:right="140"/>
        <w:spacing w:after="0" w:line="259" w:lineRule="auto"/>
        <w:rPr>
          <w:sz w:val="20"/>
          <w:szCs w:val="20"/>
          <w:color w:val="auto"/>
        </w:rPr>
      </w:pPr>
      <w:r>
        <w:rPr>
          <w:rFonts w:ascii="Arial" w:cs="Arial" w:eastAsia="Arial" w:hAnsi="Arial"/>
          <w:sz w:val="18"/>
          <w:szCs w:val="18"/>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which are portfolio companies of Perceptive Advisors. Mr. Altman also serves on the board of ARYA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733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6733540"/>
                    </a:xfrm>
                    <a:prstGeom prst="rect">
                      <a:avLst/>
                    </a:prstGeom>
                    <a:noFill/>
                  </pic:spPr>
                </pic:pic>
              </a:graphicData>
            </a:graphic>
          </wp:anchor>
        </w:drawing>
      </w:r>
    </w:p>
    <w:p>
      <w:pPr>
        <w:spacing w:after="0" w:line="241" w:lineRule="exact"/>
        <w:rPr>
          <w:sz w:val="20"/>
          <w:szCs w:val="20"/>
          <w:color w:val="auto"/>
        </w:rPr>
      </w:pPr>
    </w:p>
    <w:p>
      <w:pPr>
        <w:ind w:left="100" w:right="20"/>
        <w:spacing w:after="0" w:line="342" w:lineRule="auto"/>
        <w:rPr>
          <w:sz w:val="20"/>
          <w:szCs w:val="20"/>
          <w:color w:val="auto"/>
        </w:rPr>
      </w:pPr>
      <w:r>
        <w:rPr>
          <w:rFonts w:ascii="Arial" w:cs="Arial" w:eastAsia="Arial" w:hAnsi="Arial"/>
          <w:sz w:val="16"/>
          <w:szCs w:val="16"/>
          <w:color w:val="auto"/>
        </w:rPr>
        <w:t>Sciences Acquisition Corp. (Nasdaq: ARYA) and ARYA Sciences Acquisition Corp II. Prior to joining Perceptive Advisors, Mr. Altman was a trader and analyst at First New York Securities from 2005 to 2007. Mr. Altman graduated from the University of Vermont with a BS in Business Administration.</w:t>
      </w:r>
    </w:p>
    <w:p>
      <w:pPr>
        <w:spacing w:after="0" w:line="151" w:lineRule="exact"/>
        <w:rPr>
          <w:sz w:val="20"/>
          <w:szCs w:val="20"/>
          <w:color w:val="auto"/>
        </w:rPr>
      </w:pPr>
    </w:p>
    <w:p>
      <w:pPr>
        <w:ind w:left="100" w:right="100"/>
        <w:spacing w:after="0" w:line="277" w:lineRule="auto"/>
        <w:rPr>
          <w:sz w:val="20"/>
          <w:szCs w:val="20"/>
          <w:color w:val="auto"/>
        </w:rPr>
      </w:pPr>
      <w:r>
        <w:rPr>
          <w:rFonts w:ascii="Arial" w:cs="Arial" w:eastAsia="Arial" w:hAnsi="Arial"/>
          <w:sz w:val="18"/>
          <w:szCs w:val="18"/>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Experience with Special Purpose Acquisition Vehicles</w:t>
      </w:r>
    </w:p>
    <w:p>
      <w:pPr>
        <w:spacing w:after="0" w:line="256" w:lineRule="exact"/>
        <w:rPr>
          <w:sz w:val="20"/>
          <w:szCs w:val="20"/>
          <w:color w:val="auto"/>
        </w:rPr>
      </w:pPr>
    </w:p>
    <w:p>
      <w:pPr>
        <w:ind w:left="100"/>
        <w:spacing w:after="0" w:line="290" w:lineRule="auto"/>
        <w:rPr>
          <w:sz w:val="20"/>
          <w:szCs w:val="20"/>
          <w:color w:val="auto"/>
        </w:rPr>
      </w:pPr>
      <w:r>
        <w:rPr>
          <w:rFonts w:ascii="Arial" w:cs="Arial" w:eastAsia="Arial" w:hAnsi="Arial"/>
          <w:sz w:val="16"/>
          <w:szCs w:val="16"/>
          <w:color w:val="auto"/>
        </w:rPr>
        <w:t>Our management team has previous experience in the execution of public acquisition vehicles. Mr. Stone is the Chief Executive Officer of ARYA Sciences Acquisition Corp. and ARYA Sciences Acquisition Corp II and Mr. Altman is the Chief Financial Officer of ARYA Sciences Acquisition Corp. and ARYA Sciences Acquisition Corp II. ARYA Sciences Acquisition Corp. and ARYA Sciences Acquisition Corp II are special purpose acquisition companies formed for substantially similar purposes as our company. In March 2020, ARYA Sciences Acquisition Corp. entered into a business combination agreement to acquire Immatics Biotechnologies GmbH (“Immatics”). Immatics is a clinical-stage biopharmaceutical company active in the discovery and development of T cell redirecting cancer immunotherapies. Upon completion of the transaction, it is expected that the ordinary shares of the combined company, Immatics N.V., will be listed on Nasdaq under the symbol “IMTX.” Adam Stone is expected to serve on the supervisory board of Immatics N.V. after the consummation of the proposed business combination, which is expected to close in the second or third quarter of 2020.</w:t>
      </w:r>
    </w:p>
    <w:p>
      <w:pPr>
        <w:spacing w:after="0" w:line="192" w:lineRule="exact"/>
        <w:rPr>
          <w:sz w:val="20"/>
          <w:szCs w:val="20"/>
          <w:color w:val="auto"/>
        </w:rPr>
      </w:pPr>
    </w:p>
    <w:p>
      <w:pPr>
        <w:ind w:left="100" w:right="80"/>
        <w:spacing w:after="0" w:line="279" w:lineRule="auto"/>
        <w:rPr>
          <w:sz w:val="20"/>
          <w:szCs w:val="20"/>
          <w:color w:val="auto"/>
        </w:rPr>
      </w:pPr>
      <w:r>
        <w:rPr>
          <w:rFonts w:ascii="Arial" w:cs="Arial" w:eastAsia="Arial" w:hAnsi="Arial"/>
          <w:sz w:val="17"/>
          <w:szCs w:val="17"/>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Industry Opportunity</w:t>
      </w:r>
    </w:p>
    <w:p>
      <w:pPr>
        <w:spacing w:after="0" w:line="256" w:lineRule="exact"/>
        <w:rPr>
          <w:sz w:val="20"/>
          <w:szCs w:val="20"/>
          <w:color w:val="auto"/>
        </w:rPr>
      </w:pPr>
    </w:p>
    <w:p>
      <w:pPr>
        <w:ind w:left="100" w:right="180"/>
        <w:spacing w:after="0" w:line="296" w:lineRule="auto"/>
        <w:rPr>
          <w:sz w:val="20"/>
          <w:szCs w:val="20"/>
          <w:color w:val="auto"/>
        </w:rPr>
      </w:pPr>
      <w:r>
        <w:rPr>
          <w:rFonts w:ascii="Arial" w:cs="Arial" w:eastAsia="Arial" w:hAnsi="Arial"/>
          <w:sz w:val="16"/>
          <w:szCs w:val="16"/>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has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Current Life Sciences IPO Market</w:t>
      </w:r>
    </w:p>
    <w:p>
      <w:pPr>
        <w:spacing w:after="0" w:line="256" w:lineRule="exact"/>
        <w:rPr>
          <w:sz w:val="20"/>
          <w:szCs w:val="20"/>
          <w:color w:val="auto"/>
        </w:rPr>
      </w:pPr>
    </w:p>
    <w:p>
      <w:pPr>
        <w:ind w:left="100" w:right="40"/>
        <w:spacing w:after="0" w:line="259" w:lineRule="auto"/>
        <w:rPr>
          <w:sz w:val="20"/>
          <w:szCs w:val="20"/>
          <w:color w:val="auto"/>
        </w:rPr>
      </w:pPr>
      <w:r>
        <w:rPr>
          <w:rFonts w:ascii="Arial" w:cs="Arial" w:eastAsia="Arial" w:hAnsi="Arial"/>
          <w:sz w:val="18"/>
          <w:szCs w:val="18"/>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214" w:lineRule="exact"/>
        <w:rPr>
          <w:sz w:val="20"/>
          <w:szCs w:val="20"/>
          <w:color w:val="auto"/>
        </w:rPr>
      </w:pPr>
    </w:p>
    <w:p>
      <w:pPr>
        <w:ind w:left="100" w:right="20"/>
        <w:spacing w:after="0" w:line="301" w:lineRule="auto"/>
        <w:rPr>
          <w:sz w:val="20"/>
          <w:szCs w:val="20"/>
          <w:color w:val="auto"/>
        </w:rPr>
      </w:pPr>
      <w:r>
        <w:rPr>
          <w:rFonts w:ascii="Arial" w:cs="Arial" w:eastAsia="Arial" w:hAnsi="Arial"/>
          <w:sz w:val="16"/>
          <w:szCs w:val="16"/>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84" w:lineRule="exact"/>
        <w:rPr>
          <w:sz w:val="20"/>
          <w:szCs w:val="20"/>
          <w:color w:val="auto"/>
        </w:rPr>
      </w:pPr>
    </w:p>
    <w:p>
      <w:pPr>
        <w:ind w:left="100" w:right="40"/>
        <w:spacing w:after="0" w:line="220" w:lineRule="exact"/>
        <w:rPr>
          <w:sz w:val="20"/>
          <w:szCs w:val="20"/>
          <w:color w:val="auto"/>
        </w:rPr>
      </w:pPr>
      <w:r>
        <w:rPr>
          <w:rFonts w:ascii="Arial" w:cs="Arial" w:eastAsia="Arial" w:hAnsi="Arial"/>
          <w:sz w:val="18"/>
          <w:szCs w:val="18"/>
          <w:color w:val="auto"/>
        </w:rPr>
        <w:t>We believe that life sciences and medical technology companies, at a certain stage in their development, will see material benefits from being publicly</w:t>
      </w:r>
      <w:r>
        <w:rPr>
          <w:rFonts w:ascii="MS PGothic" w:cs="MS PGothic" w:eastAsia="MS PGothic" w:hAnsi="MS PGothic"/>
          <w:sz w:val="18"/>
          <w:szCs w:val="18"/>
          <w:color w:val="auto"/>
        </w:rPr>
        <w:t>‑</w:t>
      </w:r>
      <w:r>
        <w:rPr>
          <w:rFonts w:ascii="Arial" w:cs="Arial" w:eastAsia="Arial" w:hAnsi="Arial"/>
          <w:sz w:val="18"/>
          <w:szCs w:val="18"/>
          <w:color w:val="auto"/>
        </w:rPr>
        <w:t>traded, including greater access to capital, more liquid securities and increased customer awareness. An acquisition by a special purpose acquisition company with a management team that is well</w:t>
      </w:r>
      <w:r>
        <w:rPr>
          <w:rFonts w:ascii="MS PGothic" w:cs="MS PGothic" w:eastAsia="MS PGothic" w:hAnsi="MS PGothic"/>
          <w:sz w:val="18"/>
          <w:szCs w:val="18"/>
          <w:color w:val="auto"/>
        </w:rPr>
        <w:t>‑</w:t>
      </w:r>
      <w:r>
        <w:rPr>
          <w:rFonts w:ascii="Arial" w:cs="Arial" w:eastAsia="Arial" w:hAnsi="Arial"/>
          <w:sz w:val="18"/>
          <w:szCs w:val="18"/>
          <w:color w:val="auto"/>
        </w:rPr>
        <w:t>known to, and respected by, life sciences founders, their current third</w:t>
      </w:r>
      <w:r>
        <w:rPr>
          <w:rFonts w:ascii="MS PGothic" w:cs="MS PGothic" w:eastAsia="MS PGothic" w:hAnsi="MS PGothic"/>
          <w:sz w:val="18"/>
          <w:szCs w:val="18"/>
          <w:color w:val="auto"/>
        </w:rPr>
        <w:t>‑</w:t>
      </w:r>
      <w:r>
        <w:rPr>
          <w:rFonts w:ascii="Arial" w:cs="Arial" w:eastAsia="Arial" w:hAnsi="Arial"/>
          <w:sz w:val="18"/>
          <w:szCs w:val="18"/>
          <w:color w:val="auto"/>
        </w:rPr>
        <w:t>party investors and their management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767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6767830"/>
                    </a:xfrm>
                    <a:prstGeom prst="rect">
                      <a:avLst/>
                    </a:prstGeom>
                    <a:noFill/>
                  </pic:spPr>
                </pic:pic>
              </a:graphicData>
            </a:graphic>
          </wp:anchor>
        </w:drawing>
      </w: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teams, we believe, can provide a more transparent and efficient mechanism to bring a private healthcare company to the public markets.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Acquisition Strategy</w:t>
      </w:r>
    </w:p>
    <w:p>
      <w:pPr>
        <w:spacing w:after="0" w:line="256" w:lineRule="exact"/>
        <w:rPr>
          <w:sz w:val="20"/>
          <w:szCs w:val="20"/>
          <w:color w:val="auto"/>
        </w:rPr>
      </w:pPr>
    </w:p>
    <w:p>
      <w:pPr>
        <w:ind w:left="100" w:right="80"/>
        <w:spacing w:after="0" w:line="273"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205" w:lineRule="exact"/>
        <w:rPr>
          <w:sz w:val="20"/>
          <w:szCs w:val="20"/>
          <w:color w:val="auto"/>
        </w:rPr>
      </w:pPr>
    </w:p>
    <w:p>
      <w:pPr>
        <w:ind w:left="100" w:right="60"/>
        <w:spacing w:after="0" w:line="342" w:lineRule="auto"/>
        <w:rPr>
          <w:sz w:val="20"/>
          <w:szCs w:val="20"/>
          <w:color w:val="auto"/>
        </w:rPr>
      </w:pPr>
      <w:r>
        <w:rPr>
          <w:rFonts w:ascii="Arial" w:cs="Arial" w:eastAsia="Arial" w:hAnsi="Arial"/>
          <w:sz w:val="16"/>
          <w:szCs w:val="16"/>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151" w:lineRule="exact"/>
        <w:rPr>
          <w:sz w:val="20"/>
          <w:szCs w:val="20"/>
          <w:color w:val="auto"/>
        </w:rPr>
      </w:pPr>
    </w:p>
    <w:p>
      <w:pPr>
        <w:ind w:left="1080" w:right="40" w:hanging="330"/>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scientific or other competitive advantage in the markets in which they operate and which can benefit from access to additional capital as well as our industry relationships and expertise;</w:t>
      </w:r>
    </w:p>
    <w:p>
      <w:pPr>
        <w:spacing w:after="0" w:line="197" w:lineRule="exact"/>
        <w:rPr>
          <w:rFonts w:ascii="Arial" w:cs="Arial" w:eastAsia="Arial" w:hAnsi="Arial"/>
          <w:sz w:val="18"/>
          <w:szCs w:val="18"/>
          <w:color w:val="auto"/>
        </w:rPr>
      </w:pPr>
    </w:p>
    <w:p>
      <w:pPr>
        <w:ind w:left="1080" w:hanging="330"/>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ready to be public, with strong management, corporate governance and reporting policies in place;</w:t>
      </w:r>
    </w:p>
    <w:p>
      <w:pPr>
        <w:spacing w:after="0" w:line="252" w:lineRule="exact"/>
        <w:rPr>
          <w:rFonts w:ascii="Arial" w:cs="Arial" w:eastAsia="Arial" w:hAnsi="Arial"/>
          <w:sz w:val="18"/>
          <w:szCs w:val="18"/>
          <w:color w:val="auto"/>
        </w:rPr>
      </w:pPr>
    </w:p>
    <w:p>
      <w:pPr>
        <w:ind w:left="1080" w:hanging="330"/>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likely be well received by public investors and are expected to have good access to the public capital markets;</w:t>
      </w:r>
    </w:p>
    <w:p>
      <w:pPr>
        <w:spacing w:after="0" w:line="252" w:lineRule="exact"/>
        <w:rPr>
          <w:rFonts w:ascii="Arial" w:cs="Arial" w:eastAsia="Arial" w:hAnsi="Arial"/>
          <w:sz w:val="18"/>
          <w:szCs w:val="18"/>
          <w:color w:val="auto"/>
        </w:rPr>
      </w:pPr>
    </w:p>
    <w:p>
      <w:pPr>
        <w:ind w:left="1080" w:hanging="330"/>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significant embedded and/or underexploited growth opportunities;</w:t>
      </w:r>
    </w:p>
    <w:p>
      <w:pPr>
        <w:spacing w:after="0" w:line="252" w:lineRule="exact"/>
        <w:rPr>
          <w:rFonts w:ascii="Arial" w:cs="Arial" w:eastAsia="Arial" w:hAnsi="Arial"/>
          <w:sz w:val="18"/>
          <w:szCs w:val="18"/>
          <w:color w:val="auto"/>
        </w:rPr>
      </w:pPr>
    </w:p>
    <w:p>
      <w:pPr>
        <w:ind w:left="1080" w:right="40" w:hanging="330"/>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unrecognized value or other characteristics that we believe have been misevaluated by the market based on our rigorous analysis and scientific and business due diligence review; and</w:t>
      </w:r>
    </w:p>
    <w:p>
      <w:pPr>
        <w:spacing w:after="0" w:line="197" w:lineRule="exact"/>
        <w:rPr>
          <w:rFonts w:ascii="Arial" w:cs="Arial" w:eastAsia="Arial" w:hAnsi="Arial"/>
          <w:sz w:val="18"/>
          <w:szCs w:val="18"/>
          <w:color w:val="auto"/>
        </w:rPr>
      </w:pPr>
    </w:p>
    <w:p>
      <w:pPr>
        <w:ind w:left="1080" w:hanging="330"/>
        <w:spacing w:after="0" w:line="207" w:lineRule="exact"/>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attractive risk</w:t>
      </w:r>
      <w:r>
        <w:rPr>
          <w:rFonts w:ascii="MS PGothic" w:cs="MS PGothic" w:eastAsia="MS PGothic" w:hAnsi="MS PGothic"/>
          <w:sz w:val="18"/>
          <w:szCs w:val="18"/>
          <w:color w:val="auto"/>
        </w:rPr>
        <w:t>‑</w:t>
      </w:r>
      <w:r>
        <w:rPr>
          <w:rFonts w:ascii="Arial" w:cs="Arial" w:eastAsia="Arial" w:hAnsi="Arial"/>
          <w:sz w:val="18"/>
          <w:szCs w:val="18"/>
          <w:color w:val="auto"/>
        </w:rPr>
        <w:t>adjusted equity returns for our shareholders.</w:t>
      </w:r>
    </w:p>
    <w:p>
      <w:pPr>
        <w:spacing w:after="0" w:line="252" w:lineRule="exact"/>
        <w:rPr>
          <w:sz w:val="20"/>
          <w:szCs w:val="20"/>
          <w:color w:val="auto"/>
        </w:rPr>
      </w:pPr>
    </w:p>
    <w:p>
      <w:pPr>
        <w:ind w:left="100" w:right="80"/>
        <w:spacing w:after="0" w:line="277" w:lineRule="auto"/>
        <w:rPr>
          <w:sz w:val="20"/>
          <w:szCs w:val="20"/>
          <w:color w:val="auto"/>
        </w:rPr>
      </w:pPr>
      <w:r>
        <w:rPr>
          <w:rFonts w:ascii="Arial" w:cs="Arial" w:eastAsia="Arial" w:hAnsi="Arial"/>
          <w:sz w:val="18"/>
          <w:szCs w:val="18"/>
          <w:color w:val="auto"/>
        </w:rPr>
        <w:t>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Initial Business Combination</w:t>
      </w:r>
    </w:p>
    <w:p>
      <w:pPr>
        <w:spacing w:after="0" w:line="256" w:lineRule="exact"/>
        <w:rPr>
          <w:sz w:val="20"/>
          <w:szCs w:val="20"/>
          <w:color w:val="auto"/>
        </w:rPr>
      </w:pPr>
    </w:p>
    <w:p>
      <w:pPr>
        <w:ind w:left="100"/>
        <w:spacing w:after="0" w:line="286"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the Financial Industry Regulatory Authority, Inc., or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802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6802120"/>
                    </a:xfrm>
                    <a:prstGeom prst="rect">
                      <a:avLst/>
                    </a:prstGeom>
                    <a:noFill/>
                  </pic:spPr>
                </pic:pic>
              </a:graphicData>
            </a:graphic>
          </wp:anchor>
        </w:drawing>
      </w:r>
    </w:p>
    <w:p>
      <w:pPr>
        <w:spacing w:after="0" w:line="241" w:lineRule="exact"/>
        <w:rPr>
          <w:sz w:val="20"/>
          <w:szCs w:val="20"/>
          <w:color w:val="auto"/>
        </w:rPr>
      </w:pPr>
    </w:p>
    <w:p>
      <w:pPr>
        <w:ind w:left="100" w:right="80"/>
        <w:spacing w:after="0" w:line="277" w:lineRule="auto"/>
        <w:rPr>
          <w:sz w:val="20"/>
          <w:szCs w:val="20"/>
          <w:color w:val="auto"/>
        </w:rPr>
      </w:pPr>
      <w:r>
        <w:rPr>
          <w:rFonts w:ascii="Arial" w:cs="Arial" w:eastAsia="Arial" w:hAnsi="Arial"/>
          <w:sz w:val="18"/>
          <w:szCs w:val="18"/>
          <w:color w:val="auto"/>
        </w:rPr>
        <w:t>would be distributed to our shareholders. However, if required under applicable law, any proxy statement that we deliver to shareholders and file with the SEC in connection with a proposed transaction will include such opinion.</w:t>
      </w:r>
    </w:p>
    <w:p>
      <w:pPr>
        <w:spacing w:after="0" w:line="197" w:lineRule="exact"/>
        <w:rPr>
          <w:sz w:val="20"/>
          <w:szCs w:val="20"/>
          <w:color w:val="auto"/>
        </w:rPr>
      </w:pPr>
    </w:p>
    <w:p>
      <w:pPr>
        <w:ind w:left="100"/>
        <w:spacing w:after="0" w:line="217" w:lineRule="exact"/>
        <w:rPr>
          <w:sz w:val="20"/>
          <w:szCs w:val="20"/>
          <w:color w:val="auto"/>
        </w:rPr>
      </w:pPr>
      <w:r>
        <w:rPr>
          <w:rFonts w:ascii="Arial" w:cs="Arial" w:eastAsia="Arial" w:hAnsi="Arial"/>
          <w:sz w:val="17"/>
          <w:szCs w:val="17"/>
          <w:color w:val="auto"/>
        </w:rPr>
        <w:t>We anticipate structuring our initial business combination so that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in which our public shareholders own shares will own or acquire 100% of the equity interests or assets of the target business or businesses. We may, however, structure our initial business combination such that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owns or acquires less than 100% of such interests or assets of the target business in order to meet certain objectives of the target management team or shareholders or for other reasons, but we will only complete such business combination if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owns or acquires 50% or more of the voting securities of the target, our shareholders prior to the business combination may collectively own a minority interest in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231" w:lineRule="exact"/>
        <w:rPr>
          <w:sz w:val="20"/>
          <w:szCs w:val="20"/>
          <w:color w:val="auto"/>
        </w:rPr>
      </w:pPr>
    </w:p>
    <w:p>
      <w:pPr>
        <w:ind w:left="100" w:right="160"/>
        <w:spacing w:after="0" w:line="271"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Considerations</w:t>
      </w:r>
    </w:p>
    <w:p>
      <w:pPr>
        <w:spacing w:after="0" w:line="256" w:lineRule="exact"/>
        <w:rPr>
          <w:sz w:val="20"/>
          <w:szCs w:val="20"/>
          <w:color w:val="auto"/>
        </w:rPr>
      </w:pPr>
    </w:p>
    <w:p>
      <w:pPr>
        <w:ind w:left="100" w:right="20"/>
        <w:spacing w:after="0" w:line="296" w:lineRule="auto"/>
        <w:rPr>
          <w:sz w:val="20"/>
          <w:szCs w:val="20"/>
          <w:color w:val="auto"/>
        </w:rPr>
      </w:pPr>
      <w:r>
        <w:rPr>
          <w:rFonts w:ascii="Arial" w:cs="Arial" w:eastAsia="Arial" w:hAnsi="Arial"/>
          <w:sz w:val="16"/>
          <w:szCs w:val="16"/>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88" w:lineRule="exact"/>
        <w:rPr>
          <w:sz w:val="20"/>
          <w:szCs w:val="20"/>
          <w:color w:val="auto"/>
        </w:rPr>
      </w:pPr>
    </w:p>
    <w:p>
      <w:pPr>
        <w:ind w:left="100" w:right="40"/>
        <w:spacing w:after="0" w:line="257" w:lineRule="auto"/>
        <w:rPr>
          <w:sz w:val="20"/>
          <w:szCs w:val="20"/>
          <w:color w:val="auto"/>
        </w:rPr>
      </w:pPr>
      <w:r>
        <w:rPr>
          <w:rFonts w:ascii="Arial" w:cs="Arial" w:eastAsia="Arial" w:hAnsi="Arial"/>
          <w:sz w:val="18"/>
          <w:szCs w:val="18"/>
          <w:color w:val="auto"/>
        </w:rPr>
        <w:t>Affiliates of Perceptive Advisors and members of our board of directors will directly or indirectly own founder shares and private placement units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215" w:lineRule="exact"/>
        <w:rPr>
          <w:sz w:val="20"/>
          <w:szCs w:val="20"/>
          <w:color w:val="auto"/>
        </w:rPr>
      </w:pPr>
    </w:p>
    <w:p>
      <w:pPr>
        <w:ind w:left="100" w:right="300"/>
        <w:spacing w:after="0" w:line="277"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directly or indirectly, with any business combination target. Perceptive Advisors is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647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6647815"/>
                    </a:xfrm>
                    <a:prstGeom prst="rect">
                      <a:avLst/>
                    </a:prstGeom>
                    <a:noFill/>
                  </pic:spPr>
                </pic:pic>
              </a:graphicData>
            </a:graphic>
          </wp:anchor>
        </w:drawing>
      </w:r>
    </w:p>
    <w:p>
      <w:pPr>
        <w:spacing w:after="0" w:line="241" w:lineRule="exact"/>
        <w:rPr>
          <w:sz w:val="20"/>
          <w:szCs w:val="20"/>
          <w:color w:val="auto"/>
        </w:rPr>
      </w:pPr>
    </w:p>
    <w:p>
      <w:pPr>
        <w:ind w:left="100" w:right="120"/>
        <w:spacing w:after="0" w:line="218" w:lineRule="exact"/>
        <w:rPr>
          <w:sz w:val="20"/>
          <w:szCs w:val="20"/>
          <w:color w:val="auto"/>
        </w:rPr>
      </w:pPr>
      <w:r>
        <w:rPr>
          <w:rFonts w:ascii="Arial" w:cs="Arial" w:eastAsia="Arial" w:hAnsi="Arial"/>
          <w:sz w:val="18"/>
          <w:szCs w:val="18"/>
          <w:color w:val="auto"/>
        </w:rPr>
        <w:t>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 Perceptive Advisors as a suitable acquisition candidate for it, unless Perceptive Advisors, in its sole discretion, declines such potential business combination or makes available to our company a co</w:t>
      </w:r>
      <w:r>
        <w:rPr>
          <w:rFonts w:ascii="MS PGothic" w:cs="MS PGothic" w:eastAsia="MS PGothic" w:hAnsi="MS PGothic"/>
          <w:sz w:val="18"/>
          <w:szCs w:val="18"/>
          <w:color w:val="auto"/>
        </w:rPr>
        <w:t>‑</w:t>
      </w:r>
      <w:r>
        <w:rPr>
          <w:rFonts w:ascii="Arial" w:cs="Arial" w:eastAsia="Arial" w:hAnsi="Arial"/>
          <w:sz w:val="18"/>
          <w:szCs w:val="18"/>
          <w:color w:val="auto"/>
        </w:rPr>
        <w:t>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232" w:lineRule="exact"/>
        <w:rPr>
          <w:sz w:val="20"/>
          <w:szCs w:val="20"/>
          <w:color w:val="auto"/>
        </w:rPr>
      </w:pPr>
    </w:p>
    <w:p>
      <w:pPr>
        <w:jc w:val="both"/>
        <w:ind w:left="100" w:right="120"/>
        <w:spacing w:after="0" w:line="28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192" w:lineRule="exact"/>
        <w:rPr>
          <w:sz w:val="20"/>
          <w:szCs w:val="20"/>
          <w:color w:val="auto"/>
        </w:rPr>
      </w:pPr>
    </w:p>
    <w:p>
      <w:pPr>
        <w:ind w:left="100" w:right="80"/>
        <w:spacing w:after="0" w:line="259" w:lineRule="auto"/>
        <w:rPr>
          <w:sz w:val="20"/>
          <w:szCs w:val="20"/>
          <w:color w:val="auto"/>
        </w:rPr>
      </w:pPr>
      <w:r>
        <w:rPr>
          <w:rFonts w:ascii="Arial" w:cs="Arial" w:eastAsia="Arial" w:hAnsi="Arial"/>
          <w:sz w:val="18"/>
          <w:szCs w:val="18"/>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14" w:lineRule="exact"/>
        <w:rPr>
          <w:sz w:val="20"/>
          <w:szCs w:val="20"/>
          <w:color w:val="auto"/>
        </w:rPr>
      </w:pPr>
    </w:p>
    <w:p>
      <w:pPr>
        <w:ind w:left="100"/>
        <w:spacing w:after="0" w:line="217" w:lineRule="exact"/>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including without limitation, ARYA Sciences Acquisition Corp II and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w:t>
      </w:r>
      <w:r>
        <w:rPr>
          <w:rFonts w:ascii="MS PGothic" w:cs="MS PGothic" w:eastAsia="MS PGothic" w:hAnsi="MS PGothic"/>
          <w:sz w:val="17"/>
          <w:szCs w:val="17"/>
          <w:color w:val="auto"/>
        </w:rPr>
        <w:t>‑</w:t>
      </w:r>
      <w:r>
        <w:rPr>
          <w:rFonts w:ascii="Arial" w:cs="Arial" w:eastAsia="Arial" w:hAnsi="Arial"/>
          <w:sz w:val="17"/>
          <w:szCs w:val="17"/>
          <w:color w:val="auto"/>
        </w:rPr>
        <w:t>current fiduciary or contractual obligations (including, without limitation, ARYA Sciences Acquisition Corp II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However, we do not expect these duties to materially affect our ability to complete our initial business combination.</w:t>
      </w:r>
    </w:p>
    <w:p>
      <w:pPr>
        <w:spacing w:after="0" w:line="252" w:lineRule="exact"/>
        <w:rPr>
          <w:sz w:val="20"/>
          <w:szCs w:val="20"/>
          <w:color w:val="auto"/>
        </w:rPr>
      </w:pPr>
    </w:p>
    <w:p>
      <w:pPr>
        <w:ind w:left="100" w:right="20"/>
        <w:spacing w:after="0" w:line="217" w:lineRule="exact"/>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and ARYA Sciences Acquisition Corp II, which are blank check companies sponsored by affiliates of Perceptive Advisors. ARYA Sciences Acquisition Corp. has entered into a business combination agreement to acquire Immatics. Upon completion of the transaction, Adam Stone is expected to serve on the supervisory board of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It is currently expected that the business combination will be consummated in the second or third quarter of 2020. Moreover, our founders, officers and directors have, and will have in the future, time and attention requirements for current and future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managed by Perceptive Advisors. To the extent any conflict of interest arises between, on the one hand, us and, on the other hand, investments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managed by Perceptive Advisors (including, without limitation, arising as a result of certain of our founders, officers and directors being required to offer acquisition opportunities to such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Perceptive Advisors and its affiliates will resolve such conflicts of interest in their sole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407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6407785"/>
                    </a:xfrm>
                    <a:prstGeom prst="rect">
                      <a:avLst/>
                    </a:prstGeom>
                    <a:noFill/>
                  </pic:spPr>
                </pic:pic>
              </a:graphicData>
            </a:graphic>
          </wp:anchor>
        </w:drawing>
      </w:r>
    </w:p>
    <w:p>
      <w:pPr>
        <w:spacing w:after="0" w:line="241" w:lineRule="exact"/>
        <w:rPr>
          <w:sz w:val="20"/>
          <w:szCs w:val="20"/>
          <w:color w:val="auto"/>
        </w:rPr>
      </w:pPr>
    </w:p>
    <w:p>
      <w:pPr>
        <w:ind w:left="100" w:right="120"/>
        <w:spacing w:after="0" w:line="277" w:lineRule="auto"/>
        <w:rPr>
          <w:sz w:val="20"/>
          <w:szCs w:val="20"/>
          <w:color w:val="auto"/>
        </w:rPr>
      </w:pPr>
      <w:r>
        <w:rPr>
          <w:rFonts w:ascii="Arial" w:cs="Arial" w:eastAsia="Arial" w:hAnsi="Arial"/>
          <w:sz w:val="18"/>
          <w:szCs w:val="18"/>
          <w:color w:val="auto"/>
        </w:rPr>
        <w:t>discretion in accordance with their then existing fiduciary, contractual and other duties and there can be no assurance that such conflict of interest will be resolved in our favor.</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left="100"/>
        <w:spacing w:after="0"/>
        <w:tabs>
          <w:tab w:leader="none" w:pos="9740" w:val="left"/>
        </w:tabs>
        <w:rPr>
          <w:sz w:val="20"/>
          <w:szCs w:val="20"/>
          <w:color w:val="auto"/>
        </w:rPr>
      </w:pPr>
      <w:r>
        <w:rPr>
          <w:rFonts w:ascii="Arial" w:cs="Arial" w:eastAsia="Arial" w:hAnsi="Arial"/>
          <w:sz w:val="18"/>
          <w:szCs w:val="18"/>
          <w:color w:val="auto"/>
        </w:rPr>
        <w:t>Our executive offices are located at 51 Astor Place, 10th Floor, New York, New York 10003. We maintain a corporate website at</w:t>
      </w:r>
      <w:r>
        <w:rPr>
          <w:sz w:val="20"/>
          <w:szCs w:val="20"/>
          <w:color w:val="auto"/>
        </w:rPr>
        <w:tab/>
      </w:r>
      <w:r>
        <w:rPr>
          <w:rFonts w:ascii="Arial" w:cs="Arial" w:eastAsia="Arial" w:hAnsi="Arial"/>
          <w:sz w:val="16"/>
          <w:szCs w:val="16"/>
          <w:color w:val="auto"/>
        </w:rPr>
        <w:t>. The information</w:t>
      </w:r>
    </w:p>
    <w:p>
      <w:pPr>
        <w:spacing w:after="0" w:line="23" w:lineRule="exact"/>
        <w:rPr>
          <w:sz w:val="20"/>
          <w:szCs w:val="20"/>
          <w:color w:val="auto"/>
        </w:rPr>
      </w:pPr>
    </w:p>
    <w:p>
      <w:pPr>
        <w:ind w:left="100" w:right="500"/>
        <w:spacing w:after="0" w:line="260" w:lineRule="auto"/>
        <w:rPr>
          <w:sz w:val="20"/>
          <w:szCs w:val="20"/>
          <w:color w:val="auto"/>
        </w:rPr>
      </w:pPr>
      <w:r>
        <w:rPr>
          <w:rFonts w:ascii="Arial" w:cs="Arial" w:eastAsia="Arial" w:hAnsi="Arial"/>
          <w:sz w:val="18"/>
          <w:szCs w:val="18"/>
          <w:color w:val="auto"/>
        </w:rPr>
        <w:t>contained on or accessible through our corporate website or any other website that we may maintain is not part of this prospectus or the registration statement of which this prospectus is a part.</w:t>
      </w:r>
    </w:p>
    <w:p>
      <w:pPr>
        <w:spacing w:after="0" w:line="212" w:lineRule="exact"/>
        <w:rPr>
          <w:sz w:val="20"/>
          <w:szCs w:val="20"/>
          <w:color w:val="auto"/>
        </w:rPr>
      </w:pPr>
    </w:p>
    <w:p>
      <w:pPr>
        <w:ind w:left="100" w:right="20"/>
        <w:spacing w:after="0" w:line="270"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Jumpstart Our Business Startups Act of 2012, or the JOBS Act. As such, we are eligible to take advantage of certain exemptions from various reporting</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requirements that are applicable to other public companies that are not “emerging growth companies” including, but not limited to, not being required to</w:t>
      </w:r>
    </w:p>
    <w:p>
      <w:pPr>
        <w:spacing w:after="0" w:line="32" w:lineRule="exact"/>
        <w:rPr>
          <w:sz w:val="20"/>
          <w:szCs w:val="20"/>
          <w:color w:val="auto"/>
        </w:rPr>
      </w:pPr>
    </w:p>
    <w:p>
      <w:pPr>
        <w:ind w:left="100"/>
        <w:spacing w:after="0" w:line="196" w:lineRule="exact"/>
        <w:rPr>
          <w:sz w:val="20"/>
          <w:szCs w:val="20"/>
          <w:color w:val="auto"/>
        </w:rPr>
      </w:pPr>
      <w:r>
        <w:rPr>
          <w:rFonts w:ascii="Arial" w:cs="Arial" w:eastAsia="Arial" w:hAnsi="Arial"/>
          <w:sz w:val="17"/>
          <w:szCs w:val="17"/>
          <w:color w:val="auto"/>
        </w:rPr>
        <w:t>comply with the auditor attestation requirements of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or the Sarbanes</w:t>
      </w:r>
      <w:r>
        <w:rPr>
          <w:rFonts w:ascii="MS PGothic" w:cs="MS PGothic" w:eastAsia="MS PGothic" w:hAnsi="MS PGothic"/>
          <w:sz w:val="17"/>
          <w:szCs w:val="17"/>
          <w:color w:val="auto"/>
        </w:rPr>
        <w:t>‑</w:t>
      </w:r>
      <w:r>
        <w:rPr>
          <w:rFonts w:ascii="Arial" w:cs="Arial" w:eastAsia="Arial" w:hAnsi="Arial"/>
          <w:sz w:val="17"/>
          <w:szCs w:val="17"/>
          <w:color w:val="auto"/>
        </w:rPr>
        <w:t>Oxley Act, reduced disclosure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obligations regarding executive compensation in our periodic reports and proxy statements, and exemptions from the requirements of holding a</w:t>
      </w:r>
    </w:p>
    <w:p>
      <w:pPr>
        <w:spacing w:after="0" w:line="21" w:lineRule="exact"/>
        <w:rPr>
          <w:sz w:val="20"/>
          <w:szCs w:val="20"/>
          <w:color w:val="auto"/>
        </w:rPr>
      </w:pPr>
    </w:p>
    <w:p>
      <w:pPr>
        <w:ind w:left="100"/>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binding advisory vote on executive compensation and shareholder approval of any golden parachute payments not previously approved. If some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investors find our securities less attractive as a result, there may be a less active trading market for our securities and the prices of our securities may be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more volatile.</w:t>
      </w:r>
    </w:p>
    <w:p>
      <w:pPr>
        <w:spacing w:after="0" w:line="238"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14" w:lineRule="exact"/>
        <w:rPr>
          <w:sz w:val="20"/>
          <w:szCs w:val="20"/>
          <w:color w:val="auto"/>
        </w:rPr>
      </w:pPr>
    </w:p>
    <w:p>
      <w:pPr>
        <w:ind w:left="100" w:right="20"/>
        <w:spacing w:after="0" w:line="219" w:lineRule="exact"/>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 million as of the prior June 30, and (2) the date on which we have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during the prior three</w:t>
      </w:r>
      <w:r>
        <w:rPr>
          <w:rFonts w:ascii="MS PGothic" w:cs="MS PGothic" w:eastAsia="MS PGothic" w:hAnsi="MS PGothic"/>
          <w:sz w:val="18"/>
          <w:szCs w:val="18"/>
          <w:color w:val="auto"/>
        </w:rPr>
        <w:t>‑</w:t>
      </w:r>
      <w:r>
        <w:rPr>
          <w:rFonts w:ascii="Arial" w:cs="Arial" w:eastAsia="Arial" w:hAnsi="Arial"/>
          <w:sz w:val="18"/>
          <w:szCs w:val="18"/>
          <w:color w:val="auto"/>
        </w:rPr>
        <w:t>year period. References herein to “emerging growth company” have the meaning associated with it in the JOBS Act.</w:t>
      </w:r>
    </w:p>
    <w:p>
      <w:pPr>
        <w:spacing w:after="0" w:line="232" w:lineRule="exact"/>
        <w:rPr>
          <w:sz w:val="20"/>
          <w:szCs w:val="20"/>
          <w:color w:val="auto"/>
        </w:rPr>
      </w:pPr>
    </w:p>
    <w:p>
      <w:pPr>
        <w:ind w:left="100" w:right="40"/>
        <w:spacing w:after="0" w:line="219" w:lineRule="exact"/>
        <w:rPr>
          <w:sz w:val="20"/>
          <w:szCs w:val="20"/>
          <w:color w:val="auto"/>
        </w:rPr>
      </w:pPr>
      <w:r>
        <w:rPr>
          <w:rFonts w:ascii="Arial" w:cs="Arial" w:eastAsia="Arial" w:hAnsi="Arial"/>
          <w:sz w:val="18"/>
          <w:szCs w:val="18"/>
          <w:color w:val="auto"/>
        </w:rPr>
        <w:t>Additionally, we are a “smaller reporting company” as defined in Item 10(f)(1) of Regulation S</w:t>
      </w:r>
      <w:r>
        <w:rPr>
          <w:rFonts w:ascii="MS PGothic" w:cs="MS PGothic" w:eastAsia="MS PGothic" w:hAnsi="MS PGothic"/>
          <w:sz w:val="18"/>
          <w:szCs w:val="18"/>
          <w:color w:val="auto"/>
        </w:rPr>
        <w:t>‑</w:t>
      </w:r>
      <w:r>
        <w:rPr>
          <w:rFonts w:ascii="Arial" w:cs="Arial" w:eastAsia="Arial" w:hAnsi="Arial"/>
          <w:sz w:val="18"/>
          <w:szCs w:val="18"/>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$250 million as of the prior June 30, or (2) our annual revenues exceeded $100 million during such completed fiscal year and the market value of our ordinary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6476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6476365"/>
                    </a:xfrm>
                    <a:prstGeom prst="rect">
                      <a:avLst/>
                    </a:prstGeom>
                    <a:noFill/>
                  </pic:spPr>
                </pic:pic>
              </a:graphicData>
            </a:graphic>
          </wp:anchor>
        </w:drawing>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jc w:val="both"/>
        <w:ind w:left="100" w:right="60"/>
        <w:spacing w:after="0" w:line="279" w:lineRule="auto"/>
        <w:rPr>
          <w:sz w:val="20"/>
          <w:szCs w:val="20"/>
          <w:color w:val="auto"/>
        </w:rPr>
      </w:pPr>
      <w:r>
        <w:rPr>
          <w:rFonts w:ascii="Arial" w:cs="Arial" w:eastAsia="Arial" w:hAnsi="Arial"/>
          <w:sz w:val="17"/>
          <w:szCs w:val="17"/>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pacing w:after="0" w:line="194" w:lineRule="exact"/>
        <w:rPr>
          <w:sz w:val="20"/>
          <w:szCs w:val="20"/>
          <w:color w:val="auto"/>
        </w:rPr>
      </w:pPr>
    </w:p>
    <w:p>
      <w:pPr>
        <w:ind w:left="100"/>
        <w:spacing w:after="0" w:line="207" w:lineRule="exact"/>
        <w:tabs>
          <w:tab w:leader="none" w:pos="342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12,500,000 units (or 14,375,000 units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at</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$10.00 per unit, each unit consisting of:</w:t>
      </w:r>
    </w:p>
    <w:p>
      <w:pPr>
        <w:spacing w:after="0" w:line="211" w:lineRule="exact"/>
        <w:rPr>
          <w:sz w:val="20"/>
          <w:szCs w:val="20"/>
          <w:color w:val="auto"/>
        </w:rPr>
      </w:pPr>
    </w:p>
    <w:p>
      <w:pPr>
        <w:ind w:left="3440"/>
        <w:spacing w:after="0"/>
        <w:tabs>
          <w:tab w:leader="none" w:pos="3740" w:val="left"/>
        </w:tabs>
        <w:rPr>
          <w:sz w:val="20"/>
          <w:szCs w:val="20"/>
          <w:color w:val="auto"/>
        </w:rPr>
      </w:pPr>
      <w:r>
        <w:rPr>
          <w:rFonts w:ascii="Arial" w:cs="Arial" w:eastAsia="Arial" w:hAnsi="Arial"/>
          <w:sz w:val="18"/>
          <w:szCs w:val="18"/>
          <w:color w:val="auto"/>
        </w:rPr>
        <w:t>•</w:t>
        <w:tab/>
        <w:t>one Class A ordinary share; and</w:t>
      </w:r>
    </w:p>
    <w:p>
      <w:pPr>
        <w:spacing w:after="0" w:line="225" w:lineRule="exact"/>
        <w:rPr>
          <w:sz w:val="20"/>
          <w:szCs w:val="20"/>
          <w:color w:val="auto"/>
        </w:rPr>
      </w:pPr>
    </w:p>
    <w:p>
      <w:pPr>
        <w:ind w:left="3440"/>
        <w:spacing w:after="0" w:line="207" w:lineRule="exact"/>
        <w:tabs>
          <w:tab w:leader="none" w:pos="3740" w:val="left"/>
        </w:tabs>
        <w:rPr>
          <w:sz w:val="20"/>
          <w:szCs w:val="20"/>
          <w:color w:val="auto"/>
        </w:rPr>
      </w:pPr>
      <w:r>
        <w:rPr>
          <w:rFonts w:ascii="Arial" w:cs="Arial" w:eastAsia="Arial" w:hAnsi="Arial"/>
          <w:sz w:val="18"/>
          <w:szCs w:val="18"/>
          <w:color w:val="auto"/>
        </w:rPr>
        <w:t>•</w:t>
        <w:tab/>
        <w:t>one</w:t>
      </w:r>
      <w:r>
        <w:rPr>
          <w:rFonts w:ascii="MS PGothic" w:cs="MS PGothic" w:eastAsia="MS PGothic" w:hAnsi="MS PGothic"/>
          <w:sz w:val="18"/>
          <w:szCs w:val="18"/>
          <w:color w:val="auto"/>
        </w:rPr>
        <w:t>‑</w:t>
      </w:r>
      <w:r>
        <w:rPr>
          <w:rFonts w:ascii="Arial" w:cs="Arial" w:eastAsia="Arial" w:hAnsi="Arial"/>
          <w:sz w:val="18"/>
          <w:szCs w:val="18"/>
          <w:color w:val="auto"/>
        </w:rPr>
        <w:t>fourth of one redeemable warrant.</w:t>
      </w:r>
    </w:p>
    <w:p>
      <w:pPr>
        <w:spacing w:after="0" w:line="221" w:lineRule="exact"/>
        <w:rPr>
          <w:sz w:val="20"/>
          <w:szCs w:val="20"/>
          <w:color w:val="auto"/>
        </w:rPr>
      </w:pPr>
    </w:p>
    <w:p>
      <w:pPr>
        <w:ind w:left="100"/>
        <w:spacing w:after="0"/>
        <w:tabs>
          <w:tab w:leader="none" w:pos="3420" w:val="left"/>
          <w:tab w:leader="none" w:pos="4440" w:val="left"/>
        </w:tabs>
        <w:rPr>
          <w:sz w:val="20"/>
          <w:szCs w:val="20"/>
          <w:color w:val="auto"/>
        </w:rPr>
      </w:pPr>
      <w:r>
        <w:rPr>
          <w:rFonts w:ascii="Arial" w:cs="Arial" w:eastAsia="Arial" w:hAnsi="Arial"/>
          <w:sz w:val="18"/>
          <w:szCs w:val="18"/>
          <w:b w:val="1"/>
          <w:bCs w:val="1"/>
          <w:color w:val="auto"/>
        </w:rPr>
        <w:t>Proposed Nasdaq symbols</w:t>
      </w:r>
      <w:r>
        <w:rPr>
          <w:sz w:val="20"/>
          <w:szCs w:val="20"/>
          <w:color w:val="auto"/>
        </w:rPr>
        <w:tab/>
      </w:r>
      <w:r>
        <w:rPr>
          <w:rFonts w:ascii="Arial" w:cs="Arial" w:eastAsia="Arial" w:hAnsi="Arial"/>
          <w:sz w:val="18"/>
          <w:szCs w:val="18"/>
          <w:color w:val="auto"/>
        </w:rPr>
        <w:t>Units: “</w:t>
      </w:r>
      <w:r>
        <w:rPr>
          <w:sz w:val="20"/>
          <w:szCs w:val="20"/>
          <w:color w:val="auto"/>
        </w:rPr>
        <w:tab/>
      </w:r>
      <w:r>
        <w:rPr>
          <w:rFonts w:ascii="Arial" w:cs="Arial" w:eastAsia="Arial" w:hAnsi="Arial"/>
          <w:sz w:val="18"/>
          <w:szCs w:val="18"/>
          <w:color w:val="auto"/>
        </w:rPr>
        <w:t>”</w:t>
      </w:r>
    </w:p>
    <w:p>
      <w:pPr>
        <w:spacing w:after="0" w:line="229" w:lineRule="exact"/>
        <w:rPr>
          <w:sz w:val="20"/>
          <w:szCs w:val="20"/>
          <w:color w:val="auto"/>
        </w:rPr>
      </w:pPr>
    </w:p>
    <w:p>
      <w:pPr>
        <w:ind w:left="3440"/>
        <w:spacing w:after="0"/>
        <w:tabs>
          <w:tab w:leader="none" w:pos="5800" w:val="left"/>
        </w:tabs>
        <w:rPr>
          <w:sz w:val="20"/>
          <w:szCs w:val="20"/>
          <w:color w:val="auto"/>
        </w:rPr>
      </w:pPr>
      <w:r>
        <w:rPr>
          <w:rFonts w:ascii="Arial" w:cs="Arial" w:eastAsia="Arial" w:hAnsi="Arial"/>
          <w:sz w:val="18"/>
          <w:szCs w:val="18"/>
          <w:color w:val="auto"/>
        </w:rPr>
        <w:t>Class A ordinary shares: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440"/>
        <w:spacing w:after="0"/>
        <w:tabs>
          <w:tab w:leader="none" w:pos="4680" w:val="left"/>
        </w:tabs>
        <w:rPr>
          <w:sz w:val="20"/>
          <w:szCs w:val="20"/>
          <w:color w:val="auto"/>
        </w:rPr>
      </w:pPr>
      <w:r>
        <w:rPr>
          <w:rFonts w:ascii="Arial" w:cs="Arial" w:eastAsia="Arial" w:hAnsi="Arial"/>
          <w:sz w:val="18"/>
          <w:szCs w:val="18"/>
          <w:color w:val="auto"/>
        </w:rPr>
        <w:t>Warrants: “</w:t>
      </w:r>
      <w:r>
        <w:rPr>
          <w:sz w:val="20"/>
          <w:szCs w:val="20"/>
          <w:color w:val="auto"/>
        </w:rPr>
        <w:tab/>
      </w:r>
      <w:r>
        <w:rPr>
          <w:rFonts w:ascii="Arial" w:cs="Arial" w:eastAsia="Arial" w:hAnsi="Arial"/>
          <w:sz w:val="18"/>
          <w:szCs w:val="18"/>
          <w:color w:val="auto"/>
        </w:rPr>
        <w:t>”</w:t>
      </w:r>
    </w:p>
    <w:p>
      <w:pPr>
        <w:sectPr>
          <w:pgSz w:w="11900" w:h="16838" w:orient="portrait"/>
          <w:cols w:equalWidth="0" w:num="1">
            <w:col w:w="11200"/>
          </w:cols>
          <w:pgMar w:left="320" w:top="122" w:right="379" w:bottom="1440" w:gutter="0" w:footer="0" w:header="0"/>
        </w:sectPr>
      </w:pPr>
    </w:p>
    <w:p>
      <w:pPr>
        <w:spacing w:after="0" w:line="221" w:lineRule="exact"/>
        <w:rPr>
          <w:sz w:val="20"/>
          <w:szCs w:val="20"/>
          <w:color w:val="auto"/>
        </w:rPr>
      </w:pPr>
    </w:p>
    <w:p>
      <w:pPr>
        <w:ind w:left="260" w:right="100" w:hanging="161"/>
        <w:spacing w:after="0" w:line="314" w:lineRule="auto"/>
        <w:rPr>
          <w:sz w:val="20"/>
          <w:szCs w:val="20"/>
          <w:color w:val="auto"/>
        </w:rPr>
      </w:pPr>
      <w:r>
        <w:rPr>
          <w:rFonts w:ascii="Arial" w:cs="Arial" w:eastAsia="Arial" w:hAnsi="Arial"/>
          <w:sz w:val="16"/>
          <w:szCs w:val="16"/>
          <w:b w:val="1"/>
          <w:bCs w:val="1"/>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hanging="161"/>
        <w:spacing w:after="0" w:line="221" w:lineRule="exact"/>
        <w:rPr>
          <w:sz w:val="20"/>
          <w:szCs w:val="20"/>
          <w:color w:val="auto"/>
        </w:rPr>
      </w:pPr>
      <w:r>
        <w:rPr>
          <w:rFonts w:ascii="Arial" w:cs="Arial" w:eastAsia="Arial" w:hAnsi="Arial"/>
          <w:sz w:val="16"/>
          <w:szCs w:val="16"/>
          <w:b w:val="1"/>
          <w:bCs w:val="1"/>
          <w:color w:val="auto"/>
        </w:rPr>
        <w:t>Separate trading of the Class A ordinary shares and warrants is prohibited until we have filed a Current Report on Form 8</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Units:</w:t>
      </w:r>
    </w:p>
    <w:p>
      <w:pPr>
        <w:spacing w:after="0" w:line="225" w:lineRule="exact"/>
        <w:rPr>
          <w:sz w:val="20"/>
          <w:szCs w:val="20"/>
          <w:color w:val="auto"/>
        </w:rPr>
      </w:pPr>
    </w:p>
    <w:p>
      <w:pPr>
        <w:ind w:left="260" w:right="160" w:hanging="161"/>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The units are expected to begin trading on or promptly after the date of this prospectus. The Class A ordinary shares and warrants comprising the units will begin separate trading on the 52nd day following the date of this prospectus unless Jefferies LLC informs us of its decision to allow earlier separate trading, subject to our having filed the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four units, you will not be able to receive or trade a whole warrant.</w:t>
      </w: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70"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In no event will the Class A ordinary shares and warrants be traded separately until we have filed with the SEC a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which includes an audited balance sheet reflecting our receipt of the gross proceeds at the closing of this offering. We will file the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promptly after the closing of this offering.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following the initial filing of such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a second or amended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will be filed to provide updated financial information to reflect the exercise of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475" w:lineRule="exact"/>
        <w:rPr>
          <w:sz w:val="20"/>
          <w:szCs w:val="20"/>
          <w:color w:val="auto"/>
        </w:rPr>
      </w:pPr>
    </w:p>
    <w:p>
      <w:pPr>
        <w:sectPr>
          <w:pgSz w:w="11900" w:h="16838" w:orient="portrait"/>
          <w:cols w:equalWidth="0" w:num="2">
            <w:col w:w="2720" w:space="720"/>
            <w:col w:w="7760"/>
          </w:cols>
          <w:pgMar w:left="320" w:top="122"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4" w:name="page15"/>
    <w:bookmarkEnd w:id="14"/>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7779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777938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80" w:lineRule="exact"/>
        <w:rPr>
          <w:sz w:val="20"/>
          <w:szCs w:val="20"/>
          <w:color w:val="auto"/>
        </w:rPr>
      </w:pPr>
    </w:p>
    <w:p>
      <w:pPr>
        <w:ind w:left="260" w:right="277" w:hanging="161"/>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ind w:left="260" w:right="157" w:hanging="161"/>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162" w:lineRule="exact"/>
        <w:rPr>
          <w:sz w:val="20"/>
          <w:szCs w:val="20"/>
          <w:color w:val="auto"/>
        </w:rPr>
      </w:pPr>
    </w:p>
    <w:p>
      <w:pPr>
        <w:ind w:left="260" w:right="277" w:hanging="161"/>
        <w:spacing w:after="0" w:line="282" w:lineRule="auto"/>
        <w:rPr>
          <w:sz w:val="20"/>
          <w:szCs w:val="20"/>
          <w:color w:val="auto"/>
        </w:rPr>
      </w:pPr>
      <w:r>
        <w:rPr>
          <w:rFonts w:ascii="Arial" w:cs="Arial" w:eastAsia="Arial" w:hAnsi="Arial"/>
          <w:sz w:val="18"/>
          <w:szCs w:val="18"/>
          <w:b w:val="1"/>
          <w:bCs w:val="1"/>
          <w:color w:val="auto"/>
        </w:rPr>
        <w:t>Number outstanding after this offering</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ind w:left="260" w:right="57" w:hanging="161"/>
        <w:spacing w:after="0" w:line="303" w:lineRule="auto"/>
        <w:rPr>
          <w:sz w:val="20"/>
          <w:szCs w:val="20"/>
          <w:color w:val="auto"/>
        </w:rPr>
      </w:pPr>
      <w:r>
        <w:rPr>
          <w:rFonts w:ascii="Arial" w:cs="Arial" w:eastAsia="Arial" w:hAnsi="Arial"/>
          <w:sz w:val="16"/>
          <w:szCs w:val="16"/>
          <w:b w:val="1"/>
          <w:bCs w:val="1"/>
          <w:color w:val="auto"/>
        </w:rPr>
        <w:t>Number of private placement warrants to be sold in a private placement simultaneously with this offering</w:t>
      </w:r>
    </w:p>
    <w:p>
      <w:pPr>
        <w:spacing w:after="0" w:line="151" w:lineRule="exact"/>
        <w:rPr>
          <w:sz w:val="20"/>
          <w:szCs w:val="20"/>
          <w:color w:val="auto"/>
        </w:rPr>
      </w:pPr>
    </w:p>
    <w:p>
      <w:pPr>
        <w:ind w:left="260" w:right="157" w:hanging="161"/>
        <w:spacing w:after="0" w:line="314" w:lineRule="auto"/>
        <w:rPr>
          <w:sz w:val="20"/>
          <w:szCs w:val="20"/>
          <w:color w:val="auto"/>
        </w:rPr>
      </w:pPr>
      <w:r>
        <w:rPr>
          <w:rFonts w:ascii="Arial" w:cs="Arial" w:eastAsia="Arial" w:hAnsi="Arial"/>
          <w:sz w:val="16"/>
          <w:szCs w:val="16"/>
          <w:b w:val="1"/>
          <w:bCs w:val="1"/>
          <w:color w:val="auto"/>
        </w:rPr>
        <w:t>Number of warrants to be outstanding after this offering and the private placement</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Exercise price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Exercise period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3"/>
        <w:spacing w:after="0"/>
        <w:rPr>
          <w:sz w:val="20"/>
          <w:szCs w:val="20"/>
          <w:color w:val="auto"/>
        </w:rPr>
      </w:pPr>
      <w:r>
        <w:rPr>
          <w:rFonts w:ascii="Arial" w:cs="Arial" w:eastAsia="Arial" w:hAnsi="Arial"/>
          <w:sz w:val="18"/>
          <w:szCs w:val="18"/>
          <w:color w:val="auto"/>
        </w:rPr>
        <w:t>12,950,000</w:t>
      </w:r>
      <w:r>
        <w:rPr>
          <w:rFonts w:ascii="Arial" w:cs="Arial" w:eastAsia="Arial" w:hAnsi="Arial"/>
          <w:sz w:val="29"/>
          <w:szCs w:val="29"/>
          <w:color w:val="auto"/>
          <w:vertAlign w:val="superscript"/>
        </w:rPr>
        <w:t>(1)(2)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Arial" w:cs="Arial" w:eastAsia="Arial" w:hAnsi="Arial"/>
          <w:sz w:val="18"/>
          <w:szCs w:val="18"/>
          <w:color w:val="auto"/>
        </w:rPr>
        <w:t>3,593,750</w:t>
      </w:r>
      <w:r>
        <w:rPr>
          <w:rFonts w:ascii="Arial" w:cs="Arial" w:eastAsia="Arial" w:hAnsi="Arial"/>
          <w:sz w:val="29"/>
          <w:szCs w:val="29"/>
          <w:color w:val="auto"/>
          <w:vertAlign w:val="superscript"/>
        </w:rPr>
        <w:t>(3)(4)</w:t>
      </w:r>
    </w:p>
    <w:p>
      <w:pPr>
        <w:spacing w:after="0" w:line="315" w:lineRule="exact"/>
        <w:rPr>
          <w:sz w:val="20"/>
          <w:szCs w:val="20"/>
          <w:color w:val="auto"/>
        </w:rPr>
      </w:pPr>
    </w:p>
    <w:p>
      <w:pPr>
        <w:ind w:left="3"/>
        <w:spacing w:after="0"/>
        <w:rPr>
          <w:sz w:val="20"/>
          <w:szCs w:val="20"/>
          <w:color w:val="auto"/>
        </w:rPr>
      </w:pPr>
      <w:r>
        <w:rPr>
          <w:rFonts w:ascii="Arial" w:cs="Arial" w:eastAsia="Arial" w:hAnsi="Arial"/>
          <w:sz w:val="18"/>
          <w:szCs w:val="18"/>
          <w:color w:val="auto"/>
        </w:rPr>
        <w:t>16,075,000</w:t>
      </w:r>
      <w:r>
        <w:rPr>
          <w:rFonts w:ascii="Arial" w:cs="Arial" w:eastAsia="Arial" w:hAnsi="Arial"/>
          <w:sz w:val="29"/>
          <w:szCs w:val="29"/>
          <w:color w:val="auto"/>
          <w:vertAlign w:val="superscript"/>
        </w:rPr>
        <w:t>(1)(3)(5)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Arial" w:cs="Arial" w:eastAsia="Arial" w:hAnsi="Arial"/>
          <w:sz w:val="18"/>
          <w:szCs w:val="18"/>
          <w:color w:val="auto"/>
        </w:rPr>
        <w:t>112,500</w:t>
      </w:r>
      <w:r>
        <w:rPr>
          <w:rFonts w:ascii="Arial" w:cs="Arial" w:eastAsia="Arial" w:hAnsi="Arial"/>
          <w:sz w:val="29"/>
          <w:szCs w:val="29"/>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
        <w:spacing w:after="0"/>
        <w:rPr>
          <w:sz w:val="20"/>
          <w:szCs w:val="20"/>
          <w:color w:val="auto"/>
        </w:rPr>
      </w:pPr>
      <w:r>
        <w:rPr>
          <w:rFonts w:ascii="Arial" w:cs="Arial" w:eastAsia="Arial" w:hAnsi="Arial"/>
          <w:sz w:val="18"/>
          <w:szCs w:val="18"/>
          <w:color w:val="auto"/>
        </w:rPr>
        <w:t>3,237,500</w:t>
      </w:r>
      <w:r>
        <w:rPr>
          <w:rFonts w:ascii="Arial" w:cs="Arial" w:eastAsia="Arial" w:hAnsi="Arial"/>
          <w:sz w:val="29"/>
          <w:szCs w:val="29"/>
          <w:color w:val="auto"/>
          <w:vertAlign w:val="superscript"/>
        </w:rPr>
        <w:t>(1)(6)</w:t>
      </w:r>
    </w:p>
    <w:p>
      <w:pPr>
        <w:spacing w:after="0" w:line="200" w:lineRule="exact"/>
        <w:rPr>
          <w:sz w:val="20"/>
          <w:szCs w:val="20"/>
          <w:color w:val="auto"/>
        </w:rPr>
      </w:pPr>
    </w:p>
    <w:p>
      <w:pPr>
        <w:spacing w:after="0" w:line="340" w:lineRule="exact"/>
        <w:rPr>
          <w:sz w:val="20"/>
          <w:szCs w:val="20"/>
          <w:color w:val="auto"/>
        </w:rPr>
      </w:pPr>
    </w:p>
    <w:p>
      <w:pPr>
        <w:ind w:left="3" w:right="180"/>
        <w:spacing w:after="0" w:line="258" w:lineRule="auto"/>
        <w:rPr>
          <w:sz w:val="20"/>
          <w:szCs w:val="20"/>
          <w:color w:val="auto"/>
        </w:rPr>
      </w:pPr>
      <w:r>
        <w:rPr>
          <w:rFonts w:ascii="Arial" w:cs="Arial" w:eastAsia="Arial" w:hAnsi="Arial"/>
          <w:sz w:val="18"/>
          <w:szCs w:val="18"/>
          <w:color w:val="auto"/>
        </w:rPr>
        <w:t>Each whole warrant sold in this offering is exercisable to purchase one Class A ordinary share, subject to adjustment as described herein. Only whole warrants are exercisable.</w:t>
      </w:r>
    </w:p>
    <w:p>
      <w:pPr>
        <w:spacing w:after="0" w:line="1" w:lineRule="exact"/>
        <w:rPr>
          <w:sz w:val="20"/>
          <w:szCs w:val="20"/>
          <w:color w:val="auto"/>
        </w:rPr>
      </w:pPr>
    </w:p>
    <w:p>
      <w:pPr>
        <w:ind w:left="3" w:right="100"/>
        <w:spacing w:after="0" w:line="216" w:lineRule="exact"/>
        <w:rPr>
          <w:sz w:val="20"/>
          <w:szCs w:val="20"/>
          <w:color w:val="auto"/>
        </w:rPr>
      </w:pPr>
      <w:r>
        <w:rPr>
          <w:rFonts w:ascii="Arial" w:cs="Arial" w:eastAsia="Arial" w:hAnsi="Arial"/>
          <w:sz w:val="18"/>
          <w:szCs w:val="18"/>
          <w:color w:val="auto"/>
        </w:rPr>
        <w:t>We structured each unit to contain one</w:t>
      </w:r>
      <w:r>
        <w:rPr>
          <w:rFonts w:ascii="MS PGothic" w:cs="MS PGothic" w:eastAsia="MS PGothic" w:hAnsi="MS PGothic"/>
          <w:sz w:val="18"/>
          <w:szCs w:val="18"/>
          <w:color w:val="auto"/>
        </w:rPr>
        <w:t>‑</w:t>
      </w:r>
      <w:r>
        <w:rPr>
          <w:rFonts w:ascii="Arial" w:cs="Arial" w:eastAsia="Arial" w:hAnsi="Arial"/>
          <w:sz w:val="18"/>
          <w:szCs w:val="18"/>
          <w:color w:val="auto"/>
        </w:rPr>
        <w:t>fourth of one redeemable warrant, with each whole warrant exercisable for one Class A ordinary share, as compared to units issued by some other similar blank check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8"/>
          <w:szCs w:val="18"/>
          <w:color w:val="auto"/>
        </w:rPr>
        <w:t>$11.50 per whole share, subject to adjustments as described herein.</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warrants will become exercisable on the later of:</w:t>
      </w:r>
    </w:p>
    <w:p>
      <w:pPr>
        <w:spacing w:after="0" w:line="225" w:lineRule="exact"/>
        <w:rPr>
          <w:sz w:val="20"/>
          <w:szCs w:val="20"/>
          <w:color w:val="auto"/>
        </w:rPr>
      </w:pPr>
    </w:p>
    <w:p>
      <w:pPr>
        <w:ind w:left="323" w:hanging="323"/>
        <w:spacing w:after="0"/>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5" w:lineRule="exact"/>
        <w:rPr>
          <w:rFonts w:ascii="Arial" w:cs="Arial" w:eastAsia="Arial" w:hAnsi="Arial"/>
          <w:sz w:val="18"/>
          <w:szCs w:val="18"/>
          <w:color w:val="auto"/>
        </w:rPr>
      </w:pPr>
    </w:p>
    <w:p>
      <w:pPr>
        <w:ind w:left="323" w:hanging="323"/>
        <w:spacing w:after="0"/>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00" w:lineRule="exact"/>
        <w:rPr>
          <w:sz w:val="20"/>
          <w:szCs w:val="20"/>
          <w:color w:val="auto"/>
        </w:rPr>
      </w:pPr>
    </w:p>
    <w:p>
      <w:pPr>
        <w:sectPr>
          <w:pgSz w:w="11900" w:h="16838" w:orient="portrait"/>
          <w:cols w:equalWidth="0" w:num="2">
            <w:col w:w="2717" w:space="720"/>
            <w:col w:w="7743"/>
          </w:cols>
          <w:pgMar w:left="320" w:top="122" w:right="399" w:bottom="1440" w:gutter="0" w:footer="0" w:header="0"/>
          <w:type w:val="continuous"/>
        </w:sectPr>
      </w:pPr>
    </w:p>
    <w:p>
      <w:pPr>
        <w:spacing w:after="0" w:line="52" w:lineRule="exact"/>
        <w:rPr>
          <w:sz w:val="20"/>
          <w:szCs w:val="20"/>
          <w:color w:val="auto"/>
        </w:rPr>
      </w:pPr>
    </w:p>
    <w:p>
      <w:pPr>
        <w:ind w:left="420" w:hanging="318"/>
        <w:spacing w:after="0" w:line="207" w:lineRule="exact"/>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of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w:t>
      </w:r>
    </w:p>
    <w:p>
      <w:pPr>
        <w:spacing w:after="0" w:line="252" w:lineRule="exact"/>
        <w:rPr>
          <w:rFonts w:ascii="Arial" w:cs="Arial" w:eastAsia="Arial" w:hAnsi="Arial"/>
          <w:sz w:val="18"/>
          <w:szCs w:val="18"/>
          <w:color w:val="auto"/>
        </w:rPr>
      </w:pPr>
    </w:p>
    <w:p>
      <w:pPr>
        <w:ind w:left="420" w:hanging="318"/>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12,500,000 units sold in this offering and 450,000 private placement units to be sold in the private placement.</w:t>
      </w:r>
    </w:p>
    <w:p>
      <w:pPr>
        <w:spacing w:after="0" w:line="252" w:lineRule="exact"/>
        <w:rPr>
          <w:rFonts w:ascii="Arial" w:cs="Arial" w:eastAsia="Arial" w:hAnsi="Arial"/>
          <w:sz w:val="18"/>
          <w:szCs w:val="18"/>
          <w:color w:val="auto"/>
        </w:rPr>
      </w:pPr>
    </w:p>
    <w:p>
      <w:pPr>
        <w:ind w:left="420" w:hanging="318"/>
        <w:spacing w:after="0" w:line="220" w:lineRule="exact"/>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w:t>
      </w:r>
      <w:r>
        <w:rPr>
          <w:rFonts w:ascii="MS PGothic" w:cs="MS PGothic" w:eastAsia="MS PGothic" w:hAnsi="MS PGothic"/>
          <w:sz w:val="18"/>
          <w:szCs w:val="18"/>
          <w:color w:val="auto"/>
        </w:rPr>
        <w:t>‑</w:t>
      </w:r>
      <w:r>
        <w:rPr>
          <w:rFonts w:ascii="Arial" w:cs="Arial" w:eastAsia="Arial" w:hAnsi="Arial"/>
          <w:sz w:val="18"/>
          <w:szCs w:val="18"/>
          <w:color w:val="auto"/>
        </w:rPr>
        <w:t>dilution rights” and in our amended and restated memorandum and articles of association.</w:t>
      </w:r>
    </w:p>
    <w:p>
      <w:pPr>
        <w:spacing w:after="0" w:line="231" w:lineRule="exact"/>
        <w:rPr>
          <w:rFonts w:ascii="Arial" w:cs="Arial" w:eastAsia="Arial" w:hAnsi="Arial"/>
          <w:sz w:val="18"/>
          <w:szCs w:val="18"/>
          <w:color w:val="auto"/>
        </w:rPr>
      </w:pPr>
    </w:p>
    <w:p>
      <w:pPr>
        <w:ind w:left="420" w:hanging="318"/>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up to 468,750 founder shares that are subject to forfeiture.</w:t>
      </w:r>
    </w:p>
    <w:p>
      <w:pPr>
        <w:spacing w:after="0" w:line="252" w:lineRule="exact"/>
        <w:rPr>
          <w:rFonts w:ascii="Arial" w:cs="Arial" w:eastAsia="Arial" w:hAnsi="Arial"/>
          <w:sz w:val="18"/>
          <w:szCs w:val="18"/>
          <w:color w:val="auto"/>
        </w:rPr>
      </w:pPr>
    </w:p>
    <w:p>
      <w:pPr>
        <w:ind w:left="420" w:right="220" w:hanging="318"/>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12,500,000 public shares, 450,000 Class A ordinary shares underlying the private placement units to be sold in the private placement and 3,125,000 founder shares, assuming 468,750 founder shares have been forfeited.</w:t>
      </w:r>
    </w:p>
    <w:p>
      <w:pPr>
        <w:spacing w:after="0" w:line="197" w:lineRule="exact"/>
        <w:rPr>
          <w:rFonts w:ascii="Arial" w:cs="Arial" w:eastAsia="Arial" w:hAnsi="Arial"/>
          <w:sz w:val="18"/>
          <w:szCs w:val="18"/>
          <w:color w:val="auto"/>
        </w:rPr>
      </w:pPr>
    </w:p>
    <w:p>
      <w:pPr>
        <w:ind w:left="420" w:right="700" w:hanging="318"/>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3,125,000 public warrants included in the units sold in this offering and 112,500 private placement warrants underlying the private placement units to be sold in the private placement.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5" w:name="page16"/>
    <w:bookmarkEnd w:id="15"/>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481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548195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hanging="161"/>
        <w:spacing w:after="0" w:line="261" w:lineRule="auto"/>
        <w:rPr>
          <w:sz w:val="20"/>
          <w:szCs w:val="20"/>
          <w:color w:val="auto"/>
        </w:rPr>
      </w:pPr>
      <w:r>
        <w:rPr>
          <w:rFonts w:ascii="Arial" w:cs="Arial" w:eastAsia="Arial" w:hAnsi="Arial"/>
          <w:sz w:val="18"/>
          <w:szCs w:val="18"/>
          <w:b w:val="1"/>
          <w:bCs w:val="1"/>
          <w:color w:val="auto"/>
        </w:rPr>
        <w:t>Redemption of warrants for cash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 w:right="60"/>
        <w:spacing w:after="0" w:line="291"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66" w:lineRule="exact"/>
        <w:rPr>
          <w:sz w:val="20"/>
          <w:szCs w:val="20"/>
          <w:color w:val="auto"/>
        </w:rPr>
      </w:pPr>
    </w:p>
    <w:p>
      <w:pPr>
        <w:ind w:left="3"/>
        <w:spacing w:after="0" w:line="285" w:lineRule="auto"/>
        <w:rPr>
          <w:sz w:val="20"/>
          <w:szCs w:val="20"/>
          <w:color w:val="auto"/>
        </w:rPr>
      </w:pPr>
      <w:r>
        <w:rPr>
          <w:rFonts w:ascii="Arial" w:cs="Arial" w:eastAsia="Arial" w:hAnsi="Arial"/>
          <w:sz w:val="16"/>
          <w:szCs w:val="16"/>
          <w:color w:val="auto"/>
        </w:rPr>
        <w:t xml:space="preserve">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 registration statement covering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best efforts to register or qualify the shares under applicable blue sky laws to the extent an exemption is not available.</w:t>
      </w:r>
    </w:p>
    <w:p>
      <w:pPr>
        <w:spacing w:after="0" w:line="169" w:lineRule="exact"/>
        <w:rPr>
          <w:sz w:val="20"/>
          <w:szCs w:val="20"/>
          <w:color w:val="auto"/>
        </w:rPr>
      </w:pPr>
    </w:p>
    <w:p>
      <w:pPr>
        <w:ind w:left="3" w:right="20"/>
        <w:spacing w:after="0" w:line="263"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184" w:lineRule="exact"/>
        <w:rPr>
          <w:sz w:val="20"/>
          <w:szCs w:val="20"/>
          <w:color w:val="auto"/>
        </w:rPr>
      </w:pPr>
    </w:p>
    <w:p>
      <w:pPr>
        <w:ind w:left="3" w:right="44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placement warrants):</w:t>
      </w:r>
    </w:p>
    <w:p>
      <w:pPr>
        <w:spacing w:after="0" w:line="170" w:lineRule="exact"/>
        <w:rPr>
          <w:sz w:val="20"/>
          <w:szCs w:val="20"/>
          <w:color w:val="auto"/>
        </w:rPr>
      </w:pPr>
    </w:p>
    <w:p>
      <w:pPr>
        <w:ind w:left="323" w:hanging="323"/>
        <w:spacing w:after="0"/>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323" w:hanging="323"/>
        <w:spacing w:after="0"/>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00" w:lineRule="exact"/>
        <w:rPr>
          <w:sz w:val="20"/>
          <w:szCs w:val="20"/>
          <w:color w:val="auto"/>
        </w:rPr>
      </w:pPr>
    </w:p>
    <w:p>
      <w:pPr>
        <w:sectPr>
          <w:pgSz w:w="11900" w:h="16838" w:orient="portrait"/>
          <w:cols w:equalWidth="0" w:num="2">
            <w:col w:w="2780" w:space="657"/>
            <w:col w:w="7763"/>
          </w:cols>
          <w:pgMar w:left="320" w:top="122" w:right="37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6" w:name="page17"/>
    <w:bookmarkEnd w:id="16"/>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6030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603059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hanging="161"/>
        <w:spacing w:after="0" w:line="281" w:lineRule="auto"/>
        <w:rPr>
          <w:sz w:val="20"/>
          <w:szCs w:val="20"/>
          <w:color w:val="auto"/>
        </w:rPr>
      </w:pPr>
      <w:r>
        <w:rPr>
          <w:rFonts w:ascii="Arial" w:cs="Arial" w:eastAsia="Arial" w:hAnsi="Arial"/>
          <w:sz w:val="17"/>
          <w:szCs w:val="17"/>
          <w:b w:val="1"/>
          <w:bCs w:val="1"/>
          <w:color w:val="auto"/>
        </w:rPr>
        <w:t>Redemption of warrants for Class A ordinary shares when the price per Class A ordinary share equals or exceeds $10.00</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23" w:right="440" w:hanging="323"/>
        <w:spacing w:after="0" w:line="223" w:lineRule="exact"/>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w:t>
      </w:r>
      <w:r>
        <w:rPr>
          <w:rFonts w:ascii="MS PGothic" w:cs="MS PGothic" w:eastAsia="MS PGothic" w:hAnsi="MS PGothic"/>
          <w:sz w:val="18"/>
          <w:szCs w:val="18"/>
          <w:color w:val="auto"/>
        </w:rPr>
        <w:t>‑</w:t>
      </w:r>
      <w:r>
        <w:rPr>
          <w:rFonts w:ascii="Arial" w:cs="Arial" w:eastAsia="Arial" w:hAnsi="Arial"/>
          <w:sz w:val="18"/>
          <w:szCs w:val="18"/>
          <w:color w:val="auto"/>
        </w:rPr>
        <w:t>day redemption period”; and</w:t>
      </w:r>
    </w:p>
    <w:p>
      <w:pPr>
        <w:spacing w:after="0" w:line="202" w:lineRule="exact"/>
        <w:rPr>
          <w:rFonts w:ascii="Arial" w:cs="Arial" w:eastAsia="Arial" w:hAnsi="Arial"/>
          <w:sz w:val="18"/>
          <w:szCs w:val="18"/>
          <w:color w:val="auto"/>
        </w:rPr>
      </w:pPr>
    </w:p>
    <w:p>
      <w:pPr>
        <w:ind w:left="323" w:right="160" w:hanging="323"/>
        <w:spacing w:after="0" w:line="220" w:lineRule="exact"/>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and only if, the last reported sales price (the “closing price”) of our Class A ordinary shares equals or exceeds $18.00 per share (as adjusted for share splits, share capitalizations, reorganizations, recapitalizations and the like) for any 20 trading days within a 30</w:t>
      </w:r>
      <w:r>
        <w:rPr>
          <w:rFonts w:ascii="MS PGothic" w:cs="MS PGothic" w:eastAsia="MS PGothic" w:hAnsi="MS PGothic"/>
          <w:sz w:val="16"/>
          <w:szCs w:val="16"/>
          <w:color w:val="auto"/>
        </w:rPr>
        <w:t>‑</w:t>
      </w:r>
      <w:r>
        <w:rPr>
          <w:rFonts w:ascii="Arial" w:cs="Arial" w:eastAsia="Arial" w:hAnsi="Arial"/>
          <w:sz w:val="16"/>
          <w:szCs w:val="16"/>
          <w:color w:val="auto"/>
        </w:rPr>
        <w:t>trading day period ending on the third trading day prior to the date on which we send the notice of redemption to the warrant holders.</w:t>
      </w:r>
    </w:p>
    <w:p>
      <w:pPr>
        <w:spacing w:after="0" w:line="203" w:lineRule="exact"/>
        <w:rPr>
          <w:sz w:val="20"/>
          <w:szCs w:val="20"/>
          <w:color w:val="auto"/>
        </w:rPr>
      </w:pPr>
    </w:p>
    <w:p>
      <w:pPr>
        <w:ind w:left="3" w:right="20"/>
        <w:spacing w:after="0" w:line="219" w:lineRule="exact"/>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w:t>
      </w:r>
      <w:r>
        <w:rPr>
          <w:rFonts w:ascii="MS PGothic" w:cs="MS PGothic" w:eastAsia="MS PGothic" w:hAnsi="MS PGothic"/>
          <w:sz w:val="18"/>
          <w:szCs w:val="18"/>
          <w:color w:val="auto"/>
        </w:rPr>
        <w:t>‑</w:t>
      </w:r>
      <w:r>
        <w:rPr>
          <w:rFonts w:ascii="Arial" w:cs="Arial" w:eastAsia="Arial" w:hAnsi="Arial"/>
          <w:sz w:val="18"/>
          <w:szCs w:val="18"/>
          <w:color w:val="auto"/>
        </w:rPr>
        <w:t>day redemption period, except if the warrants may be exercised on a cashless basis and such cashless exercise is exempt from registration under the Securities Act.</w:t>
      </w:r>
    </w:p>
    <w:p>
      <w:pPr>
        <w:spacing w:after="0" w:line="205" w:lineRule="exact"/>
        <w:rPr>
          <w:sz w:val="20"/>
          <w:szCs w:val="20"/>
          <w:color w:val="auto"/>
        </w:rPr>
      </w:pPr>
    </w:p>
    <w:p>
      <w:pPr>
        <w:ind w:left="3" w:right="120"/>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In such event, each holder would pay the exercise price by surrendering the warrants for that number of Class A ordinary shares equal to the lesser of (A) the quotient obtained by dividing (x) the product of the number of Class A ordinary shares underlying the warrants, multiplied by the difference between the exercise price of the warrants and the “fair market value” (defined below) by (y) the fair market value and (B) 0.365. Please see “Description of Securities — Warrants — Public Shareholders’ Warrants” for additional information.</w:t>
      </w:r>
    </w:p>
    <w:p>
      <w:pPr>
        <w:spacing w:after="0" w:line="182" w:lineRule="exact"/>
        <w:rPr>
          <w:sz w:val="20"/>
          <w:szCs w:val="20"/>
          <w:color w:val="auto"/>
        </w:rPr>
      </w:pPr>
    </w:p>
    <w:p>
      <w:pPr>
        <w:ind w:left="3" w:right="120"/>
        <w:spacing w:after="0" w:line="277" w:lineRule="auto"/>
        <w:rPr>
          <w:sz w:val="20"/>
          <w:szCs w:val="20"/>
          <w:color w:val="auto"/>
        </w:rPr>
      </w:pPr>
      <w:r>
        <w:rPr>
          <w:rFonts w:ascii="Arial" w:cs="Arial" w:eastAsia="Arial" w:hAnsi="Arial"/>
          <w:sz w:val="18"/>
          <w:szCs w:val="18"/>
          <w:color w:val="auto"/>
        </w:rPr>
        <w:t>Except as set forth below, none of the private placement warrants will be redeemable by us so long as they are held by our sponsor or its permitted transferees.</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color w:val="auto"/>
        </w:rPr>
        <w:t>Commencing ninety days after the warrants become exercisable, we may redeem the outstanding warrants:</w:t>
      </w:r>
    </w:p>
    <w:p>
      <w:pPr>
        <w:spacing w:after="0" w:line="248" w:lineRule="exact"/>
        <w:rPr>
          <w:sz w:val="20"/>
          <w:szCs w:val="20"/>
          <w:color w:val="auto"/>
        </w:rPr>
      </w:pPr>
    </w:p>
    <w:p>
      <w:pPr>
        <w:ind w:left="323" w:hanging="323"/>
        <w:spacing w:after="0"/>
        <w:tabs>
          <w:tab w:leader="none" w:pos="3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323" w:hanging="323"/>
        <w:spacing w:after="0" w:line="273" w:lineRule="auto"/>
        <w:tabs>
          <w:tab w:leader="none" w:pos="3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 Warrants—Public Shareholders’ Warrants” based on the redemption date and the “fair market value” of our Class A ordinary shares (as defined below) except as otherwise described in “Description of Securities—Warrants—Public Shareholders’ Warrants”;</w:t>
      </w:r>
    </w:p>
    <w:p>
      <w:pPr>
        <w:spacing w:after="0" w:line="177" w:lineRule="exact"/>
        <w:rPr>
          <w:rFonts w:ascii="Arial" w:cs="Arial" w:eastAsia="Arial" w:hAnsi="Arial"/>
          <w:sz w:val="17"/>
          <w:szCs w:val="17"/>
          <w:color w:val="auto"/>
        </w:rPr>
      </w:pPr>
    </w:p>
    <w:p>
      <w:pPr>
        <w:ind w:left="323" w:right="320" w:hanging="323"/>
        <w:spacing w:after="0" w:line="277"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per share</w:t>
      </w:r>
    </w:p>
    <w:p>
      <w:pPr>
        <w:spacing w:after="0" w:line="200" w:lineRule="exact"/>
        <w:rPr>
          <w:sz w:val="20"/>
          <w:szCs w:val="20"/>
          <w:color w:val="auto"/>
        </w:rPr>
      </w:pPr>
    </w:p>
    <w:p>
      <w:pPr>
        <w:sectPr>
          <w:pgSz w:w="11900" w:h="16838" w:orient="portrait"/>
          <w:cols w:equalWidth="0" w:num="2">
            <w:col w:w="2880" w:space="557"/>
            <w:col w:w="7783"/>
          </w:cols>
          <w:pgMar w:left="320" w:top="122" w:right="35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5344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44795"/>
                    </a:xfrm>
                    <a:prstGeom prst="rect">
                      <a:avLst/>
                    </a:prstGeom>
                    <a:noFill/>
                  </pic:spPr>
                </pic:pic>
              </a:graphicData>
            </a:graphic>
          </wp:anchor>
        </w:drawing>
      </w:r>
    </w:p>
    <w:p>
      <w:pPr>
        <w:spacing w:after="0" w:line="241" w:lineRule="exact"/>
        <w:rPr>
          <w:sz w:val="20"/>
          <w:szCs w:val="20"/>
          <w:color w:val="auto"/>
        </w:rPr>
      </w:pPr>
    </w:p>
    <w:p>
      <w:pPr>
        <w:ind w:left="3760" w:right="40"/>
        <w:spacing w:after="0" w:line="277" w:lineRule="auto"/>
        <w:rPr>
          <w:sz w:val="20"/>
          <w:szCs w:val="20"/>
          <w:color w:val="auto"/>
        </w:rPr>
      </w:pPr>
      <w:r>
        <w:rPr>
          <w:rFonts w:ascii="Arial" w:cs="Arial" w:eastAsia="Arial" w:hAnsi="Arial"/>
          <w:sz w:val="18"/>
          <w:szCs w:val="18"/>
          <w:color w:val="auto"/>
        </w:rPr>
        <w:t>subdivisions, share dividends, reorganizations, recapitalizations and the like) on the trading day before we send the notice of redemption to the warrant holders;</w:t>
      </w:r>
    </w:p>
    <w:p>
      <w:pPr>
        <w:spacing w:after="0" w:line="170" w:lineRule="exact"/>
        <w:rPr>
          <w:sz w:val="20"/>
          <w:szCs w:val="20"/>
          <w:color w:val="auto"/>
        </w:rPr>
      </w:pPr>
    </w:p>
    <w:p>
      <w:pPr>
        <w:ind w:left="3760" w:right="80" w:hanging="323"/>
        <w:spacing w:after="0" w:line="277" w:lineRule="auto"/>
        <w:tabs>
          <w:tab w:leader="none" w:pos="37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private placement warrants are also concurrently called for redemption on the same terms as the outstanding public warrants, as described above; and</w:t>
      </w:r>
    </w:p>
    <w:p>
      <w:pPr>
        <w:spacing w:after="0" w:line="170" w:lineRule="exact"/>
        <w:rPr>
          <w:rFonts w:ascii="Arial" w:cs="Arial" w:eastAsia="Arial" w:hAnsi="Arial"/>
          <w:sz w:val="18"/>
          <w:szCs w:val="18"/>
          <w:color w:val="auto"/>
        </w:rPr>
      </w:pPr>
    </w:p>
    <w:p>
      <w:pPr>
        <w:ind w:left="3760" w:right="20" w:hanging="323"/>
        <w:spacing w:after="0" w:line="220" w:lineRule="exact"/>
        <w:tabs>
          <w:tab w:leader="none" w:pos="37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Class A ordinary shares issuable upon exercise of the warrants and a current prospectus relating thereto available throughout the 30</w:t>
      </w:r>
      <w:r>
        <w:rPr>
          <w:rFonts w:ascii="MS PGothic" w:cs="MS PGothic" w:eastAsia="MS PGothic" w:hAnsi="MS PGothic"/>
          <w:sz w:val="18"/>
          <w:szCs w:val="18"/>
          <w:color w:val="auto"/>
        </w:rPr>
        <w:t>‑</w:t>
      </w:r>
      <w:r>
        <w:rPr>
          <w:rFonts w:ascii="Arial" w:cs="Arial" w:eastAsia="Arial" w:hAnsi="Arial"/>
          <w:sz w:val="18"/>
          <w:szCs w:val="18"/>
          <w:color w:val="auto"/>
        </w:rPr>
        <w:t>day period after written notice of redemption is given.</w:t>
      </w:r>
    </w:p>
    <w:p>
      <w:pPr>
        <w:spacing w:after="0" w:line="204" w:lineRule="exact"/>
        <w:rPr>
          <w:sz w:val="20"/>
          <w:szCs w:val="20"/>
          <w:color w:val="auto"/>
        </w:rPr>
      </w:pPr>
    </w:p>
    <w:p>
      <w:pPr>
        <w:ind w:left="3440" w:right="120"/>
        <w:spacing w:after="0" w:line="273" w:lineRule="auto"/>
        <w:rPr>
          <w:sz w:val="20"/>
          <w:szCs w:val="20"/>
          <w:color w:val="auto"/>
        </w:rPr>
      </w:pPr>
      <w:r>
        <w:rPr>
          <w:rFonts w:ascii="Arial" w:cs="Arial" w:eastAsia="Arial" w:hAnsi="Arial"/>
          <w:sz w:val="17"/>
          <w:szCs w:val="17"/>
          <w:color w:val="auto"/>
        </w:rPr>
        <w:t>The “fair market value” of our Class A ordinary shares shall mean the volume weighted average price of our Class A ordinary shares as reported during the 10 trading days ending on the third trading day prior to the date on which the notice of redemption is sent to the holders of warrants. This redemption feature differs from the typical warrant redemption features used in other blank check offerings. In no event will the warrants be exercisable on a cashless basis in connection with this redemption feature for more than 0.365 Class A ordinary shares per warrant (subject to adjustment).</w:t>
      </w:r>
    </w:p>
    <w:p>
      <w:pPr>
        <w:spacing w:after="0" w:line="178" w:lineRule="exact"/>
        <w:rPr>
          <w:sz w:val="20"/>
          <w:szCs w:val="20"/>
          <w:color w:val="auto"/>
        </w:rPr>
      </w:pPr>
    </w:p>
    <w:p>
      <w:pPr>
        <w:jc w:val="both"/>
        <w:ind w:left="3440"/>
        <w:spacing w:after="0" w:line="301" w:lineRule="auto"/>
        <w:rPr>
          <w:sz w:val="20"/>
          <w:szCs w:val="20"/>
          <w:color w:val="auto"/>
        </w:rPr>
      </w:pPr>
      <w:r>
        <w:rPr>
          <w:rFonts w:ascii="Arial" w:cs="Arial" w:eastAsia="Arial" w:hAnsi="Arial"/>
          <w:sz w:val="16"/>
          <w:szCs w:val="16"/>
          <w:color w:val="auto"/>
        </w:rPr>
        <w:t>No fractional Class A ordinary shares will be issued upon redemption. If, upon redemption, a holder would be entitled to receive a fractional interest in a share, we will round down to the nearest whole number of the number of Class A ordinary shares to be issued to the holder. Please see the section entitled “Description of Securities —Warrants—Public Shareholders’ Warrants” for additional information.</w:t>
      </w:r>
    </w:p>
    <w:p>
      <w:pPr>
        <w:sectPr>
          <w:pgSz w:w="11900" w:h="16838" w:orient="portrait"/>
          <w:cols w:equalWidth="0" w:num="1">
            <w:col w:w="11180"/>
          </w:cols>
          <w:pgMar w:left="320" w:top="122" w:right="399" w:bottom="1440" w:gutter="0" w:footer="0" w:header="0"/>
        </w:sectPr>
      </w:pPr>
    </w:p>
    <w:p>
      <w:pPr>
        <w:spacing w:after="0" w:line="15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Founder shares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April 2, 2020, we issued to our sponsor 3,593,750 founder shares in exchange for a capital contribution of $25,000, or approximately $0.007 per share. In 2020, our sponsor transferred 30,000 founder shares to each of , and . Such shares will not be subject to forfeiture in the event the underwriters’</w:t>
      </w:r>
    </w:p>
    <w:p>
      <w:pPr>
        <w:spacing w:after="0" w:line="2" w:lineRule="exact"/>
        <w:rPr>
          <w:sz w:val="20"/>
          <w:szCs w:val="20"/>
          <w:color w:val="auto"/>
        </w:rPr>
      </w:pPr>
    </w:p>
    <w:p>
      <w:pPr>
        <w:sectPr>
          <w:pgSz w:w="11900" w:h="16838" w:orient="portrait"/>
          <w:cols w:equalWidth="0" w:num="2">
            <w:col w:w="2720" w:space="720"/>
            <w:col w:w="7740"/>
          </w:cols>
          <w:pgMar w:left="320" w:top="122" w:right="399" w:bottom="1440" w:gutter="0" w:footer="0" w:header="0"/>
          <w:type w:val="continuous"/>
        </w:sectPr>
      </w:pPr>
    </w:p>
    <w:p>
      <w:pPr>
        <w:ind w:left="3440"/>
        <w:spacing w:after="0" w:line="207" w:lineRule="exact"/>
        <w:rPr>
          <w:sz w:val="20"/>
          <w:szCs w:val="20"/>
          <w:color w:val="auto"/>
        </w:rPr>
      </w:pP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allotment option is not exercised.</w:t>
      </w:r>
    </w:p>
    <w:p>
      <w:pPr>
        <w:spacing w:after="0" w:line="211" w:lineRule="exact"/>
        <w:rPr>
          <w:sz w:val="20"/>
          <w:szCs w:val="20"/>
          <w:color w:val="auto"/>
        </w:rPr>
      </w:pPr>
    </w:p>
    <w:p>
      <w:pPr>
        <w:ind w:left="3440" w:right="40"/>
        <w:spacing w:after="0" w:line="217" w:lineRule="exact"/>
        <w:rPr>
          <w:sz w:val="20"/>
          <w:szCs w:val="20"/>
          <w:color w:val="auto"/>
        </w:rPr>
      </w:pPr>
      <w:r>
        <w:rPr>
          <w:rFonts w:ascii="Arial" w:cs="Arial" w:eastAsia="Arial" w:hAnsi="Arial"/>
          <w:sz w:val="16"/>
          <w:szCs w:val="16"/>
          <w:color w:val="auto"/>
        </w:rPr>
        <w:t>Prior to the initial investment in the company of $25,000 by the sponsor, the company had no assets, tangible or intangible. The per share price of the founder shares was determined by dividing the amount contributed to the company by the number of founder shares issued. If we increase or decrease the size of this offering, we will effect a share capitalization or a share surrender or redemption or other appropriate mechanism, as applicable, with respect to our Class B ordinary shares immediately prior to the consummation of this offering in such amount as to maintain the ownership of our initial shareholders (and their permitted transferees), on an as</w:t>
      </w:r>
      <w:r>
        <w:rPr>
          <w:rFonts w:ascii="MS PGothic" w:cs="MS PGothic" w:eastAsia="MS PGothic" w:hAnsi="MS PGothic"/>
          <w:sz w:val="16"/>
          <w:szCs w:val="16"/>
          <w:color w:val="auto"/>
        </w:rPr>
        <w:t>‑</w:t>
      </w:r>
      <w:r>
        <w:rPr>
          <w:rFonts w:ascii="Arial" w:cs="Arial" w:eastAsia="Arial" w:hAnsi="Arial"/>
          <w:sz w:val="16"/>
          <w:szCs w:val="16"/>
          <w:color w:val="auto"/>
        </w:rPr>
        <w:t>converted basis, at 20% of our issued and outstanding ordinary shares (excluding the private placement shares underlying the private placement units) upon the consummation of this offering. Up to 468,750 founder shares held by our sponsor are subject to forfeiture, depending on the extent to which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5344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44795"/>
                    </a:xfrm>
                    <a:prstGeom prst="rect">
                      <a:avLst/>
                    </a:prstGeom>
                    <a:noFill/>
                  </pic:spPr>
                </pic:pic>
              </a:graphicData>
            </a:graphic>
          </wp:anchor>
        </w:drawing>
      </w:r>
    </w:p>
    <w:p>
      <w:pPr>
        <w:spacing w:after="0" w:line="241" w:lineRule="exact"/>
        <w:rPr>
          <w:sz w:val="20"/>
          <w:szCs w:val="20"/>
          <w:color w:val="auto"/>
        </w:rPr>
      </w:pPr>
    </w:p>
    <w:p>
      <w:pPr>
        <w:ind w:left="3440" w:right="460"/>
        <w:spacing w:after="0" w:line="277" w:lineRule="auto"/>
        <w:rPr>
          <w:sz w:val="20"/>
          <w:szCs w:val="20"/>
          <w:color w:val="auto"/>
        </w:rPr>
      </w:pPr>
      <w:r>
        <w:rPr>
          <w:rFonts w:ascii="Arial" w:cs="Arial" w:eastAsia="Arial" w:hAnsi="Arial"/>
          <w:sz w:val="18"/>
          <w:szCs w:val="18"/>
          <w:color w:val="auto"/>
        </w:rPr>
        <w:t>The founder shares are identical to the Class A ordinary shares included in the units being sold in this offering, except that:</w:t>
      </w:r>
    </w:p>
    <w:p>
      <w:pPr>
        <w:spacing w:after="0" w:line="170" w:lineRule="exact"/>
        <w:rPr>
          <w:sz w:val="20"/>
          <w:szCs w:val="20"/>
          <w:color w:val="auto"/>
        </w:rPr>
      </w:pPr>
    </w:p>
    <w:p>
      <w:pPr>
        <w:ind w:left="3760" w:right="300" w:hanging="323"/>
        <w:spacing w:after="0" w:line="263" w:lineRule="auto"/>
        <w:tabs>
          <w:tab w:leader="none" w:pos="37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holders of the founder shares have the right to vote on the election of directors prior to the completion of our initial business combination and holders of a majority of our founder shares may remove a member of the board of directors for any reason;</w:t>
      </w:r>
    </w:p>
    <w:p>
      <w:pPr>
        <w:spacing w:after="0" w:line="183" w:lineRule="exact"/>
        <w:rPr>
          <w:rFonts w:ascii="Arial" w:cs="Arial" w:eastAsia="Arial" w:hAnsi="Arial"/>
          <w:sz w:val="18"/>
          <w:szCs w:val="18"/>
          <w:color w:val="auto"/>
        </w:rPr>
      </w:pPr>
    </w:p>
    <w:p>
      <w:pPr>
        <w:ind w:left="3760" w:hanging="323"/>
        <w:spacing w:after="0"/>
        <w:tabs>
          <w:tab w:leader="none" w:pos="3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founder shares are subject to certain transfer restrictions, as described in more detail below;</w:t>
      </w:r>
    </w:p>
    <w:p>
      <w:pPr>
        <w:spacing w:after="0" w:line="236" w:lineRule="exact"/>
        <w:rPr>
          <w:rFonts w:ascii="Arial" w:cs="Arial" w:eastAsia="Arial" w:hAnsi="Arial"/>
          <w:sz w:val="17"/>
          <w:szCs w:val="17"/>
          <w:color w:val="auto"/>
        </w:rPr>
      </w:pPr>
    </w:p>
    <w:p>
      <w:pPr>
        <w:ind w:left="3760" w:hanging="323"/>
        <w:spacing w:after="0" w:line="217" w:lineRule="exact"/>
        <w:tabs>
          <w:tab w:leader="none" w:pos="37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this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16"/>
          <w:szCs w:val="16"/>
          <w:color w:val="auto"/>
        </w:rPr>
        <w:t>‑</w:t>
      </w:r>
      <w:r>
        <w:rPr>
          <w:rFonts w:ascii="Arial" w:cs="Arial" w:eastAsia="Arial" w:hAnsi="Arial"/>
          <w:sz w:val="16"/>
          <w:szCs w:val="16"/>
          <w:color w:val="auto"/>
        </w:rPr>
        <w:t>allotment option is not exercised);</w:t>
      </w:r>
    </w:p>
    <w:p>
      <w:pPr>
        <w:spacing w:after="0" w:line="211" w:lineRule="exact"/>
        <w:rPr>
          <w:rFonts w:ascii="Arial" w:cs="Arial" w:eastAsia="Arial" w:hAnsi="Arial"/>
          <w:sz w:val="16"/>
          <w:szCs w:val="16"/>
          <w:color w:val="auto"/>
        </w:rPr>
      </w:pPr>
    </w:p>
    <w:p>
      <w:pPr>
        <w:ind w:left="3760" w:right="60" w:hanging="323"/>
        <w:spacing w:after="0" w:line="342" w:lineRule="auto"/>
        <w:tabs>
          <w:tab w:leader="none" w:pos="37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founder shares will automatically convert into our Class A ordinary shares at the time of our initial business combination as described below adjacent to the caption “Founder shares conversion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619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561911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60" w:right="157" w:hanging="161"/>
        <w:spacing w:after="0" w:line="266" w:lineRule="auto"/>
        <w:rPr>
          <w:sz w:val="20"/>
          <w:szCs w:val="20"/>
          <w:color w:val="auto"/>
        </w:rPr>
      </w:pPr>
      <w:r>
        <w:rPr>
          <w:rFonts w:ascii="Arial" w:cs="Arial" w:eastAsia="Arial" w:hAnsi="Arial"/>
          <w:sz w:val="18"/>
          <w:szCs w:val="18"/>
          <w:b w:val="1"/>
          <w:bCs w:val="1"/>
          <w:color w:val="auto"/>
        </w:rPr>
        <w:t>Transfer restrictions on founder shares and private placement units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23"/>
        <w:spacing w:after="0" w:line="184" w:lineRule="exact"/>
        <w:rPr>
          <w:sz w:val="20"/>
          <w:szCs w:val="20"/>
          <w:color w:val="auto"/>
        </w:rPr>
      </w:pPr>
      <w:r>
        <w:rPr>
          <w:rFonts w:ascii="Arial" w:cs="Arial" w:eastAsia="Arial" w:hAnsi="Arial"/>
          <w:sz w:val="16"/>
          <w:szCs w:val="16"/>
          <w:color w:val="auto"/>
        </w:rPr>
        <w:t>and anti</w:t>
      </w:r>
      <w:r>
        <w:rPr>
          <w:rFonts w:ascii="MS PGothic" w:cs="MS PGothic" w:eastAsia="MS PGothic" w:hAnsi="MS PGothic"/>
          <w:sz w:val="16"/>
          <w:szCs w:val="16"/>
          <w:color w:val="auto"/>
        </w:rPr>
        <w:t>‑</w:t>
      </w:r>
      <w:r>
        <w:rPr>
          <w:rFonts w:ascii="Arial" w:cs="Arial" w:eastAsia="Arial" w:hAnsi="Arial"/>
          <w:sz w:val="16"/>
          <w:szCs w:val="16"/>
          <w:color w:val="auto"/>
        </w:rPr>
        <w:t>dilution rights” and in our amended and restated memorandum and articles of association; and</w:t>
      </w:r>
    </w:p>
    <w:p>
      <w:pPr>
        <w:spacing w:after="0" w:line="248" w:lineRule="exact"/>
        <w:rPr>
          <w:sz w:val="20"/>
          <w:szCs w:val="20"/>
          <w:color w:val="auto"/>
        </w:rPr>
      </w:pPr>
    </w:p>
    <w:p>
      <w:pPr>
        <w:ind w:left="323" w:hanging="323"/>
        <w:spacing w:after="0"/>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225" w:lineRule="exact"/>
        <w:rPr>
          <w:sz w:val="20"/>
          <w:szCs w:val="20"/>
          <w:color w:val="auto"/>
        </w:rPr>
      </w:pPr>
    </w:p>
    <w:p>
      <w:pPr>
        <w:ind w:left="3"/>
        <w:spacing w:after="0" w:line="217" w:lineRule="exact"/>
        <w:rPr>
          <w:sz w:val="20"/>
          <w:szCs w:val="20"/>
          <w:color w:val="auto"/>
        </w:rPr>
      </w:pPr>
      <w:r>
        <w:rPr>
          <w:rFonts w:ascii="Arial" w:cs="Arial" w:eastAsia="Arial" w:hAnsi="Arial"/>
          <w:sz w:val="16"/>
          <w:szCs w:val="16"/>
          <w:color w:val="auto"/>
        </w:rPr>
        <w:t>Except as described herein,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6"/>
          <w:szCs w:val="16"/>
          <w:color w:val="auto"/>
        </w:rPr>
        <w:t>‑</w:t>
      </w:r>
      <w:r>
        <w:rPr>
          <w:rFonts w:ascii="Arial" w:cs="Arial" w:eastAsia="Arial" w:hAnsi="Arial"/>
          <w:sz w:val="16"/>
          <w:szCs w:val="16"/>
          <w:color w:val="auto"/>
        </w:rPr>
        <w:t>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units, private placement shares, private placement warrants and Class A ordinary shares issued upon conversion or exercise thereof until 30 days after the completion of our initial business combination. Any permitted transferees would be subject to the same restrictions and other agreements of our sponsor and management team with respect to any founder shares, private placement units, private placement shares, private placement warrants and Class A ordinary shares issued upon conversion or exercise thereof.</w:t>
      </w:r>
    </w:p>
    <w:p>
      <w:pPr>
        <w:spacing w:after="0" w:line="199" w:lineRule="exact"/>
        <w:rPr>
          <w:sz w:val="20"/>
          <w:szCs w:val="20"/>
          <w:color w:val="auto"/>
        </w:rPr>
      </w:pPr>
    </w:p>
    <w:p>
      <w:pPr>
        <w:sectPr>
          <w:pgSz w:w="11900" w:h="16838" w:orient="portrait"/>
          <w:cols w:equalWidth="0" w:num="2">
            <w:col w:w="2717" w:space="720"/>
            <w:col w:w="7763"/>
          </w:cols>
          <w:pgMar w:left="320" w:top="121" w:right="379" w:bottom="1440" w:gutter="0" w:footer="0" w:header="0"/>
          <w:type w:val="continuous"/>
        </w:sectPr>
      </w:pPr>
    </w:p>
    <w:p>
      <w:pPr>
        <w:ind w:left="100"/>
        <w:spacing w:after="0"/>
        <w:tabs>
          <w:tab w:leader="none" w:pos="3420" w:val="left"/>
        </w:tabs>
        <w:rPr>
          <w:sz w:val="20"/>
          <w:szCs w:val="20"/>
          <w:color w:val="auto"/>
        </w:rPr>
      </w:pPr>
      <w:r>
        <w:rPr>
          <w:rFonts w:ascii="Arial" w:cs="Arial" w:eastAsia="Arial" w:hAnsi="Arial"/>
          <w:sz w:val="18"/>
          <w:szCs w:val="18"/>
          <w:b w:val="1"/>
          <w:bCs w:val="1"/>
          <w:color w:val="auto"/>
        </w:rPr>
        <w:t>Founder shares conversion and</w:t>
      </w:r>
      <w:r>
        <w:rPr>
          <w:sz w:val="20"/>
          <w:szCs w:val="20"/>
          <w:color w:val="auto"/>
        </w:rPr>
        <w:tab/>
      </w:r>
      <w:r>
        <w:rPr>
          <w:rFonts w:ascii="Arial" w:cs="Arial" w:eastAsia="Arial" w:hAnsi="Arial"/>
          <w:sz w:val="16"/>
          <w:szCs w:val="16"/>
          <w:color w:val="auto"/>
        </w:rPr>
        <w:t>The founder shares are designated as Class B ordinary shares and will automatically convert into Class A</w:t>
      </w:r>
    </w:p>
    <w:p>
      <w:pPr>
        <w:spacing w:after="0" w:line="27" w:lineRule="exact"/>
        <w:rPr>
          <w:sz w:val="20"/>
          <w:szCs w:val="20"/>
          <w:color w:val="auto"/>
        </w:rPr>
      </w:pPr>
    </w:p>
    <w:p>
      <w:pPr>
        <w:ind w:left="260"/>
        <w:spacing w:after="0" w:line="207" w:lineRule="exact"/>
        <w:tabs>
          <w:tab w:leader="none" w:pos="3420" w:val="left"/>
        </w:tabs>
        <w:rPr>
          <w:sz w:val="20"/>
          <w:szCs w:val="20"/>
          <w:color w:val="auto"/>
        </w:rPr>
      </w:pPr>
      <w:r>
        <w:rPr>
          <w:rFonts w:ascii="Arial" w:cs="Arial" w:eastAsia="Arial" w:hAnsi="Arial"/>
          <w:sz w:val="18"/>
          <w:szCs w:val="18"/>
          <w:b w:val="1"/>
          <w:bCs w:val="1"/>
          <w:color w:val="auto"/>
        </w:rPr>
        <w:t>anti</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dilution rights</w:t>
      </w:r>
      <w:r>
        <w:rPr>
          <w:sz w:val="20"/>
          <w:szCs w:val="20"/>
          <w:color w:val="auto"/>
        </w:rPr>
        <w:tab/>
      </w:r>
      <w:r>
        <w:rPr>
          <w:rFonts w:ascii="Arial" w:cs="Arial" w:eastAsia="Arial" w:hAnsi="Arial"/>
          <w:sz w:val="16"/>
          <w:szCs w:val="16"/>
          <w:color w:val="auto"/>
        </w:rPr>
        <w:t>ordinary shares on the first business day following the consummation of our initial business combination at</w:t>
      </w:r>
    </w:p>
    <w:p>
      <w:pPr>
        <w:spacing w:after="0" w:line="9" w:lineRule="exact"/>
        <w:rPr>
          <w:sz w:val="20"/>
          <w:szCs w:val="20"/>
          <w:color w:val="auto"/>
        </w:rPr>
      </w:pPr>
    </w:p>
    <w:p>
      <w:pPr>
        <w:ind w:left="3440" w:right="20"/>
        <w:spacing w:after="0" w:line="216" w:lineRule="exact"/>
        <w:rPr>
          <w:sz w:val="20"/>
          <w:szCs w:val="20"/>
          <w:color w:val="auto"/>
        </w:rPr>
      </w:pPr>
      <w:r>
        <w:rPr>
          <w:rFonts w:ascii="Arial" w:cs="Arial" w:eastAsia="Arial" w:hAnsi="Arial"/>
          <w:sz w:val="17"/>
          <w:szCs w:val="17"/>
          <w:color w:val="auto"/>
        </w:rPr>
        <w:t>a ratio such that the number of Class A ordinary shares issuable upon conversion of all founder shares will equal, in the aggregate, on an as</w:t>
      </w:r>
      <w:r>
        <w:rPr>
          <w:rFonts w:ascii="MS PGothic" w:cs="MS PGothic" w:eastAsia="MS PGothic" w:hAnsi="MS PGothic"/>
          <w:sz w:val="17"/>
          <w:szCs w:val="17"/>
          <w:color w:val="auto"/>
        </w:rPr>
        <w:t>‑</w:t>
      </w:r>
      <w:r>
        <w:rPr>
          <w:rFonts w:ascii="Arial" w:cs="Arial" w:eastAsia="Arial" w:hAnsi="Arial"/>
          <w:sz w:val="17"/>
          <w:szCs w:val="17"/>
          <w:color w:val="auto"/>
        </w:rPr>
        <w:t>converted basis, 20% of the sum of (i) the total number of ordinary shares issued and outstanding (excluding the private placement shares underlying the private placement units) upon the consummation of this offering, plus (ii) the sum of the total number of Class A ordinary shares issued or deemed issued or issuable upon conversion or exercise of any equity</w:t>
      </w:r>
      <w:r>
        <w:rPr>
          <w:rFonts w:ascii="MS PGothic" w:cs="MS PGothic" w:eastAsia="MS PGothic" w:hAnsi="MS PGothic"/>
          <w:sz w:val="17"/>
          <w:szCs w:val="17"/>
          <w:color w:val="auto"/>
        </w:rPr>
        <w:t>‑</w:t>
      </w:r>
      <w:r>
        <w:rPr>
          <w:rFonts w:ascii="Arial" w:cs="Arial" w:eastAsia="Arial" w:hAnsi="Arial"/>
          <w:sz w:val="17"/>
          <w:szCs w:val="17"/>
          <w:color w:val="auto"/>
        </w:rPr>
        <w:t>linked securities (as defined herein) or rights issued or deemed issued, by the Company in connection with or in relation to the consummation of the initial business combination, excluding any Class A ordinary shares or equity</w:t>
      </w:r>
      <w:r>
        <w:rPr>
          <w:rFonts w:ascii="MS PGothic" w:cs="MS PGothic" w:eastAsia="MS PGothic" w:hAnsi="MS PGothic"/>
          <w:sz w:val="17"/>
          <w:szCs w:val="17"/>
          <w:color w:val="auto"/>
        </w:rPr>
        <w:t>‑</w:t>
      </w:r>
      <w:r>
        <w:rPr>
          <w:rFonts w:ascii="Arial" w:cs="Arial" w:eastAsia="Arial" w:hAnsi="Arial"/>
          <w:sz w:val="17"/>
          <w:szCs w:val="17"/>
          <w:color w:val="auto"/>
        </w:rPr>
        <w:t>linked securities exercisable for or convertible into Class A ordinary shares issued, deemed issued, or to be issued, to any seller in the initial business combination and any private placement warrants issued to our sponsor, members of our management team or any of their affiliates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w:t>
      </w:r>
    </w:p>
    <w:p>
      <w:pPr>
        <w:spacing w:after="0" w:line="204" w:lineRule="exact"/>
        <w:rPr>
          <w:sz w:val="20"/>
          <w:szCs w:val="20"/>
          <w:color w:val="auto"/>
        </w:rPr>
      </w:pPr>
    </w:p>
    <w:p>
      <w:pPr>
        <w:ind w:left="3440" w:right="180"/>
        <w:spacing w:after="0" w:line="221" w:lineRule="exact"/>
        <w:rPr>
          <w:sz w:val="20"/>
          <w:szCs w:val="20"/>
          <w:color w:val="auto"/>
        </w:rPr>
      </w:pPr>
      <w:r>
        <w:rPr>
          <w:rFonts w:ascii="Arial" w:cs="Arial" w:eastAsia="Arial" w:hAnsi="Arial"/>
          <w:sz w:val="16"/>
          <w:szCs w:val="16"/>
          <w:color w:val="auto"/>
        </w:rPr>
        <w:t>The term “equity</w:t>
      </w:r>
      <w:r>
        <w:rPr>
          <w:rFonts w:ascii="MS PGothic" w:cs="MS PGothic" w:eastAsia="MS PGothic" w:hAnsi="MS PGothic"/>
          <w:sz w:val="16"/>
          <w:szCs w:val="16"/>
          <w:color w:val="auto"/>
        </w:rPr>
        <w:t>‑</w:t>
      </w:r>
      <w:r>
        <w:rPr>
          <w:rFonts w:ascii="Arial" w:cs="Arial" w:eastAsia="Arial" w:hAnsi="Arial"/>
          <w:sz w:val="16"/>
          <w:szCs w:val="16"/>
          <w:color w:val="auto"/>
        </w:rPr>
        <w:t>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5" w:lineRule="exact"/>
        <w:rPr>
          <w:sz w:val="20"/>
          <w:szCs w:val="20"/>
          <w:color w:val="auto"/>
        </w:rPr>
      </w:pPr>
    </w:p>
    <w:tbl>
      <w:tblPr>
        <w:tblLayout w:type="fixed"/>
        <w:tblInd w:w="30" w:type="dxa"/>
        <w:tblCellMar>
          <w:top w:w="0" w:type="dxa"/>
          <w:left w:w="0" w:type="dxa"/>
          <w:bottom w:w="0" w:type="dxa"/>
          <w:right w:w="0" w:type="dxa"/>
        </w:tblCellMar>
      </w:tblPr>
      <w:tr>
        <w:trPr>
          <w:trHeight w:val="293"/>
        </w:trPr>
        <w:tc>
          <w:tcPr>
            <w:tcW w:w="30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b w:val="1"/>
                <w:bCs w:val="1"/>
                <w:color w:val="auto"/>
              </w:rPr>
              <w:t>Election of directors; Voting rights</w:t>
            </w:r>
          </w:p>
        </w:tc>
        <w:tc>
          <w:tcPr>
            <w:tcW w:w="82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3"/>
              </w:rPr>
              <w:t>Prior to the completion of our initial business combination, only holders of our founder shares will have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right to vote on the election of directors. Holders of our public shares will not be entitled to vote on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election of directors during such time. In addition, prior to the completion of an initial business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combination, holders of a majority of our founder shares may remove a member of the board of directors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0"/>
              </w:rPr>
              <w:t>for any reason. These provisions of our amended and restated memorandum and articles of association may</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line="207" w:lineRule="exact"/>
              <w:rPr>
                <w:sz w:val="20"/>
                <w:szCs w:val="20"/>
                <w:color w:val="auto"/>
              </w:rPr>
            </w:pPr>
            <w:r>
              <w:rPr>
                <w:rFonts w:ascii="Arial" w:cs="Arial" w:eastAsia="Arial" w:hAnsi="Arial"/>
                <w:sz w:val="18"/>
                <w:szCs w:val="18"/>
                <w:color w:val="auto"/>
              </w:rPr>
              <w:t>only be amended by a special resolution passed by holders representing at least two</w:t>
            </w:r>
            <w:r>
              <w:rPr>
                <w:rFonts w:ascii="MS PGothic" w:cs="MS PGothic" w:eastAsia="MS PGothic" w:hAnsi="MS PGothic"/>
                <w:sz w:val="18"/>
                <w:szCs w:val="18"/>
                <w:color w:val="auto"/>
              </w:rPr>
              <w:t>‑</w:t>
            </w:r>
            <w:r>
              <w:rPr>
                <w:rFonts w:ascii="Arial" w:cs="Arial" w:eastAsia="Arial" w:hAnsi="Arial"/>
                <w:sz w:val="18"/>
                <w:szCs w:val="18"/>
                <w:color w:val="auto"/>
              </w:rPr>
              <w:t>thirds of our</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outstanding Class B ordinary shares. With respect to any other matter submitted to a vote of our</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shareholders, including any vote in connection with our initial business combination, except as required by</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law or the applicable rules of Nasdaq then in effect, holders of our founder shares and holders of our public</w:t>
            </w:r>
          </w:p>
        </w:tc>
      </w:tr>
      <w:tr>
        <w:trPr>
          <w:trHeight w:val="230"/>
        </w:trPr>
        <w:tc>
          <w:tcPr>
            <w:tcW w:w="308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shares will vote together as a single class, with each share entitling the holder to one vote.</w:t>
            </w:r>
          </w:p>
        </w:tc>
      </w:tr>
      <w:tr>
        <w:trPr>
          <w:trHeight w:val="418"/>
        </w:trPr>
        <w:tc>
          <w:tcPr>
            <w:tcW w:w="308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Our amended and restated memorandum and articles of association will provide that our board of directors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will be divided into three classes with only one class of directors being elected in each year and each class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line="207" w:lineRule="exact"/>
              <w:rPr>
                <w:sz w:val="20"/>
                <w:szCs w:val="20"/>
                <w:color w:val="auto"/>
              </w:rPr>
            </w:pPr>
            <w:r>
              <w:rPr>
                <w:rFonts w:ascii="Arial" w:cs="Arial" w:eastAsia="Arial" w:hAnsi="Arial"/>
                <w:sz w:val="18"/>
                <w:szCs w:val="18"/>
                <w:color w:val="auto"/>
                <w:w w:val="92"/>
              </w:rPr>
              <w:t>(except for those directors appointed prior to our first annual meeting of shareholders) serving a three</w:t>
            </w:r>
            <w:r>
              <w:rPr>
                <w:rFonts w:ascii="MS PGothic" w:cs="MS PGothic" w:eastAsia="MS PGothic" w:hAnsi="MS PGothic"/>
                <w:sz w:val="18"/>
                <w:szCs w:val="18"/>
                <w:color w:val="auto"/>
                <w:w w:val="92"/>
              </w:rPr>
              <w:t>‑</w:t>
            </w:r>
            <w:r>
              <w:rPr>
                <w:rFonts w:ascii="Arial" w:cs="Arial" w:eastAsia="Arial" w:hAnsi="Arial"/>
                <w:sz w:val="18"/>
                <w:szCs w:val="18"/>
                <w:color w:val="auto"/>
                <w:w w:val="92"/>
              </w:rPr>
              <w:t>year</w:t>
            </w:r>
          </w:p>
        </w:tc>
      </w:tr>
      <w:tr>
        <w:trPr>
          <w:trHeight w:val="230"/>
        </w:trPr>
        <w:tc>
          <w:tcPr>
            <w:tcW w:w="308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term.</w:t>
            </w:r>
          </w:p>
        </w:tc>
      </w:tr>
      <w:tr>
        <w:trPr>
          <w:trHeight w:val="418"/>
        </w:trPr>
        <w:tc>
          <w:tcPr>
            <w:tcW w:w="30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Private placement units</w:t>
            </w: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Our sponsor has committed, pursuant to a written agreement, to purchase 450,000 private placement units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line="207" w:lineRule="exact"/>
              <w:rPr>
                <w:sz w:val="20"/>
                <w:szCs w:val="20"/>
                <w:color w:val="auto"/>
              </w:rPr>
            </w:pPr>
            <w:r>
              <w:rPr>
                <w:rFonts w:ascii="Arial" w:cs="Arial" w:eastAsia="Arial" w:hAnsi="Arial"/>
                <w:sz w:val="18"/>
                <w:szCs w:val="18"/>
                <w:color w:val="auto"/>
                <w:w w:val="98"/>
              </w:rPr>
              <w:t>(or 487,500 private placement units if the underwriters’ over</w:t>
            </w:r>
            <w:r>
              <w:rPr>
                <w:rFonts w:ascii="MS PGothic" w:cs="MS PGothic" w:eastAsia="MS PGothic" w:hAnsi="MS PGothic"/>
                <w:sz w:val="18"/>
                <w:szCs w:val="18"/>
                <w:color w:val="auto"/>
                <w:w w:val="98"/>
              </w:rPr>
              <w:t>‑</w:t>
            </w:r>
            <w:r>
              <w:rPr>
                <w:rFonts w:ascii="Arial" w:cs="Arial" w:eastAsia="Arial" w:hAnsi="Arial"/>
                <w:sz w:val="18"/>
                <w:szCs w:val="18"/>
                <w:color w:val="auto"/>
                <w:w w:val="98"/>
              </w:rPr>
              <w:t>allotment option is exercised in full), at a</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line="207" w:lineRule="exact"/>
              <w:rPr>
                <w:sz w:val="20"/>
                <w:szCs w:val="20"/>
                <w:color w:val="auto"/>
              </w:rPr>
            </w:pPr>
            <w:r>
              <w:rPr>
                <w:rFonts w:ascii="Arial" w:cs="Arial" w:eastAsia="Arial" w:hAnsi="Arial"/>
                <w:sz w:val="18"/>
                <w:szCs w:val="18"/>
                <w:color w:val="auto"/>
                <w:w w:val="97"/>
              </w:rPr>
              <w:t>price of $10.00 per unit ($4,500,000 in the aggregate or $4,875,000 if the underwriters’ over</w:t>
            </w:r>
            <w:r>
              <w:rPr>
                <w:rFonts w:ascii="MS PGothic" w:cs="MS PGothic" w:eastAsia="MS PGothic" w:hAnsi="MS PGothic"/>
                <w:sz w:val="18"/>
                <w:szCs w:val="18"/>
                <w:color w:val="auto"/>
                <w:w w:val="97"/>
              </w:rPr>
              <w:t>‑</w:t>
            </w:r>
            <w:r>
              <w:rPr>
                <w:rFonts w:ascii="Arial" w:cs="Arial" w:eastAsia="Arial" w:hAnsi="Arial"/>
                <w:sz w:val="18"/>
                <w:szCs w:val="18"/>
                <w:color w:val="auto"/>
                <w:w w:val="97"/>
              </w:rPr>
              <w:t>allotment</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7"/>
              </w:rPr>
              <w:t>option is exercised in full), in a private placement that will close simultaneously with the closing of this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offering. The private placement units are identical to the units sold in this offering, subject to certain limited</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exceptions as described in this prospectus. If we do not consummate an initial business combination within</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24 months from the closing of this offering, the proceeds from the sale of the private placement units held</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in the trust account will be used to fund the redemption of our public shares (subject to the requirements of</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applicable law) and the private placement units (and the underlying securities) will expire worthless.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line="207" w:lineRule="exact"/>
              <w:rPr>
                <w:sz w:val="20"/>
                <w:szCs w:val="20"/>
                <w:color w:val="auto"/>
              </w:rPr>
            </w:pPr>
            <w:r>
              <w:rPr>
                <w:rFonts w:ascii="Arial" w:cs="Arial" w:eastAsia="Arial" w:hAnsi="Arial"/>
                <w:sz w:val="18"/>
                <w:szCs w:val="18"/>
                <w:color w:val="auto"/>
                <w:w w:val="91"/>
              </w:rPr>
              <w:t>private placement warrants included in the private placement units will be non</w:t>
            </w:r>
            <w:r>
              <w:rPr>
                <w:rFonts w:ascii="MS PGothic" w:cs="MS PGothic" w:eastAsia="MS PGothic" w:hAnsi="MS PGothic"/>
                <w:sz w:val="18"/>
                <w:szCs w:val="18"/>
                <w:color w:val="auto"/>
                <w:w w:val="91"/>
              </w:rPr>
              <w:t>‑</w:t>
            </w:r>
            <w:r>
              <w:rPr>
                <w:rFonts w:ascii="Arial" w:cs="Arial" w:eastAsia="Arial" w:hAnsi="Arial"/>
                <w:sz w:val="18"/>
                <w:szCs w:val="18"/>
                <w:color w:val="auto"/>
                <w:w w:val="91"/>
              </w:rPr>
              <w:t>redeemable by us (except as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set forth under “Description of Securities—Warrants—Public Shareholders’ Warrants—Redemption of</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1"/>
              </w:rPr>
              <w:t>warrants for Class A ordinary shares when the price per Class A ordinary share equals or exceeds $10.00”)</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0"/>
              </w:rPr>
              <w:t>and exercisable on a cashless basis so long as they are held by our sponsor or its permitted transferees (see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“Description of Securities — Warrants — Private Placement Warrants”). If the private placement warrants</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are held by holders other than our sponsor or its permitted transferees, the private placement warrants will</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3"/>
              </w:rPr>
              <w:t>be redeemable by us in all redemption scenarios and exercisable by the holders on the same basis as the</w:t>
            </w:r>
          </w:p>
        </w:tc>
      </w:tr>
      <w:tr>
        <w:trPr>
          <w:trHeight w:val="230"/>
        </w:trPr>
        <w:tc>
          <w:tcPr>
            <w:tcW w:w="308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warrants included in the units being sold in this offering.</w:t>
            </w:r>
          </w:p>
        </w:tc>
      </w:tr>
      <w:tr>
        <w:trPr>
          <w:trHeight w:val="414"/>
        </w:trPr>
        <w:tc>
          <w:tcPr>
            <w:tcW w:w="30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Cashless exercise of private</w:t>
            </w: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If holders of private placement warrants elect to exercise them on a cashless basis, they would pay the</w:t>
            </w:r>
          </w:p>
        </w:tc>
      </w:tr>
      <w:tr>
        <w:trPr>
          <w:trHeight w:val="220"/>
        </w:trPr>
        <w:tc>
          <w:tcPr>
            <w:tcW w:w="308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placement warrants</w:t>
            </w: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exercise price by surrendering their warrants for that number of Class A ordinary shares equal to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quotient obtained by dividing (x) the product of the number of Class A ordinary shares underlying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warrants, multiplied by the excess of the “historical fair market value” over the exercise price of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6"/>
              </w:rPr>
              <w:t>warrants by (y) the historical fair market value. The “historical fair market value” will mean the average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2"/>
              </w:rPr>
              <w:t>reported closing price of the Class A ordinary shares for the 10 trading days ending on the third trading day</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prior to the date on which the notice of warrant exercise is sent to the warrant agent. The reason that we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have agreed that these warrants will be exercisable on a cashless basis so long as they are held by the</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5"/>
              </w:rPr>
              <w:t>sponsor or its permitted transferees is because it is not known at this time whether they will be affiliated</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with us following a business combination. If they remain affiliated with us, their ability to sell our</w:t>
            </w:r>
          </w:p>
        </w:tc>
      </w:tr>
      <w:tr>
        <w:trPr>
          <w:trHeight w:val="216"/>
        </w:trPr>
        <w:tc>
          <w:tcPr>
            <w:tcW w:w="308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securities in the open market will be significantly limited. We expect to have policies in place that restrict</w:t>
            </w:r>
          </w:p>
        </w:tc>
      </w:tr>
      <w:tr>
        <w:trPr>
          <w:trHeight w:val="230"/>
        </w:trPr>
        <w:tc>
          <w:tcPr>
            <w:tcW w:w="308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insiders from selling our securities except during specific periods.</w:t>
            </w:r>
          </w:p>
        </w:tc>
      </w:tr>
      <w:tr>
        <w:trPr>
          <w:trHeight w:val="314"/>
        </w:trPr>
        <w:tc>
          <w:tcPr>
            <w:tcW w:w="3080" w:type="dxa"/>
            <w:vAlign w:val="bottom"/>
            <w:tcBorders>
              <w:left w:val="single" w:sz="8" w:color="auto"/>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5" w:lineRule="exact"/>
        <w:rPr>
          <w:sz w:val="20"/>
          <w:szCs w:val="20"/>
          <w:color w:val="auto"/>
        </w:rPr>
      </w:pPr>
    </w:p>
    <w:tbl>
      <w:tblPr>
        <w:tblLayout w:type="fixed"/>
        <w:tblInd w:w="30" w:type="dxa"/>
        <w:tblCellMar>
          <w:top w:w="0" w:type="dxa"/>
          <w:left w:w="0" w:type="dxa"/>
          <w:bottom w:w="0" w:type="dxa"/>
          <w:right w:w="0" w:type="dxa"/>
        </w:tblCellMar>
      </w:tblPr>
      <w:tr>
        <w:trPr>
          <w:trHeight w:val="293"/>
        </w:trPr>
        <w:tc>
          <w:tcPr>
            <w:tcW w:w="312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b w:val="1"/>
                <w:bCs w:val="1"/>
                <w:color w:val="auto"/>
                <w:w w:val="97"/>
              </w:rPr>
              <w:t>Proceeds to be held in trust account</w:t>
            </w:r>
          </w:p>
        </w:tc>
        <w:tc>
          <w:tcPr>
            <w:tcW w:w="81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6"/>
              </w:rPr>
              <w:t>The Nasdaq rules provide that at least 90% of the gross proceeds from this offering and the sale of the</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private placement units be deposited in a trust account. Of the proceeds we will receive from this offering</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and the sale of the private placement units described in this prospectus, $125.0 million, or $143.75 million</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18"/>
                <w:szCs w:val="18"/>
                <w:color w:val="auto"/>
              </w:rPr>
              <w:t>if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($10.00 per unit in either case), will be</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deposited into a segregated trust account located in the United States at J.P. Morgan Chase Bank, N.A. with</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Continental Stock Transfer &amp; Trust Company acting as trustee and approximately $1,000,000 will be used</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to pay expenses in connection with the closing of this offering and approximately $1,000,000 will be used</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for working capital following this offering. The proceeds to be placed in the trust account include</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line="207" w:lineRule="exact"/>
              <w:rPr>
                <w:sz w:val="20"/>
                <w:szCs w:val="20"/>
                <w:color w:val="auto"/>
              </w:rPr>
            </w:pPr>
            <w:r>
              <w:rPr>
                <w:rFonts w:ascii="Arial" w:cs="Arial" w:eastAsia="Arial" w:hAnsi="Arial"/>
                <w:sz w:val="18"/>
                <w:szCs w:val="18"/>
                <w:color w:val="auto"/>
              </w:rPr>
              <w:t>$4,375,000 (or $5,031,250 if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in deferred</w:t>
            </w:r>
          </w:p>
        </w:tc>
      </w:tr>
      <w:tr>
        <w:trPr>
          <w:trHeight w:val="230"/>
        </w:trPr>
        <w:tc>
          <w:tcPr>
            <w:tcW w:w="312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underwriting commissions.</w:t>
            </w:r>
          </w:p>
        </w:tc>
      </w:tr>
      <w:tr>
        <w:trPr>
          <w:trHeight w:val="418"/>
        </w:trPr>
        <w:tc>
          <w:tcPr>
            <w:tcW w:w="312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Except with respect to interest earned on the funds held in the trust account that may be released to us to</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pay our income taxes, if any, our amended and restated memorandum and articles of association, as</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discussed below and subject to the requirements of law and regulation, will provide that the proceeds from</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this offering and the sale of the private placement units held in the trust account will not be released from</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7"/>
              </w:rPr>
              <w:t>the trust account (1) to us, until the completion of our initial business combination, or (2) to our public</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shareholders, until the earliest of (a) the completion of our initial business combination, and then only in</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0"/>
              </w:rPr>
              <w:t>connection with those Class A ordinary shares that such shareholders properly elected to redeem, subject to</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the limitations described herein, (b) the redemption of any public shares properly tendered in connection</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with a shareholder vote to amend our amended and restated memorandum and articles of association (A) to</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3"/>
              </w:rPr>
              <w:t>modify the substance or timing of our obligation to provide holders of our Class A ordinary shares the right</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1"/>
              </w:rPr>
              <w:t>to have their shares redeemed in connection with our initial business combination or to redeem 100% of our</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public shares if we do not complete our initial business combination within 24 months from the closing of</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9"/>
              </w:rPr>
              <w:t>this offering or (B) with respect to any other provision relating to the rights of holders of our Class A</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ordinary shares, and (c) the redemption of our public shares if we have not consummated our business</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combination within 24 months from the closing of this offering, subject to applicable law. Public</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2"/>
              </w:rPr>
              <w:t>shareholders who redeem their Class A ordinary shares in connection with a shareholder vote described in</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clause (b) in the preceding sentence shall not be entitled to funds from the trust account upon the</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5"/>
              </w:rPr>
              <w:t>subsequent completion of an initial business combination or liquidation if we have not consummated an</w:t>
            </w:r>
          </w:p>
        </w:tc>
      </w:tr>
      <w:tr>
        <w:trPr>
          <w:trHeight w:val="216"/>
        </w:trPr>
        <w:tc>
          <w:tcPr>
            <w:tcW w:w="312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initial business combination within 24 months from the closing of this offering, with respect to such Class</w:t>
            </w:r>
          </w:p>
        </w:tc>
      </w:tr>
      <w:tr>
        <w:trPr>
          <w:trHeight w:val="230"/>
        </w:trPr>
        <w:tc>
          <w:tcPr>
            <w:tcW w:w="312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 ordinary</w:t>
            </w:r>
          </w:p>
        </w:tc>
      </w:tr>
      <w:tr>
        <w:trPr>
          <w:trHeight w:val="314"/>
        </w:trPr>
        <w:tc>
          <w:tcPr>
            <w:tcW w:w="3120" w:type="dxa"/>
            <w:vAlign w:val="bottom"/>
            <w:tcBorders>
              <w:left w:val="single" w:sz="8" w:color="auto"/>
              <w:bottom w:val="single" w:sz="8" w:color="auto"/>
            </w:tcBorders>
          </w:tcPr>
          <w:p>
            <w:pPr>
              <w:spacing w:after="0"/>
              <w:rPr>
                <w:sz w:val="24"/>
                <w:szCs w:val="24"/>
                <w:color w:val="auto"/>
              </w:rPr>
            </w:pPr>
          </w:p>
        </w:tc>
        <w:tc>
          <w:tcPr>
            <w:tcW w:w="81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5619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5619115"/>
                    </a:xfrm>
                    <a:prstGeom prst="rect">
                      <a:avLst/>
                    </a:prstGeom>
                    <a:noFill/>
                  </pic:spPr>
                </pic:pic>
              </a:graphicData>
            </a:graphic>
          </wp:anchor>
        </w:drawing>
      </w:r>
    </w:p>
    <w:p>
      <w:pPr>
        <w:spacing w:after="0" w:line="241" w:lineRule="exact"/>
        <w:rPr>
          <w:sz w:val="20"/>
          <w:szCs w:val="20"/>
          <w:color w:val="auto"/>
        </w:rPr>
      </w:pPr>
    </w:p>
    <w:p>
      <w:pPr>
        <w:ind w:left="3440" w:right="100"/>
        <w:spacing w:after="0" w:line="308" w:lineRule="auto"/>
        <w:rPr>
          <w:sz w:val="20"/>
          <w:szCs w:val="20"/>
          <w:color w:val="auto"/>
        </w:rPr>
      </w:pPr>
      <w:r>
        <w:rPr>
          <w:rFonts w:ascii="Arial" w:cs="Arial" w:eastAsia="Arial" w:hAnsi="Arial"/>
          <w:sz w:val="17"/>
          <w:szCs w:val="17"/>
          <w:color w:val="auto"/>
        </w:rPr>
        <w:t>shares so redeemed. The proceeds deposited in the trust account could become subject to the claims of our creditors, if any, which could have priority over the claims of our public shareholders.</w:t>
      </w:r>
    </w:p>
    <w:p>
      <w:pPr>
        <w:spacing w:after="0" w:line="142" w:lineRule="exact"/>
        <w:rPr>
          <w:sz w:val="20"/>
          <w:szCs w:val="20"/>
          <w:color w:val="auto"/>
        </w:rPr>
      </w:pPr>
    </w:p>
    <w:p>
      <w:pPr>
        <w:ind w:left="100"/>
        <w:spacing w:after="0"/>
        <w:tabs>
          <w:tab w:leader="none" w:pos="3420" w:val="left"/>
        </w:tabs>
        <w:rPr>
          <w:sz w:val="20"/>
          <w:szCs w:val="20"/>
          <w:color w:val="auto"/>
        </w:rPr>
      </w:pPr>
      <w:r>
        <w:rPr>
          <w:rFonts w:ascii="Arial" w:cs="Arial" w:eastAsia="Arial" w:hAnsi="Arial"/>
          <w:sz w:val="18"/>
          <w:szCs w:val="18"/>
          <w:b w:val="1"/>
          <w:bCs w:val="1"/>
          <w:color w:val="auto"/>
        </w:rPr>
        <w:t>Anticipated expenses and funding</w:t>
      </w:r>
      <w:r>
        <w:rPr>
          <w:sz w:val="20"/>
          <w:szCs w:val="20"/>
          <w:color w:val="auto"/>
        </w:rPr>
        <w:tab/>
      </w:r>
      <w:r>
        <w:rPr>
          <w:rFonts w:ascii="Arial" w:cs="Arial" w:eastAsia="Arial" w:hAnsi="Arial"/>
          <w:sz w:val="16"/>
          <w:szCs w:val="16"/>
          <w:color w:val="auto"/>
        </w:rPr>
        <w:t>Unless and until we complete our initial business combination, no proceeds held in the trust account will be</w:t>
      </w:r>
    </w:p>
    <w:p>
      <w:pPr>
        <w:spacing w:after="0" w:line="27" w:lineRule="exact"/>
        <w:rPr>
          <w:sz w:val="20"/>
          <w:szCs w:val="20"/>
          <w:color w:val="auto"/>
        </w:rPr>
      </w:pPr>
    </w:p>
    <w:p>
      <w:pPr>
        <w:ind w:left="260"/>
        <w:spacing w:after="0"/>
        <w:tabs>
          <w:tab w:leader="none" w:pos="3420" w:val="left"/>
        </w:tabs>
        <w:rPr>
          <w:sz w:val="20"/>
          <w:szCs w:val="20"/>
          <w:color w:val="auto"/>
        </w:rPr>
      </w:pPr>
      <w:r>
        <w:rPr>
          <w:rFonts w:ascii="Arial" w:cs="Arial" w:eastAsia="Arial" w:hAnsi="Arial"/>
          <w:sz w:val="16"/>
          <w:szCs w:val="16"/>
          <w:b w:val="1"/>
          <w:bCs w:val="1"/>
          <w:color w:val="auto"/>
        </w:rPr>
        <w:t>sources</w:t>
      </w:r>
      <w:r>
        <w:rPr>
          <w:sz w:val="20"/>
          <w:szCs w:val="20"/>
          <w:color w:val="auto"/>
        </w:rPr>
        <w:tab/>
      </w:r>
      <w:r>
        <w:rPr>
          <w:rFonts w:ascii="Arial" w:cs="Arial" w:eastAsia="Arial" w:hAnsi="Arial"/>
          <w:sz w:val="16"/>
          <w:szCs w:val="16"/>
          <w:color w:val="auto"/>
        </w:rPr>
        <w:t>available for our use, except the withdrawal of interest income (if any) to pay our income taxes, if any. The</w:t>
      </w:r>
    </w:p>
    <w:p>
      <w:pPr>
        <w:spacing w:after="0" w:line="32" w:lineRule="exact"/>
        <w:rPr>
          <w:sz w:val="20"/>
          <w:szCs w:val="20"/>
          <w:color w:val="auto"/>
        </w:rPr>
      </w:pPr>
    </w:p>
    <w:p>
      <w:pPr>
        <w:ind w:left="3440" w:right="80"/>
        <w:spacing w:after="0" w:line="216" w:lineRule="exact"/>
        <w:rPr>
          <w:sz w:val="20"/>
          <w:szCs w:val="20"/>
          <w:color w:val="auto"/>
        </w:rPr>
      </w:pPr>
      <w:r>
        <w:rPr>
          <w:rFonts w:ascii="Arial" w:cs="Arial" w:eastAsia="Arial" w:hAnsi="Arial"/>
          <w:sz w:val="17"/>
          <w:szCs w:val="17"/>
          <w:color w:val="auto"/>
        </w:rPr>
        <w:t>proceeds held in the trust account will be invested only in U.S. government treasury obligations with a maturity of 185 days or less or in money market funds meeting certain conditions under Rule 2a</w:t>
      </w:r>
      <w:r>
        <w:rPr>
          <w:rFonts w:ascii="MS PGothic" w:cs="MS PGothic" w:eastAsia="MS PGothic" w:hAnsi="MS PGothic"/>
          <w:sz w:val="17"/>
          <w:szCs w:val="17"/>
          <w:color w:val="auto"/>
        </w:rPr>
        <w:t>‑</w:t>
      </w:r>
      <w:r>
        <w:rPr>
          <w:rFonts w:ascii="Arial" w:cs="Arial" w:eastAsia="Arial" w:hAnsi="Arial"/>
          <w:sz w:val="17"/>
          <w:szCs w:val="17"/>
          <w:color w:val="auto"/>
        </w:rPr>
        <w:t>7 under the Investment Company Act which invest only in direct U.S. government treasury obligations. Assuming an interest rate of 0.5% per year, we estimate the interest earned on the trust account will be approximately $625,000 per year; however, we can provide no assurances regarding this amount. Unless and until we complete our initial business combination, we may pay our expenses only from:</w:t>
      </w:r>
    </w:p>
    <w:p>
      <w:pPr>
        <w:spacing w:after="0" w:line="203" w:lineRule="exact"/>
        <w:rPr>
          <w:sz w:val="20"/>
          <w:szCs w:val="20"/>
          <w:color w:val="auto"/>
        </w:rPr>
      </w:pPr>
    </w:p>
    <w:p>
      <w:pPr>
        <w:ind w:left="3440"/>
        <w:spacing w:after="0"/>
        <w:tabs>
          <w:tab w:leader="none" w:pos="3740" w:val="left"/>
        </w:tabs>
        <w:rPr>
          <w:sz w:val="20"/>
          <w:szCs w:val="20"/>
          <w:color w:val="auto"/>
        </w:rPr>
      </w:pPr>
      <w:r>
        <w:rPr>
          <w:rFonts w:ascii="Arial" w:cs="Arial" w:eastAsia="Arial" w:hAnsi="Arial"/>
          <w:sz w:val="17"/>
          <w:szCs w:val="17"/>
          <w:color w:val="auto"/>
        </w:rPr>
        <w:t>•</w:t>
        <w:tab/>
        <w:t>the net proceeds of this offering and the sale of the private placement units not held in the trust</w:t>
      </w:r>
    </w:p>
    <w:p>
      <w:pPr>
        <w:spacing w:after="0" w:line="3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account, which will be approximately $1,000,000 in working capital after the payment of</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approximately $1,000,000 in expenses relating to this offering; and</w:t>
      </w:r>
    </w:p>
    <w:p>
      <w:pPr>
        <w:spacing w:after="0" w:line="211" w:lineRule="exact"/>
        <w:rPr>
          <w:sz w:val="20"/>
          <w:szCs w:val="20"/>
          <w:color w:val="auto"/>
        </w:rPr>
      </w:pPr>
    </w:p>
    <w:p>
      <w:pPr>
        <w:ind w:left="3440"/>
        <w:spacing w:after="0"/>
        <w:tabs>
          <w:tab w:leader="none" w:pos="3740" w:val="left"/>
        </w:tabs>
        <w:rPr>
          <w:sz w:val="20"/>
          <w:szCs w:val="20"/>
          <w:color w:val="auto"/>
        </w:rPr>
      </w:pPr>
      <w:r>
        <w:rPr>
          <w:rFonts w:ascii="Arial" w:cs="Arial" w:eastAsia="Arial" w:hAnsi="Arial"/>
          <w:sz w:val="17"/>
          <w:szCs w:val="17"/>
          <w:color w:val="auto"/>
        </w:rPr>
        <w:t>•</w:t>
        <w:tab/>
        <w:t>any loans or additional investments from our sponsor or an affiliate of our sponsor or certain of our</w:t>
      </w:r>
    </w:p>
    <w:p>
      <w:pPr>
        <w:spacing w:after="0" w:line="35" w:lineRule="exact"/>
        <w:rPr>
          <w:sz w:val="20"/>
          <w:szCs w:val="20"/>
          <w:color w:val="auto"/>
        </w:rPr>
      </w:pPr>
    </w:p>
    <w:p>
      <w:pPr>
        <w:ind w:left="3760" w:right="160"/>
        <w:spacing w:after="0" w:line="277" w:lineRule="auto"/>
        <w:rPr>
          <w:sz w:val="20"/>
          <w:szCs w:val="20"/>
          <w:color w:val="auto"/>
        </w:rPr>
      </w:pPr>
      <w:r>
        <w:rPr>
          <w:rFonts w:ascii="Arial" w:cs="Arial" w:eastAsia="Arial" w:hAnsi="Arial"/>
          <w:sz w:val="17"/>
          <w:szCs w:val="17"/>
          <w:color w:val="auto"/>
        </w:rPr>
        <w:t xml:space="preserve">officers and directors, although they are under no obligation to advance funds or invest in us,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any such loans will not have any claim on the proceeds held in the trust account unless such</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are released to us upon completion of our initial business combination.</w:t>
      </w:r>
    </w:p>
    <w:p>
      <w:pPr>
        <w:sectPr>
          <w:pgSz w:w="11900" w:h="16838" w:orient="portrait"/>
          <w:cols w:equalWidth="0" w:num="1">
            <w:col w:w="11200"/>
          </w:cols>
          <w:pgMar w:left="320" w:top="121" w:right="379" w:bottom="1440" w:gutter="0" w:footer="0" w:header="0"/>
        </w:sectPr>
      </w:pPr>
    </w:p>
    <w:p>
      <w:pPr>
        <w:spacing w:after="0" w:line="169" w:lineRule="exact"/>
        <w:rPr>
          <w:sz w:val="20"/>
          <w:szCs w:val="20"/>
          <w:color w:val="auto"/>
        </w:rPr>
      </w:pPr>
    </w:p>
    <w:p>
      <w:pPr>
        <w:ind w:left="260" w:hanging="161"/>
        <w:spacing w:after="0" w:line="282" w:lineRule="auto"/>
        <w:rPr>
          <w:sz w:val="20"/>
          <w:szCs w:val="20"/>
          <w:color w:val="auto"/>
        </w:rPr>
      </w:pPr>
      <w:r>
        <w:rPr>
          <w:rFonts w:ascii="Arial" w:cs="Arial" w:eastAsia="Arial" w:hAnsi="Arial"/>
          <w:sz w:val="18"/>
          <w:szCs w:val="18"/>
          <w:b w:val="1"/>
          <w:bCs w:val="1"/>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Nasdaq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w:t>
      </w:r>
    </w:p>
    <w:p>
      <w:pPr>
        <w:spacing w:after="0" w:line="166"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We will complete our initial business combination only if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in which our public shareholders own shares will own or acquire 50% or more of the outstanding voting securities of the target or is otherwise not required to register as an investment company under the Investment Company Act. Even if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owns or acquires 50% or more of the voting securities of the target, our shareholders prior to the completion of our initial business combination may collectively own a minority interest in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depending on valuations ascribed to the target and us in the business combination transaction. If less than 100% of the equity interests or assets of a target business or businesses are owned or acquired by the post</w:t>
      </w:r>
      <w:r>
        <w:rPr>
          <w:rFonts w:ascii="MS PGothic" w:cs="MS PGothic" w:eastAsia="MS PGothic" w:hAnsi="MS PGothic"/>
          <w:sz w:val="16"/>
          <w:szCs w:val="16"/>
          <w:color w:val="auto"/>
        </w:rPr>
        <w:t>‑</w:t>
      </w:r>
      <w:r>
        <w:rPr>
          <w:rFonts w:ascii="Arial" w:cs="Arial" w:eastAsia="Arial" w:hAnsi="Arial"/>
          <w:sz w:val="16"/>
          <w:szCs w:val="16"/>
          <w:color w:val="auto"/>
        </w:rPr>
        <w:t>business</w:t>
      </w:r>
    </w:p>
    <w:p>
      <w:pPr>
        <w:spacing w:after="0" w:line="200" w:lineRule="exact"/>
        <w:rPr>
          <w:sz w:val="20"/>
          <w:szCs w:val="20"/>
          <w:color w:val="auto"/>
        </w:rPr>
      </w:pPr>
    </w:p>
    <w:p>
      <w:pPr>
        <w:sectPr>
          <w:pgSz w:w="11900" w:h="16838" w:orient="portrait"/>
          <w:cols w:equalWidth="0" w:num="2">
            <w:col w:w="2840" w:space="600"/>
            <w:col w:w="7760"/>
          </w:cols>
          <w:pgMar w:left="320" w:top="121" w:right="37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3" w:name="page24"/>
    <w:bookmarkEnd w:id="23"/>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619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61911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right="20" w:hanging="161"/>
        <w:spacing w:after="0" w:line="266" w:lineRule="auto"/>
        <w:rPr>
          <w:sz w:val="20"/>
          <w:szCs w:val="20"/>
          <w:color w:val="auto"/>
        </w:rPr>
      </w:pPr>
      <w:r>
        <w:rPr>
          <w:rFonts w:ascii="Arial" w:cs="Arial" w:eastAsia="Arial" w:hAnsi="Arial"/>
          <w:sz w:val="18"/>
          <w:szCs w:val="18"/>
          <w:b w:val="1"/>
          <w:bCs w:val="1"/>
          <w:color w:val="auto"/>
        </w:rPr>
        <w:t>Permitted purchases and other transactions with respect to our securities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combination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61"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the completion of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our sponsor, directors, executive officers, advisors or their affiliates engage in such transactions, they will be restricted from making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w:t>
      </w:r>
      <w:r>
        <w:rPr>
          <w:rFonts w:ascii="MS PGothic" w:cs="MS PGothic" w:eastAsia="MS PGothic" w:hAnsi="MS PGothic"/>
          <w:sz w:val="16"/>
          <w:szCs w:val="16"/>
          <w:color w:val="auto"/>
        </w:rPr>
        <w:t>‑</w:t>
      </w:r>
      <w:r>
        <w:rPr>
          <w:rFonts w:ascii="Arial" w:cs="Arial" w:eastAsia="Arial" w:hAnsi="Arial"/>
          <w:sz w:val="16"/>
          <w:szCs w:val="16"/>
          <w:color w:val="auto"/>
        </w:rPr>
        <w:t>private transaction subject to the going</w:t>
      </w:r>
      <w:r>
        <w:rPr>
          <w:rFonts w:ascii="MS PGothic" w:cs="MS PGothic" w:eastAsia="MS PGothic" w:hAnsi="MS PGothic"/>
          <w:sz w:val="16"/>
          <w:szCs w:val="16"/>
          <w:color w:val="auto"/>
        </w:rPr>
        <w:t>‑</w:t>
      </w:r>
      <w:r>
        <w:rPr>
          <w:rFonts w:ascii="Arial" w:cs="Arial" w:eastAsia="Arial" w:hAnsi="Arial"/>
          <w:sz w:val="16"/>
          <w:szCs w:val="16"/>
          <w:color w:val="auto"/>
        </w:rPr>
        <w:t>private rules under the Exchange Act; however, if the purchasers determine at the time of any such purchases that the purchases are subject to such rules, the purchasers will be required to comply with such rules. Any such purchases will be reported pursuant to Section 13 and Section 16 of the Exchange Act to the extent such purchasers are subject to such reporting requirements. See “Proposed Business—Permitted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3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w:t>
      </w:r>
    </w:p>
    <w:p>
      <w:pPr>
        <w:spacing w:after="0" w:line="200" w:lineRule="exact"/>
        <w:rPr>
          <w:sz w:val="20"/>
          <w:szCs w:val="20"/>
          <w:color w:val="auto"/>
        </w:rPr>
      </w:pPr>
    </w:p>
    <w:p>
      <w:pPr>
        <w:sectPr>
          <w:pgSz w:w="11900" w:h="16838" w:orient="portrait"/>
          <w:cols w:equalWidth="0" w:num="2">
            <w:col w:w="2720" w:space="720"/>
            <w:col w:w="7760"/>
          </w:cols>
          <w:pgMar w:left="320" w:top="121" w:right="37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4" w:name="page25"/>
    <w:bookmarkEnd w:id="24"/>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481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5481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 w:hanging="161"/>
        <w:spacing w:after="0" w:line="343" w:lineRule="auto"/>
        <w:rPr>
          <w:sz w:val="20"/>
          <w:szCs w:val="20"/>
          <w:color w:val="auto"/>
        </w:rPr>
      </w:pPr>
      <w:r>
        <w:rPr>
          <w:rFonts w:ascii="Arial" w:cs="Arial" w:eastAsia="Arial" w:hAnsi="Arial"/>
          <w:sz w:val="15"/>
          <w:szCs w:val="15"/>
          <w:b w:val="1"/>
          <w:bCs w:val="1"/>
          <w:color w:val="auto"/>
        </w:rPr>
        <w:t>Redemption rights for public shareholders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Limitations on redemptions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have been possible. 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8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w:t>
      </w:r>
      <w:r>
        <w:rPr>
          <w:rFonts w:ascii="MS PGothic" w:cs="MS PGothic" w:eastAsia="MS PGothic" w:hAnsi="MS PGothic"/>
          <w:sz w:val="16"/>
          <w:szCs w:val="16"/>
          <w:color w:val="auto"/>
        </w:rPr>
        <w:t>‑</w:t>
      </w:r>
      <w:r>
        <w:rPr>
          <w:rFonts w:ascii="Arial" w:cs="Arial" w:eastAsia="Arial" w:hAnsi="Arial"/>
          <w:sz w:val="16"/>
          <w:szCs w:val="16"/>
          <w:color w:val="auto"/>
        </w:rPr>
        <w:t>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w:t>
      </w:r>
      <w:r>
        <w:rPr>
          <w:rFonts w:ascii="MS PGothic" w:cs="MS PGothic" w:eastAsia="MS PGothic" w:hAnsi="MS PGothic"/>
          <w:sz w:val="16"/>
          <w:szCs w:val="16"/>
          <w:color w:val="auto"/>
        </w:rPr>
        <w:t>‑</w:t>
      </w:r>
      <w:r>
        <w:rPr>
          <w:rFonts w:ascii="Arial" w:cs="Arial" w:eastAsia="Arial" w:hAnsi="Arial"/>
          <w:sz w:val="16"/>
          <w:szCs w:val="16"/>
          <w:color w:val="auto"/>
        </w:rPr>
        <w:t>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may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an agreement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to be less than $5,000,001 (so that we do not then become subject to the SEC’s “penny stock” rules). However, a greater net tangible asset or cash requirement may be contained in the agreement relating to our initial business combination. For example,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Furthermore, although we will not redeem shares in an amount that would cause our net tangible assets to fall below $5,000,001, we do not have a maximum redemption threshold based on the percentage of shares sold in this offering, as many blank check companies do. In the event the aggregate cash consideration we would be required to pay for all Class A ordinary shares that are validly submitted for redemption plus any amount required to satisfy cash conditions pursuant to the</w:t>
      </w:r>
    </w:p>
    <w:p>
      <w:pPr>
        <w:spacing w:after="0" w:line="200" w:lineRule="exact"/>
        <w:rPr>
          <w:sz w:val="20"/>
          <w:szCs w:val="20"/>
          <w:color w:val="auto"/>
        </w:rPr>
      </w:pPr>
    </w:p>
    <w:p>
      <w:pPr>
        <w:sectPr>
          <w:pgSz w:w="11900" w:h="16838" w:orient="portrait"/>
          <w:cols w:equalWidth="0" w:num="2">
            <w:col w:w="2780" w:space="660"/>
            <w:col w:w="7760"/>
          </w:cols>
          <w:pgMar w:left="320" w:top="121" w:right="37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79310" cy="5601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5601970"/>
                    </a:xfrm>
                    <a:prstGeom prst="rect">
                      <a:avLst/>
                    </a:prstGeom>
                    <a:noFill/>
                  </pic:spPr>
                </pic:pic>
              </a:graphicData>
            </a:graphic>
          </wp:anchor>
        </w:drawing>
      </w:r>
    </w:p>
    <w:p>
      <w:pPr>
        <w:spacing w:after="0" w:line="241" w:lineRule="exact"/>
        <w:rPr>
          <w:sz w:val="20"/>
          <w:szCs w:val="20"/>
          <w:color w:val="auto"/>
        </w:rPr>
      </w:pPr>
    </w:p>
    <w:p>
      <w:pPr>
        <w:ind w:left="3440" w:right="40"/>
        <w:spacing w:after="0" w:line="259" w:lineRule="auto"/>
        <w:rPr>
          <w:sz w:val="20"/>
          <w:szCs w:val="20"/>
          <w:color w:val="auto"/>
        </w:rPr>
      </w:pPr>
      <w:r>
        <w:rPr>
          <w:rFonts w:ascii="Arial" w:cs="Arial" w:eastAsia="Arial" w:hAnsi="Arial"/>
          <w:sz w:val="18"/>
          <w:szCs w:val="18"/>
          <w:color w:val="auto"/>
        </w:rPr>
        <w:t>terms of the proposed business combination exceed the aggregate amount of cash available to us, we will not complete the business combination or redeem any shares, and all Class A ordinary shares submitted for redemption will be returned to the holders thereof, and we instead may search for an alternate business combination.</w:t>
      </w:r>
    </w:p>
    <w:p>
      <w:pPr>
        <w:sectPr>
          <w:pgSz w:w="11900" w:h="16838" w:orient="portrait"/>
          <w:cols w:equalWidth="0" w:num="1">
            <w:col w:w="11180"/>
          </w:cols>
          <w:pgMar w:left="320" w:top="121" w:right="399" w:bottom="1440" w:gutter="0" w:footer="0" w:header="0"/>
        </w:sectPr>
      </w:pPr>
    </w:p>
    <w:p>
      <w:pPr>
        <w:spacing w:after="0" w:line="18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Manner of conducting redemptions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and any transactions where we issue more than 20% of our outstanding ordinary shares (excluding the private placement shares underlying the private placement units)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171" w:lineRule="exact"/>
        <w:rPr>
          <w:sz w:val="20"/>
          <w:szCs w:val="20"/>
          <w:color w:val="auto"/>
        </w:rPr>
      </w:pPr>
    </w:p>
    <w:p>
      <w:pPr>
        <w:sectPr>
          <w:pgSz w:w="11900" w:h="16838" w:orient="portrait"/>
          <w:cols w:equalWidth="0" w:num="2">
            <w:col w:w="2820" w:space="620"/>
            <w:col w:w="7740"/>
          </w:cols>
          <w:pgMar w:left="320" w:top="121" w:right="399" w:bottom="1440" w:gutter="0" w:footer="0" w:header="0"/>
          <w:type w:val="continuous"/>
        </w:sectPr>
      </w:pPr>
    </w:p>
    <w:p>
      <w:pPr>
        <w:ind w:left="3440"/>
        <w:spacing w:after="0"/>
        <w:rPr>
          <w:sz w:val="20"/>
          <w:szCs w:val="20"/>
          <w:color w:val="auto"/>
        </w:rPr>
      </w:pPr>
      <w:r>
        <w:rPr>
          <w:rFonts w:ascii="Arial" w:cs="Arial" w:eastAsia="Arial" w:hAnsi="Arial"/>
          <w:sz w:val="16"/>
          <w:szCs w:val="16"/>
          <w:color w:val="auto"/>
        </w:rPr>
        <w:t>If we hold a shareholder vote to approve our initial business combination, we will:</w:t>
      </w:r>
    </w:p>
    <w:p>
      <w:pPr>
        <w:sectPr>
          <w:pgSz w:w="11900" w:h="16838" w:orient="portrait"/>
          <w:cols w:equalWidth="0" w:num="1">
            <w:col w:w="11180"/>
          </w:cols>
          <w:pgMar w:left="320" w:top="121" w:right="399" w:bottom="1440" w:gutter="0" w:footer="0" w:header="0"/>
          <w:type w:val="continuous"/>
        </w:sectPr>
      </w:pPr>
    </w:p>
    <w:p>
      <w:pPr>
        <w:spacing w:after="0" w:line="248"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240" w:firstLine="9"/>
        <w:spacing w:after="0" w:line="263" w:lineRule="auto"/>
        <w:rPr>
          <w:sz w:val="20"/>
          <w:szCs w:val="20"/>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84" w:lineRule="exact"/>
        <w:rPr>
          <w:sz w:val="20"/>
          <w:szCs w:val="20"/>
          <w:color w:val="auto"/>
        </w:rPr>
      </w:pPr>
    </w:p>
    <w:p>
      <w:pPr>
        <w:sectPr>
          <w:pgSz w:w="11900" w:h="16838" w:orient="portrait"/>
          <w:cols w:equalWidth="0" w:num="2">
            <w:col w:w="3500" w:space="260"/>
            <w:col w:w="7420"/>
          </w:cols>
          <w:pgMar w:left="320" w:top="121" w:right="399" w:bottom="1440" w:gutter="0" w:footer="0" w:header="0"/>
          <w:type w:val="continuous"/>
        </w:sectPr>
      </w:pPr>
    </w:p>
    <w:p>
      <w:pPr>
        <w:ind w:left="34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proxy materials with the SEC.</w:t>
      </w:r>
    </w:p>
    <w:p>
      <w:pPr>
        <w:spacing w:after="0" w:line="211" w:lineRule="exact"/>
        <w:rPr>
          <w:sz w:val="20"/>
          <w:szCs w:val="20"/>
          <w:color w:val="auto"/>
        </w:rPr>
      </w:pPr>
    </w:p>
    <w:p>
      <w:pPr>
        <w:sectPr>
          <w:pgSz w:w="11900" w:h="16838" w:orient="portrait"/>
          <w:cols w:equalWidth="0" w:num="2">
            <w:col w:w="3500" w:space="260"/>
            <w:col w:w="7420"/>
          </w:cols>
          <w:pgMar w:left="320" w:top="121" w:right="399" w:bottom="1440" w:gutter="0" w:footer="0" w:header="0"/>
          <w:type w:val="continuous"/>
        </w:sectPr>
      </w:pPr>
    </w:p>
    <w:p>
      <w:pPr>
        <w:spacing w:after="0" w:line="37" w:lineRule="exact"/>
        <w:rPr>
          <w:sz w:val="20"/>
          <w:szCs w:val="20"/>
          <w:color w:val="auto"/>
        </w:rPr>
      </w:pPr>
    </w:p>
    <w:p>
      <w:pPr>
        <w:ind w:left="3440"/>
        <w:spacing w:after="0" w:line="291"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w:t>
      </w:r>
    </w:p>
    <w:p>
      <w:pPr>
        <w:sectPr>
          <w:pgSz w:w="11900" w:h="16838" w:orient="portrait"/>
          <w:cols w:equalWidth="0" w:num="1">
            <w:col w:w="11180"/>
          </w:cols>
          <w:pgMar w:left="320" w:top="121" w:right="399" w:bottom="1440" w:gutter="0" w:footer="0" w:header="0"/>
          <w:type w:val="continuous"/>
        </w:sectPr>
      </w:pPr>
    </w:p>
    <w:p>
      <w:pPr>
        <w:ind w:left="3440" w:right="60"/>
        <w:spacing w:after="0" w:line="216" w:lineRule="exact"/>
        <w:rPr>
          <w:sz w:val="20"/>
          <w:szCs w:val="20"/>
          <w:color w:val="auto"/>
        </w:rPr>
      </w:pPr>
      <w:r>
        <w:rPr>
          <w:rFonts w:ascii="Arial" w:cs="Arial" w:eastAsia="Arial" w:hAnsi="Arial"/>
          <w:sz w:val="17"/>
          <w:szCs w:val="17"/>
          <w:color w:val="auto"/>
        </w:rPr>
        <w:t>meeting are voted in favor of the business combination. In such case, our sponsor and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17"/>
          <w:szCs w:val="17"/>
          <w:color w:val="auto"/>
        </w:rPr>
        <w:t>‑</w:t>
      </w:r>
      <w:r>
        <w:rPr>
          <w:rFonts w:ascii="Arial" w:cs="Arial" w:eastAsia="Arial" w:hAnsi="Arial"/>
          <w:sz w:val="17"/>
          <w:szCs w:val="17"/>
          <w:color w:val="auto"/>
        </w:rPr>
        <w:t>allotment option is not exercised). Each public shareholder may elect to redeem their public shares irrespective of whether they vote for or against the proposed transaction or vote at all. Our amended and restated</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6" w:name="page27"/>
    <w:bookmarkEnd w:id="26"/>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893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589343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60" w:hanging="161"/>
        <w:spacing w:after="0" w:line="277" w:lineRule="auto"/>
        <w:rPr>
          <w:sz w:val="20"/>
          <w:szCs w:val="20"/>
          <w:color w:val="auto"/>
        </w:rPr>
      </w:pPr>
      <w:r>
        <w:rPr>
          <w:rFonts w:ascii="Arial" w:cs="Arial" w:eastAsia="Arial" w:hAnsi="Arial"/>
          <w:sz w:val="17"/>
          <w:szCs w:val="17"/>
          <w:b w:val="1"/>
          <w:bCs w:val="1"/>
          <w:color w:val="auto"/>
        </w:rPr>
        <w:t>Limitation on redemption rights of shareholders holding more than 15% of the shares sold in this offering if we hold a shareholder vote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
        <w:spacing w:after="0" w:line="277" w:lineRule="auto"/>
        <w:rPr>
          <w:sz w:val="20"/>
          <w:szCs w:val="20"/>
          <w:color w:val="auto"/>
        </w:rPr>
      </w:pPr>
      <w:r>
        <w:rPr>
          <w:rFonts w:ascii="Arial" w:cs="Arial" w:eastAsia="Arial" w:hAnsi="Arial"/>
          <w:sz w:val="18"/>
          <w:szCs w:val="18"/>
          <w:color w:val="auto"/>
        </w:rPr>
        <w:t>memorandum and articles of association will require that at least five days’ notice will be given of any such shareholder meeting.</w:t>
      </w:r>
    </w:p>
    <w:p>
      <w:pPr>
        <w:spacing w:after="0" w:line="170" w:lineRule="exact"/>
        <w:rPr>
          <w:sz w:val="20"/>
          <w:szCs w:val="20"/>
          <w:color w:val="auto"/>
        </w:rPr>
      </w:pPr>
    </w:p>
    <w:p>
      <w:pPr>
        <w:ind w:left="3" w:right="120"/>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70" w:lineRule="exact"/>
        <w:rPr>
          <w:sz w:val="20"/>
          <w:szCs w:val="20"/>
          <w:color w:val="auto"/>
        </w:rPr>
      </w:pPr>
    </w:p>
    <w:p>
      <w:pPr>
        <w:ind w:left="323" w:right="440" w:hanging="323"/>
        <w:spacing w:after="0" w:line="223" w:lineRule="exact"/>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 and Regulation 14E of the Exchange Act, which regulate issuer tender offers; and</w:t>
      </w:r>
    </w:p>
    <w:p>
      <w:pPr>
        <w:spacing w:after="0" w:line="202" w:lineRule="exact"/>
        <w:rPr>
          <w:rFonts w:ascii="Arial" w:cs="Arial" w:eastAsia="Arial" w:hAnsi="Arial"/>
          <w:sz w:val="18"/>
          <w:szCs w:val="18"/>
          <w:color w:val="auto"/>
        </w:rPr>
      </w:pPr>
    </w:p>
    <w:p>
      <w:pPr>
        <w:jc w:val="both"/>
        <w:ind w:left="323" w:right="200" w:hanging="323"/>
        <w:spacing w:after="0" w:line="259"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7" w:lineRule="exact"/>
        <w:rPr>
          <w:sz w:val="20"/>
          <w:szCs w:val="20"/>
          <w:color w:val="auto"/>
        </w:rPr>
      </w:pPr>
    </w:p>
    <w:p>
      <w:pPr>
        <w:ind w:left="3"/>
        <w:spacing w:after="0" w:line="217" w:lineRule="exact"/>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and our sponsor will terminate any plan established in accordance with Rule 10b5</w:t>
      </w:r>
      <w:r>
        <w:rPr>
          <w:rFonts w:ascii="MS PGothic" w:cs="MS PGothic" w:eastAsia="MS PGothic" w:hAnsi="MS PGothic"/>
          <w:sz w:val="17"/>
          <w:szCs w:val="17"/>
          <w:color w:val="auto"/>
        </w:rPr>
        <w:t>‑</w:t>
      </w:r>
      <w:r>
        <w:rPr>
          <w:rFonts w:ascii="Arial" w:cs="Arial" w:eastAsia="Arial" w:hAnsi="Arial"/>
          <w:sz w:val="17"/>
          <w:szCs w:val="17"/>
          <w:color w:val="auto"/>
        </w:rPr>
        <w:t>1 to purchase our Class A ordinary shares in the open market, in order to comply with Rule 14e</w:t>
      </w:r>
      <w:r>
        <w:rPr>
          <w:rFonts w:ascii="MS PGothic" w:cs="MS PGothic" w:eastAsia="MS PGothic" w:hAnsi="MS PGothic"/>
          <w:sz w:val="17"/>
          <w:szCs w:val="17"/>
          <w:color w:val="auto"/>
        </w:rPr>
        <w:t>‑</w:t>
      </w:r>
      <w:r>
        <w:rPr>
          <w:rFonts w:ascii="Arial" w:cs="Arial" w:eastAsia="Arial" w:hAnsi="Arial"/>
          <w:sz w:val="17"/>
          <w:szCs w:val="17"/>
          <w:color w:val="auto"/>
        </w:rPr>
        <w:t>5 under the Exchange Act. In the event we conduct redemptions pursuant to the tender offer rules, our offer to redeem will remain open for at least 20 business days, in accordance with Rule 14e</w:t>
      </w:r>
      <w:r>
        <w:rPr>
          <w:rFonts w:ascii="MS PGothic" w:cs="MS PGothic" w:eastAsia="MS PGothic" w:hAnsi="MS PGothic"/>
          <w:sz w:val="17"/>
          <w:szCs w:val="17"/>
          <w:color w:val="auto"/>
        </w:rPr>
        <w:t>‑</w:t>
      </w:r>
      <w:r>
        <w:rPr>
          <w:rFonts w:ascii="Arial" w:cs="Arial" w:eastAsia="Arial" w:hAnsi="Arial"/>
          <w:sz w:val="17"/>
          <w:szCs w:val="17"/>
          <w:color w:val="auto"/>
        </w:rPr>
        <w:t>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10" w:lineRule="exact"/>
        <w:rPr>
          <w:sz w:val="20"/>
          <w:szCs w:val="20"/>
          <w:color w:val="auto"/>
        </w:rPr>
      </w:pPr>
    </w:p>
    <w:p>
      <w:pPr>
        <w:ind w:left="3"/>
        <w:spacing w:after="0" w:line="217" w:lineRule="exact"/>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team at a premium to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w:t>
      </w:r>
    </w:p>
    <w:p>
      <w:pPr>
        <w:spacing w:after="0" w:line="200" w:lineRule="exact"/>
        <w:rPr>
          <w:sz w:val="20"/>
          <w:szCs w:val="20"/>
          <w:color w:val="auto"/>
        </w:rPr>
      </w:pPr>
    </w:p>
    <w:p>
      <w:pPr>
        <w:sectPr>
          <w:pgSz w:w="11900" w:h="16838" w:orient="portrait"/>
          <w:cols w:equalWidth="0" w:num="2">
            <w:col w:w="2780" w:space="657"/>
            <w:col w:w="7763"/>
          </w:cols>
          <w:pgMar w:left="320" w:top="121" w:right="37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7" w:name="page28"/>
    <w:bookmarkEnd w:id="27"/>
    <w:p>
      <w:pPr>
        <w:spacing w:after="0"/>
        <w:rPr>
          <w:rFonts w:ascii="Arial" w:cs="Arial" w:eastAsia="Arial" w:hAnsi="Arial"/>
          <w:sz w:val="12"/>
          <w:szCs w:val="12"/>
          <w:i w:val="1"/>
          <w:iCs w:val="1"/>
          <w:u w:val="single" w:color="auto"/>
          <w:color w:val="0000EE"/>
        </w:rPr>
      </w:pPr>
      <w:hyperlink w:anchor="page6">
        <w:r>
          <w:rPr>
            <w:rFonts w:ascii="Arial" w:cs="Arial" w:eastAsia="Arial" w:hAnsi="Arial"/>
            <w:sz w:val="12"/>
            <w:szCs w:val="12"/>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79310" cy="546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54648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hanging="161"/>
        <w:spacing w:after="0" w:line="266" w:lineRule="auto"/>
        <w:rPr>
          <w:sz w:val="20"/>
          <w:szCs w:val="20"/>
          <w:color w:val="auto"/>
        </w:rPr>
      </w:pPr>
      <w:r>
        <w:rPr>
          <w:rFonts w:ascii="Arial" w:cs="Arial" w:eastAsia="Arial" w:hAnsi="Arial"/>
          <w:sz w:val="18"/>
          <w:szCs w:val="18"/>
          <w:b w:val="1"/>
          <w:bCs w:val="1"/>
          <w:color w:val="auto"/>
        </w:rPr>
        <w:t>Release of funds in trust account on closing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60" w:right="60" w:hanging="161"/>
        <w:spacing w:after="0" w:line="314" w:lineRule="auto"/>
        <w:rPr>
          <w:sz w:val="20"/>
          <w:szCs w:val="20"/>
          <w:color w:val="auto"/>
        </w:rPr>
      </w:pPr>
      <w:r>
        <w:rPr>
          <w:rFonts w:ascii="Arial" w:cs="Arial" w:eastAsia="Arial" w:hAnsi="Arial"/>
          <w:sz w:val="16"/>
          <w:szCs w:val="16"/>
          <w:b w:val="1"/>
          <w:bCs w:val="1"/>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188"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On the completion of our initial business combination, the funds held in the trust account will be disbursed directly by the trustee to pay amounts due to any public shareholders who properly exercise their redemption rights as described above adjacent to the caption “Redemption rights for public shareholders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businesses, the payment of principal or interest due on indebtedness incurred in completing our initial business combination, to fund the purchase of other companies or for working capital.</w:t>
      </w:r>
    </w:p>
    <w:p>
      <w:pPr>
        <w:spacing w:after="0" w:line="20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Our amended and restated memorandum and articles of association will provide that we will have only 24 months from the closing of this offering to consummate our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w:t>
      </w:r>
      <w:r>
        <w:rPr>
          <w:rFonts w:ascii="MS PGothic" w:cs="MS PGothic" w:eastAsia="MS PGothic" w:hAnsi="MS PGothic"/>
          <w:sz w:val="16"/>
          <w:szCs w:val="16"/>
          <w:color w:val="auto"/>
        </w:rPr>
        <w:t>‑</w:t>
      </w:r>
      <w:r>
        <w:rPr>
          <w:rFonts w:ascii="Arial" w:cs="Arial" w:eastAsia="Arial" w:hAnsi="Arial"/>
          <w:sz w:val="16"/>
          <w:szCs w:val="16"/>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6"/>
          <w:szCs w:val="16"/>
          <w:color w:val="auto"/>
        </w:rPr>
        <w:t>‑</w:t>
      </w:r>
      <w:r>
        <w:rPr>
          <w:rFonts w:ascii="Arial" w:cs="Arial" w:eastAsia="Arial" w:hAnsi="Arial"/>
          <w:sz w:val="16"/>
          <w:szCs w:val="16"/>
          <w:color w:val="auto"/>
        </w:rPr>
        <w:t>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from the closing of this offering.</w:t>
      </w:r>
    </w:p>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w:t>
      </w:r>
    </w:p>
    <w:p>
      <w:pPr>
        <w:spacing w:after="0" w:line="200" w:lineRule="exact"/>
        <w:rPr>
          <w:sz w:val="20"/>
          <w:szCs w:val="20"/>
          <w:color w:val="auto"/>
        </w:rPr>
      </w:pPr>
    </w:p>
    <w:p>
      <w:pPr>
        <w:sectPr>
          <w:pgSz w:w="11900" w:h="16838" w:orient="portrait"/>
          <w:cols w:equalWidth="0" w:num="2">
            <w:col w:w="2840" w:space="600"/>
            <w:col w:w="7760"/>
          </w:cols>
          <w:pgMar w:left="320" w:top="121" w:right="379" w:bottom="1440" w:gutter="0" w:footer="0" w:header="0"/>
          <w:type w:val="continuous"/>
        </w:sect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30" w:type="dxa"/>
        <w:tblCellMar>
          <w:top w:w="0" w:type="dxa"/>
          <w:left w:w="0" w:type="dxa"/>
          <w:bottom w:w="0" w:type="dxa"/>
          <w:right w:w="0" w:type="dxa"/>
        </w:tblCellMar>
      </w:tblPr>
      <w:tr>
        <w:trPr>
          <w:trHeight w:val="293"/>
        </w:trPr>
        <w:tc>
          <w:tcPr>
            <w:tcW w:w="286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95"/>
              </w:rPr>
              <w:t>we fail to consummate an initial business combination within 24 months from the closing of this offering</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(although they will be entitled to liquidating distributions from the trust account with respect to any public</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shares they hold if we fail to complete our initial business combination within 24 months from the closing</w:t>
            </w:r>
          </w:p>
        </w:tc>
      </w:tr>
      <w:tr>
        <w:trPr>
          <w:trHeight w:val="230"/>
        </w:trPr>
        <w:tc>
          <w:tcPr>
            <w:tcW w:w="286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of this offering).</w:t>
            </w:r>
          </w:p>
        </w:tc>
      </w:tr>
      <w:tr>
        <w:trPr>
          <w:trHeight w:val="418"/>
        </w:trPr>
        <w:tc>
          <w:tcPr>
            <w:tcW w:w="286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The underwriters have agreed to waive their rights to their deferred underwriting commission held in the</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trust account in the event we do not consummate an initial business combination within 24 months from the</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closing of this offering and, in such event, such amounts will be included with the funds held in the trust</w:t>
            </w:r>
          </w:p>
        </w:tc>
      </w:tr>
      <w:tr>
        <w:trPr>
          <w:trHeight w:val="230"/>
        </w:trPr>
        <w:tc>
          <w:tcPr>
            <w:tcW w:w="286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account that will be available to fund the redemption of our public shares.</w:t>
            </w:r>
          </w:p>
        </w:tc>
      </w:tr>
      <w:tr>
        <w:trPr>
          <w:trHeight w:val="418"/>
        </w:trPr>
        <w:tc>
          <w:tcPr>
            <w:tcW w:w="286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Our sponsor, executive officers, directors and director nominees have agreed, pursuant to a written</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agreement with us, that they will not propose any amendment to our amended and restated memorandum</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9"/>
              </w:rPr>
              <w:t>and articles of association (A) that would modify the substance or timing of our obligation to provide</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holders of our Class A ordinary shares the right to have their shares redeemed in connection with our initial</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business combination or to redeem 100% of our public shares if we do not complete our initial business</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combination within 24 months from the closing of this offering or (B) with respect to any other provision</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relating to the rights of holders of our Class A ordinary shares; unless we provide our public shareholders</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with the opportunity to redeem their Class A ordinary shares upon approval of any such amendment at a</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line="207" w:lineRule="exact"/>
              <w:rPr>
                <w:sz w:val="20"/>
                <w:szCs w:val="20"/>
                <w:color w:val="auto"/>
              </w:rPr>
            </w:pPr>
            <w:r>
              <w:rPr>
                <w:rFonts w:ascii="Arial" w:cs="Arial" w:eastAsia="Arial" w:hAnsi="Arial"/>
                <w:sz w:val="18"/>
                <w:szCs w:val="18"/>
                <w:color w:val="auto"/>
                <w:w w:val="97"/>
              </w:rPr>
              <w:t>per</w:t>
            </w:r>
            <w:r>
              <w:rPr>
                <w:rFonts w:ascii="MS PGothic" w:cs="MS PGothic" w:eastAsia="MS PGothic" w:hAnsi="MS PGothic"/>
                <w:sz w:val="18"/>
                <w:szCs w:val="18"/>
                <w:color w:val="auto"/>
                <w:w w:val="97"/>
              </w:rPr>
              <w:t>‑</w:t>
            </w:r>
            <w:r>
              <w:rPr>
                <w:rFonts w:ascii="Arial" w:cs="Arial" w:eastAsia="Arial" w:hAnsi="Arial"/>
                <w:sz w:val="18"/>
                <w:szCs w:val="18"/>
                <w:color w:val="auto"/>
                <w:w w:val="97"/>
              </w:rPr>
              <w:t>share price, payable in cash, equal to the aggregate amount then on deposit in the trust account,</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including interest earned on the funds held in the trust account and not previously released to us to pay our</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line="207" w:lineRule="exact"/>
              <w:rPr>
                <w:sz w:val="20"/>
                <w:szCs w:val="20"/>
                <w:color w:val="auto"/>
              </w:rPr>
            </w:pPr>
            <w:r>
              <w:rPr>
                <w:rFonts w:ascii="Arial" w:cs="Arial" w:eastAsia="Arial" w:hAnsi="Arial"/>
                <w:sz w:val="18"/>
                <w:szCs w:val="18"/>
                <w:color w:val="auto"/>
                <w:w w:val="92"/>
              </w:rPr>
              <w:t>income taxes, if any, divided by the number of the then</w:t>
            </w:r>
            <w:r>
              <w:rPr>
                <w:rFonts w:ascii="MS PGothic" w:cs="MS PGothic" w:eastAsia="MS PGothic" w:hAnsi="MS PGothic"/>
                <w:sz w:val="18"/>
                <w:szCs w:val="18"/>
                <w:color w:val="auto"/>
                <w:w w:val="92"/>
              </w:rPr>
              <w:t>‑</w:t>
            </w:r>
            <w:r>
              <w:rPr>
                <w:rFonts w:ascii="Arial" w:cs="Arial" w:eastAsia="Arial" w:hAnsi="Arial"/>
                <w:sz w:val="18"/>
                <w:szCs w:val="18"/>
                <w:color w:val="auto"/>
                <w:w w:val="92"/>
              </w:rPr>
              <w:t>outstanding public shares, subject to the limitations</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3"/>
              </w:rPr>
              <w:t>described above adjacent to the caption “Limitations on redemptions.” For example, our board of directors</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may propose such an amendment if it determines that additional time is necessary to complete our initial</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business combination. In such event, we will conduct a proxy solicitation and distribute proxy materials</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pursuant to Regulation 14A of the Exchange Act seeking shareholder approval of such proposal and, in</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connection therewith, provide our public shareholders with the redemption rights described above upon</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shareholder approval of such amendment. This redemption right shall apply in the event of the approval of</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any such amendment, whether proposed by our sponsor, any executive officer, director or director nominee,</w:t>
            </w:r>
          </w:p>
        </w:tc>
      </w:tr>
      <w:tr>
        <w:trPr>
          <w:trHeight w:val="230"/>
        </w:trPr>
        <w:tc>
          <w:tcPr>
            <w:tcW w:w="286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or any other person.</w:t>
            </w:r>
          </w:p>
        </w:tc>
      </w:tr>
      <w:tr>
        <w:trPr>
          <w:trHeight w:val="418"/>
        </w:trPr>
        <w:tc>
          <w:tcPr>
            <w:tcW w:w="2860" w:type="dxa"/>
            <w:vAlign w:val="bottom"/>
            <w:tcBorders>
              <w:left w:val="single" w:sz="8" w:color="auto"/>
            </w:tcBorders>
          </w:tcPr>
          <w:p>
            <w:pPr>
              <w:spacing w:after="0"/>
              <w:rPr>
                <w:sz w:val="24"/>
                <w:szCs w:val="24"/>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2"/>
              </w:rPr>
              <w:t>Our amended and restated memorandum and articles of association will provide that, if we wind up for any</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6"/>
              </w:rPr>
              <w:t>other reason prior to the consummation of our initial business combination, we will follow the foregoing</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4"/>
              </w:rPr>
              <w:t>procedures with respect to the liquidation of the trust account as promptly as reasonably possible but not</w:t>
            </w:r>
          </w:p>
        </w:tc>
      </w:tr>
      <w:tr>
        <w:trPr>
          <w:trHeight w:val="230"/>
        </w:trPr>
        <w:tc>
          <w:tcPr>
            <w:tcW w:w="286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more than ten business days thereafter, subject to applicable Cayman Islands law.</w:t>
            </w:r>
          </w:p>
        </w:tc>
      </w:tr>
      <w:tr>
        <w:trPr>
          <w:trHeight w:val="418"/>
        </w:trPr>
        <w:tc>
          <w:tcPr>
            <w:tcW w:w="286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Limited payments to insiders</w:t>
            </w: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There will be no finder’s fees, reimbursements or cash payments made by the company to our sponsor,</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officers or directors, or their affiliates, for services rendered to us prior to or in connection with the</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5"/>
              </w:rPr>
              <w:t>completion of our initial business combination, other than the following payments, none of which will be</w:t>
            </w:r>
          </w:p>
        </w:tc>
      </w:tr>
      <w:tr>
        <w:trPr>
          <w:trHeight w:val="216"/>
        </w:trPr>
        <w:tc>
          <w:tcPr>
            <w:tcW w:w="286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1"/>
              </w:rPr>
              <w:t>made from the proceeds of this offering and the sale of the private placement units held in the trust account</w:t>
            </w:r>
          </w:p>
        </w:tc>
      </w:tr>
      <w:tr>
        <w:trPr>
          <w:trHeight w:val="230"/>
        </w:trPr>
        <w:tc>
          <w:tcPr>
            <w:tcW w:w="2860" w:type="dxa"/>
            <w:vAlign w:val="bottom"/>
            <w:tcBorders>
              <w:left w:val="single" w:sz="8" w:color="auto"/>
            </w:tcBorders>
          </w:tcPr>
          <w:p>
            <w:pPr>
              <w:spacing w:after="0"/>
              <w:rPr>
                <w:sz w:val="20"/>
                <w:szCs w:val="20"/>
                <w:color w:val="auto"/>
              </w:rPr>
            </w:pPr>
          </w:p>
        </w:tc>
        <w:tc>
          <w:tcPr>
            <w:tcW w:w="84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prior to the completion of our initial business combination:</w:t>
            </w:r>
          </w:p>
        </w:tc>
      </w:tr>
      <w:tr>
        <w:trPr>
          <w:trHeight w:val="314"/>
        </w:trPr>
        <w:tc>
          <w:tcPr>
            <w:tcW w:w="2860" w:type="dxa"/>
            <w:vAlign w:val="bottom"/>
            <w:tcBorders>
              <w:left w:val="single" w:sz="8" w:color="auto"/>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0" w:type="dxa"/>
            <w:vAlign w:val="bottom"/>
            <w:tcBorders>
              <w:right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768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repayment of up to an aggregate of $300,000 in loans made to us by our sponsor to cover</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80" w:type="dxa"/>
            <w:vAlign w:val="bottom"/>
            <w:tcBorders>
              <w:right w:val="single" w:sz="8" w:color="auto"/>
            </w:tcBorders>
            <w:gridSpan w:val="2"/>
          </w:tcPr>
          <w:p>
            <w:pPr>
              <w:ind w:left="120"/>
              <w:spacing w:after="0" w:line="207" w:lineRule="exact"/>
              <w:rPr>
                <w:sz w:val="20"/>
                <w:szCs w:val="20"/>
                <w:color w:val="auto"/>
              </w:rPr>
            </w:pPr>
            <w:r>
              <w:rPr>
                <w:rFonts w:ascii="Arial" w:cs="Arial" w:eastAsia="Arial" w:hAnsi="Arial"/>
                <w:sz w:val="18"/>
                <w:szCs w:val="18"/>
                <w:color w:val="auto"/>
              </w:rPr>
              <w:t>offering</w:t>
            </w:r>
            <w:r>
              <w:rPr>
                <w:rFonts w:ascii="MS PGothic" w:cs="MS PGothic" w:eastAsia="MS PGothic" w:hAnsi="MS PGothic"/>
                <w:sz w:val="18"/>
                <w:szCs w:val="18"/>
                <w:color w:val="auto"/>
              </w:rPr>
              <w:t>‑</w:t>
            </w:r>
            <w:r>
              <w:rPr>
                <w:rFonts w:ascii="Arial" w:cs="Arial" w:eastAsia="Arial" w:hAnsi="Arial"/>
                <w:sz w:val="18"/>
                <w:szCs w:val="18"/>
                <w:color w:val="auto"/>
              </w:rPr>
              <w:t>related and organizational expenses;</w:t>
            </w:r>
          </w:p>
        </w:tc>
      </w:tr>
      <w:tr>
        <w:trPr>
          <w:trHeight w:val="418"/>
        </w:trPr>
        <w:tc>
          <w:tcPr>
            <w:tcW w:w="4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2"/>
              </w:rPr>
              <w:t>reimbursement for office space, secretarial and administrative services provided to us by our sponsor,</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in the amount of $10,000 per month;</w:t>
            </w:r>
          </w:p>
        </w:tc>
      </w:tr>
      <w:tr>
        <w:trPr>
          <w:trHeight w:val="418"/>
        </w:trPr>
        <w:tc>
          <w:tcPr>
            <w:tcW w:w="4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7680" w:type="dxa"/>
            <w:vAlign w:val="bottom"/>
            <w:tcBorders>
              <w:right w:val="single" w:sz="8" w:color="auto"/>
            </w:tcBorders>
            <w:gridSpan w:val="2"/>
          </w:tcPr>
          <w:p>
            <w:pPr>
              <w:ind w:left="120"/>
              <w:spacing w:after="0" w:line="207" w:lineRule="exact"/>
              <w:rPr>
                <w:sz w:val="20"/>
                <w:szCs w:val="20"/>
                <w:color w:val="auto"/>
              </w:rPr>
            </w:pPr>
            <w:r>
              <w:rPr>
                <w:rFonts w:ascii="Arial" w:cs="Arial" w:eastAsia="Arial" w:hAnsi="Arial"/>
                <w:sz w:val="18"/>
                <w:szCs w:val="18"/>
                <w:color w:val="auto"/>
                <w:w w:val="96"/>
              </w:rPr>
              <w:t>reimbursement for any out</w:t>
            </w:r>
            <w:r>
              <w:rPr>
                <w:rFonts w:ascii="MS PGothic" w:cs="MS PGothic" w:eastAsia="MS PGothic" w:hAnsi="MS PGothic"/>
                <w:sz w:val="18"/>
                <w:szCs w:val="18"/>
                <w:color w:val="auto"/>
                <w:w w:val="96"/>
              </w:rPr>
              <w:t>‑</w:t>
            </w:r>
            <w:r>
              <w:rPr>
                <w:rFonts w:ascii="Arial" w:cs="Arial" w:eastAsia="Arial" w:hAnsi="Arial"/>
                <w:sz w:val="18"/>
                <w:szCs w:val="18"/>
                <w:color w:val="auto"/>
                <w:w w:val="96"/>
              </w:rPr>
              <w:t>of</w:t>
            </w:r>
            <w:r>
              <w:rPr>
                <w:rFonts w:ascii="MS PGothic" w:cs="MS PGothic" w:eastAsia="MS PGothic" w:hAnsi="MS PGothic"/>
                <w:sz w:val="18"/>
                <w:szCs w:val="18"/>
                <w:color w:val="auto"/>
                <w:w w:val="96"/>
              </w:rPr>
              <w:t>‑</w:t>
            </w:r>
            <w:r>
              <w:rPr>
                <w:rFonts w:ascii="Arial" w:cs="Arial" w:eastAsia="Arial" w:hAnsi="Arial"/>
                <w:sz w:val="18"/>
                <w:szCs w:val="18"/>
                <w:color w:val="auto"/>
                <w:w w:val="96"/>
              </w:rPr>
              <w:t>pocket expenses related to identifying, investigating, negotiating and</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completing an initial business combination; and</w:t>
            </w:r>
          </w:p>
        </w:tc>
      </w:tr>
      <w:tr>
        <w:trPr>
          <w:trHeight w:val="418"/>
        </w:trPr>
        <w:tc>
          <w:tcPr>
            <w:tcW w:w="4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3"/>
              </w:rPr>
              <w:t>repayment of loans which may be made by our sponsor or an affiliate of our sponsor or certain of our</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9"/>
              </w:rPr>
              <w:t>officers and directors to finance transaction costs in connection with an intended initial business</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tcBorders>
              <w:right w:val="single" w:sz="8" w:color="auto"/>
            </w:tcBorders>
            <w:gridSpan w:val="2"/>
          </w:tcPr>
          <w:p>
            <w:pPr>
              <w:ind w:left="120"/>
              <w:spacing w:after="0" w:line="207" w:lineRule="exact"/>
              <w:rPr>
                <w:sz w:val="20"/>
                <w:szCs w:val="20"/>
                <w:color w:val="auto"/>
              </w:rPr>
            </w:pPr>
            <w:r>
              <w:rPr>
                <w:rFonts w:ascii="Arial" w:cs="Arial" w:eastAsia="Arial" w:hAnsi="Arial"/>
                <w:sz w:val="18"/>
                <w:szCs w:val="18"/>
                <w:color w:val="auto"/>
                <w:w w:val="95"/>
              </w:rPr>
              <w:t>combination. Up to $1,500,000 of such loans may be convertible into warrants of the post</w:t>
            </w:r>
            <w:r>
              <w:rPr>
                <w:rFonts w:ascii="MS PGothic" w:cs="MS PGothic" w:eastAsia="MS PGothic" w:hAnsi="MS PGothic"/>
                <w:sz w:val="18"/>
                <w:szCs w:val="18"/>
                <w:color w:val="auto"/>
                <w:w w:val="95"/>
              </w:rPr>
              <w:t>‑</w:t>
            </w:r>
            <w:r>
              <w:rPr>
                <w:rFonts w:ascii="Arial" w:cs="Arial" w:eastAsia="Arial" w:hAnsi="Arial"/>
                <w:sz w:val="18"/>
                <w:szCs w:val="18"/>
                <w:color w:val="auto"/>
                <w:w w:val="95"/>
              </w:rPr>
              <w:t>business</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4"/>
              </w:rPr>
              <w:t>combination company at a price of $1.50 per warrant at the option of the lender. The warrants would</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1"/>
              </w:rPr>
              <w:t>be identical to the private placement warrants. Except for the foregoing, the terms of such loans, if any,</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68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have not been determined and no written agreements exist with respect to such loans.</w:t>
            </w:r>
          </w:p>
        </w:tc>
      </w:tr>
      <w:tr>
        <w:trPr>
          <w:trHeight w:val="418"/>
        </w:trPr>
        <w:tc>
          <w:tcPr>
            <w:tcW w:w="40" w:type="dxa"/>
            <w:vAlign w:val="bottom"/>
            <w:tcBorders>
              <w:right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3"/>
              </w:rPr>
              <w:t>Any such payments will be made either (i) prior to the completion of our initial business combination using</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3"/>
              </w:rPr>
              <w:t>proceeds of this offering and the sale of the private placement units held outside the trust account or from</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3"/>
              </w:rPr>
              <w:t>loans made to us by our sponsor or an affiliate of our sponsor or certain of our officers and directors or (ii)</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rPr>
              <w:t>in connection with or after the consummation of our initial business combination.</w:t>
            </w:r>
          </w:p>
        </w:tc>
      </w:tr>
      <w:tr>
        <w:trPr>
          <w:trHeight w:val="418"/>
        </w:trPr>
        <w:tc>
          <w:tcPr>
            <w:tcW w:w="40" w:type="dxa"/>
            <w:vAlign w:val="bottom"/>
            <w:tcBorders>
              <w:right w:val="single" w:sz="8" w:color="auto"/>
            </w:tcBorders>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8"/>
                <w:szCs w:val="18"/>
                <w:b w:val="1"/>
                <w:bCs w:val="1"/>
                <w:color w:val="auto"/>
              </w:rPr>
              <w:t>Audit committee</w:t>
            </w: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9"/>
              </w:rPr>
              <w:t>We will establish and maintain an audit committee, which will be composed entirely of independent</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3"/>
              </w:rPr>
              <w:t>directors. Among its responsibilities, the audit committee will review on a quarterly basis all payments that</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5"/>
              </w:rPr>
              <w:t>were made by us to our sponsor, officers or directors, or their affiliates and monitor compliance with the</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6"/>
              </w:rPr>
              <w:t>other terms relating to this offering. If any noncompliance is identified, then the audit committee will be</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7"/>
              </w:rPr>
              <w:t>charged with the responsibility to promptly take all action necessary to rectify such noncompliance or</w:t>
            </w:r>
          </w:p>
        </w:tc>
      </w:tr>
      <w:tr>
        <w:trPr>
          <w:trHeight w:val="216"/>
        </w:trPr>
        <w:tc>
          <w:tcPr>
            <w:tcW w:w="40" w:type="dxa"/>
            <w:vAlign w:val="bottom"/>
            <w:tcBorders>
              <w:right w:val="single" w:sz="8" w:color="auto"/>
            </w:tcBorders>
          </w:tcPr>
          <w:p>
            <w:pPr>
              <w:spacing w:after="0"/>
              <w:rPr>
                <w:sz w:val="18"/>
                <w:szCs w:val="18"/>
                <w:color w:val="auto"/>
              </w:rPr>
            </w:pPr>
          </w:p>
        </w:tc>
        <w:tc>
          <w:tcPr>
            <w:tcW w:w="2380" w:type="dxa"/>
            <w:vAlign w:val="bottom"/>
          </w:tcPr>
          <w:p>
            <w:pPr>
              <w:spacing w:after="0"/>
              <w:rPr>
                <w:sz w:val="18"/>
                <w:szCs w:val="18"/>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w w:val="91"/>
              </w:rPr>
              <w:t>otherwise to cause compliance with the terms of this offering. For more information, see the section entitled</w:t>
            </w:r>
          </w:p>
        </w:tc>
      </w:tr>
      <w:tr>
        <w:trPr>
          <w:trHeight w:val="230"/>
        </w:trPr>
        <w:tc>
          <w:tcPr>
            <w:tcW w:w="40" w:type="dxa"/>
            <w:vAlign w:val="bottom"/>
            <w:tcBorders>
              <w:right w:val="single" w:sz="8" w:color="auto"/>
            </w:tcBorders>
          </w:tcPr>
          <w:p>
            <w:pPr>
              <w:spacing w:after="0"/>
              <w:rPr>
                <w:sz w:val="20"/>
                <w:szCs w:val="20"/>
                <w:color w:val="auto"/>
              </w:rPr>
            </w:pPr>
          </w:p>
        </w:tc>
        <w:tc>
          <w:tcPr>
            <w:tcW w:w="2380" w:type="dxa"/>
            <w:vAlign w:val="bottom"/>
          </w:tcPr>
          <w:p>
            <w:pPr>
              <w:spacing w:after="0"/>
              <w:rPr>
                <w:sz w:val="20"/>
                <w:szCs w:val="20"/>
                <w:color w:val="auto"/>
              </w:rPr>
            </w:pPr>
          </w:p>
        </w:tc>
        <w:tc>
          <w:tcPr>
            <w:tcW w:w="8900" w:type="dxa"/>
            <w:vAlign w:val="bottom"/>
            <w:tcBorders>
              <w:right w:val="single" w:sz="8" w:color="auto"/>
            </w:tcBorders>
            <w:gridSpan w:val="3"/>
          </w:tcPr>
          <w:p>
            <w:pPr>
              <w:ind w:left="1020"/>
              <w:spacing w:after="0"/>
              <w:rPr>
                <w:sz w:val="20"/>
                <w:szCs w:val="20"/>
                <w:color w:val="auto"/>
              </w:rPr>
            </w:pPr>
            <w:r>
              <w:rPr>
                <w:rFonts w:ascii="Arial" w:cs="Arial" w:eastAsia="Arial" w:hAnsi="Arial"/>
                <w:sz w:val="18"/>
                <w:szCs w:val="18"/>
                <w:color w:val="auto"/>
              </w:rPr>
              <w:t>“Management — Committees of the Board of Directors — Audit Committee.”</w:t>
            </w:r>
          </w:p>
        </w:tc>
      </w:tr>
      <w:tr>
        <w:trPr>
          <w:trHeight w:val="71"/>
        </w:trPr>
        <w:tc>
          <w:tcPr>
            <w:tcW w:w="40" w:type="dxa"/>
            <w:vAlign w:val="bottom"/>
            <w:tcBorders>
              <w:right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600" w:type="dxa"/>
            <w:vAlign w:val="bottom"/>
            <w:tcBorders>
              <w:bottom w:val="single" w:sz="8" w:color="auto"/>
            </w:tcBorders>
          </w:tcPr>
          <w:p>
            <w:pPr>
              <w:spacing w:after="0"/>
              <w:rPr>
                <w:sz w:val="6"/>
                <w:szCs w:val="6"/>
                <w:color w:val="auto"/>
              </w:rPr>
            </w:pPr>
          </w:p>
        </w:tc>
        <w:tc>
          <w:tcPr>
            <w:tcW w:w="80" w:type="dxa"/>
            <w:vAlign w:val="bottom"/>
            <w:tcBorders>
              <w:bottom w:val="single" w:sz="8" w:color="auto"/>
              <w:right w:val="single" w:sz="8" w:color="auto"/>
            </w:tcBorders>
          </w:tcPr>
          <w:p>
            <w:pPr>
              <w:spacing w:after="0"/>
              <w:rPr>
                <w:sz w:val="6"/>
                <w:szCs w:val="6"/>
                <w:color w:val="auto"/>
              </w:rPr>
            </w:pPr>
          </w:p>
        </w:tc>
      </w:tr>
      <w:tr>
        <w:trPr>
          <w:trHeight w:val="599"/>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0" w:type="dxa"/>
            <w:vAlign w:val="bottom"/>
          </w:tcPr>
          <w:p>
            <w:pPr>
              <w:ind w:left="192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r>
      <w:tr>
        <w:trPr>
          <w:trHeight w:val="46"/>
        </w:trPr>
        <w:tc>
          <w:tcPr>
            <w:tcW w:w="4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bl>
    <w:p>
      <w:pPr>
        <w:sectPr>
          <w:pgSz w:w="11900" w:h="16838" w:orient="portrait"/>
          <w:cols w:equalWidth="0" w:num="1">
            <w:col w:w="11320"/>
          </w:cols>
          <w:pgMar w:left="320" w:top="121" w:right="25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9310" cy="1504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1504315"/>
                    </a:xfrm>
                    <a:prstGeom prst="rect">
                      <a:avLst/>
                    </a:prstGeom>
                    <a:noFill/>
                  </pic:spPr>
                </pic:pic>
              </a:graphicData>
            </a:graphic>
          </wp:anchor>
        </w:drawing>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w:t>
      </w:r>
    </w:p>
    <w:p>
      <w:pPr>
        <w:spacing w:after="0" w:line="252" w:lineRule="exact"/>
        <w:rPr>
          <w:sz w:val="20"/>
          <w:szCs w:val="20"/>
          <w:color w:val="auto"/>
        </w:rPr>
      </w:pPr>
    </w:p>
    <w:p>
      <w:pPr>
        <w:ind w:left="100"/>
        <w:spacing w:after="0" w:line="292" w:lineRule="auto"/>
        <w:rPr>
          <w:sz w:val="20"/>
          <w:szCs w:val="20"/>
          <w:color w:val="auto"/>
        </w:rPr>
      </w:pPr>
      <w:r>
        <w:rPr>
          <w:rFonts w:ascii="Arial" w:cs="Arial" w:eastAsia="Arial" w:hAnsi="Arial"/>
          <w:sz w:val="16"/>
          <w:szCs w:val="16"/>
          <w:b w:val="1"/>
          <w:bCs w:val="1"/>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of this prospectus.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9310" cy="1967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1967230"/>
                    </a:xfrm>
                    <a:prstGeom prst="rect">
                      <a:avLst/>
                    </a:prstGeom>
                    <a:noFill/>
                  </pic:spPr>
                </pic:pic>
              </a:graphicData>
            </a:graphic>
          </wp:anchor>
        </w:drawing>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256" w:lineRule="exact"/>
        <w:rPr>
          <w:sz w:val="20"/>
          <w:szCs w:val="20"/>
          <w:color w:val="auto"/>
        </w:rPr>
      </w:pPr>
    </w:p>
    <w:p>
      <w:pPr>
        <w:ind w:left="100" w:right="320"/>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8"/>
                <w:szCs w:val="18"/>
                <w:b w:val="1"/>
                <w:bCs w:val="1"/>
                <w:color w:val="auto"/>
              </w:rPr>
              <w:t>April 2, 2020</w:t>
            </w:r>
          </w:p>
        </w:tc>
      </w:tr>
      <w:tr>
        <w:trPr>
          <w:trHeight w:val="216"/>
        </w:trPr>
        <w:tc>
          <w:tcPr>
            <w:tcW w:w="20" w:type="dxa"/>
            <w:vAlign w:val="bottom"/>
          </w:tcPr>
          <w:p>
            <w:pPr>
              <w:spacing w:after="0"/>
              <w:rPr>
                <w:sz w:val="18"/>
                <w:szCs w:val="18"/>
                <w:color w:val="auto"/>
              </w:rPr>
            </w:pPr>
          </w:p>
        </w:tc>
        <w:tc>
          <w:tcPr>
            <w:tcW w:w="7280" w:type="dxa"/>
            <w:vAlign w:val="bottom"/>
            <w:gridSpan w:val="2"/>
          </w:tcPr>
          <w:p>
            <w:pPr>
              <w:ind w:left="1200"/>
              <w:spacing w:after="0"/>
              <w:rPr>
                <w:sz w:val="20"/>
                <w:szCs w:val="20"/>
                <w:color w:val="auto"/>
              </w:rPr>
            </w:pPr>
            <w:r>
              <w:rPr>
                <w:rFonts w:ascii="Arial" w:cs="Arial" w:eastAsia="Arial" w:hAnsi="Arial"/>
                <w:sz w:val="18"/>
                <w:szCs w:val="18"/>
                <w:b w:val="1"/>
                <w:bCs w:val="1"/>
                <w:color w:val="auto"/>
              </w:rPr>
              <w:t>Balance Sheet Data:</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14"/>
        </w:trPr>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599"/>
        </w:trPr>
        <w:tc>
          <w:tcPr>
            <w:tcW w:w="20" w:type="dxa"/>
            <w:vAlign w:val="bottom"/>
          </w:tcPr>
          <w:p>
            <w:pPr>
              <w:spacing w:after="0"/>
              <w:rPr>
                <w:sz w:val="24"/>
                <w:szCs w:val="24"/>
                <w:color w:val="auto"/>
              </w:rPr>
            </w:pPr>
          </w:p>
        </w:tc>
        <w:tc>
          <w:tcPr>
            <w:tcW w:w="7280" w:type="dxa"/>
            <w:vAlign w:val="bottom"/>
            <w:gridSpan w:val="2"/>
          </w:tcPr>
          <w:p>
            <w:pPr>
              <w:jc w:val="right"/>
              <w:ind w:right="1510"/>
              <w:spacing w:after="0"/>
              <w:rPr>
                <w:sz w:val="20"/>
                <w:szCs w:val="20"/>
                <w:color w:val="auto"/>
              </w:rPr>
            </w:pPr>
            <w:r>
              <w:rPr>
                <w:rFonts w:ascii="Arial" w:cs="Arial" w:eastAsia="Arial" w:hAnsi="Arial"/>
                <w:sz w:val="14"/>
                <w:szCs w:val="14"/>
                <w:color w:val="auto"/>
              </w:rPr>
              <w:t>26</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
        </w:trPr>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bl>
    <w:p>
      <w:pPr>
        <w:sectPr>
          <w:pgSz w:w="11900" w:h="16838" w:orient="portrait"/>
          <w:cols w:equalWidth="0" w:num="1">
            <w:col w:w="11320"/>
          </w:cols>
          <w:pgMar w:left="320" w:top="121" w:right="2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a recently incorporated company with no operating history and no revenues, and you have no basis on which to evaluate our ability to achieve our business objective.</w:t>
      </w:r>
    </w:p>
    <w:p>
      <w:pPr>
        <w:spacing w:after="0" w:line="19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are a recently incorporated company established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or their affiliates, including Perceptive Advisors and ARYA Sciences Acquisition Corp., may not be indicative of future performance of an investment in us.</w:t>
      </w:r>
    </w:p>
    <w:p>
      <w:pPr>
        <w:spacing w:after="0" w:line="19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regarding performance by, or businesses associated with, our management team or their affiliates, including Perceptive Advisors and ARYA Sciences Acquisition Corp., is presented for informational purposes only. Any past experience of and performance by our management team or their affiliates, including Perceptive Advisors and ARYA Sciences Acquisition Corp.,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 Perceptive Advisors or any of their affiliates’ or managed fund’s performance as indicative of the future performance of an investment in us or the returns we will, or are likely to, generate going forward. An investment in us is not an investment in Perceptive Advisors.</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may not hold a shareholder vote to approve our initial business combination unless the business combination would require shareholder approval under applicable Cayman Islands law or stock exchange listing requirements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(excluding the private placement shares underlying the private placement units) to a target business as consideration in any business combination. Therefore, if we were structuring a business combination that required us to issue more than 20% of our issued and outstanding ordinary shares (excluding the private placement shares underlying the private placement units), we would seek shareholder approval of such business combination. However, except as required by applicable law or stock exchange rule,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outstanding ordinary shares do not approve of the business combination we consummate. Please see the section entitled “Proposed Business — Shareholders May Not Have the Ability to Approve Our Initial Business Combination” for additional information.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may be limited to the exercise of your right to redeem your shares from us for cash.</w:t>
      </w:r>
    </w:p>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9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sponsor will own, on an as</w:t>
      </w:r>
      <w:r>
        <w:rPr>
          <w:rFonts w:ascii="MS PGothic" w:cs="MS PGothic" w:eastAsia="MS PGothic" w:hAnsi="MS PGothic"/>
          <w:sz w:val="17"/>
          <w:szCs w:val="17"/>
          <w:color w:val="auto"/>
        </w:rPr>
        <w:t>‑</w:t>
      </w:r>
      <w:r>
        <w:rPr>
          <w:rFonts w:ascii="Arial" w:cs="Arial" w:eastAsia="Arial" w:hAnsi="Arial"/>
          <w:sz w:val="17"/>
          <w:szCs w:val="17"/>
          <w:color w:val="auto"/>
        </w:rPr>
        <w:t>converted basis, 20% of our outstanding ordinary shares (excluding the private placement shares underlying the private placement units) immediately following the completion of this offering. Our sponsor and members of our management team also may from time to time purchase Class A ordinary shares prior to the completion of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are voted in favor of the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17"/>
          <w:szCs w:val="17"/>
          <w:color w:val="auto"/>
        </w:rPr>
        <w:t>‑</w:t>
      </w:r>
      <w:r>
        <w:rPr>
          <w:rFonts w:ascii="Arial" w:cs="Arial" w:eastAsia="Arial" w:hAnsi="Arial"/>
          <w:sz w:val="17"/>
          <w:szCs w:val="17"/>
          <w:color w:val="auto"/>
        </w:rPr>
        <w:t>allotment option is not exercised). Accordingly, if we seek shareholder approval of our initial business combination, the agreement by our sponsor and our management team to vote in favor of our initial business combination will increase the likelihood that we will receive the requisite shareholder approval for such initial business combination.</w:t>
      </w:r>
    </w:p>
    <w:p>
      <w:pPr>
        <w:spacing w:after="0" w:line="2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9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97"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w:t>
      </w:r>
      <w:r>
        <w:rPr>
          <w:rFonts w:ascii="MS PGothic" w:cs="MS PGothic" w:eastAsia="MS PGothic" w:hAnsi="MS PGothic"/>
          <w:sz w:val="17"/>
          <w:szCs w:val="17"/>
          <w:color w:val="auto"/>
        </w:rPr>
        <w:t>‑</w:t>
      </w:r>
      <w:r>
        <w:rPr>
          <w:rFonts w:ascii="Arial" w:cs="Arial" w:eastAsia="Arial" w:hAnsi="Arial"/>
          <w:sz w:val="17"/>
          <w:szCs w:val="17"/>
          <w:color w:val="auto"/>
        </w:rPr>
        <w:t>share amount we will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17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5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1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complete our initial business combination within the required time period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0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3"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19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may not be able to find a suitable target business and consummate an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outbreak may negatively impact businesses we may seek to acquire.</w:t>
      </w:r>
    </w:p>
    <w:p>
      <w:pPr>
        <w:spacing w:after="0" w:line="205"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w:t>
      </w:r>
      <w:r>
        <w:rPr>
          <w:rFonts w:ascii="MS PGothic" w:cs="MS PGothic" w:eastAsia="MS PGothic" w:hAnsi="MS PGothic"/>
          <w:sz w:val="16"/>
          <w:szCs w:val="16"/>
          <w:color w:val="auto"/>
        </w:rPr>
        <w:t>‑</w:t>
      </w:r>
      <w:r>
        <w:rPr>
          <w:rFonts w:ascii="Arial" w:cs="Arial" w:eastAsia="Arial" w:hAnsi="Arial"/>
          <w:sz w:val="16"/>
          <w:szCs w:val="16"/>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6"/>
          <w:szCs w:val="16"/>
          <w:color w:val="auto"/>
        </w:rPr>
        <w:t>‑</w:t>
      </w:r>
      <w:r>
        <w:rPr>
          <w:rFonts w:ascii="Arial" w:cs="Arial" w:eastAsia="Arial" w:hAnsi="Arial"/>
          <w:sz w:val="16"/>
          <w:szCs w:val="16"/>
          <w:color w:val="auto"/>
        </w:rPr>
        <w:t>outstanding public shares ,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and our warrants will expire worthless. See “—If third parties bring claims against us, the proceeds held in the trust account could be reduced and the per</w:t>
      </w:r>
      <w:r>
        <w:rPr>
          <w:rFonts w:ascii="MS PGothic" w:cs="MS PGothic" w:eastAsia="MS PGothic" w:hAnsi="MS PGothic"/>
          <w:sz w:val="16"/>
          <w:szCs w:val="16"/>
          <w:color w:val="auto"/>
        </w:rPr>
        <w:t>‑</w:t>
      </w:r>
      <w:r>
        <w:rPr>
          <w:rFonts w:ascii="Arial" w:cs="Arial" w:eastAsia="Arial" w:hAnsi="Arial"/>
          <w:sz w:val="16"/>
          <w:szCs w:val="16"/>
          <w:color w:val="auto"/>
        </w:rPr>
        <w:t>share redemption amount received by shareholders may be less than $10.00 per public share” and other risk factors herein.</w:t>
      </w:r>
    </w:p>
    <w:p>
      <w:pPr>
        <w:spacing w:after="0" w:line="20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sponsor, directors, executive officers, advisors and their affiliates may elect to purchase public shares or warrants, which may influence a vote on a proposed business combination and reduce the public “float” of our Class A ordinary shares or public warrants.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(2) reduce the number of public warrants outstanding or vote such warrants on any matters submitted to the warrant holders for approval in connection with our initial business combination or (3)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“Proposed Business—Permitted Purchases and Other Transactions with Respect to Our Securities” for a description of how our sponsor, directors, executive officers, advisors or their affiliates will select which shareholders to purchase securities from in any private transaction.</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Effecting Our Initial Business Combination — Tendering Share Certificates in Connection with a Tender Offer or Redemption Rights.”</w:t>
      </w:r>
    </w:p>
    <w:p>
      <w:pPr>
        <w:spacing w:after="0" w:line="2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the redemption of our public shares if we have not consummated an initial business within 24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intend to apply to have our units listed on Nasdaq on the date of this prospectus and our Class A ordinary shares and warrants on or promptly after their date of separation. Although after giving effect to this offering we expect to meet, on a pro forma basis, the minimum initial listing standards set forth in Nasdaq’s listing standards, our securities may not be, or may not continue to be, listed on Nasdaq in the future or prior to the completion of our initial business combination. In order to continue listing our securities on Nasdaq prior to the completion of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our units will not be traded after completion of our initial business combination and, in connection with our initial business combination, we will be required to</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demonstrate compliance with Nasdaq’s initial listing requirements, which are more rigorous than Nasdaq’s continued listing requirements, in order to continue to maintain the listing of our securities on Nasdaq. For instance, the share price of our securities would generally be required to be at least $4.00 per share and our shareholders’ equity would generally be required to be at least $5,000,000 and we would be required to have a minimum of 300 round</w:t>
      </w:r>
      <w:r>
        <w:rPr>
          <w:rFonts w:ascii="MS PGothic" w:cs="MS PGothic" w:eastAsia="MS PGothic" w:hAnsi="MS PGothic"/>
          <w:sz w:val="18"/>
          <w:szCs w:val="18"/>
          <w:color w:val="auto"/>
        </w:rPr>
        <w:t>‑</w:t>
      </w:r>
      <w:r>
        <w:rPr>
          <w:rFonts w:ascii="Arial" w:cs="Arial" w:eastAsia="Arial" w:hAnsi="Arial"/>
          <w:sz w:val="18"/>
          <w:szCs w:val="18"/>
          <w:color w:val="auto"/>
        </w:rPr>
        <w:t>lot holders (with at least 50% of such round lot holders holding securities with a market value of at least $2,500). We may not be able to meet those initial listing requirements at that time.</w:t>
      </w:r>
    </w:p>
    <w:p>
      <w:pPr>
        <w:spacing w:after="0" w:line="232" w:lineRule="exact"/>
        <w:rPr>
          <w:sz w:val="20"/>
          <w:szCs w:val="20"/>
          <w:color w:val="auto"/>
        </w:rPr>
      </w:pPr>
    </w:p>
    <w:p>
      <w:pPr>
        <w:ind w:right="20"/>
        <w:spacing w:after="0" w:line="224" w:lineRule="exact"/>
        <w:rPr>
          <w:sz w:val="20"/>
          <w:szCs w:val="20"/>
          <w:color w:val="auto"/>
        </w:rPr>
      </w:pPr>
      <w:r>
        <w:rPr>
          <w:rFonts w:ascii="Arial" w:cs="Arial" w:eastAsia="Arial" w:hAnsi="Arial"/>
          <w:sz w:val="16"/>
          <w:szCs w:val="16"/>
          <w:color w:val="auto"/>
        </w:rPr>
        <w:t>If Nasdaq delists our securities from trading on its exchange and we are not able to list our securities on another national securities exchange, we expect our securities could be quoted on an over</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counter market. If this were to occur, we could face significant material adverse consequences, including:</w:t>
      </w:r>
    </w:p>
    <w:p>
      <w:pPr>
        <w:spacing w:after="0" w:line="22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52" w:lineRule="exact"/>
        <w:rPr>
          <w:rFonts w:ascii="Arial" w:cs="Arial" w:eastAsia="Arial" w:hAnsi="Arial"/>
          <w:sz w:val="18"/>
          <w:szCs w:val="18"/>
          <w:color w:val="auto"/>
        </w:rPr>
      </w:pPr>
    </w:p>
    <w:p>
      <w:pPr>
        <w:jc w:val="both"/>
        <w:ind w:left="980" w:right="40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Nasdaq, our units, Class A ordinary shares and warrants will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52"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Since the net proceeds of this offering and the sale of the private placement units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units and will file a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ordinary shares, you will lose the ability to redeem all such shares in excess of 15% of our Class A ordinary shares.</w:t>
      </w:r>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Because of our limited resources and the significant competition for business combination opportunities, it may be more difficult for us to complete our initial business combination. If we do not complete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14"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w:t>
      </w:r>
      <w:r>
        <w:rPr>
          <w:rFonts w:ascii="MS PGothic" w:cs="MS PGothic" w:eastAsia="MS PGothic" w:hAnsi="MS PGothic"/>
          <w:sz w:val="17"/>
          <w:szCs w:val="17"/>
          <w:color w:val="auto"/>
        </w:rPr>
        <w:t>‑</w:t>
      </w:r>
      <w:r>
        <w:rPr>
          <w:rFonts w:ascii="Arial" w:cs="Arial" w:eastAsia="Arial" w:hAnsi="Arial"/>
          <w:sz w:val="17"/>
          <w:szCs w:val="17"/>
          <w:color w:val="auto"/>
        </w:rPr>
        <w:t>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 and our warrants will expire worthless. See “—If third parties bring claims against us, the proceeds held in the trust account could be reduced and the per</w:t>
      </w:r>
      <w:r>
        <w:rPr>
          <w:rFonts w:ascii="MS PGothic" w:cs="MS PGothic" w:eastAsia="MS PGothic" w:hAnsi="MS PGothic"/>
          <w:sz w:val="17"/>
          <w:szCs w:val="17"/>
          <w:color w:val="auto"/>
        </w:rPr>
        <w:t>‑</w:t>
      </w:r>
      <w:r>
        <w:rPr>
          <w:rFonts w:ascii="Arial" w:cs="Arial" w:eastAsia="Arial" w:hAnsi="Arial"/>
          <w:sz w:val="17"/>
          <w:szCs w:val="17"/>
          <w:color w:val="auto"/>
        </w:rPr>
        <w:t>share redemption amount received by shareholders may be less than $10.00 per public share” and other risk factors herein.</w:t>
      </w:r>
    </w:p>
    <w:p>
      <w:pPr>
        <w:spacing w:after="0" w:line="2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and the sale of the private placement units not being held in the trust account are insufficient to allow us to operate for the 24 months following the closing of this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the net proceeds of this offering and the sale of the private placement units, only $1,000,000 will be available to us initially outside the trust account to fund our working capital requirements. We believe that, upon the closing of this offering, the funds available to us outside of the trust account, together with funds available from loans from our sponsor, members of our management team or any of their affiliates will be sufficient to allow us to operate for at least the 24 months following the closing of this offering; however, our estimate may not be accurate, and our sponsor, members of our management team or any of their affiliates are under no obligation to advance funds to us in such circumstances. Of the funds available to us, we expect to use a portion of the funds available to us to pay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219" w:lineRule="exact"/>
        <w:rPr>
          <w:sz w:val="20"/>
          <w:szCs w:val="20"/>
          <w:color w:val="auto"/>
        </w:rPr>
      </w:pPr>
      <w:r>
        <w:rPr>
          <w:rFonts w:ascii="Arial" w:cs="Arial" w:eastAsia="Arial" w:hAnsi="Arial"/>
          <w:sz w:val="18"/>
          <w:szCs w:val="18"/>
          <w:color w:val="auto"/>
        </w:rPr>
        <w:t>fees to consultants to assist us with our search for a target business. We could also use a portion of the funds as a down payment or to fund a “no</w:t>
      </w:r>
      <w:r>
        <w:rPr>
          <w:rFonts w:ascii="MS PGothic" w:cs="MS PGothic" w:eastAsia="MS PGothic" w:hAnsi="MS PGothic"/>
          <w:sz w:val="18"/>
          <w:szCs w:val="18"/>
          <w:color w:val="auto"/>
        </w:rPr>
        <w:t>‑</w:t>
      </w:r>
      <w:r>
        <w:rPr>
          <w:rFonts w:ascii="Arial" w:cs="Arial" w:eastAsia="Arial" w:hAnsi="Arial"/>
          <w:sz w:val="18"/>
          <w:szCs w:val="18"/>
          <w:color w:val="auto"/>
        </w:rPr>
        <w:t>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23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the event that our offering expenses exceed our estimate of $1,000,000, we may fund such excess with funds not to be held in the trust account. In such case, unless funded by the proceeds of loans available from our sponsor, members of our management team or any of their affiliates,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members of our management team or any of their affiliates or other third parties to operate or may be forced to liquidate. Neither our sponsor, members of our management team nor any of their affiliates is under any obligation to advance funds to us in such circumstances. Any such advances may be repaid only from funds held outside the trust account or from funds released to us upon completion of our initial business combination. Up to $1,500,000 of such loans may be convertible into warrants of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 If we do not complete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and our warrants will expire worthless. See “—If third parties bring claims against us, the proceeds held in the trust account could be reduced and the per</w:t>
      </w:r>
      <w:r>
        <w:rPr>
          <w:rFonts w:ascii="MS PGothic" w:cs="MS PGothic" w:eastAsia="MS PGothic" w:hAnsi="MS PGothic"/>
          <w:sz w:val="16"/>
          <w:szCs w:val="16"/>
          <w:color w:val="auto"/>
        </w:rPr>
        <w:t>‑</w:t>
      </w:r>
      <w:r>
        <w:rPr>
          <w:rFonts w:ascii="Arial" w:cs="Arial" w:eastAsia="Arial" w:hAnsi="Arial"/>
          <w:sz w:val="16"/>
          <w:szCs w:val="16"/>
          <w:color w:val="auto"/>
        </w:rPr>
        <w:t>share redemption amount received by shareholders may be less than $10.00 per public share” and other risk factors herein.</w:t>
      </w:r>
    </w:p>
    <w:p>
      <w:pPr>
        <w:spacing w:after="0" w:line="24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b w:val="1"/>
          <w:bCs w:val="1"/>
          <w:i w:val="1"/>
          <w:iCs w:val="1"/>
          <w:color w:val="auto"/>
        </w:rPr>
        <w:t>Subsequent to our completion of our initial business combination, we may be required to take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downs or write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231"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Even if we conduct due diligence on a target business with which we combine, this diligence may not surface all material issues with a particular target business. In addition, factors outside of the target business and outside of our control may later arise. As a result of these factors, we may be forced to later write</w:t>
      </w:r>
      <w:r>
        <w:rPr>
          <w:rFonts w:ascii="MS PGothic" w:cs="MS PGothic" w:eastAsia="MS PGothic" w:hAnsi="MS PGothic"/>
          <w:sz w:val="17"/>
          <w:szCs w:val="17"/>
          <w:color w:val="auto"/>
        </w:rPr>
        <w:t>‑</w:t>
      </w:r>
      <w:r>
        <w:rPr>
          <w:rFonts w:ascii="Arial" w:cs="Arial" w:eastAsia="Arial" w:hAnsi="Arial"/>
          <w:sz w:val="17"/>
          <w:szCs w:val="17"/>
          <w:color w:val="auto"/>
        </w:rPr>
        <w:t>down or write</w:t>
      </w:r>
      <w:r>
        <w:rPr>
          <w:rFonts w:ascii="MS PGothic" w:cs="MS PGothic" w:eastAsia="MS PGothic" w:hAnsi="MS PGothic"/>
          <w:sz w:val="17"/>
          <w:szCs w:val="17"/>
          <w:color w:val="auto"/>
        </w:rPr>
        <w:t>‑</w:t>
      </w:r>
      <w:r>
        <w:rPr>
          <w:rFonts w:ascii="Arial" w:cs="Arial" w:eastAsia="Arial" w:hAnsi="Arial"/>
          <w:sz w:val="17"/>
          <w:szCs w:val="17"/>
          <w:color w:val="auto"/>
        </w:rPr>
        <w:t>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w:t>
      </w:r>
      <w:r>
        <w:rPr>
          <w:rFonts w:ascii="MS PGothic" w:cs="MS PGothic" w:eastAsia="MS PGothic" w:hAnsi="MS PGothic"/>
          <w:sz w:val="17"/>
          <w:szCs w:val="17"/>
          <w:color w:val="auto"/>
        </w:rPr>
        <w:t>‑</w:t>
      </w:r>
      <w:r>
        <w:rPr>
          <w:rFonts w:ascii="Arial" w:cs="Arial" w:eastAsia="Arial" w:hAnsi="Arial"/>
          <w:sz w:val="17"/>
          <w:szCs w:val="17"/>
          <w:color w:val="auto"/>
        </w:rPr>
        <w:t>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w:t>
      </w:r>
      <w:r>
        <w:rPr>
          <w:rFonts w:ascii="MS PGothic" w:cs="MS PGothic" w:eastAsia="MS PGothic" w:hAnsi="MS PGothic"/>
          <w:sz w:val="17"/>
          <w:szCs w:val="17"/>
          <w:color w:val="auto"/>
        </w:rPr>
        <w:t>‑</w:t>
      </w:r>
      <w:r>
        <w:rPr>
          <w:rFonts w:ascii="Arial" w:cs="Arial" w:eastAsia="Arial" w:hAnsi="Arial"/>
          <w:sz w:val="17"/>
          <w:szCs w:val="17"/>
          <w:color w:val="auto"/>
        </w:rPr>
        <w:t>existing debt held by a target business or by virtue of our obtaining post</w:t>
      </w:r>
      <w:r>
        <w:rPr>
          <w:rFonts w:ascii="MS PGothic" w:cs="MS PGothic" w:eastAsia="MS PGothic" w:hAnsi="MS PGothic"/>
          <w:sz w:val="17"/>
          <w:szCs w:val="17"/>
          <w:color w:val="auto"/>
        </w:rPr>
        <w:t>‑</w:t>
      </w:r>
      <w:r>
        <w:rPr>
          <w:rFonts w:ascii="Arial" w:cs="Arial" w:eastAsia="Arial" w:hAnsi="Arial"/>
          <w:sz w:val="17"/>
          <w:szCs w:val="17"/>
          <w:color w:val="auto"/>
        </w:rPr>
        <w: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60"/>
        <w:spacing w:after="0" w:line="223" w:lineRule="exact"/>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share redemption amount received by shareholders may be less than $10.00 per public share.</w:t>
      </w:r>
    </w:p>
    <w:p>
      <w:pPr>
        <w:spacing w:after="0" w:line="23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placing of funds in the trust account may not protect those funds from third 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93"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10 years following redemption. Accordingly, the per</w:t>
      </w:r>
      <w:r>
        <w:rPr>
          <w:rFonts w:ascii="MS PGothic" w:cs="MS PGothic" w:eastAsia="MS PGothic" w:hAnsi="MS PGothic"/>
          <w:sz w:val="17"/>
          <w:szCs w:val="17"/>
          <w:color w:val="auto"/>
        </w:rPr>
        <w:t>‑</w:t>
      </w:r>
      <w:r>
        <w:rPr>
          <w:rFonts w:ascii="Arial" w:cs="Arial" w:eastAsia="Arial" w:hAnsi="Arial"/>
          <w:sz w:val="17"/>
          <w:szCs w:val="17"/>
          <w:color w:val="auto"/>
        </w:rPr>
        <w:t xml:space="preserve">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(excluding our independent registered public accounting firm)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219" w:lineRule="exact"/>
        <w:rPr>
          <w:sz w:val="20"/>
          <w:szCs w:val="20"/>
          <w:color w:val="auto"/>
        </w:rPr>
      </w:pPr>
    </w:p>
    <w:p>
      <w:pPr>
        <w:ind w:right="120"/>
        <w:spacing w:after="0" w:line="221" w:lineRule="exact"/>
        <w:rPr>
          <w:sz w:val="20"/>
          <w:szCs w:val="20"/>
          <w:color w:val="auto"/>
        </w:rPr>
      </w:pPr>
      <w:r>
        <w:rPr>
          <w:rFonts w:ascii="Arial" w:cs="Arial" w:eastAsia="Arial" w:hAnsi="Arial"/>
          <w:sz w:val="16"/>
          <w:szCs w:val="16"/>
          <w:b w:val="1"/>
          <w:bCs w:val="1"/>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share amount that would otherwise be received by our shareholders in connection with our liquidation may be reduced.</w:t>
      </w:r>
    </w:p>
    <w:p>
      <w:pPr>
        <w:spacing w:after="0" w:line="231" w:lineRule="exact"/>
        <w:rPr>
          <w:sz w:val="20"/>
          <w:szCs w:val="20"/>
          <w:color w:val="auto"/>
        </w:rPr>
      </w:pPr>
    </w:p>
    <w:p>
      <w:pPr>
        <w:ind w:right="220"/>
        <w:spacing w:after="0" w:line="220" w:lineRule="exact"/>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w:t>
      </w:r>
      <w:r>
        <w:rPr>
          <w:rFonts w:ascii="MS PGothic" w:cs="MS PGothic" w:eastAsia="MS PGothic" w:hAnsi="MS PGothic"/>
          <w:sz w:val="16"/>
          <w:szCs w:val="16"/>
          <w:color w:val="auto"/>
        </w:rPr>
        <w:t>‑</w:t>
      </w:r>
      <w:r>
        <w:rPr>
          <w:rFonts w:ascii="Arial" w:cs="Arial" w:eastAsia="Arial" w:hAnsi="Arial"/>
          <w:sz w:val="16"/>
          <w:szCs w:val="16"/>
          <w:color w:val="auto"/>
        </w:rPr>
        <w:t>share amount that would otherwise be received by our shareholders in connection with our liquidation may be reduced.</w:t>
      </w:r>
    </w:p>
    <w:p>
      <w:pPr>
        <w:spacing w:after="0" w:line="230" w:lineRule="exact"/>
        <w:rPr>
          <w:sz w:val="20"/>
          <w:szCs w:val="20"/>
          <w:color w:val="auto"/>
        </w:rPr>
      </w:pPr>
    </w:p>
    <w:p>
      <w:pPr>
        <w:ind w:right="860"/>
        <w:spacing w:after="0" w:line="381" w:lineRule="auto"/>
        <w:rPr>
          <w:sz w:val="20"/>
          <w:szCs w:val="20"/>
          <w:color w:val="auto"/>
        </w:rPr>
      </w:pPr>
      <w:r>
        <w:rPr>
          <w:rFonts w:ascii="Arial" w:cs="Arial" w:eastAsia="Arial" w:hAnsi="Arial"/>
          <w:sz w:val="15"/>
          <w:szCs w:val="15"/>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52" w:lineRule="exact"/>
        <w:rPr>
          <w:rFonts w:ascii="Arial" w:cs="Arial" w:eastAsia="Arial" w:hAnsi="Arial"/>
          <w:sz w:val="18"/>
          <w:szCs w:val="18"/>
          <w:color w:val="auto"/>
        </w:rPr>
      </w:pPr>
    </w:p>
    <w:p>
      <w:pPr>
        <w:ind w:right="980" w:firstLine="656"/>
        <w:spacing w:after="0" w:line="532" w:lineRule="auto"/>
        <w:tabs>
          <w:tab w:leader="none" w:pos="9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6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business or assets for the long term. We do not plan to buy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businesses or assets with a view to resale or profit from their resale. We do not plan to buy unrelated businesses or assets or to be a passive investor.</w:t>
      </w:r>
    </w:p>
    <w:p>
      <w:pPr>
        <w:spacing w:after="0" w:line="27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w:t>
      </w:r>
      <w:r>
        <w:rPr>
          <w:rFonts w:ascii="MS PGothic" w:cs="MS PGothic" w:eastAsia="MS PGothic" w:hAnsi="MS PGothic"/>
          <w:sz w:val="17"/>
          <w:szCs w:val="17"/>
          <w:color w:val="auto"/>
        </w:rPr>
        <w:t>‑</w:t>
      </w:r>
      <w:r>
        <w:rPr>
          <w:rFonts w:ascii="Arial" w:cs="Arial" w:eastAsia="Arial" w:hAnsi="Arial"/>
          <w:sz w:val="17"/>
          <w:szCs w:val="17"/>
          <w:color w:val="auto"/>
        </w:rPr>
        <w:t>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the redemption of our public shares if we have not consummated an initial business within 24 months from the closing of this offering, subject to applicable law and as further described herein.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9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within 24 months from the closing of this offering, our public shareholders may be forced to wait beyond such 24 months before redemption from our trust account.</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do not consummate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Claims may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hold an annual meeting of shareholders until after the consummation of our initial business combination.</w:t>
      </w:r>
    </w:p>
    <w:p>
      <w:pPr>
        <w:spacing w:after="0" w:line="252" w:lineRule="exact"/>
        <w:rPr>
          <w:sz w:val="20"/>
          <w:szCs w:val="20"/>
          <w:color w:val="auto"/>
        </w:rPr>
      </w:pPr>
    </w:p>
    <w:p>
      <w:pPr>
        <w:ind w:right="160"/>
        <w:spacing w:after="0" w:line="219" w:lineRule="exact"/>
        <w:rPr>
          <w:sz w:val="20"/>
          <w:szCs w:val="20"/>
          <w:color w:val="auto"/>
        </w:rPr>
      </w:pPr>
      <w:r>
        <w:rPr>
          <w:rFonts w:ascii="Arial" w:cs="Arial" w:eastAsia="Arial" w:hAnsi="Arial"/>
          <w:sz w:val="16"/>
          <w:szCs w:val="16"/>
          <w:color w:val="auto"/>
        </w:rPr>
        <w:t>In accordance with Nasdaq corporate governance requirements, we are not required to hold an annual meeting until no later than one year after our first fiscal year end following our listing on Nasdaq. As an exempted company, there is no requirement under the Companies Law for us to hold annual or shareholder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w:t>
      </w:r>
      <w:r>
        <w:rPr>
          <w:rFonts w:ascii="MS PGothic" w:cs="MS PGothic" w:eastAsia="MS PGothic" w:hAnsi="MS PGothic"/>
          <w:sz w:val="16"/>
          <w:szCs w:val="16"/>
          <w:color w:val="auto"/>
        </w:rPr>
        <w:t>‑</w:t>
      </w:r>
      <w:r>
        <w:rPr>
          <w:rFonts w:ascii="Arial" w:cs="Arial" w:eastAsia="Arial" w:hAnsi="Arial"/>
          <w:sz w:val="16"/>
          <w:szCs w:val="16"/>
          <w:color w:val="auto"/>
        </w:rPr>
        <w:t>year term.</w:t>
      </w:r>
    </w:p>
    <w:p>
      <w:pPr>
        <w:spacing w:after="0" w:line="2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Holders of Class A ordinary shares will not be entitled to vote on any election of directors we hold prior to the completion of our initial business combination.</w:t>
      </w:r>
    </w:p>
    <w:p>
      <w:pPr>
        <w:spacing w:after="0" w:line="19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to maintain the effectiveness of such registration statement and a current prospectus relating to the Class A ordinary shares issuable upon exercise of the warrants until the expiration or redemption of the warrants in accordance with the provisions of the warrant agreement. We may not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Notwithstanding the above,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management team) would be able to exercise their warrants and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warrantholder will hold a smaller number of Class A ordinary shares upon a cashless exercise of the warrants they hold.</w:t>
      </w:r>
    </w:p>
    <w:p>
      <w:pPr>
        <w:spacing w:after="0" w:line="2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warrants may become exercisable and redeemable for a security other than the Class A ordinary shares, and you will not have any information regarding such other security at this time.</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of which you do not have information at this time. Pursuant to the warrant agreement, the surviving company will be required to use commercially reasonable efforts to register the issuance of the security underlying the warrants within twenty business days of the closing of an initial business combination.</w:t>
      </w: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grant of registration rights to our initial shareholders may make it more difficult to complete our initial business combination, and the future exercise of such rights may adversely affect the market price of our Class A ordinary shares.</w:t>
      </w:r>
    </w:p>
    <w:p>
      <w:pPr>
        <w:spacing w:after="0" w:line="19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shareholders, and their permitted transferees can demand that we register the Class A ordinary shares into which founder shares are convertible, the private placement units, the private placement shares and the private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placement warrants and the Class A ordinary shares issuable upon exercise of the private placement warrants, and warrants that may be issued upon conversion of working capital loans and the Class A ordinary shares issuable upon conversion of such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initial shareholders or their permitted transferees are registered for resale.</w:t>
      </w:r>
    </w:p>
    <w:p>
      <w:pPr>
        <w:spacing w:after="0" w:line="16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An investment in our units may not ultimately prove to be more favorable to investors than a direct investment, if such opportunity were available, in a business combination target.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intend to seek a business combination with a target business in the healthcare industry, we expect our future operations to be subject to risks associated with this industry.</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we intend to seek a business combination with a target business in the healthcare industry, we expect our future operations to be subject to risks associated with this industry.</w:t>
      </w:r>
    </w:p>
    <w:p>
      <w:pPr>
        <w:spacing w:after="0" w:line="19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Healthcare 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sector in the United States and consequently has the ability to affect companies within the healthcare industry. The ultimate effects of federal healthcare reform or any future legislation or regulation, or healthcare initiatives, if any, on the healthcare sector, whether implemented at the federal or state level or internationally, cannot be predicted with certainty and such reform, legislation, regulation or initiatives may adversely affect the performance of a potential business combination.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Changes in governmental policies may have a material effect on the demand for or costs of certain products and services. A healthcare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spacing w:after="0" w:line="205"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Certain healthcare 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 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 related companies affect the health and well</w:t>
      </w:r>
      <w:r>
        <w:rPr>
          <w:rFonts w:ascii="MS PGothic" w:cs="MS PGothic" w:eastAsia="MS PGothic" w:hAnsi="MS PGothic"/>
          <w:sz w:val="17"/>
          <w:szCs w:val="17"/>
          <w:color w:val="auto"/>
        </w:rPr>
        <w:t>‑</w:t>
      </w:r>
      <w:r>
        <w:rPr>
          <w:rFonts w:ascii="Arial" w:cs="Arial" w:eastAsia="Arial" w:hAnsi="Arial"/>
          <w:sz w:val="17"/>
          <w:szCs w:val="17"/>
          <w:color w:val="auto"/>
        </w:rPr>
        <w:t>being of many individuals, these companies are especially susceptible to product liability lawsuits.</w:t>
      </w:r>
    </w:p>
    <w:p>
      <w:pPr>
        <w:spacing w:after="0" w:line="23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healthcare industry spends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seek acquisition opportunities in industries or sectors which may or may not be outside of our management’s area of expertise.</w:t>
      </w:r>
    </w:p>
    <w:p>
      <w:pPr>
        <w:spacing w:after="0" w:line="2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Although we have identified general criteria that we believe are important in evaluating prospective target businesses, we may enter into our initial business combination with a target that does not meet such criteria, and as a result, the target business with which we enter into our initial business combination may not have attributes entirely consistent with our general criteria.</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Although we have identified general criteria for evaluating prospective target businesses, it is possible that a target business with which we enter into our initial business combination will not have all of these positive attributes. If we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complete our initial business combination with a target that does not meet some or all of these criteria, such combination may not be as successful as a combination with a business that does meet all of our general criteria. In addition, if we announce a prospective business combination with a target that does not meet our general criteria,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rule, or we decide to obtain shareholder approval for business or other reasons, it may be more difficult for us to attain shareholder approval of our initial business combination if the target business does not meet our general criteria. If we do not complete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19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15" w:lineRule="exact"/>
        <w:rPr>
          <w:sz w:val="20"/>
          <w:szCs w:val="20"/>
          <w:color w:val="auto"/>
        </w:rPr>
      </w:pPr>
    </w:p>
    <w:p>
      <w:pPr>
        <w:ind w:right="240"/>
        <w:spacing w:after="0" w:line="220" w:lineRule="exact"/>
        <w:rPr>
          <w:sz w:val="20"/>
          <w:szCs w:val="20"/>
          <w:color w:val="auto"/>
        </w:rPr>
      </w:pPr>
      <w:r>
        <w:rPr>
          <w:rFonts w:ascii="Arial" w:cs="Arial" w:eastAsia="Arial" w:hAnsi="Arial"/>
          <w:sz w:val="15"/>
          <w:szCs w:val="15"/>
          <w:b w:val="1"/>
          <w:bCs w:val="1"/>
          <w:i w:val="1"/>
          <w:i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to</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one at the time of our initial business combination as a result of the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dilution provisions contained in our amended and restated memorandum and articles of association. Any such issuances would dilute the interest of our shareholders and likely present other risks.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memorandum and articles of association will authorize the issuance of up to 479,000,000 Class A ordinary shares,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20,000,000 Class B ordinary shares, par value $0.0001 per share, and 1,000,000 preference shares, par value $0.0001 per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Immediately after this offering, there will be 466,050,000 and 16,875,000 (assuming in each case that the underwriters have not exercised their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over</w:t>
      </w:r>
      <w:r>
        <w:rPr>
          <w:rFonts w:ascii="MS PGothic" w:cs="MS PGothic" w:eastAsia="MS PGothic" w:hAnsi="MS PGothic"/>
          <w:sz w:val="16"/>
          <w:szCs w:val="16"/>
          <w:color w:val="auto"/>
        </w:rPr>
        <w:t>‑</w:t>
      </w:r>
      <w:r>
        <w:rPr>
          <w:rFonts w:ascii="Arial" w:cs="Arial" w:eastAsia="Arial" w:hAnsi="Arial"/>
          <w:sz w:val="16"/>
          <w:szCs w:val="16"/>
          <w:color w:val="auto"/>
        </w:rPr>
        <w:t>allotment option) authorized but unissued Class A ordinary shares and Class B ordinary shares, respectively, available for issuance which amount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take into account shares reserved for issuance upon exercise of outstanding warrants or shares issuable upon conversion of the Class B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any. The Class B ordinary shares are automatically convertible into Class A ordinary shares at the time of our initial business combination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herein and in our amended and restated memorandum and articles of association. Immediately after this offering, there will be no preference shares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outstanding.</w:t>
      </w:r>
    </w:p>
    <w:p>
      <w:pPr>
        <w:spacing w:after="0" w:line="238"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to redeem the warrants as described in “Description of Securities—Warrants—Public Shareholders’ Warrants—Redemption of warrants for Class A ordinary shares when the price per Class A ordinary share equals or exceeds $10.00” or upon conversion of the Class B ordinary shares at a ratio greater than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at the time of our initial business combination as a result of the anti</w:t>
      </w:r>
      <w:r>
        <w:rPr>
          <w:rFonts w:ascii="MS PGothic" w:cs="MS PGothic" w:eastAsia="MS PGothic" w:hAnsi="MS PGothic"/>
          <w:sz w:val="17"/>
          <w:szCs w:val="17"/>
          <w:color w:val="auto"/>
        </w:rPr>
        <w:t>‑</w:t>
      </w:r>
      <w:r>
        <w:rPr>
          <w:rFonts w:ascii="Arial" w:cs="Arial" w:eastAsia="Arial" w:hAnsi="Arial"/>
          <w:sz w:val="17"/>
          <w:szCs w:val="17"/>
          <w:color w:val="auto"/>
        </w:rPr>
        <w:t>dilution provisions as set forth herein. However, our amended and restated memorandum and articles of association will provide, among other things, that prior to the completion of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80" w:hanging="324"/>
        <w:spacing w:after="0" w:line="220" w:lineRule="exact"/>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w:t>
      </w:r>
      <w:r>
        <w:rPr>
          <w:rFonts w:ascii="MS PGothic" w:cs="MS PGothic" w:eastAsia="MS PGothic" w:hAnsi="MS PGothic"/>
          <w:sz w:val="18"/>
          <w:szCs w:val="18"/>
          <w:color w:val="auto"/>
        </w:rPr>
        <w:t>‑</w:t>
      </w:r>
      <w:r>
        <w:rPr>
          <w:rFonts w:ascii="Arial" w:cs="Arial" w:eastAsia="Arial" w:hAnsi="Arial"/>
          <w:sz w:val="18"/>
          <w:szCs w:val="18"/>
          <w:color w:val="auto"/>
        </w:rPr>
        <w:t>dilution provisions in the Class B ordinary shares resulted in the issuance of Class A ordinary shares on a greater than one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one basis upon conversion of the Class B ordinary shares;</w:t>
      </w:r>
    </w:p>
    <w:p>
      <w:pPr>
        <w:spacing w:after="0" w:line="231"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97" w:lineRule="exact"/>
        <w:rPr>
          <w:rFonts w:ascii="Arial" w:cs="Arial" w:eastAsia="Arial" w:hAnsi="Arial"/>
          <w:sz w:val="18"/>
          <w:szCs w:val="18"/>
          <w:color w:val="auto"/>
        </w:rPr>
      </w:pPr>
    </w:p>
    <w:p>
      <w:pPr>
        <w:jc w:val="both"/>
        <w:ind w:left="980" w:right="10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50"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initial shareholders may receive additional Class A ordinary shares if we issue shares to consummate an initial business combination.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consummation of our initial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combination at a ratio such that the number of Class A ordinary shares issuable upon conversion of all founder shares will equal, in the aggregate, on an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w:t>
      </w:r>
      <w:r>
        <w:rPr>
          <w:rFonts w:ascii="MS PGothic" w:cs="MS PGothic" w:eastAsia="MS PGothic" w:hAnsi="MS PGothic"/>
          <w:sz w:val="16"/>
          <w:szCs w:val="16"/>
          <w:color w:val="auto"/>
        </w:rPr>
        <w:t>‑</w:t>
      </w:r>
      <w:r>
        <w:rPr>
          <w:rFonts w:ascii="Arial" w:cs="Arial" w:eastAsia="Arial" w:hAnsi="Arial"/>
          <w:sz w:val="16"/>
          <w:szCs w:val="16"/>
          <w:color w:val="auto"/>
        </w:rPr>
        <w:t>converted basis, 20% of the sum of (i) the total number of ordinary shares issued and outstanding (excluding the private placement shares underlying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private placement units) upon completion of this offering, plus (ii) the sum of the total number of Class A ordinary shares issued or deemed issued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issuable upon conversion or exercise of any equity</w:t>
      </w:r>
      <w:r>
        <w:rPr>
          <w:rFonts w:ascii="MS PGothic" w:cs="MS PGothic" w:eastAsia="MS PGothic" w:hAnsi="MS PGothic"/>
          <w:sz w:val="16"/>
          <w:szCs w:val="16"/>
          <w:color w:val="auto"/>
        </w:rPr>
        <w:t>‑</w:t>
      </w:r>
      <w:r>
        <w:rPr>
          <w:rFonts w:ascii="Arial" w:cs="Arial" w:eastAsia="Arial" w:hAnsi="Arial"/>
          <w:sz w:val="16"/>
          <w:szCs w:val="16"/>
          <w:color w:val="auto"/>
        </w:rPr>
        <w:t>linked securities or rights issued or deemed issued, by the Company in connection with or in relation to</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consummation of the initial business combination, excluding any Class A ordinary shares or equity</w:t>
      </w:r>
      <w:r>
        <w:rPr>
          <w:rFonts w:ascii="MS PGothic" w:cs="MS PGothic" w:eastAsia="MS PGothic" w:hAnsi="MS PGothic"/>
          <w:sz w:val="16"/>
          <w:szCs w:val="16"/>
          <w:color w:val="auto"/>
        </w:rPr>
        <w:t>‑</w:t>
      </w:r>
      <w:r>
        <w:rPr>
          <w:rFonts w:ascii="Arial" w:cs="Arial" w:eastAsia="Arial" w:hAnsi="Arial"/>
          <w:sz w:val="16"/>
          <w:szCs w:val="16"/>
          <w:color w:val="auto"/>
        </w:rPr>
        <w:t>linked securities exercisable for or convertible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ordinary shares issued, deemed issued, or to be issued, to any seller in the initial business combination and any private placement warrants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sponsor, members of our management team or any of their affiliates upon conversion of working capital loans. In no event will the Class B ordinary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convert into Class A ordinary shares at a rate of less than one to one.</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1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 and our warrants will expire worthless.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 passive foreign investment company, or “PFIC,” which could result in adverse U.S. federal income tax consequences to U.S. investors.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we are a PFIC for any taxable year (or portion thereof) that is included in the holding period of a U.S. Holder (as defined in the section of this prospectus captioned “Taxation — United States Federal Income Tax Considerations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w:t>
      </w:r>
      <w:r>
        <w:rPr>
          <w:rFonts w:ascii="MS PGothic" w:cs="MS PGothic" w:eastAsia="MS PGothic" w:hAnsi="MS PGothic"/>
          <w:sz w:val="16"/>
          <w:szCs w:val="16"/>
          <w:color w:val="auto"/>
        </w:rPr>
        <w:t>‑</w:t>
      </w:r>
      <w:r>
        <w:rPr>
          <w:rFonts w:ascii="Arial" w:cs="Arial" w:eastAsia="Arial" w:hAnsi="Arial"/>
          <w:sz w:val="16"/>
          <w:szCs w:val="16"/>
          <w:color w:val="auto"/>
        </w:rPr>
        <w:t>up exception (see the section of this prospectus captioned “Taxation — United States Federal Income Tax Considerations — U.S. Holders — Passive Foreign Investment Company Rules”). Depending on the particular circumstances, the application of the start</w:t>
      </w:r>
      <w:r>
        <w:rPr>
          <w:rFonts w:ascii="MS PGothic" w:cs="MS PGothic" w:eastAsia="MS PGothic" w:hAnsi="MS PGothic"/>
          <w:sz w:val="16"/>
          <w:szCs w:val="16"/>
          <w:color w:val="auto"/>
        </w:rPr>
        <w:t>‑</w:t>
      </w:r>
      <w:r>
        <w:rPr>
          <w:rFonts w:ascii="Arial" w:cs="Arial" w:eastAsia="Arial" w:hAnsi="Arial"/>
          <w:sz w:val="16"/>
          <w:szCs w:val="16"/>
          <w:color w:val="auto"/>
        </w:rPr>
        <w:t>up exception may be subject to uncertainty, and there cannot be any assurance that we will qualify for the start</w:t>
      </w:r>
      <w:r>
        <w:rPr>
          <w:rFonts w:ascii="MS PGothic" w:cs="MS PGothic" w:eastAsia="MS PGothic" w:hAnsi="MS PGothic"/>
          <w:sz w:val="16"/>
          <w:szCs w:val="16"/>
          <w:color w:val="auto"/>
        </w:rPr>
        <w:t>‑</w:t>
      </w:r>
      <w:r>
        <w:rPr>
          <w:rFonts w:ascii="Arial" w:cs="Arial" w:eastAsia="Arial" w:hAnsi="Arial"/>
          <w:sz w:val="16"/>
          <w:szCs w:val="16"/>
          <w:color w:val="auto"/>
        </w:rPr>
        <w: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23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warrantholder to recognize taxable income in the jurisdiction in which the shareholder or warrantholder is a tax resident or in which its members are resident if it is a tax transparent entity. We do not intend to make any cash distributions to shareholders or warrantholders to pay such taxes. Shareholders or warrantholders may be subject to withholding taxes or other taxes with respect to their ownership of us after the reincorporation.</w:t>
      </w:r>
    </w:p>
    <w:p>
      <w:pPr>
        <w:spacing w:after="0" w:line="20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 For a more detailed discussion, see the section of this prospectus captioned “Description of Securities — Certain Differences in Corporate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executive officers and directors and their loss could adversely affect our ability to operate.</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and/or director of ARYA Sciences Acquisition Corp. and ARYA Sciences Acquisition Corp II, which are blank check companies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sponsored by affiliates of Perceptive Advisors. ARYA Sciences Acquisition Corp. has entered into a business combination agreement to acquire Immatics. Upon completion of the transaction, Adam Stone is expected to serve on the supervisory board of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company. It is currently expected that the business combination will be consummated in the second or third quarter of 2020. We do not have an employment agreement with, or key</w:t>
      </w:r>
      <w:r>
        <w:rPr>
          <w:rFonts w:ascii="MS PGothic" w:cs="MS PGothic" w:eastAsia="MS PGothic" w:hAnsi="MS PGothic"/>
          <w:sz w:val="18"/>
          <w:szCs w:val="18"/>
          <w:color w:val="auto"/>
        </w:rPr>
        <w:t>‑</w:t>
      </w:r>
      <w:r>
        <w:rPr>
          <w:rFonts w:ascii="Arial" w:cs="Arial" w:eastAsia="Arial" w:hAnsi="Arial"/>
          <w:sz w:val="18"/>
          <w:szCs w:val="18"/>
          <w:color w:val="auto"/>
        </w:rPr>
        <w:t>man insurance on the life of, any of our directors or executive officers. The unexpected loss of the services of one or more of our directors or executive officers could have a detrimental effect on us.</w:t>
      </w:r>
    </w:p>
    <w:p>
      <w:pPr>
        <w:spacing w:after="0" w:line="232"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combination business.</w:t>
      </w:r>
    </w:p>
    <w:p>
      <w:pPr>
        <w:spacing w:after="0" w:line="23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0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Securities—Registration and Shareholder Rights.”</w:t>
      </w:r>
    </w:p>
    <w:p>
      <w:pPr>
        <w:spacing w:after="0" w:line="20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may be limited due to a lack of time, resources or information. Our assessment of the capabilities of the target business’s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therefore, may prove to be incorrect and such management may lack the skills, qualifications or abilities we suspected. Should the target business’s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not possess the skills, qualifications or abilities necessary to manage a public company, the operations and profitability of the</w:t>
      </w:r>
    </w:p>
    <w:p>
      <w:pPr>
        <w:spacing w:after="0" w:line="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combination business may be negatively impacted. Accordingly, any holders who choose to retain their securities following our initial business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combination could suffer a reduction in the value of their securities. Such holders are unlikely to have a remedy for such reduction in value.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740"/>
        <w:spacing w:after="0" w:line="224" w:lineRule="exact"/>
        <w:rPr>
          <w:sz w:val="20"/>
          <w:szCs w:val="20"/>
          <w:color w:val="auto"/>
        </w:rPr>
      </w:pPr>
      <w:r>
        <w:rPr>
          <w:rFonts w:ascii="Arial" w:cs="Arial" w:eastAsia="Arial" w:hAnsi="Arial"/>
          <w:sz w:val="16"/>
          <w:szCs w:val="16"/>
          <w:b w:val="1"/>
          <w:bCs w:val="1"/>
          <w:i w:val="1"/>
          <w:iCs w:val="1"/>
          <w:color w:val="auto"/>
        </w:rPr>
        <w:t>The officers and directors of an acquisition candidate may resign upon completion of our initial business combination. The loss of a business combination target’s key personnel could negatively impact the operations and profitability of our post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combination business.</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6" w:lineRule="exact"/>
        <w:rPr>
          <w:sz w:val="20"/>
          <w:szCs w:val="20"/>
          <w:color w:val="auto"/>
        </w:rPr>
      </w:pPr>
    </w:p>
    <w:p>
      <w:pPr>
        <w:jc w:val="both"/>
        <w:ind w:right="280"/>
        <w:spacing w:after="0" w:line="381" w:lineRule="auto"/>
        <w:rPr>
          <w:sz w:val="20"/>
          <w:szCs w:val="20"/>
          <w:color w:val="auto"/>
        </w:rPr>
      </w:pPr>
      <w:r>
        <w:rPr>
          <w:rFonts w:ascii="Arial" w:cs="Arial" w:eastAsia="Arial" w:hAnsi="Arial"/>
          <w:sz w:val="15"/>
          <w:szCs w:val="15"/>
          <w:b w:val="1"/>
          <w:bCs w:val="1"/>
          <w:i w:val="1"/>
          <w:i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w:t>
      </w:r>
      <w:r>
        <w:rPr>
          <w:rFonts w:ascii="MS PGothic" w:cs="MS PGothic" w:eastAsia="MS PGothic" w:hAnsi="MS PGothic"/>
          <w:sz w:val="16"/>
          <w:szCs w:val="16"/>
          <w:color w:val="auto"/>
        </w:rPr>
        <w:t>‑</w:t>
      </w:r>
      <w:r>
        <w:rPr>
          <w:rFonts w:ascii="Arial" w:cs="Arial" w:eastAsia="Arial" w:hAnsi="Arial"/>
          <w:sz w:val="16"/>
          <w:szCs w:val="16"/>
          <w:color w:val="auto"/>
        </w:rPr>
        <w:t>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particular, certain of our officers and directors serve as an officer and/or director of ARYA Sciences Acquisition Corp. and ARYA Sciences Acquisition Corp II, which are blank check companies sponsored by affiliates of Perceptive Advisors. ARYA Sciences Acquisition Corp. has entered into a business combination agreement to acquire Immatics. Upon completion of the transaction, Adam Stone is expected to serve on the supervisory board of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It is currently expected that the business combination will be consummated in the second or third quarter of 2020.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23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ARYA Sciences Acquisition Corp II,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9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our founders and our directors and officers, Perceptive Advisors, or its affiliates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including ARYA Sciences Acquisition Corp II,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9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executive officers, directors, security holders and their respective affiliates may have competitive pecuniary interests that conflict with our interests.</w:t>
      </w:r>
    </w:p>
    <w:p>
      <w:pPr>
        <w:spacing w:after="0" w:line="2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22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may engage in a business combination with one or more target businesses that have relationships with entities that may be affiliated with our sponsor, executive officers, directors or initial shareholders which may raise potential conflicts of interest.</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including, without limitation, those described under “Management — Conflicts of Interest.” Our sponsor and our officers and directors may sponsor or form other special purpose acquisition companies similar to ours or may pursue other business or investment ventures during the period in which we are seeking an initial business combination.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valuation or accounting firm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April 2, 2020 we issued to our sponsor 3,593,750 founder shares in exchange for a capital contribution of $25,000, or approximately $0.007 per share.</w:t>
      </w:r>
    </w:p>
    <w:p>
      <w:pPr>
        <w:spacing w:after="0" w:line="46" w:lineRule="exact"/>
        <w:rPr>
          <w:sz w:val="20"/>
          <w:szCs w:val="20"/>
          <w:color w:val="auto"/>
        </w:rPr>
      </w:pPr>
    </w:p>
    <w:p>
      <w:pPr>
        <w:ind w:right="40"/>
        <w:spacing w:after="0" w:line="216" w:lineRule="exact"/>
        <w:rPr>
          <w:sz w:val="20"/>
          <w:szCs w:val="20"/>
          <w:color w:val="auto"/>
        </w:rPr>
      </w:pPr>
      <w:r>
        <w:rPr>
          <w:rFonts w:ascii="Arial" w:cs="Arial" w:eastAsia="Arial" w:hAnsi="Arial"/>
          <w:sz w:val="18"/>
          <w:szCs w:val="18"/>
          <w:color w:val="auto"/>
        </w:rPr>
        <w:t>In April , 2020, our sponsor transferred 30,000 founder shares to each of Messrs. , and . Such shares will not be subject to forfeiture in the event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has committed, pursuant to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a written agreement, to purchase 450,000 private placement units (or 487,500 private placement units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at a price of $10.00 per unit ($4,500,000 in the aggregate or $4,875,000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in a private placement that will close simultaneously with the closing of this offering. If we do not consummate an initial business within 24 months from the closing of this offering, the private placement units (and the underlying securities)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w:t>
      </w:r>
      <w:r>
        <w:rPr>
          <w:rFonts w:ascii="MS PGothic" w:cs="MS PGothic" w:eastAsia="MS PGothic" w:hAnsi="MS PGothic"/>
          <w:sz w:val="16"/>
          <w:szCs w:val="16"/>
          <w:color w:val="auto"/>
        </w:rPr>
        <w:t>‑</w:t>
      </w:r>
      <w:r>
        <w:rPr>
          <w:rFonts w:ascii="Arial" w:cs="Arial" w:eastAsia="Arial" w:hAnsi="Arial"/>
          <w:sz w:val="16"/>
          <w:szCs w:val="16"/>
          <w:color w:val="auto"/>
        </w:rPr>
        <w:t>month anniversary of the closing of this offering nears, which is the deadline for our consummation of an initial business combination.</w:t>
      </w:r>
    </w:p>
    <w:p>
      <w:pPr>
        <w:spacing w:after="0" w:line="2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issue notes or other debt, or otherwise incur substantial debt, to complete a business combination, which may adversely affect our leverage and financial condition and thus negatively impact the value of our shareholders’ investment in us.</w:t>
      </w:r>
    </w:p>
    <w:p>
      <w:pPr>
        <w:spacing w:after="0" w:line="19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or to otherwise incur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215" w:lineRule="exact"/>
        <w:rPr>
          <w:sz w:val="20"/>
          <w:szCs w:val="20"/>
          <w:color w:val="auto"/>
        </w:rPr>
      </w:pPr>
    </w:p>
    <w:p>
      <w:pPr>
        <w:ind w:left="980" w:right="7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97"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980" w:right="10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placement units, which will cause us to be solely dependent on a single business which may have a limited number of products or services. This lack of diversification may negatively impact our operations and profitability.</w:t>
      </w:r>
    </w:p>
    <w:p>
      <w:pPr>
        <w:spacing w:after="0" w:line="211" w:lineRule="exact"/>
        <w:rPr>
          <w:sz w:val="20"/>
          <w:szCs w:val="20"/>
          <w:color w:val="auto"/>
        </w:rPr>
      </w:pPr>
    </w:p>
    <w:p>
      <w:pPr>
        <w:ind w:right="920"/>
        <w:spacing w:after="0" w:line="223" w:lineRule="exact"/>
        <w:rPr>
          <w:sz w:val="20"/>
          <w:szCs w:val="20"/>
          <w:color w:val="auto"/>
        </w:rPr>
      </w:pPr>
      <w:r>
        <w:rPr>
          <w:rFonts w:ascii="Arial" w:cs="Arial" w:eastAsia="Arial" w:hAnsi="Arial"/>
          <w:sz w:val="18"/>
          <w:szCs w:val="18"/>
          <w:color w:val="auto"/>
        </w:rPr>
        <w:t>The net proceeds from this offering and the sale of the private placement units will provide us with up to $121,625,000 (or $139,718,750 if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that we may use to</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color w:val="auto"/>
        </w:rPr>
        <w:t>complete our initial business combination (after taking into account the $4,375,000, or $5,031,250 if the 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in full, of deferred underwriting commissions being held in the trust account and the estimated expenses of this offering).</w:t>
      </w: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219"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97"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151"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may structure our initial business combination so that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company in which our public shareholders own shares will own less than 100% of the equity interests or assets of a target business, but we will only complete such business combination if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company owns 50% or more of the voting securities of the target, our shareholders prior to the completion of our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initial business combination may collectively own a minority interest in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2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seek business combination opportunities with a high degree of complexity that require significant operational improvements, which could delay or prevent us from achieving our desired results.</w:t>
      </w:r>
    </w:p>
    <w:p>
      <w:pPr>
        <w:spacing w:after="0" w:line="19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21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may seek to amend our amended and restated memorandum and articles of association or governing instruments in a manner that will make it easier for us to complete our initial business combination that our shareholders may not support.</w:t>
      </w:r>
    </w:p>
    <w:p>
      <w:pPr>
        <w:spacing w:after="0" w:line="21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 business combination and, with respect to their warrants, amended their warrant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agreements to require the warrants to be exchanged for cash and/or other securities. Amending our amended and restated memorandum and articles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association will require at least a special resolution of our shareholders as a matter of Cayman Islands law, meaning the approval of holders of at least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two</w:t>
      </w:r>
      <w:r>
        <w:rPr>
          <w:rFonts w:ascii="MS PGothic" w:cs="MS PGothic" w:eastAsia="MS PGothic" w:hAnsi="MS PGothic"/>
          <w:sz w:val="16"/>
          <w:szCs w:val="16"/>
          <w:color w:val="auto"/>
        </w:rPr>
        <w:t>‑</w:t>
      </w:r>
      <w:r>
        <w:rPr>
          <w:rFonts w:ascii="Arial" w:cs="Arial" w:eastAsia="Arial" w:hAnsi="Arial"/>
          <w:sz w:val="16"/>
          <w:szCs w:val="16"/>
          <w:color w:val="auto"/>
        </w:rPr>
        <w:t>thirds of our ordinary shares who attend and vote at a shareholder meeting of the company, and amending our warrant agreement will require a vote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of at least 50% of the public warrants and, solely with respect to any amendment to the terms of the private placement warrants or any provision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 agreement with respect to the private placement warrants, 50% of the number of the then outstanding private placement warrants.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memorandum and articles of association will require us to provide our public shareholders with the opportunity to redeem their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 shares for cash if we propose an amendment to our amended and restated memorandum and articles of association (A) that would modify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substance or timing of our obligation to provide holders of our Class A ordinary shares the right to have their shares redeemed in connection with our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or to redeem 100% of our public shares if we do not complete our initial business combination within 24 months from the closing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offering or (B) with respect to any other provision relating to the rights of holders of our Class A ordinary shares. To the extent any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amendments would be deemed to fundamentally change the nature of any of the securities offered through this registration statement, we would register,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seek an exemption from registration for, the affected securities.</w:t>
      </w:r>
    </w:p>
    <w:p>
      <w:pPr>
        <w:spacing w:after="0" w:line="238"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business combination activity (and corresponding provisions of the agreement governing the release of funds from our trust account) may be amended with the approval of a special resolution which requires the approval of the holders of at least two</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thirds of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229"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Some other blank check companies have a provision in their charter which prohibits the amendment of certain of its provisions, including those which relate to a company’s pre</w:t>
      </w:r>
      <w:r>
        <w:rPr>
          <w:rFonts w:ascii="MS PGothic" w:cs="MS PGothic" w:eastAsia="MS PGothic" w:hAnsi="MS PGothic"/>
          <w:sz w:val="16"/>
          <w:szCs w:val="16"/>
          <w:color w:val="auto"/>
        </w:rPr>
        <w:t>‑</w:t>
      </w:r>
      <w:r>
        <w:rPr>
          <w:rFonts w:ascii="Arial" w:cs="Arial" w:eastAsia="Arial" w:hAnsi="Arial"/>
          <w:sz w:val="16"/>
          <w:szCs w:val="16"/>
          <w:color w:val="auto"/>
        </w:rPr>
        <w:t>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w:t>
      </w:r>
      <w:r>
        <w:rPr>
          <w:rFonts w:ascii="MS PGothic" w:cs="MS PGothic" w:eastAsia="MS PGothic" w:hAnsi="MS PGothic"/>
          <w:sz w:val="16"/>
          <w:szCs w:val="16"/>
          <w:color w:val="auto"/>
        </w:rPr>
        <w:t>‑</w:t>
      </w:r>
      <w:r>
        <w:rPr>
          <w:rFonts w:ascii="Arial" w:cs="Arial" w:eastAsia="Arial" w:hAnsi="Arial"/>
          <w:sz w:val="16"/>
          <w:szCs w:val="16"/>
          <w:color w:val="auto"/>
        </w:rPr>
        <w:t>business combination activity (including the requirement to deposit proceeds of this offering and the sale of the private placement units into the trust account and not release such amounts except in specified circumstances, and to provide redemption rights to public shareholders as described herein) may be amended if approved by special resolution, meaning holders of at least two</w:t>
      </w:r>
      <w:r>
        <w:rPr>
          <w:rFonts w:ascii="MS PGothic" w:cs="MS PGothic" w:eastAsia="MS PGothic" w:hAnsi="MS PGothic"/>
          <w:sz w:val="16"/>
          <w:szCs w:val="16"/>
          <w:color w:val="auto"/>
        </w:rPr>
        <w:t>‑</w:t>
      </w:r>
      <w:r>
        <w:rPr>
          <w:rFonts w:ascii="Arial" w:cs="Arial" w:eastAsia="Arial" w:hAnsi="Arial"/>
          <w:sz w:val="16"/>
          <w:szCs w:val="16"/>
          <w:color w:val="auto"/>
        </w:rPr>
        <w:t xml:space="preserve">thirds of our ordinary shares who attend and vote at a shareholder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holders representing at least two</w:t>
      </w:r>
      <w:r>
        <w:rPr>
          <w:rFonts w:ascii="MS PGothic" w:cs="MS PGothic" w:eastAsia="MS PGothic" w:hAnsi="MS PGothic"/>
          <w:sz w:val="16"/>
          <w:szCs w:val="16"/>
          <w:color w:val="auto"/>
        </w:rPr>
        <w:t>‑</w:t>
      </w:r>
      <w:r>
        <w:rPr>
          <w:rFonts w:ascii="Arial" w:cs="Arial" w:eastAsia="Arial" w:hAnsi="Arial"/>
          <w:sz w:val="16"/>
          <w:szCs w:val="16"/>
          <w:color w:val="auto"/>
        </w:rPr>
        <w:t>thirds of our outstanding Class B ordinary shares. Our initial shareholders, and their permitted transferees, if any, who will collectively beneficially own, on an as</w:t>
      </w:r>
      <w:r>
        <w:rPr>
          <w:rFonts w:ascii="MS PGothic" w:cs="MS PGothic" w:eastAsia="MS PGothic" w:hAnsi="MS PGothic"/>
          <w:sz w:val="16"/>
          <w:szCs w:val="16"/>
          <w:color w:val="auto"/>
        </w:rPr>
        <w:t>‑</w:t>
      </w:r>
      <w:r>
        <w:rPr>
          <w:rFonts w:ascii="Arial" w:cs="Arial" w:eastAsia="Arial" w:hAnsi="Arial"/>
          <w:sz w:val="16"/>
          <w:szCs w:val="16"/>
          <w:color w:val="auto"/>
        </w:rPr>
        <w:t>converted basis, 20% of our Class A ordinary shares upon the closing of this offering (excluding the private placement shares underlying the private placement units and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w:t>
      </w:r>
      <w:r>
        <w:rPr>
          <w:rFonts w:ascii="MS PGothic" w:cs="MS PGothic" w:eastAsia="MS PGothic" w:hAnsi="MS PGothic"/>
          <w:sz w:val="16"/>
          <w:szCs w:val="16"/>
          <w:color w:val="auto"/>
        </w:rPr>
        <w:t>‑</w:t>
      </w:r>
      <w:r>
        <w:rPr>
          <w:rFonts w:ascii="Arial" w:cs="Arial" w:eastAsia="Arial" w:hAnsi="Arial"/>
          <w:sz w:val="16"/>
          <w:szCs w:val="16"/>
          <w:color w:val="auto"/>
        </w:rPr>
        <w:t>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pacing w:after="0" w:line="2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Class A ordinary shares upon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approval of any such amendment at a per</w:t>
      </w:r>
      <w:r>
        <w:rPr>
          <w:rFonts w:ascii="MS PGothic" w:cs="MS PGothic" w:eastAsia="MS PGothic" w:hAnsi="MS PGothic"/>
          <w:sz w:val="16"/>
          <w:szCs w:val="16"/>
          <w:color w:val="auto"/>
        </w:rPr>
        <w:t>‑</w:t>
      </w:r>
      <w:r>
        <w:rPr>
          <w:rFonts w:ascii="Arial" w:cs="Arial" w:eastAsia="Arial" w:hAnsi="Arial"/>
          <w:sz w:val="16"/>
          <w:szCs w:val="16"/>
          <w:color w:val="auto"/>
        </w:rPr>
        <w:t>share price, payable in cash, equal to the aggregate amount then on deposit in the trust account, including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earned on the funds held in the trust account and not previously released to us to pay our income taxes, if any, divided by the number of the</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then</w:t>
      </w:r>
      <w:r>
        <w:rPr>
          <w:rFonts w:ascii="MS PGothic" w:cs="MS PGothic" w:eastAsia="MS PGothic" w:hAnsi="MS PGothic"/>
          <w:sz w:val="16"/>
          <w:szCs w:val="16"/>
          <w:color w:val="auto"/>
        </w:rPr>
        <w:t>‑</w:t>
      </w:r>
      <w:r>
        <w:rPr>
          <w:rFonts w:ascii="Arial" w:cs="Arial" w:eastAsia="Arial" w:hAnsi="Arial"/>
          <w:sz w:val="16"/>
          <w:szCs w:val="16"/>
          <w:color w:val="auto"/>
        </w:rPr>
        <w:t>outstanding public shares. Our shareholders are not parties to, or third</w:t>
      </w:r>
      <w:r>
        <w:rPr>
          <w:rFonts w:ascii="MS PGothic" w:cs="MS PGothic" w:eastAsia="MS PGothic" w:hAnsi="MS PGothic"/>
          <w:sz w:val="16"/>
          <w:szCs w:val="16"/>
          <w:color w:val="auto"/>
        </w:rPr>
        <w:t>‑</w:t>
      </w:r>
      <w:r>
        <w:rPr>
          <w:rFonts w:ascii="Arial" w:cs="Arial" w:eastAsia="Arial" w:hAnsi="Arial"/>
          <w:sz w:val="16"/>
          <w:szCs w:val="16"/>
          <w:color w:val="auto"/>
        </w:rPr>
        <w:t>party beneficiaries of, these agreements and, as a result, will not have the 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pursue remedies against our sponsor, executive officers, directors or director nominees for any breach of these agreements. As a result, in the event of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breach, our shareholders would need to pursue a shareholder derivative action, subject to applicable law.</w:t>
      </w:r>
    </w:p>
    <w:p>
      <w:pPr>
        <w:spacing w:after="0" w:line="2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receive only approximately $10.00 per public share, or less in certain circumstances, on the liquidation of our trust account and our warrants will expire worthless.</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Although we believe that the net proceeds of this offering and the sale of the private placement units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units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Such financing may not be available on acceptable terms, if at all. The current economic environment may make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within the required time period, our public shareholders may receive only approximately $10.00 per public share, or less in certain circumstances,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9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initial shareholders control a substantial interest in us and thus may exert a substantial influence on actions requiring a shareholder vote, potentially in a manner that you do not support.</w:t>
      </w:r>
    </w:p>
    <w:p>
      <w:pPr>
        <w:spacing w:after="0" w:line="19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Upon the closing of this offering, our initial shareholders will own, on an as</w:t>
      </w:r>
      <w:r>
        <w:rPr>
          <w:rFonts w:ascii="MS PGothic" w:cs="MS PGothic" w:eastAsia="MS PGothic" w:hAnsi="MS PGothic"/>
          <w:sz w:val="16"/>
          <w:szCs w:val="16"/>
          <w:color w:val="auto"/>
        </w:rPr>
        <w:t>‑</w:t>
      </w:r>
      <w:r>
        <w:rPr>
          <w:rFonts w:ascii="Arial" w:cs="Arial" w:eastAsia="Arial" w:hAnsi="Arial"/>
          <w:sz w:val="16"/>
          <w:szCs w:val="16"/>
          <w:color w:val="auto"/>
        </w:rPr>
        <w:t>converted basis, 20% of our issued and outstanding ordinary shares (excluding the private placement shares underlying the private placement units and assuming they do not purchase any units in this offering). Accordingly, they may exert a substantial influence on actions requiring a shareholder vote, potentially in a manner that you do not support, including amendments to our amended and restated memorandum and articles of association. If our initial shareholders purchases any units in this offering or if our initial shareholders purchases any additional Class A ordinary shares in the aftermarket or in privately negotiated transactions, this would increase their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 of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control the outcome, as only holders of our Class B ordinary shares will have the right to vote on the election of directors and to remove directors prior to our initial business combination. Accordingly, our sponsor will continue to exert control at least until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completion of our initial business combination. In addition, we have agreed not to enter into a definitive agreement regarding an initial business combination without the prior consent of our sponsor.</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sponsor contributed $25,000, or approximately $0.007 per founder share, and, accordingly, you will experience immediate and substantial dilution from the purchase of our Class A ordinary shares.</w:t>
      </w:r>
    </w:p>
    <w:p>
      <w:pPr>
        <w:spacing w:after="0" w:line="197" w:lineRule="exact"/>
        <w:rPr>
          <w:sz w:val="20"/>
          <w:szCs w:val="20"/>
          <w:color w:val="auto"/>
        </w:rPr>
      </w:pPr>
    </w:p>
    <w:p>
      <w:pPr>
        <w:ind w:right="100"/>
        <w:spacing w:after="0" w:line="217" w:lineRule="exact"/>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the closing of this offering, and assuming no value is ascribed to the warrants included in the units, you and the other public shareholders will incur an immediate and substantial dilution of approximately 88.7% (or $8.87 per share, assuming no exercise of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the difference between the pro forma net tangible book value per share of $1.13 and the initial offering price of $10.00 per unit. This dilution would increase to the extent that the anti</w:t>
      </w:r>
      <w:r>
        <w:rPr>
          <w:rFonts w:ascii="MS PGothic" w:cs="MS PGothic" w:eastAsia="MS PGothic" w:hAnsi="MS PGothic"/>
          <w:sz w:val="16"/>
          <w:szCs w:val="16"/>
          <w:color w:val="auto"/>
        </w:rPr>
        <w:t>‑</w:t>
      </w:r>
      <w:r>
        <w:rPr>
          <w:rFonts w:ascii="Arial" w:cs="Arial" w:eastAsia="Arial" w:hAnsi="Arial"/>
          <w:sz w:val="16"/>
          <w:szCs w:val="16"/>
          <w:color w:val="auto"/>
        </w:rPr>
        <w:t>dilution provisions of the founder shares result in the issuance of Class A ordinary shares on a greater than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upon conversion of the founder shares at the time of our initial business combination and would become exacerbated to the extent that public shareholders seek redemptions from the trust for their public shares. In addition, because of the anti</w:t>
      </w:r>
      <w:r>
        <w:rPr>
          <w:rFonts w:ascii="MS PGothic" w:cs="MS PGothic" w:eastAsia="MS PGothic" w:hAnsi="MS PGothic"/>
          <w:sz w:val="16"/>
          <w:szCs w:val="16"/>
          <w:color w:val="auto"/>
        </w:rPr>
        <w:t>‑</w:t>
      </w:r>
      <w:r>
        <w:rPr>
          <w:rFonts w:ascii="Arial" w:cs="Arial" w:eastAsia="Arial" w:hAnsi="Arial"/>
          <w:sz w:val="16"/>
          <w:szCs w:val="16"/>
          <w:color w:val="auto"/>
        </w:rPr>
        <w:t>dilution protection in the founder shares, any equity or equity</w:t>
      </w:r>
      <w:r>
        <w:rPr>
          <w:rFonts w:ascii="MS PGothic" w:cs="MS PGothic" w:eastAsia="MS PGothic" w:hAnsi="MS PGothic"/>
          <w:sz w:val="16"/>
          <w:szCs w:val="16"/>
          <w:color w:val="auto"/>
        </w:rPr>
        <w:t>‑</w:t>
      </w:r>
      <w:r>
        <w:rPr>
          <w:rFonts w:ascii="Arial" w:cs="Arial" w:eastAsia="Arial" w:hAnsi="Arial"/>
          <w:sz w:val="16"/>
          <w:szCs w:val="16"/>
          <w:color w:val="auto"/>
        </w:rPr>
        <w:t>linked securities issued in connection with our initial business combination would be disproportionately dilutive to our Class A ordinary shares.</w:t>
      </w:r>
    </w:p>
    <w:p>
      <w:pPr>
        <w:spacing w:after="0" w:line="234"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our Class A ordinary shares purchasable upon exercise of a warrant could be decreased, all without your approval.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warrant agreement provides that the terms of the warrants may be amended without the consent of any holder to cure any ambiguity or correct any</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defective provision, but requires the approval by the holders of at least 50% of the then</w:t>
      </w:r>
      <w:r>
        <w:rPr>
          <w:rFonts w:ascii="MS PGothic" w:cs="MS PGothic" w:eastAsia="MS PGothic" w:hAnsi="MS PGothic"/>
          <w:sz w:val="16"/>
          <w:szCs w:val="16"/>
          <w:color w:val="auto"/>
        </w:rPr>
        <w:t>‑</w:t>
      </w:r>
      <w:r>
        <w:rPr>
          <w:rFonts w:ascii="Arial" w:cs="Arial" w:eastAsia="Arial" w:hAnsi="Arial"/>
          <w:sz w:val="16"/>
          <w:szCs w:val="16"/>
          <w:color w:val="auto"/>
        </w:rPr>
        <w:t>outstanding public warrants to make any change that adversely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affects the interests of the registered holders of public warrants. Accordingly, we may amend the terms of the public warrants in a manner adverse to a</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holder if holders of at least 50% of the then</w:t>
      </w:r>
      <w:r>
        <w:rPr>
          <w:rFonts w:ascii="MS PGothic" w:cs="MS PGothic" w:eastAsia="MS PGothic" w:hAnsi="MS PGothic"/>
          <w:sz w:val="16"/>
          <w:szCs w:val="16"/>
          <w:color w:val="auto"/>
        </w:rPr>
        <w:t>‑</w:t>
      </w:r>
      <w:r>
        <w:rPr>
          <w:rFonts w:ascii="Arial" w:cs="Arial" w:eastAsia="Arial" w:hAnsi="Arial"/>
          <w:sz w:val="16"/>
          <w:szCs w:val="16"/>
          <w:color w:val="auto"/>
        </w:rPr>
        <w:t>outstanding public warrants approve of such amendment and, solely with respect to any amendment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the private placement warrants or any provision of the warrant agreement with respect to the private placement warrants, 50% of the number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then outstanding private placement warrants. Although our ability to amend the terms of the public warrants with the consent of at least 50% of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then</w:t>
      </w:r>
      <w:r>
        <w:rPr>
          <w:rFonts w:ascii="MS PGothic" w:cs="MS PGothic" w:eastAsia="MS PGothic" w:hAnsi="MS PGothic"/>
          <w:sz w:val="16"/>
          <w:szCs w:val="16"/>
          <w:color w:val="auto"/>
        </w:rPr>
        <w:t>‑</w:t>
      </w:r>
      <w:r>
        <w:rPr>
          <w:rFonts w:ascii="Arial" w:cs="Arial" w:eastAsia="Arial" w:hAnsi="Arial"/>
          <w:sz w:val="16"/>
          <w:szCs w:val="16"/>
          <w:color w:val="auto"/>
        </w:rPr>
        <w:t>outstanding public warrants is unlimited, examples of such amendments could be amendments to, among other things, increase the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convert the warrants into cash, shorten the exercise period or decrease the number of Class A ordinary shares purchasable upon exercise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We may redeem your unexpired warrants prior to their exercise at a time that is disadvantageous to you, thereby making your warrants worthless.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75"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closing price of our Class A ordinary shares equals or exceeds $18.00 per share (as adjusted for share subdivisions, share capitalizations,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reorganizations, recapitalizations and the like) for any 20 trading days within a 30 trading</w:t>
      </w:r>
      <w:r>
        <w:rPr>
          <w:rFonts w:ascii="MS PGothic" w:cs="MS PGothic" w:eastAsia="MS PGothic" w:hAnsi="MS PGothic"/>
          <w:sz w:val="16"/>
          <w:szCs w:val="16"/>
          <w:color w:val="auto"/>
        </w:rPr>
        <w:t>‑</w:t>
      </w:r>
      <w:r>
        <w:rPr>
          <w:rFonts w:ascii="Arial" w:cs="Arial" w:eastAsia="Arial" w:hAnsi="Arial"/>
          <w:sz w:val="16"/>
          <w:szCs w:val="16"/>
          <w:color w:val="auto"/>
        </w:rPr>
        <w:t xml:space="preserve">day period ending on the third trading day prior to proper notice of such redemption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Class A ordinary shares determined based on the redemption date and the fair market value of our Class A ordinary shares. Please see “Description of Securities—Redeemable Warrants—Public Shareholders’ Warrants—Redemption of warrants for Class A ordinary shares when the price per Class A ordinary share equals or exceeds $10.00.” 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ordinary shares received is capped at 0.365 Class A ordinary shares per warrant (subject to adjustment) irrespective of the remaining life of the warrants. None of the private placement warrants will be redeemable by us (except as set forth under “Description of Securities—Warrants—Public Shareholders’ Warrants—Redemption of warrants for Class A ordinary shares when the price per Class A ordinary share equals or exceeds $10.00”) so long as they are held by our sponsor or its permitted transferees.</w:t>
      </w:r>
    </w:p>
    <w:p>
      <w:pPr>
        <w:spacing w:after="0" w:line="19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Class A ordinary shares and make it more difficult to effectuate our initial business combination.</w:t>
      </w:r>
    </w:p>
    <w:p>
      <w:pPr>
        <w:spacing w:after="0" w:line="19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will be issuing public warrants to purchase 3,125,000 of our Class A ordinary shares (or up to 3,593,750 Class A ordinary shares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as part of the units offered by this prospectus and, simultaneously with the closing of this offering, we will be issuing in a private placement 450,000 private placement units (or 487,500 private placement units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The private placement units will have underlying warrants to purchase an aggregate of 112,500 Class A ordinary shares (or up to 121,875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at $11.50 per share. In addition, if the sponsor makes any working capital loans, it may convert up to $1,500,000 of such loans into up to an additional 1,500,000 private placement warrants, at the price of $1.50 per warrant. Our public warrants are also redeemable by us for Class A ordinary shares as described in “Description of Securities—Warrants—Public Shareholders’ Warrants—Redemption of warrants for Class A ordinary shares when the price per Class A ordinary share equals or exceeds $10.00.”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32" w:lineRule="exact"/>
        <w:rPr>
          <w:sz w:val="20"/>
          <w:szCs w:val="20"/>
          <w:color w:val="auto"/>
        </w:rPr>
      </w:pPr>
    </w:p>
    <w:p>
      <w:pPr>
        <w:ind w:right="440"/>
        <w:spacing w:after="0" w:line="223" w:lineRule="exact"/>
        <w:rPr>
          <w:sz w:val="20"/>
          <w:szCs w:val="20"/>
          <w:color w:val="auto"/>
        </w:rPr>
      </w:pPr>
      <w:r>
        <w:rPr>
          <w:rFonts w:ascii="Arial" w:cs="Arial" w:eastAsia="Arial" w:hAnsi="Arial"/>
          <w:sz w:val="18"/>
          <w:szCs w:val="18"/>
          <w:b w:val="1"/>
          <w:bCs w:val="1"/>
          <w:i w:val="1"/>
          <w:iCs w:val="1"/>
          <w:color w:val="auto"/>
        </w:rPr>
        <w:t>Because each unit contains one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fourth of one warrant and only a whole warrant may be exercised, the units may be worth less than units of other blank check companies.</w:t>
      </w:r>
    </w:p>
    <w:p>
      <w:pPr>
        <w:spacing w:after="0" w:line="230" w:lineRule="exact"/>
        <w:rPr>
          <w:sz w:val="20"/>
          <w:szCs w:val="20"/>
          <w:color w:val="auto"/>
        </w:rPr>
      </w:pPr>
    </w:p>
    <w:p>
      <w:pPr>
        <w:ind w:right="120"/>
        <w:spacing w:after="0" w:line="218" w:lineRule="exact"/>
        <w:rPr>
          <w:sz w:val="20"/>
          <w:szCs w:val="20"/>
          <w:color w:val="auto"/>
        </w:rPr>
      </w:pPr>
      <w:r>
        <w:rPr>
          <w:rFonts w:ascii="Arial" w:cs="Arial" w:eastAsia="Arial" w:hAnsi="Arial"/>
          <w:sz w:val="18"/>
          <w:szCs w:val="18"/>
          <w:color w:val="auto"/>
        </w:rPr>
        <w:t>Each unit contains one</w:t>
      </w:r>
      <w:r>
        <w:rPr>
          <w:rFonts w:ascii="MS PGothic" w:cs="MS PGothic" w:eastAsia="MS PGothic" w:hAnsi="MS PGothic"/>
          <w:sz w:val="18"/>
          <w:szCs w:val="18"/>
          <w:color w:val="auto"/>
        </w:rPr>
        <w:t>‑</w:t>
      </w:r>
      <w:r>
        <w:rPr>
          <w:rFonts w:ascii="Arial" w:cs="Arial" w:eastAsia="Arial" w:hAnsi="Arial"/>
          <w:sz w:val="18"/>
          <w:szCs w:val="18"/>
          <w:color w:val="auto"/>
        </w:rPr>
        <w:t>fourth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w:t>
      </w:r>
      <w:r>
        <w:rPr>
          <w:rFonts w:ascii="MS PGothic" w:cs="MS PGothic" w:eastAsia="MS PGothic" w:hAnsi="MS PGothic"/>
          <w:sz w:val="18"/>
          <w:szCs w:val="18"/>
          <w:color w:val="auto"/>
        </w:rPr>
        <w:t>‑</w:t>
      </w:r>
      <w:r>
        <w:rPr>
          <w:rFonts w:ascii="Arial" w:cs="Arial" w:eastAsia="Arial" w:hAnsi="Arial"/>
          <w:sz w:val="18"/>
          <w:szCs w:val="18"/>
          <w:color w:val="auto"/>
        </w:rPr>
        <w:t>fourth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3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the underwriters, both prior to our inception and thereafter, with respect to the state of capital markets, generally, and the amount the underwriters believed they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reasonably could raise on our behalf. Factors considered in determining the size of this offering, prices and terms of the units, including the Class A ordinary shares and warrants underlying the units, include:</w:t>
      </w:r>
    </w:p>
    <w:p>
      <w:pPr>
        <w:spacing w:after="0" w:line="19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debt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equity ratios in leveraged transactions;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9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9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federal proxy rules require that a proxy statement with respect to a vote on our proposed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w:t>
      </w:r>
    </w:p>
    <w:p>
      <w:pPr>
        <w:spacing w:after="0" w:line="19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76" w:lineRule="exact"/>
        <w:rPr>
          <w:sz w:val="20"/>
          <w:szCs w:val="20"/>
          <w:color w:val="auto"/>
        </w:rPr>
      </w:pPr>
    </w:p>
    <w:p>
      <w:pPr>
        <w:ind w:right="20"/>
        <w:spacing w:after="0" w:line="220" w:lineRule="exact"/>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reduced disclosure obligations regarding executive compensation in our periodic reports and proxy statements, and exemptions from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w:t>
      </w:r>
      <w:r>
        <w:rPr>
          <w:rFonts w:ascii="MS PGothic" w:cs="MS PGothic" w:eastAsia="MS PGothic" w:hAnsi="MS PGothic"/>
          <w:sz w:val="16"/>
          <w:szCs w:val="16"/>
          <w:color w:val="auto"/>
        </w:rPr>
        <w:t>‑</w:t>
      </w:r>
      <w:r>
        <w:rPr>
          <w:rFonts w:ascii="Arial" w:cs="Arial" w:eastAsia="Arial" w:hAnsi="Arial"/>
          <w:sz w:val="16"/>
          <w:szCs w:val="16"/>
          <w:color w:val="auto"/>
        </w:rPr>
        <w:t>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31"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w:t>
      </w:r>
      <w:r>
        <w:rPr>
          <w:rFonts w:ascii="MS PGothic" w:cs="MS PGothic" w:eastAsia="MS PGothic" w:hAnsi="MS PGothic"/>
          <w:sz w:val="17"/>
          <w:szCs w:val="17"/>
          <w:color w:val="auto"/>
        </w:rPr>
        <w:t>‑</w:t>
      </w:r>
      <w:r>
        <w:rPr>
          <w:rFonts w:ascii="Arial" w:cs="Arial" w:eastAsia="Arial" w:hAnsi="Arial"/>
          <w:sz w:val="17"/>
          <w:szCs w:val="17"/>
          <w:color w:val="auto"/>
        </w:rPr>
        <w:t>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30"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Additionally, we are a “smaller reporting company” as defined in Item 10(f)(1) of Regulation S</w:t>
      </w:r>
      <w:r>
        <w:rPr>
          <w:rFonts w:ascii="MS PGothic" w:cs="MS PGothic" w:eastAsia="MS PGothic" w:hAnsi="MS PGothic"/>
          <w:sz w:val="17"/>
          <w:szCs w:val="17"/>
          <w:color w:val="auto"/>
        </w:rPr>
        <w:t>‑</w:t>
      </w:r>
      <w:r>
        <w:rPr>
          <w:rFonts w:ascii="Arial" w:cs="Arial" w:eastAsia="Arial" w:hAnsi="Arial"/>
          <w:sz w:val="17"/>
          <w:szCs w:val="17"/>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$250 million as of the prior June 30, or (2) our annual revenues exceeded $100 million during such completed fiscal year and the market value of our ordinary shares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 To the extent we take advantage of such reduced disclosure obligations, it may also make comparison of our financial statements with other public companies difficult or impossible.</w:t>
      </w:r>
    </w:p>
    <w:p>
      <w:pPr>
        <w:spacing w:after="0" w:line="229" w:lineRule="exact"/>
        <w:rPr>
          <w:sz w:val="20"/>
          <w:szCs w:val="20"/>
          <w:color w:val="auto"/>
        </w:rPr>
      </w:pPr>
    </w:p>
    <w:p>
      <w:pPr>
        <w:ind w:right="480"/>
        <w:spacing w:after="0" w:line="223" w:lineRule="exact"/>
        <w:rPr>
          <w:sz w:val="20"/>
          <w:szCs w:val="20"/>
          <w:color w:val="auto"/>
        </w:rPr>
      </w:pPr>
      <w:r>
        <w:rPr>
          <w:rFonts w:ascii="Arial" w:cs="Arial" w:eastAsia="Arial" w:hAnsi="Arial"/>
          <w:sz w:val="18"/>
          <w:szCs w:val="18"/>
          <w:b w:val="1"/>
          <w:bCs w:val="1"/>
          <w:i w:val="1"/>
          <w:iCs w:val="1"/>
          <w:color w:val="auto"/>
        </w:rPr>
        <w:t>Compliance obligations under the Sarbanes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Oxley Act may make it more difficult for us to effectuate a business combination, require substantial financial and management resources, and increase the time and costs of completing an acquisition.</w:t>
      </w:r>
    </w:p>
    <w:p>
      <w:pPr>
        <w:spacing w:after="0" w:line="230"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requires that we evaluate and report on our system of internal controls beginning with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particularly burdensome on us as compared to other public companies because a target business with which we seek to complete our initial business combination may not be in compliance with the provisions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regarding adequacy of its internal controls. The development of the internal control of any such entity to achieve compliance with the Sarbanes</w:t>
      </w:r>
      <w:r>
        <w:rPr>
          <w:rFonts w:ascii="MS PGothic" w:cs="MS PGothic" w:eastAsia="MS PGothic" w:hAnsi="MS PGothic"/>
          <w:sz w:val="18"/>
          <w:szCs w:val="18"/>
          <w:color w:val="auto"/>
        </w:rPr>
        <w:t>‑</w:t>
      </w:r>
      <w:r>
        <w:rPr>
          <w:rFonts w:ascii="Arial" w:cs="Arial" w:eastAsia="Arial" w:hAnsi="Arial"/>
          <w:sz w:val="18"/>
          <w:szCs w:val="18"/>
          <w:color w:val="auto"/>
        </w:rPr>
        <w:t>Oxley Act may increase the time and costs necessary to complete any such acquisition.</w:t>
      </w:r>
    </w:p>
    <w:p>
      <w:pPr>
        <w:spacing w:after="0" w:line="2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corporate affairs and the rights of shareholders will be governed by our amended and restated memorandum and articles of association, the Companies Law (as the same may be supplemented or amended from time to time) and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For a more detailed discussion of the principal differences between the provisions of the Companies Law applicable to us and, for example, the laws applicable to companies incorporated in the United States and their shareholders, see the section of this prospectus captioned “Description of Securities — Certain Differences in Corporate Law.”</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56"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b w:val="1"/>
          <w:bCs w:val="1"/>
          <w:i w:val="1"/>
          <w:i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76"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w:t>
      </w:r>
      <w:r>
        <w:rPr>
          <w:rFonts w:ascii="MS PGothic" w:cs="MS PGothic" w:eastAsia="MS PGothic" w:hAnsi="MS PGothic"/>
          <w:sz w:val="18"/>
          <w:szCs w:val="18"/>
          <w:color w:val="auto"/>
        </w:rPr>
        <w:t>‑</w:t>
      </w:r>
      <w:r>
        <w:rPr>
          <w:rFonts w:ascii="Arial" w:cs="Arial" w:eastAsia="Arial" w:hAnsi="Arial"/>
          <w:sz w:val="18"/>
          <w:szCs w:val="18"/>
          <w:color w:val="auto"/>
        </w:rPr>
        <w:t>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2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97" w:lineRule="exact"/>
        <w:rPr>
          <w:sz w:val="20"/>
          <w:szCs w:val="20"/>
          <w:color w:val="auto"/>
        </w:rPr>
      </w:pPr>
    </w:p>
    <w:p>
      <w:pPr>
        <w:ind w:left="980" w:hanging="324"/>
        <w:spacing w:after="0" w:line="207" w:lineRule="exact"/>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difficulties inherent in managing cross</w:t>
      </w:r>
      <w:r>
        <w:rPr>
          <w:rFonts w:ascii="MS PGothic" w:cs="MS PGothic" w:eastAsia="MS PGothic" w:hAnsi="MS PGothic"/>
          <w:sz w:val="18"/>
          <w:szCs w:val="18"/>
          <w:color w:val="auto"/>
        </w:rPr>
        <w:t>‑</w:t>
      </w:r>
      <w:r>
        <w:rPr>
          <w:rFonts w:ascii="Arial" w:cs="Arial" w:eastAsia="Arial" w:hAnsi="Arial"/>
          <w:sz w:val="18"/>
          <w:szCs w:val="18"/>
          <w:color w:val="auto"/>
        </w:rPr>
        <w:t>border business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attacks, natural disasters and wars;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97" w:lineRule="exact"/>
        <w:rPr>
          <w:sz w:val="20"/>
          <w:szCs w:val="20"/>
          <w:color w:val="auto"/>
        </w:rPr>
      </w:pPr>
    </w:p>
    <w:p>
      <w:pPr>
        <w:ind w:right="80"/>
        <w:spacing w:after="0" w:line="220" w:lineRule="exact"/>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could lead to various regulatory issues which may adversely affect our operations.</w:t>
      </w:r>
    </w:p>
    <w:p>
      <w:pPr>
        <w:spacing w:after="0" w:line="230" w:lineRule="exact"/>
        <w:rPr>
          <w:sz w:val="20"/>
          <w:szCs w:val="20"/>
          <w:color w:val="auto"/>
        </w:rPr>
      </w:pPr>
    </w:p>
    <w:p>
      <w:pPr>
        <w:ind w:right="240"/>
        <w:spacing w:after="0" w:line="340" w:lineRule="auto"/>
        <w:rPr>
          <w:sz w:val="20"/>
          <w:szCs w:val="20"/>
          <w:color w:val="auto"/>
        </w:rPr>
      </w:pPr>
      <w:r>
        <w:rPr>
          <w:rFonts w:ascii="Arial" w:cs="Arial" w:eastAsia="Arial" w:hAnsi="Arial"/>
          <w:sz w:val="15"/>
          <w:szCs w:val="15"/>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and currency policies may cause a target business’ ability to succeed in the international markets to be diminished.</w:t>
      </w:r>
    </w:p>
    <w:p>
      <w:pPr>
        <w:spacing w:after="0" w:line="275"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In the event we acquire a non</w:t>
      </w:r>
      <w:r>
        <w:rPr>
          <w:rFonts w:ascii="MS PGothic" w:cs="MS PGothic" w:eastAsia="MS PGothic" w:hAnsi="MS PGothic"/>
          <w:sz w:val="18"/>
          <w:szCs w:val="18"/>
          <w:color w:val="auto"/>
        </w:rPr>
        <w:t>‑</w:t>
      </w:r>
      <w:r>
        <w:rPr>
          <w:rFonts w:ascii="Arial" w:cs="Arial" w:eastAsia="Arial" w:hAnsi="Arial"/>
          <w:sz w:val="18"/>
          <w:szCs w:val="18"/>
          <w:color w:val="auto"/>
        </w:rPr>
        <w:t>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98"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b w:val="1"/>
          <w:bCs w:val="1"/>
          <w:i w:val="1"/>
          <w:iCs w:val="1"/>
          <w:color w:val="auto"/>
        </w:rPr>
        <w:t>We are subject to changing law and regulations regarding regulatory matters, corporate governance and public disclosure that have increased both our costs and the risk of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w:t>
      </w:r>
    </w:p>
    <w:p>
      <w:pPr>
        <w:spacing w:after="0" w:line="2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56" w:lineRule="exact"/>
        <w:rPr>
          <w:sz w:val="20"/>
          <w:szCs w:val="20"/>
          <w:color w:val="auto"/>
        </w:rPr>
      </w:pPr>
    </w:p>
    <w:p>
      <w:pPr>
        <w:ind w:right="220"/>
        <w:spacing w:after="0" w:line="218" w:lineRule="exact"/>
        <w:rPr>
          <w:sz w:val="20"/>
          <w:szCs w:val="20"/>
          <w:color w:val="auto"/>
        </w:rPr>
      </w:pPr>
      <w:r>
        <w:rPr>
          <w:rFonts w:ascii="Arial" w:cs="Arial" w:eastAsia="Arial" w:hAnsi="Arial"/>
          <w:sz w:val="18"/>
          <w:szCs w:val="18"/>
          <w:color w:val="auto"/>
        </w:rPr>
        <w:t>Some of the statements contained in this prospectus may constitute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for purposes of the federal securities laws. Our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The words “anticipate,” “believe,” “continue,” “could,” “estimate,” “expect,” “intends,” “may,” “might,” “plan,” “possible,” “potential,” “predict,” “project,” “should,” “would” and similar expressions may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but the absence of these words does not mean that a statement is not forward</w:t>
      </w:r>
      <w:r>
        <w:rPr>
          <w:rFonts w:ascii="MS PGothic" w:cs="MS PGothic" w:eastAsia="MS PGothic" w:hAnsi="MS PGothic"/>
          <w:sz w:val="18"/>
          <w:szCs w:val="18"/>
          <w:color w:val="auto"/>
        </w:rPr>
        <w:t>‑</w:t>
      </w:r>
      <w:r>
        <w:rPr>
          <w:rFonts w:ascii="Arial" w:cs="Arial" w:eastAsia="Arial" w:hAnsi="Arial"/>
          <w:sz w:val="18"/>
          <w:szCs w:val="18"/>
          <w:color w:val="auto"/>
        </w:rPr>
        <w:t>looking.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 this prospectus may include, for example, statements about:</w:t>
      </w:r>
    </w:p>
    <w:p>
      <w:pPr>
        <w:spacing w:after="0" w:line="23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52"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5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prospectus are based on our current expectations and beliefs concerning future developments and their potential effects on us. There can be no assurance that future developments affecting us will be those that we have anticipated.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involve a number of risks, uncertainties (some of which are beyond our control) or other assumptions that may cause actual results or performance to be materially different from those expressed or implied by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undertake no obligation to update or revise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whether as a result of new information, future events or otherwise, except as may be required under applicable securities laws.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offering 12,500,000 units at an offering price of $10.00 per unit. We estimate that the net proceeds of this offering, together with the funds we will receive from the sale of the private placement units, will be used as set forth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Without</w:t>
            </w:r>
          </w:p>
        </w:tc>
        <w:tc>
          <w:tcPr>
            <w:tcW w:w="138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Over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Allotment</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480" w:type="dxa"/>
            <w:vAlign w:val="bottom"/>
            <w:gridSpan w:val="5"/>
          </w:tcPr>
          <w:p>
            <w:pPr>
              <w:spacing w:after="0" w:line="207" w:lineRule="exact"/>
              <w:rPr>
                <w:sz w:val="20"/>
                <w:szCs w:val="20"/>
                <w:color w:val="auto"/>
              </w:rPr>
            </w:pPr>
            <w:r>
              <w:rPr>
                <w:rFonts w:ascii="Arial" w:cs="Arial" w:eastAsia="Arial" w:hAnsi="Arial"/>
                <w:sz w:val="18"/>
                <w:szCs w:val="18"/>
                <w:b w:val="1"/>
                <w:bCs w:val="1"/>
                <w:color w:val="auto"/>
              </w:rPr>
              <w:t>Over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Allotment</w:t>
            </w: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Option</w:t>
            </w:r>
          </w:p>
        </w:tc>
        <w:tc>
          <w:tcPr>
            <w:tcW w:w="0" w:type="dxa"/>
            <w:vAlign w:val="bottom"/>
          </w:tcPr>
          <w:p>
            <w:pPr>
              <w:spacing w:after="0"/>
              <w:rPr>
                <w:sz w:val="1"/>
                <w:szCs w:val="1"/>
                <w:color w:val="auto"/>
              </w:rPr>
            </w:pPr>
          </w:p>
        </w:tc>
      </w:tr>
      <w:tr>
        <w:trPr>
          <w:trHeight w:val="241"/>
        </w:trPr>
        <w:tc>
          <w:tcPr>
            <w:tcW w:w="8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rPr>
              <w:t>Option</w:t>
            </w: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Exercised</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Gross proceeds</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Gross proceeds from units offered to public</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125,000,000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Gross proceeds from sale of the private placement units offered in a private placement to the sponsor</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4,875,000</w:t>
            </w: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proceeds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129,500,000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148,625,000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80" w:type="dxa"/>
            <w:vAlign w:val="bottom"/>
          </w:tcPr>
          <w:p>
            <w:pPr>
              <w:spacing w:after="0" w:line="210" w:lineRule="exact"/>
              <w:rPr>
                <w:sz w:val="20"/>
                <w:szCs w:val="20"/>
                <w:color w:val="auto"/>
              </w:rPr>
            </w:pPr>
            <w:r>
              <w:rPr>
                <w:rFonts w:ascii="Arial" w:cs="Arial" w:eastAsia="Arial" w:hAnsi="Arial"/>
                <w:sz w:val="15"/>
                <w:szCs w:val="15"/>
                <w:b w:val="1"/>
                <w:bCs w:val="1"/>
                <w:color w:val="auto"/>
              </w:rPr>
              <w:t>Estimated Offering expenses</w:t>
            </w:r>
            <w:r>
              <w:rPr>
                <w:rFonts w:ascii="Arial" w:cs="Arial" w:eastAsia="Arial" w:hAnsi="Arial"/>
                <w:sz w:val="24"/>
                <w:szCs w:val="24"/>
                <w:b w:val="1"/>
                <w:bCs w:val="1"/>
                <w:color w:val="auto"/>
                <w:vertAlign w:val="superscript"/>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Underwriting commissions (2.0% of gross proceeds from units offered to public, excluding deferred portion)</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40,722</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Travel and road show</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Director &amp; Officer liability insurance premiums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344,278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344,278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Total estimated offering expenses (excluding underwriting commissions)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estimated offering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126,000,000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line="210" w:lineRule="exact"/>
              <w:rPr>
                <w:sz w:val="20"/>
                <w:szCs w:val="20"/>
                <w:color w:val="auto"/>
              </w:rPr>
            </w:pPr>
            <w:r>
              <w:rPr>
                <w:rFonts w:ascii="Arial" w:cs="Arial" w:eastAsia="Arial" w:hAnsi="Arial"/>
                <w:sz w:val="15"/>
                <w:szCs w:val="15"/>
                <w:color w:val="auto"/>
              </w:rPr>
              <w:t>Held in trust account</w:t>
            </w:r>
            <w:r>
              <w:rPr>
                <w:rFonts w:ascii="Arial" w:cs="Arial" w:eastAsia="Arial" w:hAnsi="Arial"/>
                <w:sz w:val="24"/>
                <w:szCs w:val="24"/>
                <w:color w:val="auto"/>
                <w:vertAlign w:val="superscript"/>
              </w:rPr>
              <w:t>(3)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125,000,000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 of public offering size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The following table shows the use of the $1,000,000 of net proceeds not held in the trust account.</w:t>
            </w:r>
            <w:r>
              <w:rPr>
                <w:rFonts w:ascii="Arial" w:cs="Arial" w:eastAsia="Arial" w:hAnsi="Arial"/>
                <w:sz w:val="29"/>
                <w:szCs w:val="29"/>
                <w:color w:val="auto"/>
                <w:vertAlign w:val="superscript"/>
              </w:rPr>
              <w:t>(4)(5)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2"/>
        </w:trPr>
        <w:tc>
          <w:tcPr>
            <w:tcW w:w="8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Legal, accounting, due diligence, travel, and other expenses in connection with any business combination</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w w:val="97"/>
              </w:rPr>
              <w:t>Consulting, travel and miscellaneous expenses incurred during search for initial business combination target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Nasdaq continued listing fees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Working capital to cover miscellaneous expenses and reserves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right="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amounts payable to public shareholders who properly redeem their shares in connection with our successful completion of our initial business combination.</w:t>
      </w:r>
    </w:p>
    <w:p>
      <w:pPr>
        <w:spacing w:after="0" w:line="197" w:lineRule="exact"/>
        <w:rPr>
          <w:rFonts w:ascii="Arial" w:cs="Arial" w:eastAsia="Arial" w:hAnsi="Arial"/>
          <w:sz w:val="18"/>
          <w:szCs w:val="18"/>
          <w:color w:val="auto"/>
        </w:rPr>
      </w:pPr>
    </w:p>
    <w:p>
      <w:pPr>
        <w:ind w:left="340" w:right="20" w:hanging="332"/>
        <w:spacing w:after="0" w:line="219" w:lineRule="exact"/>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a portion of the offering expenses have been paid from the proceeds of loans from our sponsor of up to $300,000 as described in this prospectus. As of April 2, 2020, we had no borrowings under the promissory note with our sponsor. These loans will be repaid upon completion of this offering out of the $1,000,000 of offering proceeds that has been allocated for the payment of offering expenses (other than underwriting commissions) and not to be held in the trust account. In the event that offering expenses are less than set forth in this table, any such amounts will be used for post</w:t>
      </w:r>
      <w:r>
        <w:rPr>
          <w:rFonts w:ascii="MS PGothic" w:cs="MS PGothic" w:eastAsia="MS PGothic" w:hAnsi="MS PGothic"/>
          <w:sz w:val="18"/>
          <w:szCs w:val="18"/>
          <w:color w:val="auto"/>
        </w:rPr>
        <w:t>‑</w:t>
      </w:r>
      <w:r>
        <w:rPr>
          <w:rFonts w:ascii="Arial" w:cs="Arial" w:eastAsia="Arial" w:hAnsi="Arial"/>
          <w:sz w:val="18"/>
          <w:szCs w:val="18"/>
          <w:color w:val="auto"/>
        </w:rPr>
        <w:t>closing working capital expenses. In the event that the offering expenses are more than as set forth in this table, we may fund such excess with funds not held in the trust account.</w:t>
      </w:r>
    </w:p>
    <w:p>
      <w:pPr>
        <w:spacing w:after="0" w:line="229" w:lineRule="exact"/>
        <w:rPr>
          <w:rFonts w:ascii="Arial" w:cs="Arial" w:eastAsia="Arial" w:hAnsi="Arial"/>
          <w:sz w:val="18"/>
          <w:szCs w:val="18"/>
          <w:color w:val="auto"/>
        </w:rPr>
      </w:pPr>
    </w:p>
    <w:p>
      <w:pPr>
        <w:ind w:left="340" w:right="20" w:hanging="332"/>
        <w:spacing w:after="0" w:line="218" w:lineRule="exact"/>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underwriters have agreed to defer underwriting commissions of 3.5% of the gross proceeds of this offering. Upon and concurrently with the completion of our initial business combination, $4,375,000, which constitutes the underwriters’ deferred commissions (or $5,031,250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will be paid to the underwriters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60" w:hanging="332"/>
        <w:spacing w:after="0" w:line="217" w:lineRule="exact"/>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w:t>
      </w:r>
      <w:r>
        <w:rPr>
          <w:rFonts w:ascii="MS PGothic" w:cs="MS PGothic" w:eastAsia="MS PGothic" w:hAnsi="MS PGothic"/>
          <w:sz w:val="17"/>
          <w:szCs w:val="17"/>
          <w:color w:val="auto"/>
        </w:rPr>
        <w:t>‑</w:t>
      </w:r>
      <w:r>
        <w:rPr>
          <w:rFonts w:ascii="Arial" w:cs="Arial" w:eastAsia="Arial" w:hAnsi="Arial"/>
          <w:sz w:val="17"/>
          <w:szCs w:val="17"/>
          <w:color w:val="auto"/>
        </w:rPr>
        <w:t>7 under the Investment Company Act which invest only in direct U.S. government treasury obligations. Assuming an interest rate of 0.5% per year, we estimate the interest earned on the trust account will be approximately $625,000 per year; however, we can provide no assurances regarding this amount.</w:t>
      </w:r>
    </w:p>
    <w:p>
      <w:pPr>
        <w:spacing w:after="0" w:line="235"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no exercise of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w:t>
      </w:r>
    </w:p>
    <w:p>
      <w:pPr>
        <w:spacing w:after="0" w:line="252"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estimated amounts that may also be used in connection with our initial business combination to fund a “no shop” provision and commitment fees for financing.</w:t>
      </w:r>
    </w:p>
    <w:p>
      <w:pPr>
        <w:spacing w:after="0" w:line="19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rules of Nasdaq provide that at least 90% of the gross proceeds from this offering and the sale of the private placement units be deposited in a trust account. Of the $129,500,000 in proceeds we receive from this offering and the sale of the private placement units described in this prospectus, or $148,625,000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$125,000,000 ($10.00 per unit), or $143,750,000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($10.00 per unit), will be deposited into a trust account located in the United States with Continental Stock Transfer &amp; Trust Company acting as trustee, and $4,500,000, or up to $4,875,000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will be used to pay expenses in connection with the closing of this offering (including the portion of the underwriting commissions payable upon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until the earliest of (i) the completion of our initial business combination, (ii) the redemption of our public shares if we have not consummated an initial business combination within 24 months from the closing of this offering, subject to applicable law, and (iii) the redemption of our public shares properly submitted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Based on current interest rates, we expect that interest income earned on the trust account (if any) will be sufficient to pay our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held in the trust account may be used as consideration to pay the sellers of a target business with which we ultimately complete our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If our initial business combination is paid for using equity or debt, or not all of the funds released from the trust account are used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the consideration in connection with our initial business combination or used for redemptions of our Class A ordinary shares, we may apply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balance of the cash released from the trust account for general corporate purposes, including for maintenance or expansion of operations of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the payment of principal or interest due on indebtedness incurred in completing our initial business combination,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 the purchase of other companies or for working capital. There is no limitation on our ability to raise funds privately or through loans in connection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our initial business combination.</w:t>
      </w:r>
    </w:p>
    <w:p>
      <w:pPr>
        <w:spacing w:after="0" w:line="238" w:lineRule="exact"/>
        <w:rPr>
          <w:sz w:val="20"/>
          <w:szCs w:val="20"/>
          <w:color w:val="auto"/>
        </w:rPr>
      </w:pPr>
    </w:p>
    <w:p>
      <w:pPr>
        <w:ind w:right="160"/>
        <w:spacing w:after="0" w:line="219" w:lineRule="exact"/>
        <w:rPr>
          <w:sz w:val="20"/>
          <w:szCs w:val="20"/>
          <w:color w:val="auto"/>
        </w:rPr>
      </w:pPr>
      <w:r>
        <w:rPr>
          <w:rFonts w:ascii="Arial" w:cs="Arial" w:eastAsia="Arial" w:hAnsi="Arial"/>
          <w:sz w:val="17"/>
          <w:szCs w:val="17"/>
          <w:color w:val="auto"/>
        </w:rPr>
        <w:t>We believe that amounts not held in trust, together with funds available to us from loans from our sponsor, members of our management team or any of their affiliates will be sufficient to pay the costs and expenses to which such proceeds are allocated. However, if our estimate of the costs of undertaking in</w:t>
      </w:r>
      <w:r>
        <w:rPr>
          <w:rFonts w:ascii="MS PGothic" w:cs="MS PGothic" w:eastAsia="MS PGothic" w:hAnsi="MS PGothic"/>
          <w:sz w:val="17"/>
          <w:szCs w:val="17"/>
          <w:color w:val="auto"/>
        </w:rPr>
        <w:t>‑</w:t>
      </w:r>
      <w:r>
        <w:rPr>
          <w:rFonts w:ascii="Arial" w:cs="Arial" w:eastAsia="Arial" w:hAnsi="Arial"/>
          <w:sz w:val="17"/>
          <w:szCs w:val="17"/>
          <w:color w:val="auto"/>
        </w:rPr>
        <w:t>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will reimburse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Our sponsor has agreed to loan us up to $300,000 to be used for a portion of the expenses of this offering. As of April 2, 2020, we had no borrowings under the promissory note with our sponsor. These loans are non</w:t>
      </w:r>
      <w:r>
        <w:rPr>
          <w:rFonts w:ascii="MS PGothic" w:cs="MS PGothic" w:eastAsia="MS PGothic" w:hAnsi="MS PGothic"/>
          <w:sz w:val="18"/>
          <w:szCs w:val="18"/>
          <w:color w:val="auto"/>
        </w:rPr>
        <w:t>‑</w:t>
      </w:r>
      <w:r>
        <w:rPr>
          <w:rFonts w:ascii="Arial" w:cs="Arial" w:eastAsia="Arial" w:hAnsi="Arial"/>
          <w:sz w:val="18"/>
          <w:szCs w:val="18"/>
          <w:color w:val="auto"/>
        </w:rPr>
        <w:t>interest bearing, unsecured and are due at the earlier of December 31, 2020 and the closing of this offering. The loans will be repaid upon the closing of this offering out of the $1,000,000 of offering proceeds that has been allocated to the payment of offering expenses.</w:t>
      </w:r>
    </w:p>
    <w:p>
      <w:pPr>
        <w:spacing w:after="0" w:line="231"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w:t>
      </w:r>
      <w:r>
        <w:rPr>
          <w:rFonts w:ascii="MS PGothic" w:cs="MS PGothic" w:eastAsia="MS PGothic" w:hAnsi="MS PGothic"/>
          <w:sz w:val="17"/>
          <w:szCs w:val="17"/>
          <w:color w:val="auto"/>
        </w:rPr>
        <w:t>‑</w:t>
      </w:r>
      <w:r>
        <w:rPr>
          <w:rFonts w:ascii="Arial" w:cs="Arial" w:eastAsia="Arial" w:hAnsi="Arial"/>
          <w:sz w:val="17"/>
          <w:szCs w:val="17"/>
          <w:color w:val="auto"/>
        </w:rPr>
        <w:t>converted basis, at 20% of our issued and outstanding ordinary shares (excluding the private placement shares underlying the private placement units) upon the consummation of this offering. Further, if we incur any indebtedness in connection with a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91"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At April 2, 2020, our net tangible book deficit was $(4,245), or approximately $(0.00) per ordinary share. After giving effect to the sale of 12,500,000 Class A ordinary shares included in the units we are offering by this prospectus (or 14,375,000 Class A ordinary shares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the sale of the private placement units and the deduction of underwriting commissions and estimated expenses of this offering, our pro forma net tangible book value at April 2, 2020 would have been $5,000,005, or $1.13 per share (or $5,000,005, or $1.00 per share,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representing an immediate increase in net tangible book value (as decreased by the value of 11,664,575 Class A ordinary shares that may be redeemed for cash, or 13,473,950 Class A ordinary shares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of $1.13 per share (or $1.00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to our sponsor as of the date of this prospectus and an immediate dilution to public shareholders from this offering of $10.00 per public share. Total dilution to public shareholders from this offering will be $8.87 per share (or $9.00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w:t>
      </w:r>
    </w:p>
    <w:p>
      <w:pPr>
        <w:spacing w:after="0" w:line="230" w:lineRule="exact"/>
        <w:rPr>
          <w:sz w:val="20"/>
          <w:szCs w:val="20"/>
          <w:color w:val="auto"/>
        </w:rPr>
      </w:pPr>
    </w:p>
    <w:p>
      <w:pPr>
        <w:ind w:right="280"/>
        <w:spacing w:after="0" w:line="223" w:lineRule="exact"/>
        <w:rPr>
          <w:sz w:val="20"/>
          <w:szCs w:val="20"/>
          <w:color w:val="auto"/>
        </w:rPr>
      </w:pPr>
      <w:r>
        <w:rPr>
          <w:rFonts w:ascii="Arial" w:cs="Arial" w:eastAsia="Arial" w:hAnsi="Arial"/>
          <w:sz w:val="18"/>
          <w:szCs w:val="18"/>
          <w:color w:val="auto"/>
        </w:rPr>
        <w:t>The following table illustrates the dilution to the public shareholders on a per</w:t>
      </w:r>
      <w:r>
        <w:rPr>
          <w:rFonts w:ascii="MS PGothic" w:cs="MS PGothic" w:eastAsia="MS PGothic" w:hAnsi="MS PGothic"/>
          <w:sz w:val="18"/>
          <w:szCs w:val="18"/>
          <w:color w:val="auto"/>
        </w:rPr>
        <w:t>‑</w:t>
      </w:r>
      <w:r>
        <w:rPr>
          <w:rFonts w:ascii="Arial" w:cs="Arial" w:eastAsia="Arial" w:hAnsi="Arial"/>
          <w:sz w:val="18"/>
          <w:szCs w:val="18"/>
          <w:color w:val="auto"/>
        </w:rPr>
        <w:t>share basis, assuming no value is attributed to the warrants included in the units or the private placement warrants: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700" w:type="dxa"/>
            <w:vAlign w:val="bottom"/>
            <w:gridSpan w:val="5"/>
          </w:tcPr>
          <w:p>
            <w:pPr>
              <w:jc w:val="right"/>
              <w:ind w:right="540"/>
              <w:spacing w:after="0" w:line="207" w:lineRule="exact"/>
              <w:rPr>
                <w:sz w:val="20"/>
                <w:szCs w:val="20"/>
                <w:color w:val="auto"/>
              </w:rPr>
            </w:pPr>
            <w:r>
              <w:rPr>
                <w:rFonts w:ascii="Arial" w:cs="Arial" w:eastAsia="Arial" w:hAnsi="Arial"/>
                <w:sz w:val="18"/>
                <w:szCs w:val="18"/>
                <w:b w:val="1"/>
                <w:bCs w:val="1"/>
                <w:color w:val="auto"/>
              </w:rPr>
              <w:t>Without Over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allotment</w:t>
            </w:r>
          </w:p>
        </w:tc>
        <w:tc>
          <w:tcPr>
            <w:tcW w:w="2040" w:type="dxa"/>
            <w:vAlign w:val="bottom"/>
            <w:gridSpan w:val="3"/>
          </w:tcPr>
          <w:p>
            <w:pPr>
              <w:jc w:val="right"/>
              <w:spacing w:after="0" w:line="207" w:lineRule="exact"/>
              <w:rPr>
                <w:sz w:val="20"/>
                <w:szCs w:val="20"/>
                <w:color w:val="auto"/>
              </w:rPr>
            </w:pPr>
            <w:r>
              <w:rPr>
                <w:rFonts w:ascii="Arial" w:cs="Arial" w:eastAsia="Arial" w:hAnsi="Arial"/>
                <w:sz w:val="18"/>
                <w:szCs w:val="18"/>
                <w:b w:val="1"/>
                <w:bCs w:val="1"/>
                <w:color w:val="auto"/>
              </w:rPr>
              <w:t>With Over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allotment</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20" w:type="dxa"/>
            <w:vAlign w:val="bottom"/>
            <w:tcBorders>
              <w:top w:val="single" w:sz="8" w:color="auto"/>
            </w:tcBorders>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2040" w:type="dxa"/>
            <w:vAlign w:val="bottom"/>
            <w:tcBorders>
              <w:top w:val="single" w:sz="8" w:color="auto"/>
            </w:tcBorders>
            <w:gridSpan w:val="3"/>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2"/>
        </w:trPr>
        <w:tc>
          <w:tcPr>
            <w:tcW w:w="5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5"/>
              </w:rPr>
              <w:t>Pro forma net tangible book value after this offering and the sale of the private</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37"/>
        </w:trPr>
        <w:tc>
          <w:tcPr>
            <w:tcW w:w="5940" w:type="dxa"/>
            <w:vAlign w:val="bottom"/>
          </w:tcPr>
          <w:p>
            <w:pPr>
              <w:ind w:left="140"/>
              <w:spacing w:after="0"/>
              <w:rPr>
                <w:sz w:val="20"/>
                <w:szCs w:val="20"/>
                <w:color w:val="auto"/>
              </w:rPr>
            </w:pPr>
            <w:r>
              <w:rPr>
                <w:rFonts w:ascii="Arial" w:cs="Arial" w:eastAsia="Arial" w:hAnsi="Arial"/>
                <w:sz w:val="18"/>
                <w:szCs w:val="18"/>
                <w:color w:val="auto"/>
              </w:rPr>
              <w:t>placement units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5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34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24"/>
        </w:trPr>
        <w:tc>
          <w:tcPr>
            <w:tcW w:w="5940" w:type="dxa"/>
            <w:vAlign w:val="bottom"/>
          </w:tcPr>
          <w:p>
            <w:pPr>
              <w:spacing w:after="0"/>
              <w:rPr>
                <w:sz w:val="20"/>
                <w:szCs w:val="20"/>
                <w:color w:val="auto"/>
              </w:rPr>
            </w:pPr>
            <w:r>
              <w:rPr>
                <w:rFonts w:ascii="Arial" w:cs="Arial" w:eastAsia="Arial" w:hAnsi="Arial"/>
                <w:sz w:val="18"/>
                <w:szCs w:val="18"/>
                <w:color w:val="auto"/>
              </w:rPr>
              <w:t>Percentage of dilution to public shareholders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w:t>
      </w:r>
    </w:p>
    <w:p>
      <w:pPr>
        <w:spacing w:after="0" w:line="35" w:lineRule="exact"/>
        <w:rPr>
          <w:sz w:val="20"/>
          <w:szCs w:val="20"/>
          <w:color w:val="auto"/>
        </w:rPr>
      </w:pPr>
    </w:p>
    <w:p>
      <w:pPr>
        <w:ind w:right="100"/>
        <w:spacing w:after="0" w:line="216" w:lineRule="exact"/>
        <w:rPr>
          <w:sz w:val="20"/>
          <w:szCs w:val="20"/>
          <w:color w:val="auto"/>
        </w:rPr>
      </w:pP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allotment option) by $116,645,750 because holders of up to approximately 90.1%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shareholders meeting, including interest earned on the funds held in the trust account and not previously released to us to pay our income taxes, if any, divided by the number of the then</w:t>
      </w:r>
      <w:r>
        <w:rPr>
          <w:rFonts w:ascii="MS PGothic" w:cs="MS PGothic" w:eastAsia="MS PGothic" w:hAnsi="MS PGothic"/>
          <w:sz w:val="18"/>
          <w:szCs w:val="18"/>
          <w:color w:val="auto"/>
        </w:rPr>
        <w:t>‑</w:t>
      </w:r>
      <w:r>
        <w:rPr>
          <w:rFonts w:ascii="Arial" w:cs="Arial" w:eastAsia="Arial" w:hAnsi="Arial"/>
          <w:sz w:val="18"/>
          <w:szCs w:val="18"/>
          <w:color w:val="auto"/>
        </w:rPr>
        <w:t>outstanding public shares).</w:t>
      </w:r>
    </w:p>
    <w:p>
      <w:pPr>
        <w:spacing w:after="0" w:line="23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information with respect to our initial shareholders, who hold our Class B ordinary shares and the private placement units, and the public shareholders: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Shares Purchased</w:t>
            </w:r>
          </w:p>
        </w:tc>
        <w:tc>
          <w:tcPr>
            <w:tcW w:w="160" w:type="dxa"/>
            <w:vAlign w:val="bottom"/>
          </w:tcPr>
          <w:p>
            <w:pPr>
              <w:spacing w:after="0"/>
              <w:rPr>
                <w:sz w:val="20"/>
                <w:szCs w:val="20"/>
                <w:color w:val="auto"/>
              </w:rPr>
            </w:pPr>
          </w:p>
        </w:tc>
        <w:tc>
          <w:tcPr>
            <w:tcW w:w="254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Total Consideration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w:t>
            </w:r>
          </w:p>
        </w:tc>
      </w:tr>
      <w:tr>
        <w:trPr>
          <w:trHeight w:val="223"/>
        </w:trPr>
        <w:tc>
          <w:tcPr>
            <w:tcW w:w="4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Per Share</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Class B Ordinary Shares</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Private Placement Unitholders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4,500,000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125,000,000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7"/>
        </w:trPr>
        <w:tc>
          <w:tcPr>
            <w:tcW w:w="4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16,075,000</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129,525,000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right="500" w:hanging="332"/>
        <w:spacing w:after="0" w:line="223" w:lineRule="exact"/>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no exercise of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and the corresponding forfeiture of 468,750 Class B ordinary shares held by our sponsor.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color w:val="auto"/>
        </w:rPr>
        <w:t>The pro forma net tangible book value per share after this offering (assuming that the underwriters do not exercise their over</w:t>
      </w:r>
      <w:r>
        <w:rPr>
          <w:rFonts w:ascii="MS PGothic" w:cs="MS PGothic" w:eastAsia="MS PGothic" w:hAnsi="MS PGothic"/>
          <w:sz w:val="18"/>
          <w:szCs w:val="18"/>
          <w:color w:val="auto"/>
        </w:rPr>
        <w:t>‑</w:t>
      </w:r>
      <w:r>
        <w:rPr>
          <w:rFonts w:ascii="Arial" w:cs="Arial" w:eastAsia="Arial" w:hAnsi="Arial"/>
          <w:sz w:val="18"/>
          <w:szCs w:val="18"/>
          <w:color w:val="auto"/>
        </w:rPr>
        <w:t>allotment option) is calculated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Without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With</w:t>
            </w:r>
          </w:p>
        </w:tc>
      </w:tr>
      <w:tr>
        <w:trPr>
          <w:trHeight w:val="241"/>
        </w:trPr>
        <w:tc>
          <w:tcPr>
            <w:tcW w:w="8560" w:type="dxa"/>
            <w:vAlign w:val="bottom"/>
          </w:tcPr>
          <w:p>
            <w:pPr>
              <w:spacing w:after="0"/>
              <w:rPr>
                <w:sz w:val="20"/>
                <w:szCs w:val="20"/>
                <w:color w:val="auto"/>
              </w:rPr>
            </w:pPr>
          </w:p>
        </w:tc>
        <w:tc>
          <w:tcPr>
            <w:tcW w:w="132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rPr>
              <w:t>Over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allotment</w:t>
            </w:r>
          </w:p>
        </w:tc>
        <w:tc>
          <w:tcPr>
            <w:tcW w:w="1360" w:type="dxa"/>
            <w:vAlign w:val="bottom"/>
            <w:gridSpan w:val="4"/>
          </w:tcPr>
          <w:p>
            <w:pPr>
              <w:ind w:left="80"/>
              <w:spacing w:after="0" w:line="207" w:lineRule="exact"/>
              <w:rPr>
                <w:sz w:val="20"/>
                <w:szCs w:val="20"/>
                <w:color w:val="auto"/>
              </w:rPr>
            </w:pPr>
            <w:r>
              <w:rPr>
                <w:rFonts w:ascii="Arial" w:cs="Arial" w:eastAsia="Arial" w:hAnsi="Arial"/>
                <w:sz w:val="18"/>
                <w:szCs w:val="18"/>
                <w:b w:val="1"/>
                <w:bCs w:val="1"/>
                <w:color w:val="auto"/>
                <w:w w:val="99"/>
              </w:rPr>
              <w:t>Over</w:t>
            </w:r>
            <w:r>
              <w:rPr>
                <w:rFonts w:ascii="MS PGothic" w:cs="MS PGothic" w:eastAsia="MS PGothic" w:hAnsi="MS PGothic"/>
                <w:sz w:val="18"/>
                <w:szCs w:val="18"/>
                <w:b w:val="1"/>
                <w:bCs w:val="1"/>
                <w:color w:val="auto"/>
                <w:w w:val="99"/>
              </w:rPr>
              <w:t>‑</w:t>
            </w:r>
            <w:r>
              <w:rPr>
                <w:rFonts w:ascii="Arial" w:cs="Arial" w:eastAsia="Arial" w:hAnsi="Arial"/>
                <w:sz w:val="18"/>
                <w:szCs w:val="18"/>
                <w:b w:val="1"/>
                <w:bCs w:val="1"/>
                <w:color w:val="auto"/>
                <w:w w:val="99"/>
              </w:rPr>
              <w:t>allotment</w:t>
            </w: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r>
      <w:tr>
        <w:trPr>
          <w:trHeight w:val="216"/>
        </w:trPr>
        <w:tc>
          <w:tcPr>
            <w:tcW w:w="8560" w:type="dxa"/>
            <w:vAlign w:val="bottom"/>
          </w:tcPr>
          <w:p>
            <w:pPr>
              <w:spacing w:after="0" w:line="216" w:lineRule="exact"/>
              <w:rPr>
                <w:sz w:val="20"/>
                <w:szCs w:val="20"/>
                <w:color w:val="auto"/>
              </w:rPr>
            </w:pPr>
            <w:r>
              <w:rPr>
                <w:rFonts w:ascii="Arial" w:cs="Arial" w:eastAsia="Arial" w:hAnsi="Arial"/>
                <w:sz w:val="16"/>
                <w:szCs w:val="16"/>
                <w:color w:val="auto"/>
              </w:rPr>
              <w:t>Net proceeds from this offering and sale of the private placement units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126,000,000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144,750,000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Plus: Offering costs paid in advance, excluded from tangible book value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Less: Deferred underwriting commissions</w:t>
            </w: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(4,375,000)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(5,031,250)</w:t>
            </w:r>
          </w:p>
        </w:tc>
      </w:tr>
      <w:tr>
        <w:trPr>
          <w:trHeight w:val="216"/>
        </w:trPr>
        <w:tc>
          <w:tcPr>
            <w:tcW w:w="85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Less: Proceeds held in trust subject to redemption</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(116,645,750)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(134,739,500)</w:t>
            </w:r>
          </w:p>
        </w:tc>
      </w:tr>
      <w:tr>
        <w:trPr>
          <w:trHeight w:val="27"/>
        </w:trPr>
        <w:tc>
          <w:tcPr>
            <w:tcW w:w="8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5,000,005</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5,000,005</w:t>
            </w:r>
          </w:p>
        </w:tc>
      </w:tr>
      <w:tr>
        <w:trPr>
          <w:trHeight w:val="21"/>
        </w:trPr>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Ordinary shares outstanding prior to this offering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3,593,750</w:t>
            </w:r>
          </w:p>
        </w:tc>
      </w:tr>
      <w:tr>
        <w:trPr>
          <w:trHeight w:val="216"/>
        </w:trPr>
        <w:tc>
          <w:tcPr>
            <w:tcW w:w="856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Ordinary shares forfeited if over</w:t>
            </w:r>
            <w:r>
              <w:rPr>
                <w:rFonts w:ascii="MS PGothic" w:cs="MS PGothic" w:eastAsia="MS PGothic" w:hAnsi="MS PGothic"/>
                <w:sz w:val="18"/>
                <w:szCs w:val="18"/>
                <w:color w:val="auto"/>
              </w:rPr>
              <w:t>‑</w:t>
            </w:r>
            <w:r>
              <w:rPr>
                <w:rFonts w:ascii="Arial" w:cs="Arial" w:eastAsia="Arial" w:hAnsi="Arial"/>
                <w:sz w:val="18"/>
                <w:szCs w:val="18"/>
                <w:color w:val="auto"/>
              </w:rPr>
              <w:t>allotment is not exercised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(468,750)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Ordinary shares included in the units offered and sale of private placement units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14,862,500</w:t>
            </w:r>
          </w:p>
        </w:tc>
      </w:tr>
      <w:tr>
        <w:trPr>
          <w:trHeight w:val="22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Ordinary shares subject to redemption</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(11,664,575)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(13,473,950)</w:t>
            </w:r>
          </w:p>
        </w:tc>
      </w:tr>
      <w:tr>
        <w:trPr>
          <w:trHeight w:val="216"/>
        </w:trPr>
        <w:tc>
          <w:tcPr>
            <w:tcW w:w="85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4,410,425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4,982,300</w:t>
            </w:r>
          </w:p>
        </w:tc>
        <w:tc>
          <w:tcPr>
            <w:tcW w:w="10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right="260" w:hanging="332"/>
        <w:spacing w:after="0" w:line="223" w:lineRule="exact"/>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Expenses applied against gross proceeds include offering expenses of $1,000,000 and underwriting commissions of $2,500,000 or $2,875,000 if the underwriters exercise their over</w:t>
      </w:r>
      <w:r>
        <w:rPr>
          <w:rFonts w:ascii="MS PGothic" w:cs="MS PGothic" w:eastAsia="MS PGothic" w:hAnsi="MS PGothic"/>
          <w:sz w:val="18"/>
          <w:szCs w:val="18"/>
          <w:color w:val="auto"/>
        </w:rPr>
        <w:t>‑</w:t>
      </w:r>
      <w:r>
        <w:rPr>
          <w:rFonts w:ascii="Arial" w:cs="Arial" w:eastAsia="Arial" w:hAnsi="Arial"/>
          <w:sz w:val="18"/>
          <w:szCs w:val="18"/>
          <w:color w:val="auto"/>
        </w:rPr>
        <w:t>allotment option (excluding deferred underwriting fees). See “Use of Proceeds.”</w:t>
      </w:r>
    </w:p>
    <w:p>
      <w:pPr>
        <w:spacing w:after="0" w:line="229" w:lineRule="exact"/>
        <w:rPr>
          <w:rFonts w:ascii="Arial" w:cs="Arial" w:eastAsia="Arial" w:hAnsi="Arial"/>
          <w:sz w:val="18"/>
          <w:szCs w:val="18"/>
          <w:color w:val="auto"/>
        </w:rPr>
      </w:pPr>
    </w:p>
    <w:p>
      <w:pPr>
        <w:ind w:left="340" w:right="60" w:hanging="332"/>
        <w:spacing w:after="0" w:line="29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and Other Transactions with Respect to Our Securities.”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our capitalization at April 2, 2020, and as adjusted to give effect to the filing of our amended and restated memorandum and articles of association, the sale of our units in this offering and the private placement units and the application of the estimated net proceeds derived from the sale of such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April 2, 2020</w:t>
            </w:r>
          </w:p>
        </w:tc>
      </w:tr>
      <w:tr>
        <w:trPr>
          <w:trHeight w:val="223"/>
        </w:trPr>
        <w:tc>
          <w:tcPr>
            <w:tcW w:w="8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Actual</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Adjusted (1)</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Note payable - related party (2)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Deferred underwriting commissions (3)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4,375,000</w:t>
            </w: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479,000,000 shares authorized; -0- and 11,664,575 shares are subject to</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possible redemption, actual and as adjusted, respectively</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116,645,750</w:t>
            </w: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5"/>
              </w:rPr>
              <w:t>Preference shares, $0.0001 par value; 1,000,000 shares authorized; none issued and outstanding, actual and as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 $0.0001 par value, 479,000,000 shares authorized; -0- and 1,285,425 shares issued and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outstanding (excluding -0- and 11,664,575 shares subject to possible redemption), actual and as adjusted,</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(4)</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02"/>
        </w:trPr>
        <w:tc>
          <w:tcPr>
            <w:tcW w:w="862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3,593,750 and 3,125,000 shares issued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5,003,808</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(4,245)</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(4,245)</w:t>
            </w:r>
          </w:p>
        </w:tc>
      </w:tr>
      <w:tr>
        <w:trPr>
          <w:trHeight w:val="223"/>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Total capitalization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20,755</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126,020,755</w:t>
            </w:r>
          </w:p>
        </w:tc>
      </w:tr>
      <w:tr>
        <w:trPr>
          <w:trHeight w:val="21"/>
        </w:trPr>
        <w:tc>
          <w:tcPr>
            <w:tcW w:w="8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right="500" w:hanging="332"/>
        <w:spacing w:after="0" w:line="223"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no exercise of the underwriters’ over</w:t>
      </w:r>
      <w:r>
        <w:rPr>
          <w:rFonts w:ascii="MS PGothic" w:cs="MS PGothic" w:eastAsia="MS PGothic" w:hAnsi="MS PGothic"/>
          <w:sz w:val="18"/>
          <w:szCs w:val="18"/>
          <w:color w:val="auto"/>
        </w:rPr>
        <w:t>‑</w:t>
      </w:r>
      <w:r>
        <w:rPr>
          <w:rFonts w:ascii="Arial" w:cs="Arial" w:eastAsia="Arial" w:hAnsi="Arial"/>
          <w:sz w:val="18"/>
          <w:szCs w:val="18"/>
          <w:color w:val="auto"/>
        </w:rPr>
        <w:t>allotment option and the corresponding forfeiture of 468,750 Class B ordinary shares held by our sponsor.</w:t>
      </w:r>
    </w:p>
    <w:p>
      <w:pPr>
        <w:spacing w:after="0" w:line="229" w:lineRule="exact"/>
        <w:rPr>
          <w:rFonts w:ascii="Arial" w:cs="Arial" w:eastAsia="Arial" w:hAnsi="Arial"/>
          <w:sz w:val="18"/>
          <w:szCs w:val="18"/>
          <w:color w:val="auto"/>
        </w:rPr>
      </w:pPr>
    </w:p>
    <w:p>
      <w:pPr>
        <w:ind w:left="340" w:right="2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sponsor may loan us up to $300,000 under an unsecured promissory note to be used for a portion of the expenses of this offering. As of April 2, 2020, we had not borrowed any amounts from our sponsor to cover for expenses in connection with this offering.</w:t>
      </w:r>
    </w:p>
    <w:p>
      <w:pPr>
        <w:spacing w:after="0" w:line="173" w:lineRule="exact"/>
        <w:rPr>
          <w:rFonts w:ascii="Arial" w:cs="Arial" w:eastAsia="Arial" w:hAnsi="Arial"/>
          <w:sz w:val="17"/>
          <w:szCs w:val="17"/>
          <w:color w:val="auto"/>
        </w:rPr>
      </w:pPr>
    </w:p>
    <w:p>
      <w:pPr>
        <w:ind w:left="340" w:right="100" w:hanging="332"/>
        <w:spacing w:after="0" w:line="219"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$0.35 per Unit, or $4.375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 The Company records deferred underwriting commissions upon the closing of the initial public offering as a reduction of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Since the actual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was reduced by the recording of the accrued deferred underwriting commission, total capitalization, as adjusted, includes the amount of the deferred underwriting commission to reflect total capitalization.</w:t>
      </w:r>
    </w:p>
    <w:p>
      <w:pPr>
        <w:spacing w:after="0" w:line="229" w:lineRule="exact"/>
        <w:rPr>
          <w:rFonts w:ascii="Arial" w:cs="Arial" w:eastAsia="Arial" w:hAnsi="Arial"/>
          <w:sz w:val="18"/>
          <w:szCs w:val="18"/>
          <w:color w:val="auto"/>
        </w:rPr>
      </w:pPr>
    </w:p>
    <w:p>
      <w:pPr>
        <w:ind w:left="340" w:hanging="332"/>
        <w:spacing w:after="0" w:line="219"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w:t>
      </w:r>
      <w:r>
        <w:rPr>
          <w:rFonts w:ascii="MS PGothic" w:cs="MS PGothic" w:eastAsia="MS PGothic" w:hAnsi="MS PGothic"/>
          <w:sz w:val="18"/>
          <w:szCs w:val="18"/>
          <w:color w:val="auto"/>
        </w:rPr>
        <w:t>‑</w:t>
      </w:r>
      <w:r>
        <w:rPr>
          <w:rFonts w:ascii="Arial" w:cs="Arial" w:eastAsia="Arial" w:hAnsi="Arial"/>
          <w:sz w:val="18"/>
          <w:szCs w:val="18"/>
          <w:color w:val="auto"/>
        </w:rPr>
        <w:t>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blank check company incorporated on March 27, 2020 as a Cayman Islands exempted company for the purpose of effecting a merger, share exchange, asset acquisition, share purchase, reorganization or similar business combination with one or more businesses.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sale of the private placement units, our shares, debt or a combination of cash, equity and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252" w:lineRule="exact"/>
        <w:rPr>
          <w:sz w:val="20"/>
          <w:szCs w:val="20"/>
          <w:color w:val="auto"/>
        </w:rPr>
      </w:pPr>
    </w:p>
    <w:p>
      <w:pPr>
        <w:ind w:left="980" w:right="100" w:hanging="324"/>
        <w:spacing w:after="0" w:line="220"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w:t>
      </w:r>
      <w:r>
        <w:rPr>
          <w:rFonts w:ascii="MS PGothic" w:cs="MS PGothic" w:eastAsia="MS PGothic" w:hAnsi="MS PGothic"/>
          <w:sz w:val="18"/>
          <w:szCs w:val="18"/>
          <w:color w:val="auto"/>
        </w:rPr>
        <w:t>‑</w:t>
      </w:r>
      <w:r>
        <w:rPr>
          <w:rFonts w:ascii="Arial" w:cs="Arial" w:eastAsia="Arial" w:hAnsi="Arial"/>
          <w:sz w:val="18"/>
          <w:szCs w:val="18"/>
          <w:color w:val="auto"/>
        </w:rPr>
        <w:t>dilution provisions in the Class B ordinary shares resulted in the issuance of Class A ordinary shares on a greater than one</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one basis upon conversion of the Class B ordinary shares;</w:t>
      </w:r>
    </w:p>
    <w:p>
      <w:pPr>
        <w:spacing w:after="0" w:line="231"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97" w:lineRule="exact"/>
        <w:rPr>
          <w:rFonts w:ascii="Arial" w:cs="Arial" w:eastAsia="Arial" w:hAnsi="Arial"/>
          <w:sz w:val="18"/>
          <w:szCs w:val="18"/>
          <w:color w:val="auto"/>
        </w:rPr>
      </w:pPr>
    </w:p>
    <w:p>
      <w:pPr>
        <w:jc w:val="both"/>
        <w:ind w:left="980" w:right="12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150"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252" w:lineRule="exact"/>
        <w:rPr>
          <w:sz w:val="20"/>
          <w:szCs w:val="20"/>
          <w:color w:val="auto"/>
        </w:rPr>
      </w:pPr>
    </w:p>
    <w:p>
      <w:pPr>
        <w:ind w:left="980" w:right="7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97" w:lineRule="exact"/>
        <w:rPr>
          <w:rFonts w:ascii="Arial" w:cs="Arial" w:eastAsia="Arial" w:hAnsi="Arial"/>
          <w:sz w:val="18"/>
          <w:szCs w:val="18"/>
          <w:color w:val="auto"/>
        </w:rPr>
      </w:pPr>
    </w:p>
    <w:p>
      <w:pPr>
        <w:ind w:left="980" w:right="24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980" w:right="22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40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indicated in the accompanying financial statements, as of April 2, 2020, we had no cash and deferred offering costs of $25,000. Further, we expect to incur significant costs in the pursuit of our initial business combination. We cannot assure you that our plans to raise capital or to complete our initial business combination will be successful.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56" w:lineRule="exact"/>
        <w:rPr>
          <w:sz w:val="20"/>
          <w:szCs w:val="20"/>
          <w:color w:val="auto"/>
        </w:rPr>
      </w:pPr>
    </w:p>
    <w:p>
      <w:pPr>
        <w:ind w:right="180"/>
        <w:spacing w:after="0" w:line="218" w:lineRule="exact"/>
        <w:rPr>
          <w:sz w:val="20"/>
          <w:szCs w:val="20"/>
          <w:color w:val="auto"/>
        </w:rPr>
      </w:pPr>
      <w:r>
        <w:rPr>
          <w:rFonts w:ascii="Arial" w:cs="Arial" w:eastAsia="Arial" w:hAnsi="Arial"/>
          <w:sz w:val="16"/>
          <w:szCs w:val="16"/>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w:t>
      </w:r>
      <w:r>
        <w:rPr>
          <w:rFonts w:ascii="MS PGothic" w:cs="MS PGothic" w:eastAsia="MS PGothic" w:hAnsi="MS PGothic"/>
          <w:sz w:val="16"/>
          <w:szCs w:val="16"/>
          <w:color w:val="auto"/>
        </w:rPr>
        <w:t>‑</w:t>
      </w:r>
      <w:r>
        <w:rPr>
          <w:rFonts w:ascii="Arial" w:cs="Arial" w:eastAsia="Arial" w:hAnsi="Arial"/>
          <w:sz w:val="16"/>
          <w:szCs w:val="16"/>
          <w:color w:val="auto"/>
        </w:rPr>
        <w:t>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liquidity needs have been satisfied prior to the completion of this offering through receipt of a $25,000 capital contribution from our sponsor in exchange for the issuance of the founder shares to our sponsor and a commitment from our sponsor to loan up to $300,000 to us to cover our expenses in connection with this offering. We estimate that the net proceeds from (i) the sale of the units in this offering, after deducting offering expenses of $1.0 million, underwriting commissions of $2,500,000, or $2,875,000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(excluding deferred underwriting commissions of $4,375,000, or $5,031,250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and (ii) the sale of the private placement units for a purchase price of $4,500,000 (or $4,875,000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will be $126.0 million (or $144.75 million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$125.0 million (or $143.75 million if the underwriters’ over</w:t>
      </w:r>
      <w:r>
        <w:rPr>
          <w:rFonts w:ascii="MS PGothic" w:cs="MS PGothic" w:eastAsia="MS PGothic" w:hAnsi="MS PGothic"/>
          <w:sz w:val="17"/>
          <w:szCs w:val="17"/>
          <w:color w:val="auto"/>
        </w:rPr>
        <w:t>‑</w:t>
      </w:r>
      <w:r>
        <w:rPr>
          <w:rFonts w:ascii="Arial" w:cs="Arial" w:eastAsia="Arial" w:hAnsi="Arial"/>
          <w:sz w:val="17"/>
          <w:szCs w:val="17"/>
          <w:color w:val="auto"/>
        </w:rPr>
        <w:t>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w:t>
      </w:r>
      <w:r>
        <w:rPr>
          <w:rFonts w:ascii="MS PGothic" w:cs="MS PGothic" w:eastAsia="MS PGothic" w:hAnsi="MS PGothic"/>
          <w:sz w:val="17"/>
          <w:szCs w:val="17"/>
          <w:color w:val="auto"/>
        </w:rPr>
        <w:t>‑</w:t>
      </w:r>
      <w:r>
        <w:rPr>
          <w:rFonts w:ascii="Arial" w:cs="Arial" w:eastAsia="Arial" w:hAnsi="Arial"/>
          <w:sz w:val="17"/>
          <w:szCs w:val="17"/>
          <w:color w:val="auto"/>
        </w:rPr>
        <w:t>7 under the Investment Company Act which invest only in direct U.S. government treasury obligations. The remaining $1.0 million will not be held in the trust account. In the event that our offering expenses exceed our estimate of $1.0 million, we may fund such excess with funds not to be held in the trust account. In such case, the amount of funds we intend to be held outside the trust account would decrease by a corresponding amount. Conversely, in the event that the offering expenses are less than our estimate of $1.0 million, the amount of funds we intend to be held outside the trust account would increase by a corresponding amount.</w:t>
      </w:r>
    </w:p>
    <w:p>
      <w:pPr>
        <w:spacing w:after="0" w:line="234"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Prior to the completion of our initial business combination, we will have available to us the $1.0 million of proceeds held outside the trust account, as well as certain funds from loans from our sponsor, members of our management team or any of their affiliates. We will use these funds to primarily identify and evaluate target businesses, perform business due diligence on prospective target businesses, travel to and from the offices, plants or similar locations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prospective target businesses or their representatives or owners, review corporate documents and material agreements of prospective target businesses, and structure, negotiate and complete a business combination.</w:t>
      </w:r>
    </w:p>
    <w:p>
      <w:pPr>
        <w:spacing w:after="0" w:line="19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the completion of our initial business combination, other than funds available from loans from our sponsor, members of our management team or any of their affiliates. However, if our estimates of the costs of identifying a target business, undertaking in</w:t>
      </w:r>
      <w:r>
        <w:rPr>
          <w:rFonts w:ascii="MS PGothic" w:cs="MS PGothic" w:eastAsia="MS PGothic" w:hAnsi="MS PGothic"/>
          <w:sz w:val="16"/>
          <w:szCs w:val="16"/>
          <w:color w:val="auto"/>
        </w:rPr>
        <w:t>‑</w:t>
      </w:r>
      <w:r>
        <w:rPr>
          <w:rFonts w:ascii="Arial" w:cs="Arial" w:eastAsia="Arial" w:hAnsi="Arial"/>
          <w:sz w:val="16"/>
          <w:szCs w:val="16"/>
          <w:color w:val="auto"/>
        </w:rPr>
        <w:t>depth due diligence and negotiating an initial business combination are less than the actual amount necessary to do so, we may have insufficient funds available to operate our business prior to the completion of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may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3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We expect our primary liquidity requirements during that period to include approximately $350,000 for legal, accounting, due diligence, travel and other expenses in connection with any business combinations; $150,000 for legal and accounting fees related to regulatory reporting obligations; $100,000 for consulting, travel and miscellaneous expenses incurred during the search for an initial business combination target; $55,000 for Nasdaq continued listing fees; and $105,000 for general working capital that will be used for miscellaneous expenses and reserves. We will also reimburse our sponsor for office space, secretarial and administrative services provided to us in the amount of $10,000 per month ($240,000 in the aggregate).</w:t>
      </w:r>
    </w:p>
    <w:p>
      <w:pPr>
        <w:spacing w:after="0" w:line="188"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w:t>
      </w:r>
      <w:r>
        <w:rPr>
          <w:rFonts w:ascii="MS PGothic" w:cs="MS PGothic" w:eastAsia="MS PGothic" w:hAnsi="MS PGothic"/>
          <w:sz w:val="17"/>
          <w:szCs w:val="17"/>
          <w:color w:val="auto"/>
        </w:rPr>
        <w:t>‑</w:t>
      </w:r>
      <w:r>
        <w:rPr>
          <w:rFonts w:ascii="Arial" w:cs="Arial" w:eastAsia="Arial" w:hAnsi="Arial"/>
          <w:sz w:val="17"/>
          <w:szCs w:val="17"/>
          <w:color w:val="auto"/>
        </w:rPr>
        <w:t>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w:t>
      </w:r>
      <w:r>
        <w:rPr>
          <w:rFonts w:ascii="MS PGothic" w:cs="MS PGothic" w:eastAsia="MS PGothic" w:hAnsi="MS PGothic"/>
          <w:sz w:val="17"/>
          <w:szCs w:val="17"/>
          <w:color w:val="auto"/>
        </w:rPr>
        <w:t>‑</w:t>
      </w:r>
      <w:r>
        <w:rPr>
          <w:rFonts w:ascii="Arial" w:cs="Arial" w:eastAsia="Arial" w:hAnsi="Arial"/>
          <w:sz w:val="17"/>
          <w:szCs w:val="17"/>
          <w:color w:val="auto"/>
        </w:rPr>
        <w:t>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consummated our initial business combination within 24 months from the closing of this offering because we do not have sufficient funds available to us, we will be forced to cease operations and liquidate the trust account.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56"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We will be required to comply with the internal control requirements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51"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regarding the adequacy of internal controls. Many small and mid</w:t>
      </w:r>
      <w:r>
        <w:rPr>
          <w:rFonts w:ascii="MS PGothic" w:cs="MS PGothic" w:eastAsia="MS PGothic" w:hAnsi="MS PGothic"/>
          <w:sz w:val="16"/>
          <w:szCs w:val="16"/>
          <w:color w:val="auto"/>
        </w:rPr>
        <w:t>‑</w:t>
      </w:r>
      <w:r>
        <w:rPr>
          <w:rFonts w:ascii="Arial" w:cs="Arial" w:eastAsia="Arial" w:hAnsi="Arial"/>
          <w:sz w:val="16"/>
          <w:szCs w:val="16"/>
          <w:color w:val="auto"/>
        </w:rPr>
        <w:t>sized target businesses we may consider for our initial business combination may have internal controls that need improvement in areas such as:</w:t>
      </w:r>
    </w:p>
    <w:p>
      <w:pPr>
        <w:spacing w:after="0" w:line="23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The independent auditors may identify additional issues concerning a target business’s internal controls while performing their audit of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The net proceeds of this offering and the sale of the private placement units held in the trust account will be invested in U.S. government treasury obligations with a maturity of 185 days or less or in money market funds meeting certain conditions under Rule 2a</w:t>
      </w:r>
      <w:r>
        <w:rPr>
          <w:rFonts w:ascii="MS PGothic" w:cs="MS PGothic" w:eastAsia="MS PGothic" w:hAnsi="MS PGothic"/>
          <w:sz w:val="18"/>
          <w:szCs w:val="18"/>
          <w:color w:val="auto"/>
        </w:rPr>
        <w:t>‑</w:t>
      </w:r>
      <w:r>
        <w:rPr>
          <w:rFonts w:ascii="Arial" w:cs="Arial" w:eastAsia="Arial" w:hAnsi="Arial"/>
          <w:sz w:val="18"/>
          <w:szCs w:val="18"/>
          <w:color w:val="auto"/>
        </w:rPr>
        <w:t>7 under the Investment Company Act which invest only in direct U.S. government treasury obligations.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these investments, we believe there will be no associated material exposure to interest rate risk.</w:t>
      </w:r>
    </w:p>
    <w:p>
      <w:pPr>
        <w:spacing w:after="0" w:line="22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 Commitments and Contractual Obligations; Quarterly Results</w:t>
      </w:r>
    </w:p>
    <w:p>
      <w:pPr>
        <w:spacing w:after="0" w:line="256" w:lineRule="exact"/>
        <w:rPr>
          <w:sz w:val="20"/>
          <w:szCs w:val="20"/>
          <w:color w:val="auto"/>
        </w:rPr>
      </w:pPr>
    </w:p>
    <w:p>
      <w:pPr>
        <w:ind w:right="200"/>
        <w:spacing w:after="0" w:line="220" w:lineRule="exact"/>
        <w:rPr>
          <w:sz w:val="20"/>
          <w:szCs w:val="20"/>
          <w:color w:val="auto"/>
        </w:rPr>
      </w:pPr>
      <w:r>
        <w:rPr>
          <w:rFonts w:ascii="Arial" w:cs="Arial" w:eastAsia="Arial" w:hAnsi="Arial"/>
          <w:sz w:val="18"/>
          <w:szCs w:val="18"/>
          <w:color w:val="auto"/>
        </w:rPr>
        <w:t>As of April 2, 2020, we did not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Item 303(a)(4)(ii) of Regulation S</w:t>
      </w:r>
      <w:r>
        <w:rPr>
          <w:rFonts w:ascii="MS PGothic" w:cs="MS PGothic" w:eastAsia="MS PGothic" w:hAnsi="MS PGothic"/>
          <w:sz w:val="18"/>
          <w:szCs w:val="18"/>
          <w:color w:val="auto"/>
        </w:rPr>
        <w:t>‑</w:t>
      </w:r>
      <w:r>
        <w:rPr>
          <w:rFonts w:ascii="Arial" w:cs="Arial" w:eastAsia="Arial" w:hAnsi="Arial"/>
          <w:sz w:val="18"/>
          <w:szCs w:val="18"/>
          <w:color w:val="auto"/>
        </w:rPr>
        <w:t>K and did not have any commitments or contractual obligations. No unaudited quarterly operating data is included in this prospectus as we have not conducted any operations to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required for non</w:t>
      </w:r>
      <w:r>
        <w:rPr>
          <w:rFonts w:ascii="MS PGothic" w:cs="MS PGothic" w:eastAsia="MS PGothic" w:hAnsi="MS PGothic"/>
          <w:sz w:val="18"/>
          <w:szCs w:val="18"/>
          <w:color w:val="auto"/>
        </w:rPr>
        <w:t>‑</w:t>
      </w:r>
      <w:r>
        <w:rPr>
          <w:rFonts w:ascii="Arial" w:cs="Arial" w:eastAsia="Arial" w:hAnsi="Arial"/>
          <w:sz w:val="18"/>
          <w:szCs w:val="18"/>
          <w:color w:val="auto"/>
        </w:rPr>
        <w:t>emerging growth companies. As a result, our financial statements may not be comparable to companies that comply with new or revised accounting pronouncements as of public company effective dates.</w:t>
      </w:r>
    </w:p>
    <w:p>
      <w:pPr>
        <w:spacing w:after="0" w:line="23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(ii) provide all of the compensation disclosure that may be required of non</w:t>
      </w:r>
      <w:r>
        <w:rPr>
          <w:rFonts w:ascii="MS PGothic" w:cs="MS PGothic" w:eastAsia="MS PGothic" w:hAnsi="MS PGothic"/>
          <w:sz w:val="16"/>
          <w:szCs w:val="16"/>
          <w:color w:val="auto"/>
        </w:rPr>
        <w:t>‑</w:t>
      </w:r>
      <w:r>
        <w:rPr>
          <w:rFonts w:ascii="Arial" w:cs="Arial" w:eastAsia="Arial" w:hAnsi="Arial"/>
          <w:sz w:val="16"/>
          <w:szCs w:val="16"/>
          <w:color w:val="auto"/>
        </w:rPr>
        <w:t>emerging growth public companies under the Dodd</w:t>
      </w:r>
      <w:r>
        <w:rPr>
          <w:rFonts w:ascii="MS PGothic" w:cs="MS PGothic" w:eastAsia="MS PGothic" w:hAnsi="MS PGothic"/>
          <w:sz w:val="16"/>
          <w:szCs w:val="16"/>
          <w:color w:val="auto"/>
        </w:rPr>
        <w:t>‑</w:t>
      </w:r>
      <w:r>
        <w:rPr>
          <w:rFonts w:ascii="Arial" w:cs="Arial" w:eastAsia="Arial" w:hAnsi="Arial"/>
          <w:sz w:val="16"/>
          <w:szCs w:val="16"/>
          <w:color w:val="auto"/>
        </w:rPr>
        <w:t>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are a newly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191" w:lineRule="exact"/>
        <w:rPr>
          <w:sz w:val="20"/>
          <w:szCs w:val="20"/>
          <w:color w:val="auto"/>
        </w:rPr>
      </w:pPr>
    </w:p>
    <w:p>
      <w:pPr>
        <w:ind w:right="80"/>
        <w:spacing w:after="0" w:line="219" w:lineRule="exact"/>
        <w:rPr>
          <w:sz w:val="20"/>
          <w:szCs w:val="20"/>
          <w:color w:val="auto"/>
        </w:rPr>
      </w:pPr>
      <w:r>
        <w:rPr>
          <w:rFonts w:ascii="Arial" w:cs="Arial" w:eastAsia="Arial" w:hAnsi="Arial"/>
          <w:sz w:val="16"/>
          <w:szCs w:val="16"/>
          <w:color w:val="auto"/>
        </w:rPr>
        <w:t>While we may pursue an acquisition opportunity in any business, industry, sector or geographical location, we intend to focus on industries that complement our management team’s background, and to capitalize on the ability of our management team to identify and acquire a business, focusing on the healthcare or healthcare related industries. In particular, we will target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Founders</w:t>
      </w:r>
    </w:p>
    <w:p>
      <w:pPr>
        <w:spacing w:after="0" w:line="256"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Our sponsor is an affiliate of Perceptive Advisors, a leading life sciences focused investment firm with over $7 billion of regulatory assets under management as of December 31, 2019. Since its launch in 1999, Perceptive Advisors has focused exclusively on the healthcare industry. Our founders are the founder and management of Perceptive Advisors. Adam Stone, our Chief Executive Officer, is the Chief Investment Officer of Perceptive Advisors, and Michael Altman, our Chief Financial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w:t>
      </w:r>
      <w:r>
        <w:rPr>
          <w:rFonts w:ascii="MS PGothic" w:cs="MS PGothic" w:eastAsia="MS PGothic" w:hAnsi="MS PGothic"/>
          <w:sz w:val="17"/>
          <w:szCs w:val="17"/>
          <w:color w:val="auto"/>
        </w:rPr>
        <w:t>‑</w:t>
      </w:r>
      <w:r>
        <w:rPr>
          <w:rFonts w:ascii="Arial" w:cs="Arial" w:eastAsia="Arial" w:hAnsi="Arial"/>
          <w:sz w:val="17"/>
          <w:szCs w:val="17"/>
          <w:color w:val="auto"/>
        </w:rPr>
        <w:t>IPO financing rounds known as “crossovers.” Perceptive Advisors has invested in over 75 private companies since 2013 and in 2019 met with over 200 private companies in evaluation of private growth financing rounds, crossovers, and pre</w:t>
      </w:r>
      <w:r>
        <w:rPr>
          <w:rFonts w:ascii="MS PGothic" w:cs="MS PGothic" w:eastAsia="MS PGothic" w:hAnsi="MS PGothic"/>
          <w:sz w:val="17"/>
          <w:szCs w:val="17"/>
          <w:color w:val="auto"/>
        </w:rPr>
        <w:t>‑</w:t>
      </w:r>
      <w:r>
        <w:rPr>
          <w:rFonts w:ascii="Arial" w:cs="Arial" w:eastAsia="Arial" w:hAnsi="Arial"/>
          <w:sz w:val="17"/>
          <w:szCs w:val="17"/>
          <w:color w:val="auto"/>
        </w:rPr>
        <w:t>IPO analysis. We have not selected any business combination target and we have not, nor has anyone on our behalf, initiated any substantive discussions, directly or indirectly, with any business combination target.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and Management</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Adam Stone, our Chief Executive Officer, joined Perceptive Advisors in 2006 and has acted as Chief Investment Officer since 2012 and is a member of the internal investment committees of Perceptive Advisors’ credit opportunities and venture funds. Mr. Stone currently also serves on the boards of directors of ARYA Sciences Acquisition Corp. (Nasdaq: ARYA), ARYA Sciences Acquisition Corp II, Solid Biosciences (Nasdaq: SLDB), Renovia, and Xontogeny, which are portfolio companies of Perceptive Advisors. Prior to joining Perceptive Advisors, Mr. Stone was a Senior Analyst at Ursus Capital from 2001 to 2006 where he focused on biotechnology and specialty pharmaceuticals. Mr. Stone graduated, with honors, from Princeton University with a BA in molecular biology.</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Michael Altman, CFA, our Chief Financial Officer,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which are portfolio companies of Perceptive Advisors. Mr. Altman also serves on the board of ARYA Sciences Acquisition Corp. (Nasdaq: ARYA) and ARYA Sciences Acquisition Corp II. Prior to joining Perceptive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Advisors, Mr. Altman was a trader and analyst at First New York Securities from 2005 to 2007. Mr. Altman graduated from the University of Vermont with a BS in Business Administration.</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believe our management team is well positioned to take advantage of the growing set of investment opportunities focused on the healthcare industry and that our contacts and relationships will allow us to generate an attractive transaction for our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with Special Purpose Acquisition Vehicles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management team has previous experience in the execution of public acquisition vehicles. Mr. Stone is the Chief Executive Officer of ARYA Sciences Acquisition Corp. and ARYA Sciences Acquisition Corp II and Mr. Altman is the Chief Financial Officer of ARYA Sciences Acquisition Corp. and ARYA Sciences Acquisition Corp II. ARYA Sciences Acquisition Corp. and ARYA Sciences Acquisition Corp II are special purpose acquisition companies formed for substantially similar purposes as our company. In March 2020, ARYA Sciences Acquisition Corp. entered into a business combination agreement to acquire Immatics. Immatics is a clinical-stage biopharmaceutical company active in the discovery and development of T cell redirecting cancer immunotherapies. Upon completion of the transaction, it is expected that the ordinary shares of the combined company, Immatics N.V., will be listed on Nasdaq under the symbol “IMTX.” Adam Stone is expected to serve on the supervisory board of Immatics N.V. after the consummation of the proposed business combination, which is expected to close in the second or third quarter of 2020.</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past performance of the members of our management team, or their affiliates, including ARYA Sciences Acquisition Corp.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Perceptive Advisors or any of their affiliates’ or managed fund’s performance as indicative of our future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Opportunity</w:t>
      </w:r>
    </w:p>
    <w:p>
      <w:pPr>
        <w:spacing w:after="0" w:line="256"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While we may acquire a business in any industry, our focus will be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2018, total U.S. national health expenditures exceeded $3.6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million in revenue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Life Sciences IPO Market</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spacing w:after="0" w:line="198" w:lineRule="exact"/>
        <w:rPr>
          <w:sz w:val="20"/>
          <w:szCs w:val="20"/>
          <w:color w:val="auto"/>
        </w:rPr>
      </w:pPr>
    </w:p>
    <w:p>
      <w:pPr>
        <w:ind w:right="220"/>
        <w:spacing w:after="0" w:line="220" w:lineRule="exact"/>
        <w:rPr>
          <w:sz w:val="20"/>
          <w:szCs w:val="20"/>
          <w:color w:val="auto"/>
        </w:rPr>
      </w:pPr>
      <w:r>
        <w:rPr>
          <w:rFonts w:ascii="Arial" w:cs="Arial" w:eastAsia="Arial" w:hAnsi="Arial"/>
          <w:sz w:val="16"/>
          <w:szCs w:val="16"/>
          <w:color w:val="auto"/>
        </w:rPr>
        <w:t>We believe that life sciences and medical technology companies, at a certain stage in their development, will see material benefits from being publicly</w:t>
      </w:r>
      <w:r>
        <w:rPr>
          <w:rFonts w:ascii="MS PGothic" w:cs="MS PGothic" w:eastAsia="MS PGothic" w:hAnsi="MS PGothic"/>
          <w:sz w:val="16"/>
          <w:szCs w:val="16"/>
          <w:color w:val="auto"/>
        </w:rPr>
        <w:t>‑</w:t>
      </w:r>
      <w:r>
        <w:rPr>
          <w:rFonts w:ascii="Arial" w:cs="Arial" w:eastAsia="Arial" w:hAnsi="Arial"/>
          <w:sz w:val="16"/>
          <w:szCs w:val="16"/>
          <w:color w:val="auto"/>
        </w:rPr>
        <w:t>traded, including greater access to capital, more liquid securities and increased customer awareness. An acquisition by a special purpose acquisition company with a management team that is well</w:t>
      </w:r>
      <w:r>
        <w:rPr>
          <w:rFonts w:ascii="MS PGothic" w:cs="MS PGothic" w:eastAsia="MS PGothic" w:hAnsi="MS PGothic"/>
          <w:sz w:val="16"/>
          <w:szCs w:val="16"/>
          <w:color w:val="auto"/>
        </w:rPr>
        <w:t>‑</w:t>
      </w:r>
      <w:r>
        <w:rPr>
          <w:rFonts w:ascii="Arial" w:cs="Arial" w:eastAsia="Arial" w:hAnsi="Arial"/>
          <w:sz w:val="16"/>
          <w:szCs w:val="16"/>
          <w:color w:val="auto"/>
        </w:rPr>
        <w:t>known to, and respected by, life sciences founders, their current third</w:t>
      </w:r>
      <w:r>
        <w:rPr>
          <w:rFonts w:ascii="MS PGothic" w:cs="MS PGothic" w:eastAsia="MS PGothic" w:hAnsi="MS PGothic"/>
          <w:sz w:val="16"/>
          <w:szCs w:val="16"/>
          <w:color w:val="auto"/>
        </w:rPr>
        <w:t>‑</w:t>
      </w:r>
      <w:r>
        <w:rPr>
          <w:rFonts w:ascii="Arial" w:cs="Arial" w:eastAsia="Arial" w:hAnsi="Arial"/>
          <w:sz w:val="16"/>
          <w:szCs w:val="16"/>
          <w:color w:val="auto"/>
        </w:rPr>
        <w:t>party investors and their management teams, we believe, can provide a more transparent and efficient mechanism to bring a private healthcare company to the public markets.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5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believe our management team is well positioned to identify unique opportunities in our target sectors. Our selection process will leverage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spacing w:after="0" w:line="20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spacing w:after="0" w:line="151" w:lineRule="exact"/>
        <w:rPr>
          <w:sz w:val="20"/>
          <w:szCs w:val="20"/>
          <w:color w:val="auto"/>
        </w:rPr>
      </w:pPr>
    </w:p>
    <w:p>
      <w:pPr>
        <w:ind w:left="980" w:right="1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a scientific or other competitive advantage in the markets in which they operate and which can benefit from access to additional capital as well as our industry relationships and expertise;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are ready to be public, with strong management, corporate governance and reporting policies in place;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likely be well received by public investors and are expected to have good access to the public capital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have significant embedded and/or underexploited growth opportunities;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 unrecognized value or other characteristics that we believe have been misevaluated by the market based on our rigorous analysis and scientific and business due diligence review; and</w:t>
      </w:r>
    </w:p>
    <w:p>
      <w:pPr>
        <w:spacing w:after="0" w:line="197"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offer attractive risk</w:t>
      </w:r>
      <w:r>
        <w:rPr>
          <w:rFonts w:ascii="MS PGothic" w:cs="MS PGothic" w:eastAsia="MS PGothic" w:hAnsi="MS PGothic"/>
          <w:sz w:val="18"/>
          <w:szCs w:val="18"/>
          <w:color w:val="auto"/>
        </w:rPr>
        <w:t>‑</w:t>
      </w:r>
      <w:r>
        <w:rPr>
          <w:rFonts w:ascii="Arial" w:cs="Arial" w:eastAsia="Arial" w:hAnsi="Arial"/>
          <w:sz w:val="18"/>
          <w:szCs w:val="18"/>
          <w:color w:val="auto"/>
        </w:rPr>
        <w:t>adjusted equity returns for our shareholders.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use other criteria as well. Any evaluation relating to the merits of a particular initial business combination may be based on these general criteria as well as other considerations, factors and criteria that our management may deem relevant.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which is a member of FINRA,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SEC in connection with a proposed transaction will include such opinion.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anticipate structuring our initial business combination so that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in which our public shareholders own shares will own or acquire 100% of the equity interests or assets of the target business or businesses. We may, however, structure our initial business combination such that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owns or acquires less than 100% of such interests or assets of the target business in order to meet certain objectives of the target management team or shareholders or for other reasons, but we will only complete such business combination if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owns or acquires 50% or more of the voting securities of the target, our shareholders prior to the business combination may collectively own a minority interest in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2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this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 in addition to the immediate dilution that you will experience in connection with the consummation of this offering. See “Dilution.”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Affiliates of Perceptive Advisors and members of our board of directors will directly or indirectly own founder shares and private placement units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Perceptive Advisors is continuously made aware of potential business opportunities, one or more of which we may desire to pursue for a business combination, but we have not (nor has anyone on our behalf) contacted any prospective target business or had any substantive discussions, formal or otherwise, with respect to a business combination transaction with our company. We will not consider a business combination with any company that has already been identified to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color w:val="auto"/>
        </w:rPr>
        <w:t>Perceptive Advisors as a suitable acquisition candidate for it, unless Perceptive Advisors, in its sole discretion, declines such potential business combination or makes available to our company a co</w:t>
      </w:r>
      <w:r>
        <w:rPr>
          <w:rFonts w:ascii="MS PGothic" w:cs="MS PGothic" w:eastAsia="MS PGothic" w:hAnsi="MS PGothic"/>
          <w:sz w:val="18"/>
          <w:szCs w:val="18"/>
          <w:color w:val="auto"/>
        </w:rPr>
        <w:t>‑</w:t>
      </w:r>
      <w:r>
        <w:rPr>
          <w:rFonts w:ascii="Arial" w:cs="Arial" w:eastAsia="Arial" w:hAnsi="Arial"/>
          <w:sz w:val="18"/>
          <w:szCs w:val="18"/>
          <w:color w:val="auto"/>
        </w:rPr>
        <w:t>investment opportunity in accordance with Perceptive Advisors’ applicable existing and future policies and procedures. Additionally, we have not, nor has anyone on our behalf, taken any substantive measure, directly or indirectly, to identify or locate any suitable acquisition candidate for us, nor have we engaged or retained any agent or other representative to identify or locate any such acquisition candidate.</w:t>
      </w:r>
    </w:p>
    <w:p>
      <w:pPr>
        <w:spacing w:after="0" w:line="23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spacing w:after="0" w:line="1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duties to other entities, including without limitation, ARYA Sciences Acquisition Corp II,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entities managed by affiliates of Perceptive Advisors and certain companies in which Perceptive Advisors or such entities have invested. As a result, if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founders, officers or directors becomes aware of a business combination opportunity which is suitable for an entity to which he, she or it has</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then</w:t>
      </w:r>
      <w:r>
        <w:rPr>
          <w:rFonts w:ascii="MS PGothic" w:cs="MS PGothic" w:eastAsia="MS PGothic" w:hAnsi="MS PGothic"/>
          <w:sz w:val="16"/>
          <w:szCs w:val="16"/>
          <w:color w:val="auto"/>
        </w:rPr>
        <w:t>‑</w:t>
      </w:r>
      <w:r>
        <w:rPr>
          <w:rFonts w:ascii="Arial" w:cs="Arial" w:eastAsia="Arial" w:hAnsi="Arial"/>
          <w:sz w:val="16"/>
          <w:szCs w:val="16"/>
          <w:color w:val="auto"/>
        </w:rPr>
        <w:t>current fiduciary or contractual obligations (including, without limitation, ARYA Sciences Acquisition Corp II, any Perceptive Advisors funds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vehicles), then, subject to their fiduciary duties under Cayman Islands law, he or she will need to honor such fiduciary or contractual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present such business combination opportunity to such entity, before we can pursue such opportunity. If these funds or investment entities decide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pursue any such opportunity, we may be precluded from pursuing the same. In addition, investment ideas generated within or presented to Perceptive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Advisors or our founders may be suitable for both us and a current or future Perceptive Advisors fund, portfolio company or other investment entity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applicable fiduciary duties, will first be directed to such fund, portfolio company or other entity before being directed, if at all, to us. None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Perceptive Advisors, our founders or any members of our board of directors who are also employed by Perceptive Advisors or its affiliates have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present us with any opportunity for a potential business combination of which they become aware solely in their capacities as officers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executives of Perceptive Advisors.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However, we do not expect these duties to materially affect our ability to complete our initial business combination.</w:t>
      </w:r>
    </w:p>
    <w:p>
      <w:pPr>
        <w:spacing w:after="0" w:line="252"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and ARYA Sciences Acquisition Corp II, which are blank check companies sponsored by affiliates of Perceptive Advisors. ARYA Sciences Acquisition Corp. has entered into a business combination agreement to acquire Immatics. Upon completion of the transaction, Adam Stone is expected to serve on the supervisory board of the post</w:t>
      </w:r>
      <w:r>
        <w:rPr>
          <w:rFonts w:ascii="MS PGothic" w:cs="MS PGothic" w:eastAsia="MS PGothic" w:hAnsi="MS PGothic"/>
          <w:sz w:val="17"/>
          <w:szCs w:val="17"/>
          <w:color w:val="auto"/>
        </w:rPr>
        <w:t>‑</w:t>
      </w:r>
      <w:r>
        <w:rPr>
          <w:rFonts w:ascii="Arial" w:cs="Arial" w:eastAsia="Arial" w:hAnsi="Arial"/>
          <w:sz w:val="17"/>
          <w:szCs w:val="17"/>
          <w:color w:val="auto"/>
        </w:rPr>
        <w:t>business combination company. It is currently expected that the business combination will be consummated in the second or third quarter of 2020. Moreover, our founders, officers and directors have, and will have in the future, time and attention requirements for current and future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managed by Perceptive Advisors. To the extent any conflict of interest arises between, on the one hand, us and, on the other hand, investments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managed by Perceptive Advisors (including, without limitation, arising as a result of certain of our founders, officers and directors being required to offer acquisition opportunities to such investment funds, accounts, co</w:t>
      </w:r>
      <w:r>
        <w:rPr>
          <w:rFonts w:ascii="MS PGothic" w:cs="MS PGothic" w:eastAsia="MS PGothic" w:hAnsi="MS PGothic"/>
          <w:sz w:val="17"/>
          <w:szCs w:val="17"/>
          <w:color w:val="auto"/>
        </w:rPr>
        <w:t>‑</w:t>
      </w:r>
      <w:r>
        <w:rPr>
          <w:rFonts w:ascii="Arial" w:cs="Arial" w:eastAsia="Arial" w:hAnsi="Arial"/>
          <w:sz w:val="17"/>
          <w:szCs w:val="17"/>
          <w:color w:val="auto"/>
        </w:rPr>
        <w:t>investment vehicles and other entities), Perceptive Advisors and its affiliates will resolve such conflicts of interest in their sole discretion in accordance with their then existing fiduciary, contractual and other duties and there can be no assurance that such conflict of interest will be resolved in our favor.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shareholder approval of any proposed initial business combination, negatively.</w:t>
      </w:r>
    </w:p>
    <w:p>
      <w:pPr>
        <w:spacing w:after="0" w:line="21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w:t>
      </w:r>
    </w:p>
    <w:p>
      <w:pPr>
        <w:ind w:right="300" w:firstLine="8"/>
        <w:spacing w:after="0" w:line="216" w:lineRule="exact"/>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which means the market value of our Class A ordinary shares that are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 million as of the prior June 30th, and (2) the date on which we have issued more than $1.0 billion in non</w:t>
      </w:r>
      <w:r>
        <w:rPr>
          <w:rFonts w:ascii="MS PGothic" w:cs="MS PGothic" w:eastAsia="MS PGothic" w:hAnsi="MS PGothic"/>
          <w:sz w:val="18"/>
          <w:szCs w:val="18"/>
          <w:color w:val="auto"/>
        </w:rPr>
        <w:t>‑</w:t>
      </w:r>
      <w:r>
        <w:rPr>
          <w:rFonts w:ascii="Arial" w:cs="Arial" w:eastAsia="Arial" w:hAnsi="Arial"/>
          <w:sz w:val="18"/>
          <w:szCs w:val="18"/>
          <w:color w:val="auto"/>
        </w:rPr>
        <w:t>convertible debt during the prior three</w:t>
      </w:r>
      <w:r>
        <w:rPr>
          <w:rFonts w:ascii="MS PGothic" w:cs="MS PGothic" w:eastAsia="MS PGothic" w:hAnsi="MS PGothic"/>
          <w:sz w:val="18"/>
          <w:szCs w:val="18"/>
          <w:color w:val="auto"/>
        </w:rPr>
        <w:t>‑</w:t>
      </w:r>
      <w:r>
        <w:rPr>
          <w:rFonts w:ascii="Arial" w:cs="Arial" w:eastAsia="Arial" w:hAnsi="Arial"/>
          <w:sz w:val="18"/>
          <w:szCs w:val="18"/>
          <w:color w:val="auto"/>
        </w:rPr>
        <w:t>year period.</w:t>
      </w:r>
    </w:p>
    <w:p>
      <w:pPr>
        <w:spacing w:after="0" w:line="230"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Additionally, we are a “smaller reporting company” as defined in Item 10(f)(1) of Regulation S</w:t>
      </w:r>
      <w:r>
        <w:rPr>
          <w:rFonts w:ascii="MS PGothic" w:cs="MS PGothic" w:eastAsia="MS PGothic" w:hAnsi="MS PGothic"/>
          <w:sz w:val="18"/>
          <w:szCs w:val="18"/>
          <w:color w:val="auto"/>
        </w:rPr>
        <w:t>‑</w:t>
      </w:r>
      <w:r>
        <w:rPr>
          <w:rFonts w:ascii="Arial" w:cs="Arial" w:eastAsia="Arial" w:hAnsi="Arial"/>
          <w:sz w:val="18"/>
          <w:szCs w:val="18"/>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$250 million as of the prior June 30, or (2) our annual revenues exceeded $100 million during such completed fiscal year and the market value of our ordinary shares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 million as of the prior June 30.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56" w:lineRule="exact"/>
        <w:rPr>
          <w:sz w:val="20"/>
          <w:szCs w:val="20"/>
          <w:color w:val="auto"/>
        </w:rPr>
      </w:pPr>
    </w:p>
    <w:p>
      <w:pPr>
        <w:ind w:right="120"/>
        <w:spacing w:after="0" w:line="218" w:lineRule="exact"/>
        <w:rPr>
          <w:sz w:val="20"/>
          <w:szCs w:val="20"/>
          <w:color w:val="auto"/>
        </w:rPr>
      </w:pPr>
      <w:r>
        <w:rPr>
          <w:rFonts w:ascii="Arial" w:cs="Arial" w:eastAsia="Arial" w:hAnsi="Arial"/>
          <w:sz w:val="16"/>
          <w:szCs w:val="16"/>
          <w:color w:val="auto"/>
        </w:rPr>
        <w:t>With funds available for a business combination initially in the amount of $121,625,000, after payment of the estimated expenses of this offering and $4,375,000 of deferred underwriting fees (or $139,718,750 after payment of the estimated expenses of this offering and $5,031,250 of deferred underwriting fees if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placements units,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15"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w:t>
      </w:r>
      <w:r>
        <w:rPr>
          <w:rFonts w:ascii="MS PGothic" w:cs="MS PGothic" w:eastAsia="MS PGothic" w:hAnsi="MS PGothic"/>
          <w:sz w:val="18"/>
          <w:szCs w:val="18"/>
          <w:color w:val="auto"/>
        </w:rPr>
        <w:t>‑</w:t>
      </w:r>
      <w:r>
        <w:rPr>
          <w:rFonts w:ascii="Arial" w:cs="Arial" w:eastAsia="Arial" w:hAnsi="Arial"/>
          <w:sz w:val="18"/>
          <w:szCs w:val="18"/>
          <w:color w:val="auto"/>
        </w:rPr>
        <w:t>business combination company, the payment of principal or interest due on indebtedness incurred in completing our initial business combination, to fund the purchase of other companies or for working capital.</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not selected any business combination target and we have not, nor has anyone on our behalf, initiated any substantive discussions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Target Businesses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process of identifying acquisition targets will leverage Perceptive Advisors’ and our management team’s unique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Perceptive Advisors, our founders, directors and officers, combined with their individual and collective reputations in the investment community, will help to create prospective business combination opportunities.</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we anticipate that target business candidates may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None of our sponsor, executive officers or directors, or any of their respective affiliates, will be allowed to receive any compensation, finder’s fees or consulting fees from a prospective business combination target in connection with a contemplated acquisition of such target by us. We have agreed to pay our sponsor a total of $10,000 per month for office space, secretarial and administrative support and to reimburse our sponsor for any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related to identifying, investigating and completing an initial business combination. Some of our officers and directors may enter into employment or consulting agreements with the post</w:t>
      </w:r>
      <w:r>
        <w:rPr>
          <w:rFonts w:ascii="MS PGothic" w:cs="MS PGothic" w:eastAsia="MS PGothic" w:hAnsi="MS PGothic"/>
          <w:sz w:val="16"/>
          <w:szCs w:val="16"/>
          <w:color w:val="auto"/>
        </w:rPr>
        <w:t>‑</w:t>
      </w:r>
      <w:r>
        <w:rPr>
          <w:rFonts w:ascii="Arial" w:cs="Arial" w:eastAsia="Arial" w:hAnsi="Arial"/>
          <w:sz w:val="16"/>
          <w:szCs w:val="16"/>
          <w:color w:val="auto"/>
        </w:rPr>
        <w:t>business combination company following our initial business combination.</w:t>
      </w:r>
    </w:p>
    <w:p>
      <w:pPr>
        <w:spacing w:after="0" w:line="2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w:t>
      </w:r>
    </w:p>
    <w:p>
      <w:pPr>
        <w:spacing w:after="0" w:line="188"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other entities, including ARYA Sciences Acquisition II and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w:t>
      </w:r>
      <w:r>
        <w:rPr>
          <w:rFonts w:ascii="MS PGothic" w:cs="MS PGothic" w:eastAsia="MS PGothic" w:hAnsi="MS PGothic"/>
          <w:sz w:val="18"/>
          <w:szCs w:val="18"/>
          <w:color w:val="auto"/>
        </w:rPr>
        <w:t>‑</w:t>
      </w:r>
      <w:r>
        <w:rPr>
          <w:rFonts w:ascii="Arial" w:cs="Arial" w:eastAsia="Arial" w:hAnsi="Arial"/>
          <w:sz w:val="18"/>
          <w:szCs w:val="18"/>
          <w:color w:val="auto"/>
        </w:rPr>
        <w:t>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time required to identify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 In addition, we have agreed not to enter into a definitive agreement regarding an initial business combination without the prior consent of our sponsor.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5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will not have the resources to diversify our operations and mitigate the risks of being in a single line of business. By completing our initial business combination with only a single entity, our lack of diversification may:</w:t>
      </w:r>
    </w:p>
    <w:p>
      <w:pPr>
        <w:spacing w:after="0" w:line="197" w:lineRule="exact"/>
        <w:rPr>
          <w:sz w:val="20"/>
          <w:szCs w:val="20"/>
          <w:color w:val="auto"/>
        </w:rPr>
      </w:pPr>
    </w:p>
    <w:p>
      <w:pPr>
        <w:ind w:left="980" w:right="1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2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rule, or we may decide to seek shareholder approval for business or other reasons.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Under Nasdaq’s listing rules, shareholder approval would be required for our initial business combination if, for example:</w:t>
      </w:r>
    </w:p>
    <w:p>
      <w:pPr>
        <w:spacing w:after="0" w:line="252" w:lineRule="exact"/>
        <w:rPr>
          <w:sz w:val="20"/>
          <w:szCs w:val="20"/>
          <w:color w:val="auto"/>
        </w:rPr>
      </w:pPr>
    </w:p>
    <w:p>
      <w:pPr>
        <w:ind w:left="980" w:hanging="324"/>
        <w:spacing w:after="0" w:line="259"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ordinary shares that will either (a) be equal to or in excess of 20% of the number of ordinary shares then issued and outstanding (excluding the private placement shares underlying the private placement units) or (b) have voting power equal to or in excess of 20% of the voting power then issued and outstanding (excluding the private placement shares underlying the private placement units);</w:t>
      </w:r>
    </w:p>
    <w:p>
      <w:pPr>
        <w:spacing w:after="0" w:line="213" w:lineRule="exact"/>
        <w:rPr>
          <w:rFonts w:ascii="Arial" w:cs="Arial" w:eastAsia="Arial" w:hAnsi="Arial"/>
          <w:sz w:val="18"/>
          <w:szCs w:val="18"/>
          <w:color w:val="auto"/>
        </w:rPr>
      </w:pPr>
    </w:p>
    <w:p>
      <w:pPr>
        <w:ind w:left="980" w:hanging="324"/>
        <w:spacing w:after="0" w:line="31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p>
      <w:pPr>
        <w:spacing w:after="0" w:line="175"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Companies Law and Cayman Islands law do not currently require, and we are not aware of any other applicable law that will require, shareholder approval of our initial business combination.</w:t>
      </w:r>
    </w:p>
    <w:p>
      <w:pPr>
        <w:spacing w:after="0" w:line="202"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220" w:lineRule="exact"/>
        <w:rPr>
          <w:sz w:val="20"/>
          <w:szCs w:val="20"/>
          <w:color w:val="auto"/>
        </w:rPr>
      </w:pPr>
    </w:p>
    <w:p>
      <w:pPr>
        <w:ind w:left="980" w:right="18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252" w:lineRule="exact"/>
        <w:rPr>
          <w:rFonts w:ascii="Arial" w:cs="Arial" w:eastAsia="Arial" w:hAnsi="Arial"/>
          <w:sz w:val="18"/>
          <w:szCs w:val="18"/>
          <w:color w:val="auto"/>
        </w:rPr>
      </w:pPr>
    </w:p>
    <w:p>
      <w:pPr>
        <w:ind w:left="980" w:hanging="324"/>
        <w:spacing w:after="0" w:line="184" w:lineRule="exact"/>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additional legal complexities of a proposed business combination that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burdensome to present to shareholders.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Permitted Purchases and Other Transactions with Respect to Our Securities</w:t>
      </w:r>
    </w:p>
    <w:p>
      <w:pPr>
        <w:spacing w:after="0" w:line="239"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be restricted from making any such purchases when they are in possession of any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not disclosed to the seller or if such purchases are prohibited by Regulation M under the Exchange Act.</w:t>
      </w:r>
    </w:p>
    <w:p>
      <w:pPr>
        <w:spacing w:after="0" w:line="220" w:lineRule="exact"/>
        <w:rPr>
          <w:sz w:val="20"/>
          <w:szCs w:val="20"/>
          <w:color w:val="auto"/>
        </w:rPr>
      </w:pPr>
    </w:p>
    <w:p>
      <w:pPr>
        <w:ind w:right="140"/>
        <w:spacing w:after="0" w:line="247" w:lineRule="exact"/>
        <w:rPr>
          <w:sz w:val="20"/>
          <w:szCs w:val="20"/>
          <w:color w:val="auto"/>
        </w:rPr>
      </w:pPr>
      <w:r>
        <w:rPr>
          <w:rFonts w:ascii="Arial" w:cs="Arial" w:eastAsia="Arial" w:hAnsi="Arial"/>
          <w:sz w:val="19"/>
          <w:szCs w:val="19"/>
          <w:color w:val="auto"/>
        </w:rPr>
        <w:t>In the event that our sponsor, directors, officers, advisors or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w:t>
      </w:r>
      <w:r>
        <w:rPr>
          <w:rFonts w:ascii="MS PGothic" w:cs="MS PGothic" w:eastAsia="MS PGothic" w:hAnsi="MS PGothic"/>
          <w:sz w:val="19"/>
          <w:szCs w:val="19"/>
          <w:color w:val="auto"/>
        </w:rPr>
        <w:t>‑</w:t>
      </w:r>
      <w:r>
        <w:rPr>
          <w:rFonts w:ascii="Arial" w:cs="Arial" w:eastAsia="Arial" w:hAnsi="Arial"/>
          <w:sz w:val="19"/>
          <w:szCs w:val="19"/>
          <w:color w:val="auto"/>
        </w:rPr>
        <w:t>private transaction subject to the going</w:t>
      </w:r>
      <w:r>
        <w:rPr>
          <w:rFonts w:ascii="MS PGothic" w:cs="MS PGothic" w:eastAsia="MS PGothic" w:hAnsi="MS PGothic"/>
          <w:sz w:val="19"/>
          <w:szCs w:val="19"/>
          <w:color w:val="auto"/>
        </w:rPr>
        <w:t>‑</w:t>
      </w:r>
      <w:r>
        <w:rPr>
          <w:rFonts w:ascii="Arial" w:cs="Arial" w:eastAsia="Arial" w:hAnsi="Arial"/>
          <w:sz w:val="19"/>
          <w:szCs w:val="19"/>
          <w:color w:val="auto"/>
        </w:rPr>
        <w:t>private rules under the Exchange Act; however, if the purchasers determine at the time of any such purchases that the purchases are subject to such rules, the purchasers will be required to comply with such rules.</w:t>
      </w:r>
    </w:p>
    <w:p>
      <w:pPr>
        <w:spacing w:after="0" w:line="217"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The purpose of any such transactions could be to (i) vote such shares in favor of the business combination and thereby increase the likelihood of obtaining shareholder approval of the business combination, (ii) to satisfy a closing condition in an agreement with a target that requires us to have a minimum net worth or a certain amount of cash at the closing of our initial business combination, where it appears that such requirement would otherwise not be met or (iii) reduce the number of public warrants outstanding or vote such warrants or any matter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Our sponsor, officers, directors and/or their affiliates anticipate that they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spacing w:after="0" w:line="200" w:lineRule="exact"/>
        <w:rPr>
          <w:sz w:val="20"/>
          <w:szCs w:val="20"/>
          <w:color w:val="auto"/>
        </w:rPr>
      </w:pPr>
    </w:p>
    <w:p>
      <w:pPr>
        <w:spacing w:after="0" w:line="235" w:lineRule="exact"/>
        <w:rPr>
          <w:sz w:val="20"/>
          <w:szCs w:val="20"/>
          <w:color w:val="auto"/>
        </w:rPr>
      </w:pPr>
    </w:p>
    <w:p>
      <w:pPr>
        <w:ind w:right="280"/>
        <w:spacing w:after="0" w:line="251" w:lineRule="exact"/>
        <w:rPr>
          <w:sz w:val="20"/>
          <w:szCs w:val="20"/>
          <w:color w:val="auto"/>
        </w:rPr>
      </w:pPr>
      <w:r>
        <w:rPr>
          <w:rFonts w:ascii="Arial" w:cs="Arial" w:eastAsia="Arial" w:hAnsi="Arial"/>
          <w:sz w:val="22"/>
          <w:szCs w:val="22"/>
          <w:color w:val="auto"/>
        </w:rPr>
        <w:t>Our sponsor, officers, directors and/or their affiliates will be restricted from making purchases of shares if the purchases would violate Section 9(a)(2) or Rule 10b</w:t>
      </w:r>
      <w:r>
        <w:rPr>
          <w:rFonts w:ascii="MS PGothic" w:cs="MS PGothic" w:eastAsia="MS PGothic" w:hAnsi="MS PGothic"/>
          <w:sz w:val="22"/>
          <w:szCs w:val="22"/>
          <w:color w:val="auto"/>
        </w:rPr>
        <w:t>‑</w:t>
      </w:r>
      <w:r>
        <w:rPr>
          <w:rFonts w:ascii="Arial" w:cs="Arial" w:eastAsia="Arial" w:hAnsi="Arial"/>
          <w:sz w:val="22"/>
          <w:szCs w:val="22"/>
          <w:color w:val="auto"/>
        </w:rPr>
        <w:t>5 of the Exchange Act. We expect any such purchases would be reported by such person pursuant to Section 13 and Section 16 of the Exchange Act to the extent such purchasers are subject to such reporting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Rights for Public Shareholders upon Completion of Our Initial Business Combination</w:t>
      </w:r>
    </w:p>
    <w:p>
      <w:pPr>
        <w:spacing w:after="0" w:line="239" w:lineRule="exact"/>
        <w:rPr>
          <w:sz w:val="20"/>
          <w:szCs w:val="20"/>
          <w:color w:val="auto"/>
        </w:rPr>
      </w:pPr>
    </w:p>
    <w:p>
      <w:pPr>
        <w:ind w:right="60"/>
        <w:spacing w:after="0" w:line="247" w:lineRule="exact"/>
        <w:rPr>
          <w:sz w:val="20"/>
          <w:szCs w:val="20"/>
          <w:color w:val="auto"/>
        </w:rPr>
      </w:pPr>
      <w:r>
        <w:rPr>
          <w:rFonts w:ascii="Arial" w:cs="Arial" w:eastAsia="Arial" w:hAnsi="Arial"/>
          <w:sz w:val="19"/>
          <w:szCs w:val="19"/>
          <w:color w:val="auto"/>
        </w:rPr>
        <w:t>We will provide our public shareholders with the opportunity to redeem all or a portion of their Class A ordinary shares upon the completion of our initial business combination at a per</w:t>
      </w:r>
      <w:r>
        <w:rPr>
          <w:rFonts w:ascii="MS PGothic" w:cs="MS PGothic" w:eastAsia="MS PGothic" w:hAnsi="MS PGothic"/>
          <w:sz w:val="19"/>
          <w:szCs w:val="19"/>
          <w:color w:val="auto"/>
        </w:rPr>
        <w:t>‑</w:t>
      </w:r>
      <w:r>
        <w:rPr>
          <w:rFonts w:ascii="Arial" w:cs="Arial" w:eastAsia="Arial" w:hAnsi="Arial"/>
          <w:sz w:val="19"/>
          <w:szCs w:val="19"/>
          <w:color w:val="auto"/>
        </w:rPr>
        <w:t>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holder must identify itself in order to validly redeem its shares. Our sponsor and our management team have entered into agreements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Redemptions</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Conducting Redemptions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(excluding the private placement shares underlying the private placement units)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spacing w:after="0" w:line="183"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If we held a shareholder vote to approve our initial business combination, we will, pursuant to our amended and restated memorandum and articles of association:</w:t>
      </w:r>
    </w:p>
    <w:p>
      <w:pPr>
        <w:spacing w:after="0" w:line="209" w:lineRule="exact"/>
        <w:rPr>
          <w:sz w:val="20"/>
          <w:szCs w:val="20"/>
          <w:color w:val="auto"/>
        </w:rPr>
      </w:pPr>
    </w:p>
    <w:p>
      <w:pPr>
        <w:ind w:left="980" w:right="5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4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21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w:t>
      </w:r>
    </w:p>
    <w:p>
      <w:pPr>
        <w:spacing w:after="0" w:line="4" w:lineRule="exact"/>
        <w:rPr>
          <w:sz w:val="20"/>
          <w:szCs w:val="20"/>
          <w:color w:val="auto"/>
        </w:rPr>
      </w:pPr>
    </w:p>
    <w:p>
      <w:pPr>
        <w:ind w:right="20"/>
        <w:spacing w:after="0" w:line="243" w:lineRule="exact"/>
        <w:rPr>
          <w:sz w:val="20"/>
          <w:szCs w:val="20"/>
          <w:color w:val="auto"/>
        </w:rPr>
      </w:pPr>
      <w:r>
        <w:rPr>
          <w:rFonts w:ascii="Arial" w:cs="Arial" w:eastAsia="Arial" w:hAnsi="Arial"/>
          <w:sz w:val="19"/>
          <w:szCs w:val="19"/>
          <w:color w:val="auto"/>
        </w:rPr>
        <w:t>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Each public shareholder may elect to redeem their public shares irrespective of whether they vote for or against the proposed transaction or vote at all. In addition, our sponsor and our management team have entered into agreements with us, pursuant to which they have agreed to waive their redemption rights with respect to their founder shares, private placement shares and any public shares purchased during or after this offering in connection with (i) the completion of our initial business combination and</w:t>
      </w:r>
    </w:p>
    <w:p>
      <w:pPr>
        <w:spacing w:after="0" w:line="6" w:lineRule="exact"/>
        <w:rPr>
          <w:sz w:val="20"/>
          <w:szCs w:val="20"/>
          <w:color w:val="auto"/>
        </w:rPr>
      </w:pPr>
    </w:p>
    <w:p>
      <w:pPr>
        <w:ind w:right="160" w:firstLine="8"/>
        <w:spacing w:after="0" w:line="245" w:lineRule="auto"/>
        <w:tabs>
          <w:tab w:leader="none" w:pos="318" w:val="left"/>
        </w:tabs>
        <w:numPr>
          <w:ilvl w:val="0"/>
          <w:numId w:val="40"/>
        </w:numPr>
        <w:rPr>
          <w:rFonts w:ascii="Arial" w:cs="Arial" w:eastAsia="Arial" w:hAnsi="Arial"/>
          <w:sz w:val="21"/>
          <w:szCs w:val="21"/>
          <w:color w:val="auto"/>
        </w:rPr>
      </w:pPr>
      <w:r>
        <w:rPr>
          <w:rFonts w:ascii="Arial" w:cs="Arial" w:eastAsia="Arial" w:hAnsi="Arial"/>
          <w:sz w:val="21"/>
          <w:szCs w:val="21"/>
          <w:color w:val="auto"/>
        </w:rPr>
        <w:t>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w:t>
      </w:r>
    </w:p>
    <w:p>
      <w:pPr>
        <w:spacing w:after="0" w:line="207"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If we conduct redemptions pursuant to the tender offer rules of the SEC, we will, pursuant to our amended and restated memorandum and articles of association:</w:t>
      </w:r>
    </w:p>
    <w:p>
      <w:pPr>
        <w:spacing w:after="0" w:line="209" w:lineRule="exact"/>
        <w:rPr>
          <w:sz w:val="20"/>
          <w:szCs w:val="20"/>
          <w:color w:val="auto"/>
        </w:rPr>
      </w:pPr>
    </w:p>
    <w:p>
      <w:pPr>
        <w:ind w:left="980" w:hanging="324"/>
        <w:spacing w:after="0" w:line="196" w:lineRule="exact"/>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conduct the redemptions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 and Regulation 14E of the Exchange Act, which regulate issuer tender offers; and</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right="14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03" w:lineRule="exact"/>
        <w:rPr>
          <w:sz w:val="20"/>
          <w:szCs w:val="20"/>
          <w:color w:val="auto"/>
        </w:rPr>
      </w:pPr>
    </w:p>
    <w:p>
      <w:pPr>
        <w:jc w:val="both"/>
        <w:ind w:right="460"/>
        <w:spacing w:after="0" w:line="253" w:lineRule="exact"/>
        <w:rPr>
          <w:sz w:val="20"/>
          <w:szCs w:val="20"/>
          <w:color w:val="auto"/>
        </w:rPr>
      </w:pPr>
      <w:r>
        <w:rPr>
          <w:rFonts w:ascii="Arial" w:cs="Arial" w:eastAsia="Arial" w:hAnsi="Arial"/>
          <w:sz w:val="22"/>
          <w:szCs w:val="22"/>
          <w:color w:val="auto"/>
        </w:rPr>
        <w:t>Upon the public announcement of our initial business combination, we or our sponsor will terminate any plan established in accordance with Rule 10b5</w:t>
      </w:r>
      <w:r>
        <w:rPr>
          <w:rFonts w:ascii="MS PGothic" w:cs="MS PGothic" w:eastAsia="MS PGothic" w:hAnsi="MS PGothic"/>
          <w:sz w:val="22"/>
          <w:szCs w:val="22"/>
          <w:color w:val="auto"/>
        </w:rPr>
        <w:t>‑</w:t>
      </w:r>
      <w:r>
        <w:rPr>
          <w:rFonts w:ascii="Arial" w:cs="Arial" w:eastAsia="Arial" w:hAnsi="Arial"/>
          <w:sz w:val="22"/>
          <w:szCs w:val="22"/>
          <w:color w:val="auto"/>
        </w:rPr>
        <w:t>1 to purchase Class A ordinary shares in the open market if we elect to redeem our public shares through a tender offer, to comply with Rule 14e</w:t>
      </w:r>
      <w:r>
        <w:rPr>
          <w:rFonts w:ascii="MS PGothic" w:cs="MS PGothic" w:eastAsia="MS PGothic" w:hAnsi="MS PGothic"/>
          <w:sz w:val="22"/>
          <w:szCs w:val="22"/>
          <w:color w:val="auto"/>
        </w:rPr>
        <w:t>‑</w:t>
      </w:r>
      <w:r>
        <w:rPr>
          <w:rFonts w:ascii="Arial" w:cs="Arial" w:eastAsia="Arial" w:hAnsi="Arial"/>
          <w:sz w:val="22"/>
          <w:szCs w:val="22"/>
          <w:color w:val="auto"/>
        </w:rPr>
        <w:t>5 under the Exchange Act.</w:t>
      </w:r>
    </w:p>
    <w:p>
      <w:pPr>
        <w:spacing w:after="0" w:line="213" w:lineRule="exact"/>
        <w:rPr>
          <w:sz w:val="20"/>
          <w:szCs w:val="20"/>
          <w:color w:val="auto"/>
        </w:rPr>
      </w:pPr>
    </w:p>
    <w:p>
      <w:pPr>
        <w:ind w:right="40"/>
        <w:spacing w:after="0" w:line="249" w:lineRule="exact"/>
        <w:rPr>
          <w:sz w:val="20"/>
          <w:szCs w:val="20"/>
          <w:color w:val="auto"/>
        </w:rPr>
      </w:pPr>
      <w:r>
        <w:rPr>
          <w:rFonts w:ascii="Arial" w:cs="Arial" w:eastAsia="Arial" w:hAnsi="Arial"/>
          <w:sz w:val="19"/>
          <w:szCs w:val="19"/>
          <w:color w:val="auto"/>
        </w:rPr>
        <w:t>In the event we conduct redemptions pursuant to the tender offer rules, our offer to redeem will remain open for at least 20 business days, in accordance with Rule 14e</w:t>
      </w:r>
      <w:r>
        <w:rPr>
          <w:rFonts w:ascii="MS PGothic" w:cs="MS PGothic" w:eastAsia="MS PGothic" w:hAnsi="MS PGothic"/>
          <w:sz w:val="19"/>
          <w:szCs w:val="19"/>
          <w:color w:val="auto"/>
        </w:rPr>
        <w:t>‑</w:t>
      </w:r>
      <w:r>
        <w:rPr>
          <w:rFonts w:ascii="Arial" w:cs="Arial" w:eastAsia="Arial" w:hAnsi="Arial"/>
          <w:sz w:val="19"/>
          <w:szCs w:val="19"/>
          <w:color w:val="auto"/>
        </w:rPr>
        <w:t>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Redemption upon Completion of Our Initial Business Combination If We Seek Shareholder Approval</w:t>
      </w:r>
    </w:p>
    <w:p>
      <w:pPr>
        <w:spacing w:after="0" w:line="274" w:lineRule="exact"/>
        <w:rPr>
          <w:sz w:val="20"/>
          <w:szCs w:val="20"/>
          <w:color w:val="auto"/>
        </w:rPr>
      </w:pPr>
    </w:p>
    <w:p>
      <w:pPr>
        <w:ind w:right="40"/>
        <w:spacing w:after="0" w:line="245" w:lineRule="exact"/>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w:t>
      </w:r>
      <w:r>
        <w:rPr>
          <w:rFonts w:ascii="MS PGothic" w:cs="MS PGothic" w:eastAsia="MS PGothic" w:hAnsi="MS PGothic"/>
          <w:sz w:val="19"/>
          <w:szCs w:val="19"/>
          <w:color w:val="auto"/>
        </w:rPr>
        <w:t>‑</w:t>
      </w:r>
      <w:r>
        <w:rPr>
          <w:rFonts w:ascii="Arial" w:cs="Arial" w:eastAsia="Arial" w:hAnsi="Arial"/>
          <w:sz w:val="19"/>
          <w:szCs w:val="19"/>
          <w:color w:val="auto"/>
        </w:rPr>
        <w:t>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team at a premium to the then</w:t>
      </w:r>
      <w:r>
        <w:rPr>
          <w:rFonts w:ascii="MS PGothic" w:cs="MS PGothic" w:eastAsia="MS PGothic" w:hAnsi="MS PGothic"/>
          <w:sz w:val="19"/>
          <w:szCs w:val="19"/>
          <w:color w:val="auto"/>
        </w:rPr>
        <w:t>‑</w:t>
      </w:r>
      <w:r>
        <w:rPr>
          <w:rFonts w:ascii="Arial" w:cs="Arial" w:eastAsia="Arial" w:hAnsi="Arial"/>
          <w:sz w:val="19"/>
          <w:szCs w:val="19"/>
          <w:color w:val="auto"/>
        </w:rPr>
        <w:t>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217"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However, we would not be restricting our shareholders’ ability to vote all of their shares (including Excess Shares) for or against our initial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Tendering Share Certificates in Connection with a Tender Offer or Redemption Rights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may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88" w:lineRule="exact"/>
        <w:rPr>
          <w:sz w:val="20"/>
          <w:szCs w:val="20"/>
          <w:color w:val="auto"/>
        </w:rPr>
      </w:pPr>
    </w:p>
    <w:p>
      <w:pPr>
        <w:ind w:right="900"/>
        <w:spacing w:after="0" w:line="259" w:lineRule="exact"/>
        <w:rPr>
          <w:sz w:val="20"/>
          <w:szCs w:val="20"/>
          <w:color w:val="auto"/>
        </w:rPr>
      </w:pPr>
      <w:r>
        <w:rPr>
          <w:rFonts w:ascii="Arial" w:cs="Arial" w:eastAsia="Arial" w:hAnsi="Arial"/>
          <w:sz w:val="19"/>
          <w:szCs w:val="19"/>
          <w:color w:val="auto"/>
        </w:rPr>
        <w:t>There is a nominal cost associated with the above</w:t>
      </w:r>
      <w:r>
        <w:rPr>
          <w:rFonts w:ascii="MS PGothic" w:cs="MS PGothic" w:eastAsia="MS PGothic" w:hAnsi="MS PGothic"/>
          <w:sz w:val="19"/>
          <w:szCs w:val="19"/>
          <w:color w:val="auto"/>
        </w:rPr>
        <w:t>‑</w:t>
      </w:r>
      <w:r>
        <w:rPr>
          <w:rFonts w:ascii="Arial" w:cs="Arial" w:eastAsia="Arial" w:hAnsi="Arial"/>
          <w:sz w:val="19"/>
          <w:szCs w:val="19"/>
          <w:color w:val="auto"/>
        </w:rPr>
        <w:t>referenced tendering process and the act of certificating the shares or delivering them through the DWAC System. The transfer agent will typically charge the tendering broker a fee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7"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61"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If our initial proposed business combination is not completed, we may continue to try to complete a business combination with a different target until 24 months from the closing of this offering.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Public Shares and Liquidation If No Initial Business Combination</w:t>
      </w:r>
    </w:p>
    <w:p>
      <w:pPr>
        <w:spacing w:after="0" w:line="239" w:lineRule="exact"/>
        <w:rPr>
          <w:sz w:val="20"/>
          <w:szCs w:val="20"/>
          <w:color w:val="auto"/>
        </w:rPr>
      </w:pPr>
    </w:p>
    <w:p>
      <w:pPr>
        <w:ind w:right="20"/>
        <w:spacing w:after="0" w:line="245" w:lineRule="exact"/>
        <w:rPr>
          <w:sz w:val="20"/>
          <w:szCs w:val="20"/>
          <w:color w:val="auto"/>
        </w:rPr>
      </w:pPr>
      <w:r>
        <w:rPr>
          <w:rFonts w:ascii="Arial" w:cs="Arial" w:eastAsia="Arial" w:hAnsi="Arial"/>
          <w:sz w:val="19"/>
          <w:szCs w:val="19"/>
          <w:color w:val="auto"/>
        </w:rPr>
        <w:t>Our amended and restated memorandum and articles of association will provide that we will have only 24 months from the closing of this offering to consummate an initial business combination. If we do not consummate an initial business combination within 24 months from the closing of this offering, we will: (i) cease all operations except for the purpose of winding up; (ii) as promptly as reasonably possible but not more than ten business days thereafter, redeem the public shares, at a per</w:t>
      </w:r>
      <w:r>
        <w:rPr>
          <w:rFonts w:ascii="MS PGothic" w:cs="MS PGothic" w:eastAsia="MS PGothic" w:hAnsi="MS PGothic"/>
          <w:sz w:val="19"/>
          <w:szCs w:val="19"/>
          <w:color w:val="auto"/>
        </w:rPr>
        <w:t>‑</w:t>
      </w:r>
      <w:r>
        <w:rPr>
          <w:rFonts w:ascii="Arial" w:cs="Arial" w:eastAsia="Arial" w:hAnsi="Arial"/>
          <w:sz w:val="19"/>
          <w:szCs w:val="19"/>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There will be no redemption rights or liquidating distributions with respect to our warrants, which will expire worthless if we fail to consummate an initial business combination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174"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Our sponsor, executive officers, directors and director nominees have agreed, pursuant to a written agreement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unless we provide our public shareholders with the opportunity to redeem their public shares upon approval of any such amendment at a per</w:t>
      </w:r>
      <w:r>
        <w:rPr>
          <w:rFonts w:ascii="MS PGothic" w:cs="MS PGothic" w:eastAsia="MS PGothic" w:hAnsi="MS PGothic"/>
          <w:sz w:val="19"/>
          <w:szCs w:val="19"/>
          <w:color w:val="auto"/>
        </w:rPr>
        <w:t>‑</w:t>
      </w:r>
      <w:r>
        <w:rPr>
          <w:rFonts w:ascii="Arial" w:cs="Arial" w:eastAsia="Arial" w:hAnsi="Arial"/>
          <w:sz w:val="19"/>
          <w:szCs w:val="19"/>
          <w:color w:val="auto"/>
        </w:rPr>
        <w:t>share price, payable in cash, equal to the aggregate amount then on deposit in the trust account, including interest earned on the funds held in the trust account and not previously released to us to pay our income taxes, if any,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21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expect that all costs and expenses associated with implementing our plan of dissolution, as well as payments to any creditors, will be funded from amounts remaining out of the $1,000,000 of proceeds held outside the trust account plus up to $100,000 of funds from the trust account available to us to pay dissolution expenses, although we cannot assure you that there will be sufficient funds for such purpose.</w:t>
      </w:r>
    </w:p>
    <w:p>
      <w:pPr>
        <w:spacing w:after="0" w:line="212" w:lineRule="exact"/>
        <w:rPr>
          <w:sz w:val="20"/>
          <w:szCs w:val="20"/>
          <w:color w:val="auto"/>
        </w:rPr>
      </w:pPr>
    </w:p>
    <w:p>
      <w:pPr>
        <w:ind w:right="120"/>
        <w:spacing w:after="0" w:line="247" w:lineRule="exact"/>
        <w:rPr>
          <w:sz w:val="20"/>
          <w:szCs w:val="20"/>
          <w:color w:val="auto"/>
        </w:rPr>
      </w:pPr>
      <w:r>
        <w:rPr>
          <w:rFonts w:ascii="Arial" w:cs="Arial" w:eastAsia="Arial" w:hAnsi="Arial"/>
          <w:sz w:val="22"/>
          <w:szCs w:val="22"/>
          <w:color w:val="auto"/>
        </w:rPr>
        <w:t>If we were to expend all of the net proceeds of this offering and the sale of the private placement units, other than the proceeds deposited in the trust account, and without taking into account interest, if any, earned on the trust account, the per</w:t>
      </w:r>
      <w:r>
        <w:rPr>
          <w:rFonts w:ascii="MS PGothic" w:cs="MS PGothic" w:eastAsia="MS PGothic" w:hAnsi="MS PGothic"/>
          <w:sz w:val="22"/>
          <w:szCs w:val="22"/>
          <w:color w:val="auto"/>
        </w:rPr>
        <w:t>‑</w:t>
      </w:r>
      <w:r>
        <w:rPr>
          <w:rFonts w:ascii="Arial" w:cs="Arial" w:eastAsia="Arial" w:hAnsi="Arial"/>
          <w:sz w:val="22"/>
          <w:szCs w:val="22"/>
          <w:color w:val="auto"/>
        </w:rPr>
        <w:t>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w:t>
      </w:r>
      <w:r>
        <w:rPr>
          <w:rFonts w:ascii="MS PGothic" w:cs="MS PGothic" w:eastAsia="MS PGothic" w:hAnsi="MS PGothic"/>
          <w:sz w:val="22"/>
          <w:szCs w:val="22"/>
          <w:color w:val="auto"/>
        </w:rPr>
        <w:t>‑</w:t>
      </w:r>
      <w:r>
        <w:rPr>
          <w:rFonts w:ascii="Arial" w:cs="Arial" w:eastAsia="Arial" w:hAnsi="Arial"/>
          <w:sz w:val="22"/>
          <w:szCs w:val="22"/>
          <w:color w:val="auto"/>
        </w:rPr>
        <w:t>share redemption amount received by shareholders will not be less than $10.00. While we intend to pay such amounts, if any, we cannot assure you that we will have funds sufficient to pay or provide for all creditors’ claims.</w:t>
      </w:r>
    </w:p>
    <w:p>
      <w:pPr>
        <w:spacing w:after="0" w:line="21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color w:val="auto"/>
        </w:rPr>
        <w:t xml:space="preserve">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liability will not apply to any claims by a third party or prospective target business who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231"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w:t>
      </w:r>
      <w:r>
        <w:rPr>
          <w:rFonts w:ascii="MS PGothic" w:cs="MS PGothic" w:eastAsia="MS PGothic" w:hAnsi="MS PGothic"/>
          <w:sz w:val="19"/>
          <w:szCs w:val="19"/>
          <w:color w:val="auto"/>
        </w:rPr>
        <w:t>‑</w:t>
      </w:r>
      <w:r>
        <w:rPr>
          <w:rFonts w:ascii="Arial" w:cs="Arial" w:eastAsia="Arial" w:hAnsi="Arial"/>
          <w:sz w:val="19"/>
          <w:szCs w:val="19"/>
          <w:color w:val="auto"/>
        </w:rPr>
        <w:t>share redemption price will not be less than $10.00 per public share.</w:t>
      </w:r>
    </w:p>
    <w:p>
      <w:pPr>
        <w:spacing w:after="0" w:line="218"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$1,000,000 from the proceeds of this offering and the sale of the private placement units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spacing w:after="0" w:line="21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200" w:lineRule="exact"/>
        <w:rPr>
          <w:sz w:val="20"/>
          <w:szCs w:val="20"/>
          <w:color w:val="auto"/>
        </w:rPr>
      </w:pPr>
    </w:p>
    <w:p>
      <w:pPr>
        <w:spacing w:after="0" w:line="235"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Comparison of Redemption or Purchase Prices in Connection with Our Initial Business Combination and If We Fail to Complete Our Initial Business Combination.</w:t>
      </w:r>
    </w:p>
    <w:p>
      <w:pPr>
        <w:spacing w:after="0" w:line="195"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The following table compares the redemptions and other permitted purchases of public shares that may take place in connection with the completion of our initial business combination and if we do not consummate an initial business combination within 24 months from the closing of this offering.</w:t>
      </w:r>
    </w:p>
    <w:p>
      <w:pPr>
        <w:spacing w:after="0" w:line="216"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7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Redemptions in Connection With</w:t>
            </w:r>
          </w:p>
        </w:tc>
        <w:tc>
          <w:tcPr>
            <w:tcW w:w="2800" w:type="dxa"/>
            <w:vAlign w:val="bottom"/>
          </w:tcPr>
          <w:p>
            <w:pPr>
              <w:spacing w:after="0"/>
              <w:rPr>
                <w:sz w:val="18"/>
                <w:szCs w:val="18"/>
                <w:color w:val="auto"/>
              </w:rPr>
            </w:pPr>
          </w:p>
        </w:tc>
        <w:tc>
          <w:tcPr>
            <w:tcW w:w="246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Redemptions if we Fail to</w:t>
            </w:r>
          </w:p>
        </w:tc>
      </w:tr>
      <w:tr>
        <w:trPr>
          <w:trHeight w:val="216"/>
        </w:trPr>
        <w:tc>
          <w:tcPr>
            <w:tcW w:w="27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Our Initial Business</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Other Permitted Purchases of</w:t>
            </w:r>
          </w:p>
        </w:tc>
        <w:tc>
          <w:tcPr>
            <w:tcW w:w="24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Complete an Initial Business</w:t>
            </w:r>
          </w:p>
        </w:tc>
      </w:tr>
      <w:tr>
        <w:trPr>
          <w:trHeight w:val="234"/>
        </w:trPr>
        <w:tc>
          <w:tcPr>
            <w:tcW w:w="27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Combination</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Public Shares by Our Affiliates</w:t>
            </w:r>
          </w:p>
        </w:tc>
        <w:tc>
          <w:tcPr>
            <w:tcW w:w="246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Combination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0</wp:posOffset>
            </wp:positionV>
            <wp:extent cx="52635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6351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right="220"/>
        <w:spacing w:after="0" w:line="276" w:lineRule="auto"/>
        <w:rPr>
          <w:sz w:val="20"/>
          <w:szCs w:val="20"/>
          <w:color w:val="auto"/>
        </w:rPr>
      </w:pPr>
      <w:r>
        <w:rPr>
          <w:rFonts w:ascii="Arial" w:cs="Arial" w:eastAsia="Arial" w:hAnsi="Arial"/>
          <w:sz w:val="18"/>
          <w:szCs w:val="18"/>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r>
        <w:rPr>
          <w:rFonts w:ascii="Arial" w:cs="Arial" w:eastAsia="Arial" w:hAnsi="Arial"/>
          <w:sz w:val="16"/>
          <w:szCs w:val="16"/>
          <w:color w:val="auto"/>
        </w:rPr>
        <w:t>Redemptions at the time of our initial business combination may be made pursuant to a tender offer or in connection with a shareholder vote. The redemption price will be the same whether we conduct redemptions pursuant to a tender offer or in connection with a shareholder vote. In either case, our public shareholders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income taxes, if any, divided by the number of the then</w:t>
      </w:r>
      <w:r>
        <w:rPr>
          <w:rFonts w:ascii="MS PGothic" w:cs="MS PGothic" w:eastAsia="MS PGothic" w:hAnsi="MS PGothic"/>
          <w:sz w:val="16"/>
          <w:szCs w:val="16"/>
          <w:color w:val="auto"/>
        </w:rPr>
        <w:t>‑</w:t>
      </w:r>
      <w:r>
        <w:rPr>
          <w:rFonts w:ascii="Arial" w:cs="Arial" w:eastAsia="Arial" w:hAnsi="Arial"/>
          <w:sz w:val="16"/>
          <w:szCs w:val="16"/>
          <w:color w:val="auto"/>
        </w:rPr>
        <w:t>outstanding public shares, subject to the limitation that no redemptions will take place if all of the redemptions would cause our net tangible assets to be less than $5,000,001 and any limitations (including but not limited to cash requirements) agreed to in connection with the negotiation of terms of a proposed business combination.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w:t>
      </w:r>
      <w:r>
        <w:rPr>
          <w:rFonts w:ascii="MS PGothic" w:cs="MS PGothic" w:eastAsia="MS PGothic" w:hAnsi="MS PGothic"/>
          <w:sz w:val="16"/>
          <w:szCs w:val="16"/>
          <w:color w:val="auto"/>
        </w:rPr>
        <w:t>‑</w:t>
      </w:r>
      <w:r>
        <w:rPr>
          <w:rFonts w:ascii="Arial" w:cs="Arial" w:eastAsia="Arial" w:hAnsi="Arial"/>
          <w:sz w:val="16"/>
          <w:szCs w:val="16"/>
          <w:color w:val="auto"/>
        </w:rPr>
        <w:t>private transaction subject to the going</w:t>
      </w:r>
      <w:r>
        <w:rPr>
          <w:rFonts w:ascii="MS PGothic" w:cs="MS PGothic" w:eastAsia="MS PGothic" w:hAnsi="MS PGothic"/>
          <w:sz w:val="16"/>
          <w:szCs w:val="16"/>
          <w:color w:val="auto"/>
        </w:rPr>
        <w:t>‑</w:t>
      </w:r>
      <w:r>
        <w:rPr>
          <w:rFonts w:ascii="Arial" w:cs="Arial" w:eastAsia="Arial" w:hAnsi="Arial"/>
          <w:sz w:val="16"/>
          <w:szCs w:val="16"/>
          <w:color w:val="auto"/>
        </w:rPr>
        <w:t>private rules under the Exchange Act; however, if the purchasers determine at the time of any such purchases that the purchases are subject to such rules, the purchasers will be required to comply with such rules.</w:t>
      </w:r>
    </w:p>
    <w:p>
      <w:pPr>
        <w:spacing w:after="0" w:line="20" w:lineRule="exact"/>
        <w:rPr>
          <w:sz w:val="20"/>
          <w:szCs w:val="20"/>
          <w:color w:val="auto"/>
        </w:rPr>
      </w:pPr>
      <w:r>
        <w:rPr>
          <w:sz w:val="20"/>
          <w:szCs w:val="20"/>
          <w:color w:val="auto"/>
        </w:rPr>
        <w:br w:type="column"/>
      </w:r>
    </w:p>
    <w:p>
      <w:pPr>
        <w:ind w:right="60"/>
        <w:spacing w:after="0" w:line="210" w:lineRule="exact"/>
        <w:rPr>
          <w:sz w:val="20"/>
          <w:szCs w:val="20"/>
          <w:color w:val="auto"/>
        </w:rPr>
      </w:pPr>
      <w:r>
        <w:rPr>
          <w:rFonts w:ascii="Arial" w:cs="Arial" w:eastAsia="Arial" w:hAnsi="Arial"/>
          <w:sz w:val="17"/>
          <w:szCs w:val="17"/>
          <w:color w:val="auto"/>
        </w:rPr>
        <w:t>If we do not consummate an initial business combination within 24 months from the closing of this offering, we will redeem all public shares at a per</w:t>
      </w:r>
      <w:r>
        <w:rPr>
          <w:rFonts w:ascii="MS PGothic" w:cs="MS PGothic" w:eastAsia="MS PGothic" w:hAnsi="MS PGothic"/>
          <w:sz w:val="17"/>
          <w:szCs w:val="17"/>
          <w:color w:val="auto"/>
        </w:rPr>
        <w:t>‑</w:t>
      </w:r>
      <w:r>
        <w:rPr>
          <w:rFonts w:ascii="Arial" w:cs="Arial" w:eastAsia="Arial" w:hAnsi="Arial"/>
          <w:sz w:val="17"/>
          <w:szCs w:val="17"/>
          <w:color w:val="auto"/>
        </w:rPr>
        <w:t>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then outstanding public shares.</w:t>
      </w:r>
    </w:p>
    <w:p>
      <w:pPr>
        <w:spacing w:after="0" w:line="3434" w:lineRule="exact"/>
        <w:rPr>
          <w:sz w:val="20"/>
          <w:szCs w:val="20"/>
          <w:color w:val="auto"/>
        </w:rPr>
      </w:pPr>
    </w:p>
    <w:p>
      <w:pPr>
        <w:sectPr>
          <w:pgSz w:w="11900" w:h="16838" w:orient="portrait"/>
          <w:cols w:equalWidth="0" w:num="4">
            <w:col w:w="2240" w:space="720"/>
            <w:col w:w="2680" w:space="120"/>
            <w:col w:w="2680" w:space="120"/>
            <w:col w:w="2680"/>
          </w:cols>
          <w:pgMar w:left="320" w:top="121" w:right="33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Impact to remaining shareholders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Redemptions in Connection With</w:t>
            </w:r>
          </w:p>
        </w:tc>
        <w:tc>
          <w:tcPr>
            <w:tcW w:w="2680" w:type="dxa"/>
            <w:vAlign w:val="bottom"/>
          </w:tcPr>
          <w:p>
            <w:pPr>
              <w:spacing w:after="0"/>
              <w:rPr>
                <w:sz w:val="18"/>
                <w:szCs w:val="18"/>
                <w:color w:val="auto"/>
              </w:rPr>
            </w:pPr>
          </w:p>
        </w:tc>
      </w:tr>
      <w:tr>
        <w:trPr>
          <w:trHeight w:val="216"/>
        </w:trPr>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Our Initial Business</w:t>
            </w:r>
          </w:p>
        </w:tc>
        <w:tc>
          <w:tcPr>
            <w:tcW w:w="2680" w:type="dxa"/>
            <w:vAlign w:val="bottom"/>
          </w:tcPr>
          <w:p>
            <w:pPr>
              <w:ind w:left="200"/>
              <w:spacing w:after="0"/>
              <w:rPr>
                <w:sz w:val="20"/>
                <w:szCs w:val="20"/>
                <w:color w:val="auto"/>
              </w:rPr>
            </w:pPr>
            <w:r>
              <w:rPr>
                <w:rFonts w:ascii="Arial" w:cs="Arial" w:eastAsia="Arial" w:hAnsi="Arial"/>
                <w:sz w:val="18"/>
                <w:szCs w:val="18"/>
                <w:b w:val="1"/>
                <w:bCs w:val="1"/>
                <w:color w:val="auto"/>
                <w:w w:val="96"/>
              </w:rPr>
              <w:t>Other Permitted Purchases of</w:t>
            </w:r>
          </w:p>
        </w:tc>
      </w:tr>
      <w:tr>
        <w:trPr>
          <w:trHeight w:val="241"/>
        </w:trPr>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Combination</w:t>
            </w:r>
          </w:p>
        </w:tc>
        <w:tc>
          <w:tcPr>
            <w:tcW w:w="2680" w:type="dxa"/>
            <w:vAlign w:val="bottom"/>
          </w:tcPr>
          <w:p>
            <w:pPr>
              <w:ind w:left="140"/>
              <w:spacing w:after="0"/>
              <w:rPr>
                <w:sz w:val="20"/>
                <w:szCs w:val="20"/>
                <w:color w:val="auto"/>
              </w:rPr>
            </w:pPr>
            <w:r>
              <w:rPr>
                <w:rFonts w:ascii="Arial" w:cs="Arial" w:eastAsia="Arial" w:hAnsi="Arial"/>
                <w:sz w:val="18"/>
                <w:szCs w:val="18"/>
                <w:b w:val="1"/>
                <w:bCs w:val="1"/>
                <w:color w:val="auto"/>
                <w:w w:val="95"/>
              </w:rPr>
              <w:t>Public Shares by Our Affiliates</w:t>
            </w:r>
          </w:p>
        </w:tc>
      </w:tr>
      <w:tr>
        <w:trPr>
          <w:trHeight w:val="202"/>
        </w:trPr>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The redemptions in connection with</w:t>
            </w:r>
          </w:p>
        </w:tc>
        <w:tc>
          <w:tcPr>
            <w:tcW w:w="100" w:type="dxa"/>
            <w:vAlign w:val="bottom"/>
          </w:tcPr>
          <w:p>
            <w:pPr>
              <w:spacing w:after="0"/>
              <w:rPr>
                <w:sz w:val="17"/>
                <w:szCs w:val="17"/>
                <w:color w:val="auto"/>
              </w:rPr>
            </w:pPr>
          </w:p>
        </w:tc>
        <w:tc>
          <w:tcPr>
            <w:tcW w:w="2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If the permitted purchases described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our initial business combination will</w:t>
            </w:r>
          </w:p>
        </w:tc>
        <w:tc>
          <w:tcPr>
            <w:tcW w:w="2680" w:type="dxa"/>
            <w:vAlign w:val="bottom"/>
          </w:tcPr>
          <w:p>
            <w:pPr>
              <w:spacing w:after="0"/>
              <w:rPr>
                <w:sz w:val="20"/>
                <w:szCs w:val="20"/>
                <w:color w:val="auto"/>
              </w:rPr>
            </w:pPr>
            <w:r>
              <w:rPr>
                <w:rFonts w:ascii="Arial" w:cs="Arial" w:eastAsia="Arial" w:hAnsi="Arial"/>
                <w:sz w:val="18"/>
                <w:szCs w:val="18"/>
                <w:color w:val="auto"/>
                <w:w w:val="93"/>
              </w:rPr>
              <w:t>above are made, there would be no</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reduce the book value per share for</w:t>
            </w:r>
          </w:p>
        </w:tc>
        <w:tc>
          <w:tcPr>
            <w:tcW w:w="2680" w:type="dxa"/>
            <w:vAlign w:val="bottom"/>
          </w:tcPr>
          <w:p>
            <w:pPr>
              <w:spacing w:after="0"/>
              <w:rPr>
                <w:sz w:val="20"/>
                <w:szCs w:val="20"/>
                <w:color w:val="auto"/>
              </w:rPr>
            </w:pPr>
            <w:r>
              <w:rPr>
                <w:rFonts w:ascii="Arial" w:cs="Arial" w:eastAsia="Arial" w:hAnsi="Arial"/>
                <w:sz w:val="18"/>
                <w:szCs w:val="18"/>
                <w:color w:val="auto"/>
              </w:rPr>
              <w:t>impact to our remaining</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5"/>
              </w:rPr>
              <w:t>our remaining shareholders, who will</w:t>
            </w:r>
          </w:p>
        </w:tc>
        <w:tc>
          <w:tcPr>
            <w:tcW w:w="2680" w:type="dxa"/>
            <w:vAlign w:val="bottom"/>
          </w:tcPr>
          <w:p>
            <w:pPr>
              <w:spacing w:after="0"/>
              <w:rPr>
                <w:sz w:val="20"/>
                <w:szCs w:val="20"/>
                <w:color w:val="auto"/>
              </w:rPr>
            </w:pPr>
            <w:r>
              <w:rPr>
                <w:rFonts w:ascii="Arial" w:cs="Arial" w:eastAsia="Arial" w:hAnsi="Arial"/>
                <w:sz w:val="18"/>
                <w:szCs w:val="18"/>
                <w:color w:val="auto"/>
                <w:w w:val="92"/>
              </w:rPr>
              <w:t>shareholders because the purchase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bear the burden of the deferred</w:t>
            </w:r>
          </w:p>
        </w:tc>
        <w:tc>
          <w:tcPr>
            <w:tcW w:w="2680" w:type="dxa"/>
            <w:vAlign w:val="bottom"/>
          </w:tcPr>
          <w:p>
            <w:pPr>
              <w:spacing w:after="0"/>
              <w:rPr>
                <w:sz w:val="20"/>
                <w:szCs w:val="20"/>
                <w:color w:val="auto"/>
              </w:rPr>
            </w:pPr>
            <w:r>
              <w:rPr>
                <w:rFonts w:ascii="Arial" w:cs="Arial" w:eastAsia="Arial" w:hAnsi="Arial"/>
                <w:sz w:val="18"/>
                <w:szCs w:val="18"/>
                <w:color w:val="auto"/>
              </w:rPr>
              <w:t>price would not be paid by us.</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5"/>
              </w:rPr>
              <w:t>underwriting commissions and taxes</w:t>
            </w:r>
          </w:p>
        </w:tc>
        <w:tc>
          <w:tcPr>
            <w:tcW w:w="2680" w:type="dxa"/>
            <w:vAlign w:val="bottom"/>
          </w:tcPr>
          <w:p>
            <w:pPr>
              <w:spacing w:after="0"/>
              <w:rPr>
                <w:sz w:val="18"/>
                <w:szCs w:val="18"/>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2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left="-19" w:right="220"/>
        <w:spacing w:after="0" w:line="262" w:lineRule="auto"/>
        <w:rPr>
          <w:sz w:val="20"/>
          <w:szCs w:val="20"/>
          <w:color w:val="auto"/>
        </w:rPr>
      </w:pPr>
      <w:r>
        <w:rPr>
          <w:rFonts w:ascii="Arial" w:cs="Arial" w:eastAsia="Arial" w:hAnsi="Arial"/>
          <w:sz w:val="18"/>
          <w:szCs w:val="18"/>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7056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180" w:lineRule="exact"/>
        <w:rPr>
          <w:sz w:val="20"/>
          <w:szCs w:val="20"/>
          <w:color w:val="auto"/>
        </w:rPr>
      </w:pPr>
    </w:p>
    <w:p>
      <w:pPr>
        <w:sectPr>
          <w:pgSz w:w="11900" w:h="16838" w:orient="portrait"/>
          <w:cols w:equalWidth="0" w:num="3">
            <w:col w:w="2240" w:space="720"/>
            <w:col w:w="5480" w:space="120"/>
            <w:col w:w="2660"/>
          </w:cols>
          <w:pgMar w:left="320" w:top="121" w:right="359" w:bottom="1151" w:gutter="0" w:footer="0" w:header="0"/>
        </w:sectPr>
      </w:pPr>
    </w:p>
    <w:p>
      <w:pPr>
        <w:spacing w:after="0"/>
        <w:rPr>
          <w:sz w:val="20"/>
          <w:szCs w:val="20"/>
          <w:color w:val="auto"/>
        </w:rPr>
      </w:pPr>
      <w:r>
        <w:rPr>
          <w:rFonts w:ascii="Arial" w:cs="Arial" w:eastAsia="Arial" w:hAnsi="Arial"/>
          <w:sz w:val="22"/>
          <w:szCs w:val="22"/>
          <w:b w:val="1"/>
          <w:bCs w:val="1"/>
          <w:color w:val="auto"/>
        </w:rPr>
        <w:t>Comparison of This Offering to Those of Blank Check Companies Subject to Rule 419</w:t>
      </w:r>
    </w:p>
    <w:p>
      <w:pPr>
        <w:spacing w:after="0" w:line="239" w:lineRule="exact"/>
        <w:rPr>
          <w:sz w:val="20"/>
          <w:szCs w:val="20"/>
          <w:color w:val="auto"/>
        </w:rPr>
      </w:pPr>
    </w:p>
    <w:p>
      <w:pPr>
        <w:ind w:right="60"/>
        <w:spacing w:after="0" w:line="251" w:lineRule="exact"/>
        <w:rPr>
          <w:sz w:val="20"/>
          <w:szCs w:val="20"/>
          <w:color w:val="auto"/>
        </w:rPr>
      </w:pPr>
      <w:r>
        <w:rPr>
          <w:rFonts w:ascii="Arial" w:cs="Arial" w:eastAsia="Arial" w:hAnsi="Arial"/>
          <w:sz w:val="19"/>
          <w:szCs w:val="19"/>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w:t>
      </w:r>
      <w:r>
        <w:rPr>
          <w:rFonts w:ascii="MS PGothic" w:cs="MS PGothic" w:eastAsia="MS PGothic" w:hAnsi="MS PGothic"/>
          <w:sz w:val="19"/>
          <w:szCs w:val="19"/>
          <w:color w:val="auto"/>
        </w:rPr>
        <w:t>‑</w:t>
      </w:r>
      <w:r>
        <w:rPr>
          <w:rFonts w:ascii="Arial" w:cs="Arial" w:eastAsia="Arial" w:hAnsi="Arial"/>
          <w:sz w:val="19"/>
          <w:szCs w:val="19"/>
          <w:color w:val="auto"/>
        </w:rPr>
        <w:t>allotment option. None of the provisions of Rule 419 apply to our offering.</w:t>
      </w:r>
    </w:p>
    <w:p>
      <w:pPr>
        <w:sectPr>
          <w:pgSz w:w="11900" w:h="16838" w:orient="portrait"/>
          <w:cols w:equalWidth="0" w:num="1">
            <w:col w:w="11220"/>
          </w:cols>
          <w:pgMar w:left="320" w:top="121" w:right="359" w:bottom="1151"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Escrow of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of net proceeds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$125,000,000 of the net proceeds of this offering and the sale of the private placement units will be deposited into a trust account located in the United States with Continental Stock Transfer &amp; Trust Company acting as trustee.</w:t>
      </w:r>
    </w:p>
    <w:p>
      <w:pPr>
        <w:spacing w:after="0" w:line="200" w:lineRule="exact"/>
        <w:rPr>
          <w:sz w:val="20"/>
          <w:szCs w:val="20"/>
          <w:color w:val="auto"/>
        </w:rPr>
      </w:pPr>
    </w:p>
    <w:p>
      <w:pPr>
        <w:spacing w:after="0" w:line="204"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$125,000,000 of the net proceeds of this offering and the sale of the private placement units held in trust will be invested only in U.S. government treasury obligations with a maturity of 185 days or less or in money market funds meeting certain conditions under Rule 2a</w:t>
      </w:r>
      <w:r>
        <w:rPr>
          <w:rFonts w:ascii="MS PGothic" w:cs="MS PGothic" w:eastAsia="MS PGothic" w:hAnsi="MS PGothic"/>
          <w:sz w:val="18"/>
          <w:szCs w:val="18"/>
          <w:color w:val="auto"/>
        </w:rPr>
        <w:t>‑</w:t>
      </w:r>
      <w:r>
        <w:rPr>
          <w:rFonts w:ascii="Arial" w:cs="Arial" w:eastAsia="Arial" w:hAnsi="Arial"/>
          <w:sz w:val="18"/>
          <w:szCs w:val="18"/>
          <w:color w:val="auto"/>
        </w:rPr>
        <w:t>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628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Approximately $106,312,500 of the offering proceeds would be required to be deposited into either an escrow account with an insured depositary institution or in a separate bank account established by a broker</w:t>
      </w:r>
      <w:r>
        <w:rPr>
          <w:rFonts w:ascii="MS PGothic" w:cs="MS PGothic" w:eastAsia="MS PGothic" w:hAnsi="MS PGothic"/>
          <w:sz w:val="16"/>
          <w:szCs w:val="16"/>
          <w:color w:val="auto"/>
        </w:rPr>
        <w:t>‑</w:t>
      </w:r>
      <w:r>
        <w:rPr>
          <w:rFonts w:ascii="Arial" w:cs="Arial" w:eastAsia="Arial" w:hAnsi="Arial"/>
          <w:sz w:val="16"/>
          <w:szCs w:val="16"/>
          <w:color w:val="auto"/>
        </w:rPr>
        <w:t>dealer in which the broker</w:t>
      </w:r>
      <w:r>
        <w:rPr>
          <w:rFonts w:ascii="MS PGothic" w:cs="MS PGothic" w:eastAsia="MS PGothic" w:hAnsi="MS PGothic"/>
          <w:sz w:val="16"/>
          <w:szCs w:val="16"/>
          <w:color w:val="auto"/>
        </w:rPr>
        <w:t>‑</w:t>
      </w:r>
      <w:r>
        <w:rPr>
          <w:rFonts w:ascii="Arial" w:cs="Arial" w:eastAsia="Arial" w:hAnsi="Arial"/>
          <w:sz w:val="16"/>
          <w:szCs w:val="16"/>
          <w:color w:val="auto"/>
        </w:rPr>
        <w:t>dealer acts as trustee for persons having the beneficial interests in the account.</w:t>
      </w:r>
    </w:p>
    <w:p>
      <w:pPr>
        <w:spacing w:after="0" w:line="20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4" w:lineRule="exact"/>
        <w:rPr>
          <w:sz w:val="20"/>
          <w:szCs w:val="20"/>
          <w:color w:val="auto"/>
        </w:rPr>
      </w:pPr>
    </w:p>
    <w:p>
      <w:pPr>
        <w:sectPr>
          <w:pgSz w:w="11900" w:h="16838" w:orient="portrait"/>
          <w:cols w:equalWidth="0" w:num="3">
            <w:col w:w="2340" w:space="720"/>
            <w:col w:w="4000" w:space="140"/>
            <w:col w:w="4020"/>
          </w:cols>
          <w:pgMar w:left="320" w:top="121" w:right="359" w:bottom="1151" w:gutter="0" w:footer="0" w:header="0"/>
          <w:type w:val="continuous"/>
        </w:sectPr>
      </w:pPr>
    </w:p>
    <w:p>
      <w:pPr>
        <w:spacing w:after="0" w:line="1" w:lineRule="exact"/>
        <w:rPr>
          <w:sz w:val="20"/>
          <w:szCs w:val="20"/>
          <w:color w:val="auto"/>
        </w:rPr>
      </w:pPr>
    </w:p>
    <w:p>
      <w:pPr>
        <w:ind w:left="180" w:right="700" w:hanging="161"/>
        <w:spacing w:after="0" w:line="347" w:lineRule="auto"/>
        <w:rPr>
          <w:sz w:val="20"/>
          <w:szCs w:val="20"/>
          <w:color w:val="auto"/>
        </w:rPr>
      </w:pPr>
      <w:r>
        <w:rPr>
          <w:rFonts w:ascii="Arial" w:cs="Arial" w:eastAsia="Arial" w:hAnsi="Arial"/>
          <w:sz w:val="16"/>
          <w:szCs w:val="16"/>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right="60" w:hanging="161"/>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Interest income (if any) on proceeds from the trust account to be paid to shareholders is reduced by (i) any income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178"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52nd day following the date of this prospectus unless Jefferies LLC informs us of its decision to allow earlier separate trading, subject to our having filed the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described below and having issued a press release announcing when such separate trading will begin. We will file the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promptly after the closing of this offering. If the</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1478" w:lineRule="exact"/>
        <w:rPr>
          <w:sz w:val="20"/>
          <w:szCs w:val="20"/>
          <w:color w:val="auto"/>
        </w:rPr>
      </w:pPr>
    </w:p>
    <w:p>
      <w:pPr>
        <w:sectPr>
          <w:pgSz w:w="11900" w:h="16838" w:orient="portrait"/>
          <w:cols w:equalWidth="0" w:num="3">
            <w:col w:w="2340" w:space="720"/>
            <w:col w:w="4040" w:space="100"/>
            <w:col w:w="4020"/>
          </w:cols>
          <w:pgMar w:left="320" w:top="121" w:right="359" w:bottom="1151"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151"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p>
      <w:pPr>
        <w:jc w:val="right"/>
        <w:ind w:right="1460"/>
        <w:spacing w:after="0"/>
        <w:tabs>
          <w:tab w:leader="none" w:pos="2560" w:val="left"/>
        </w:tabs>
        <w:rPr>
          <w:sz w:val="20"/>
          <w:szCs w:val="20"/>
          <w:color w:val="auto"/>
        </w:rPr>
      </w:pPr>
      <w:r>
        <w:rPr>
          <w:rFonts w:ascii="Arial" w:cs="Arial" w:eastAsia="Arial" w:hAnsi="Arial"/>
          <w:sz w:val="18"/>
          <w:szCs w:val="18"/>
          <w:b w:val="1"/>
          <w:bCs w:val="1"/>
          <w:color w:val="auto"/>
        </w:rPr>
        <w:t>Terms of Our Offering</w:t>
      </w:r>
      <w:r>
        <w:rPr>
          <w:sz w:val="20"/>
          <w:szCs w:val="20"/>
          <w:color w:val="auto"/>
        </w:rPr>
        <w:tab/>
      </w:r>
      <w:r>
        <w:rPr>
          <w:rFonts w:ascii="Arial" w:cs="Arial" w:eastAsia="Arial" w:hAnsi="Arial"/>
          <w:sz w:val="16"/>
          <w:szCs w:val="16"/>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17145</wp:posOffset>
            </wp:positionV>
            <wp:extent cx="51949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94935" cy="17145"/>
                    </a:xfrm>
                    <a:prstGeom prst="rect">
                      <a:avLst/>
                    </a:prstGeom>
                    <a:noFill/>
                  </pic:spPr>
                </pic:pic>
              </a:graphicData>
            </a:graphic>
          </wp:anchor>
        </w:drawing>
      </w:r>
    </w:p>
    <w:p>
      <w:pPr>
        <w:spacing w:after="0" w:line="20" w:lineRule="exact"/>
        <w:rPr>
          <w:sz w:val="20"/>
          <w:szCs w:val="20"/>
          <w:color w:val="auto"/>
        </w:rPr>
      </w:pPr>
    </w:p>
    <w:p>
      <w:pPr>
        <w:ind w:left="3060"/>
        <w:spacing w:after="0" w:line="207" w:lineRule="exact"/>
        <w:rPr>
          <w:sz w:val="20"/>
          <w:szCs w:val="20"/>
          <w:color w:val="auto"/>
        </w:rPr>
      </w:pP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allotment option is exercised following the initial</w:t>
      </w:r>
    </w:p>
    <w:p>
      <w:pPr>
        <w:spacing w:after="0" w:line="23" w:lineRule="exact"/>
        <w:rPr>
          <w:sz w:val="20"/>
          <w:szCs w:val="20"/>
          <w:color w:val="auto"/>
        </w:rPr>
      </w:pPr>
    </w:p>
    <w:p>
      <w:pPr>
        <w:ind w:left="3060"/>
        <w:spacing w:after="0" w:line="207" w:lineRule="exact"/>
        <w:rPr>
          <w:sz w:val="20"/>
          <w:szCs w:val="20"/>
          <w:color w:val="auto"/>
        </w:rPr>
      </w:pPr>
      <w:r>
        <w:rPr>
          <w:rFonts w:ascii="Arial" w:cs="Arial" w:eastAsia="Arial" w:hAnsi="Arial"/>
          <w:sz w:val="18"/>
          <w:szCs w:val="18"/>
          <w:color w:val="auto"/>
        </w:rPr>
        <w:t>filing of such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 second or</w:t>
      </w:r>
    </w:p>
    <w:p>
      <w:pPr>
        <w:spacing w:after="0" w:line="9" w:lineRule="exact"/>
        <w:rPr>
          <w:sz w:val="20"/>
          <w:szCs w:val="20"/>
          <w:color w:val="auto"/>
        </w:rPr>
      </w:pPr>
    </w:p>
    <w:p>
      <w:pPr>
        <w:ind w:left="3060"/>
        <w:spacing w:after="0" w:line="207" w:lineRule="exact"/>
        <w:rPr>
          <w:sz w:val="20"/>
          <w:szCs w:val="20"/>
          <w:color w:val="auto"/>
        </w:rPr>
      </w:pPr>
      <w:r>
        <w:rPr>
          <w:rFonts w:ascii="Arial" w:cs="Arial" w:eastAsia="Arial" w:hAnsi="Arial"/>
          <w:sz w:val="18"/>
          <w:szCs w:val="18"/>
          <w:color w:val="auto"/>
        </w:rPr>
        <w:t>amended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will be filed 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provide updated financial information to reflect the</w:t>
      </w:r>
    </w:p>
    <w:p>
      <w:pPr>
        <w:spacing w:after="0" w:line="9" w:lineRule="exact"/>
        <w:rPr>
          <w:sz w:val="20"/>
          <w:szCs w:val="20"/>
          <w:color w:val="auto"/>
        </w:rPr>
      </w:pPr>
    </w:p>
    <w:p>
      <w:pPr>
        <w:ind w:left="3060"/>
        <w:spacing w:after="0" w:line="207" w:lineRule="exact"/>
        <w:rPr>
          <w:sz w:val="20"/>
          <w:szCs w:val="20"/>
          <w:color w:val="auto"/>
        </w:rPr>
      </w:pPr>
      <w:r>
        <w:rPr>
          <w:rFonts w:ascii="Arial" w:cs="Arial" w:eastAsia="Arial" w:hAnsi="Arial"/>
          <w:sz w:val="18"/>
          <w:szCs w:val="18"/>
          <w:color w:val="auto"/>
        </w:rPr>
        <w:t>exercise of the over</w:t>
      </w:r>
      <w:r>
        <w:rPr>
          <w:rFonts w:ascii="MS PGothic" w:cs="MS PGothic" w:eastAsia="MS PGothic" w:hAnsi="MS PGothic"/>
          <w:sz w:val="18"/>
          <w:szCs w:val="18"/>
          <w:color w:val="auto"/>
        </w:rPr>
        <w:t>‑</w:t>
      </w:r>
      <w:r>
        <w:rPr>
          <w:rFonts w:ascii="Arial" w:cs="Arial" w:eastAsia="Arial" w:hAnsi="Arial"/>
          <w:sz w:val="18"/>
          <w:szCs w:val="18"/>
          <w:color w:val="auto"/>
        </w:rPr>
        <w:t>allotment option. The units will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automatically separate into their component parts and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will not be traded after completion of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ectPr>
          <w:pgSz w:w="11900" w:h="16838" w:orient="portrait"/>
          <w:cols w:equalWidth="0" w:num="1">
            <w:col w:w="11240"/>
          </w:cols>
          <w:pgMar w:left="320" w:top="121" w:right="339" w:bottom="314" w:gutter="0" w:footer="0" w:header="0"/>
        </w:sectPr>
      </w:pP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later of 30</w:t>
      </w:r>
    </w:p>
    <w:p>
      <w:pPr>
        <w:spacing w:after="0" w:line="27" w:lineRule="exact"/>
        <w:rPr>
          <w:sz w:val="20"/>
          <w:szCs w:val="20"/>
          <w:color w:val="auto"/>
        </w:rPr>
      </w:pPr>
    </w:p>
    <w:p>
      <w:pPr>
        <w:ind w:left="3060" w:right="120"/>
        <w:spacing w:after="0" w:line="255" w:lineRule="auto"/>
        <w:rPr>
          <w:sz w:val="20"/>
          <w:szCs w:val="20"/>
          <w:color w:val="auto"/>
        </w:rPr>
      </w:pPr>
      <w:r>
        <w:rPr>
          <w:rFonts w:ascii="Arial" w:cs="Arial" w:eastAsia="Arial" w:hAnsi="Arial"/>
          <w:sz w:val="18"/>
          <w:szCs w:val="18"/>
          <w:color w:val="auto"/>
        </w:rPr>
        <w:t>days after the completion of our initial business combination and 12 months from the closing of this offering.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53" w:lineRule="exact"/>
        <w:rPr>
          <w:sz w:val="20"/>
          <w:szCs w:val="20"/>
          <w:color w:val="auto"/>
        </w:rPr>
      </w:pPr>
    </w:p>
    <w:p>
      <w:pPr>
        <w:sectPr>
          <w:pgSz w:w="11900" w:h="16838" w:orient="portrait"/>
          <w:cols w:equalWidth="0" w:num="2">
            <w:col w:w="6900" w:space="300"/>
            <w:col w:w="4040"/>
          </w:cols>
          <w:pgMar w:left="320" w:top="121" w:right="339" w:bottom="314"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color w:val="auto"/>
        </w:rPr>
        <w:t>Election to remain an</w:t>
      </w:r>
      <w:r>
        <w:rPr>
          <w:sz w:val="20"/>
          <w:szCs w:val="20"/>
          <w:color w:val="auto"/>
        </w:rPr>
        <w:tab/>
      </w:r>
      <w:r>
        <w:rPr>
          <w:rFonts w:ascii="Arial" w:cs="Arial" w:eastAsia="Arial" w:hAnsi="Arial"/>
          <w:sz w:val="16"/>
          <w:szCs w:val="16"/>
          <w:color w:val="auto"/>
        </w:rPr>
        <w:t>We will provide our public shareholders with the</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6"/>
          <w:szCs w:val="16"/>
          <w:b w:val="1"/>
          <w:bCs w:val="1"/>
          <w:color w:val="auto"/>
        </w:rPr>
        <w:t>investor</w:t>
      </w:r>
      <w:r>
        <w:rPr>
          <w:sz w:val="20"/>
          <w:szCs w:val="20"/>
          <w:color w:val="auto"/>
        </w:rPr>
        <w:tab/>
      </w:r>
      <w:r>
        <w:rPr>
          <w:rFonts w:ascii="Arial" w:cs="Arial" w:eastAsia="Arial" w:hAnsi="Arial"/>
          <w:sz w:val="16"/>
          <w:szCs w:val="16"/>
          <w:color w:val="auto"/>
        </w:rPr>
        <w:t>opportunity to redeem their public shares for cash at a</w:t>
      </w:r>
    </w:p>
    <w:p>
      <w:pPr>
        <w:spacing w:after="0" w:line="32" w:lineRule="exact"/>
        <w:rPr>
          <w:sz w:val="20"/>
          <w:szCs w:val="20"/>
          <w:color w:val="auto"/>
        </w:rPr>
      </w:pPr>
    </w:p>
    <w:p>
      <w:pPr>
        <w:ind w:left="3060"/>
        <w:spacing w:after="0" w:line="216" w:lineRule="exact"/>
        <w:rPr>
          <w:sz w:val="20"/>
          <w:szCs w:val="20"/>
          <w:color w:val="auto"/>
        </w:rPr>
      </w:pPr>
      <w:r>
        <w:rPr>
          <w:rFonts w:ascii="Arial" w:cs="Arial" w:eastAsia="Arial" w:hAnsi="Arial"/>
          <w:sz w:val="17"/>
          <w:szCs w:val="17"/>
          <w:color w:val="auto"/>
        </w:rPr>
        <w:t>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w:t>
      </w:r>
      <w:r>
        <w:rPr>
          <w:rFonts w:ascii="MS PGothic" w:cs="MS PGothic" w:eastAsia="MS PGothic" w:hAnsi="MS PGothic"/>
          <w:sz w:val="17"/>
          <w:szCs w:val="17"/>
          <w:color w:val="auto"/>
        </w:rPr>
        <w:t>‑</w:t>
      </w:r>
      <w:r>
        <w:rPr>
          <w:rFonts w:ascii="Arial" w:cs="Arial" w:eastAsia="Arial" w:hAnsi="Arial"/>
          <w:sz w:val="17"/>
          <w:szCs w:val="17"/>
          <w:color w:val="auto"/>
        </w:rPr>
        <w:t>outstanding public shares, upon the completion of our initial business combination, subject to the limitations described herein. We may not be required by applicable law or stock exchange rule to hold a shareholder vote. If we are not required by applicable law or stock exchange rule and do not otherwise decide to hold a shareholder vote, we will, pursuant to our amended and restated memorandum and articles of association,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shareholder vote,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Additionally,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 prospectus containing information pertaining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business combination required by the SEC would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sent to each investor. Each investor would be given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opportunity to notify the company in writing, within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period of no less than 20 business days and no more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than 45 business days from the effective date of a</w:t>
      </w:r>
    </w:p>
    <w:p>
      <w:pPr>
        <w:spacing w:after="0" w:line="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effective amendment to the company’s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 to decide if he, she or it elects to remain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 of the company or require the return of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 or its investment. If the company has not received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notification by the end of the 45th business day,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funds and interest or dividends, if any, held in the trust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escrow account are automatically returned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shareholder. Unless a sufficient number of investors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 to remain investors, all funds on deposit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escrow account must be returned to all of the investors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none of the securities are issued.</w:t>
      </w:r>
    </w:p>
    <w:p>
      <w:pPr>
        <w:spacing w:after="0" w:line="4954" w:lineRule="exact"/>
        <w:rPr>
          <w:sz w:val="20"/>
          <w:szCs w:val="20"/>
          <w:color w:val="auto"/>
        </w:rPr>
      </w:pPr>
    </w:p>
    <w:p>
      <w:pPr>
        <w:sectPr>
          <w:pgSz w:w="11900" w:h="16838" w:orient="portrait"/>
          <w:cols w:equalWidth="0" w:num="2">
            <w:col w:w="7080" w:space="120"/>
            <w:col w:w="4040"/>
          </w:cols>
          <w:pgMar w:left="320" w:top="121" w:right="339" w:bottom="314" w:gutter="0" w:footer="0" w:header="0"/>
          <w:type w:val="continuous"/>
        </w:sectPr>
      </w:pPr>
    </w:p>
    <w:p>
      <w:pPr>
        <w:spacing w:after="0" w:line="4"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Business combination</w:t>
      </w:r>
      <w:r>
        <w:rPr>
          <w:sz w:val="20"/>
          <w:szCs w:val="20"/>
          <w:color w:val="auto"/>
        </w:rPr>
        <w:tab/>
      </w:r>
      <w:r>
        <w:rPr>
          <w:rFonts w:ascii="Arial" w:cs="Arial" w:eastAsia="Arial" w:hAnsi="Arial"/>
          <w:sz w:val="16"/>
          <w:szCs w:val="16"/>
          <w:color w:val="auto"/>
        </w:rPr>
        <w:t>If we do not consummate an initial business</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7"/>
          <w:szCs w:val="17"/>
          <w:b w:val="1"/>
          <w:bCs w:val="1"/>
          <w:color w:val="auto"/>
        </w:rPr>
        <w:t>deadline</w:t>
      </w:r>
      <w:r>
        <w:rPr>
          <w:sz w:val="20"/>
          <w:szCs w:val="20"/>
          <w:color w:val="auto"/>
        </w:rPr>
        <w:tab/>
      </w:r>
      <w:r>
        <w:rPr>
          <w:rFonts w:ascii="Arial" w:cs="Arial" w:eastAsia="Arial" w:hAnsi="Arial"/>
          <w:sz w:val="17"/>
          <w:szCs w:val="17"/>
          <w:color w:val="auto"/>
        </w:rPr>
        <w:t>combination within 24 months from the closing of this</w:t>
      </w:r>
    </w:p>
    <w:p>
      <w:pPr>
        <w:spacing w:after="0" w:line="21" w:lineRule="exact"/>
        <w:rPr>
          <w:sz w:val="20"/>
          <w:szCs w:val="20"/>
          <w:color w:val="auto"/>
        </w:rPr>
      </w:pPr>
    </w:p>
    <w:p>
      <w:pPr>
        <w:ind w:left="3060"/>
        <w:spacing w:after="0" w:line="216" w:lineRule="exact"/>
        <w:rPr>
          <w:sz w:val="20"/>
          <w:szCs w:val="20"/>
          <w:color w:val="auto"/>
        </w:rPr>
      </w:pPr>
      <w:r>
        <w:rPr>
          <w:rFonts w:ascii="Arial" w:cs="Arial" w:eastAsia="Arial" w:hAnsi="Arial"/>
          <w:sz w:val="17"/>
          <w:szCs w:val="17"/>
          <w:color w:val="auto"/>
        </w:rPr>
        <w:t>offering, we will (i) cease all operations except for the purpose of winding up; (ii) as promptly as reasonably possible but not more than ten business days thereafter, redeem 100% of the public shares, at a per</w:t>
      </w:r>
      <w:r>
        <w:rPr>
          <w:rFonts w:ascii="MS PGothic" w:cs="MS PGothic" w:eastAsia="MS PGothic" w:hAnsi="MS PGothic"/>
          <w:sz w:val="17"/>
          <w:szCs w:val="17"/>
          <w:color w:val="auto"/>
        </w:rPr>
        <w:t>‑</w:t>
      </w:r>
      <w:r>
        <w:rPr>
          <w:rFonts w:ascii="Arial" w:cs="Arial" w:eastAsia="Arial" w:hAnsi="Arial"/>
          <w:sz w:val="17"/>
          <w:szCs w:val="17"/>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7"/>
          <w:szCs w:val="17"/>
          <w:color w:val="auto"/>
        </w:rPr>
        <w:t>‑</w:t>
      </w:r>
      <w:r>
        <w:rPr>
          <w:rFonts w:ascii="Arial" w:cs="Arial" w:eastAsia="Arial" w:hAnsi="Arial"/>
          <w:sz w:val="17"/>
          <w:szCs w:val="17"/>
          <w:color w:val="auto"/>
        </w:rPr>
        <w:t>outstanding public shares, which redemption will completely extinguish public</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If an acquisition has not been completed within 18 months after the effective date of the company’s registration statement, funds held in the trust or escrow account are returned to investors.</w:t>
      </w:r>
    </w:p>
    <w:p>
      <w:pPr>
        <w:spacing w:after="0" w:line="2327" w:lineRule="exact"/>
        <w:rPr>
          <w:sz w:val="20"/>
          <w:szCs w:val="20"/>
          <w:color w:val="auto"/>
        </w:rPr>
      </w:pPr>
    </w:p>
    <w:p>
      <w:pPr>
        <w:sectPr>
          <w:pgSz w:w="11900" w:h="16838" w:orient="portrait"/>
          <w:cols w:equalWidth="0" w:num="2">
            <w:col w:w="7100" w:space="100"/>
            <w:col w:w="4040"/>
          </w:cols>
          <w:pgMar w:left="320" w:top="121" w:right="339" w:bottom="314"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14"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1"/>
        </w:trPr>
        <w:tc>
          <w:tcPr>
            <w:tcW w:w="3060" w:type="dxa"/>
            <w:vAlign w:val="bottom"/>
          </w:tcPr>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tc>
        <w:tc>
          <w:tcPr>
            <w:tcW w:w="4040" w:type="dxa"/>
            <w:vAlign w:val="bottom"/>
          </w:tcPr>
          <w:p>
            <w:pPr>
              <w:spacing w:after="0"/>
              <w:rPr>
                <w:sz w:val="15"/>
                <w:szCs w:val="15"/>
                <w:color w:val="auto"/>
              </w:rPr>
            </w:pPr>
          </w:p>
        </w:tc>
      </w:tr>
      <w:tr>
        <w:trPr>
          <w:trHeight w:val="397"/>
        </w:trPr>
        <w:tc>
          <w:tcPr>
            <w:tcW w:w="306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Terms of Our Offering</w:t>
            </w:r>
          </w:p>
        </w:tc>
      </w:tr>
      <w:tr>
        <w:trPr>
          <w:trHeight w:val="202"/>
        </w:trPr>
        <w:tc>
          <w:tcPr>
            <w:tcW w:w="306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w w:val="90"/>
              </w:rPr>
              <w:t>shareholders’ rights as shareholders (including the right</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to receive further liquidation distributions, if any); and</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(iii) as promptly as reasonably possible following such</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redemption, subject to the approval of our remaining</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shareholders and our board of directors, liquidate and</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dissolve, subject in the case of clauses (ii) and (iii) to</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our obligations under Cayman Islands law to provide</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for claims of creditors and the requirements of other</w:t>
            </w: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applicable law.</w:t>
            </w: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Pr>
          <w:p>
            <w:pPr>
              <w:spacing w:after="0"/>
              <w:rPr>
                <w:sz w:val="20"/>
                <w:szCs w:val="20"/>
                <w:color w:val="auto"/>
              </w:rPr>
            </w:pPr>
            <w:r>
              <w:rPr>
                <w:rFonts w:ascii="Arial" w:cs="Arial" w:eastAsia="Arial" w:hAnsi="Arial"/>
                <w:sz w:val="18"/>
                <w:szCs w:val="18"/>
                <w:color w:val="auto"/>
                <w:w w:val="90"/>
              </w:rPr>
              <w:t>Except with respect to interest earned on the funds held</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in the trust account that may be released to us to pay</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income taxes, if any, until the earliest of (i) the</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of our public shares if we have not</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consummated an initial business combination within 24</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months from the closing of this offering, subject to</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applicable law and (iii) the redemption of our public</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properly submitted in connection with a</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shareholder vote to approve an amendment to our</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amended and restated memorandum and articles of</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association (A) that would modify the substance or</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timing of our obligation to provide holders of our Class</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 ordinary shares the right to have their shares</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redeemed in connection with our initial business</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combination or to redeem 100% of our public shares if</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we do not complete our initial business combination</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within 24 months from the closing of this offering or</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 with respect to any other provision relating to the</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rights of holders of our Class A ordinary shares. Based</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on current interest rates, we expect that interest income</w:t>
            </w: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earned on the trust account (if any) will be sufficient to</w:t>
            </w: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pay our income taxes.</w:t>
            </w:r>
          </w:p>
        </w:tc>
      </w:tr>
    </w:tbl>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628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and the failure to effect a business combination within the allotted time.</w:t>
      </w:r>
    </w:p>
    <w:p>
      <w:pPr>
        <w:spacing w:after="0" w:line="4288" w:lineRule="exact"/>
        <w:rPr>
          <w:sz w:val="20"/>
          <w:szCs w:val="20"/>
          <w:color w:val="auto"/>
        </w:rPr>
      </w:pPr>
    </w:p>
    <w:p>
      <w:pPr>
        <w:sectPr>
          <w:pgSz w:w="11900" w:h="16838" w:orient="portrait"/>
          <w:cols w:equalWidth="0" w:num="2">
            <w:col w:w="7100" w:space="100"/>
            <w:col w:w="4020"/>
          </w:cols>
          <w:pgMar w:left="320" w:top="121" w:right="35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239"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We currently maintain our executive offices at 51 Astor Place, 10th Floor, New York, New York 10003. The cost for our use of this space is included in the $10,000 per month fee we will pay to our sponsor for office space, administrative and support services. We consider our current office space adequate for our current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w:t>
      </w:r>
    </w:p>
    <w:p>
      <w:pPr>
        <w:sectPr>
          <w:pgSz w:w="11900" w:h="16838" w:orient="portrait"/>
          <w:cols w:equalWidth="0" w:num="1">
            <w:col w:w="11220"/>
          </w:cols>
          <w:pgMar w:left="320" w:top="121" w:right="359" w:bottom="1440" w:gutter="0" w:footer="0" w:header="0"/>
          <w:type w:val="continuous"/>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business combination process we are in. We do not intend to have any full time employees prior to the completion of our initial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Periodic Reporting and Financial Information</w:t>
      </w:r>
    </w:p>
    <w:p>
      <w:pPr>
        <w:spacing w:after="0" w:line="239"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212"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this offering.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82" w:lineRule="exact"/>
        <w:rPr>
          <w:sz w:val="20"/>
          <w:szCs w:val="20"/>
          <w:color w:val="auto"/>
        </w:rPr>
      </w:pPr>
    </w:p>
    <w:p>
      <w:pPr>
        <w:ind w:right="100"/>
        <w:spacing w:after="0" w:line="247" w:lineRule="exact"/>
        <w:rPr>
          <w:sz w:val="20"/>
          <w:szCs w:val="20"/>
          <w:color w:val="auto"/>
        </w:rPr>
      </w:pPr>
      <w:r>
        <w:rPr>
          <w:rFonts w:ascii="Arial" w:cs="Arial" w:eastAsia="Arial" w:hAnsi="Arial"/>
          <w:sz w:val="22"/>
          <w:szCs w:val="22"/>
          <w:color w:val="auto"/>
        </w:rPr>
        <w:t>We will be required to evaluate our internal control procedures for the fiscal year ending December 31, 2021 as required by the Sarbanes</w:t>
      </w:r>
      <w:r>
        <w:rPr>
          <w:rFonts w:ascii="MS PGothic" w:cs="MS PGothic" w:eastAsia="MS PGothic" w:hAnsi="MS PGothic"/>
          <w:sz w:val="22"/>
          <w:szCs w:val="22"/>
          <w:color w:val="auto"/>
        </w:rPr>
        <w:t>‑</w:t>
      </w:r>
      <w:r>
        <w:rPr>
          <w:rFonts w:ascii="Arial" w:cs="Arial" w:eastAsia="Arial" w:hAnsi="Arial"/>
          <w:sz w:val="22"/>
          <w:szCs w:val="22"/>
          <w:color w:val="auto"/>
        </w:rPr>
        <w:t>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A target business may not be in compliance with the provisions of the Sarbanes</w:t>
      </w:r>
      <w:r>
        <w:rPr>
          <w:rFonts w:ascii="MS PGothic" w:cs="MS PGothic" w:eastAsia="MS PGothic" w:hAnsi="MS PGothic"/>
          <w:sz w:val="22"/>
          <w:szCs w:val="22"/>
          <w:color w:val="auto"/>
        </w:rPr>
        <w:t>‑</w:t>
      </w:r>
      <w:r>
        <w:rPr>
          <w:rFonts w:ascii="Arial" w:cs="Arial" w:eastAsia="Arial" w:hAnsi="Arial"/>
          <w:sz w:val="22"/>
          <w:szCs w:val="22"/>
          <w:color w:val="auto"/>
        </w:rPr>
        <w:t>Oxley Act regarding adequacy of their internal controls. The development of the internal controls of any such entity to achieve compliance with the Sarbanes</w:t>
      </w:r>
      <w:r>
        <w:rPr>
          <w:rFonts w:ascii="MS PGothic" w:cs="MS PGothic" w:eastAsia="MS PGothic" w:hAnsi="MS PGothic"/>
          <w:sz w:val="22"/>
          <w:szCs w:val="22"/>
          <w:color w:val="auto"/>
        </w:rPr>
        <w:t>‑</w:t>
      </w:r>
      <w:r>
        <w:rPr>
          <w:rFonts w:ascii="Arial" w:cs="Arial" w:eastAsia="Arial" w:hAnsi="Arial"/>
          <w:sz w:val="22"/>
          <w:szCs w:val="22"/>
          <w:color w:val="auto"/>
        </w:rPr>
        <w:t>Oxley Act may increase the time and costs necessary to complete any such acquisition.</w:t>
      </w:r>
    </w:p>
    <w:p>
      <w:pPr>
        <w:spacing w:after="0" w:line="218" w:lineRule="exact"/>
        <w:rPr>
          <w:sz w:val="20"/>
          <w:szCs w:val="20"/>
          <w:color w:val="auto"/>
        </w:rPr>
      </w:pPr>
    </w:p>
    <w:p>
      <w:pPr>
        <w:ind w:right="280"/>
        <w:spacing w:after="0" w:line="251" w:lineRule="exact"/>
        <w:rPr>
          <w:sz w:val="20"/>
          <w:szCs w:val="20"/>
          <w:color w:val="auto"/>
        </w:rPr>
      </w:pPr>
      <w:r>
        <w:rPr>
          <w:rFonts w:ascii="Arial" w:cs="Arial" w:eastAsia="Arial" w:hAnsi="Arial"/>
          <w:sz w:val="19"/>
          <w:szCs w:val="19"/>
          <w:color w:val="auto"/>
        </w:rPr>
        <w:t>Prior to the date of this prospectus, we will file a Registration Statement on Form 8</w:t>
      </w:r>
      <w:r>
        <w:rPr>
          <w:rFonts w:ascii="MS PGothic" w:cs="MS PGothic" w:eastAsia="MS PGothic" w:hAnsi="MS PGothic"/>
          <w:sz w:val="19"/>
          <w:szCs w:val="19"/>
          <w:color w:val="auto"/>
        </w:rPr>
        <w:t>‑</w:t>
      </w:r>
      <w:r>
        <w:rPr>
          <w:rFonts w:ascii="Arial" w:cs="Arial" w:eastAsia="Arial" w:hAnsi="Arial"/>
          <w:sz w:val="19"/>
          <w:szCs w:val="19"/>
          <w:color w:val="auto"/>
        </w:rPr>
        <w:t>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right="80"/>
        <w:spacing w:after="0" w:line="247" w:lineRule="exact"/>
        <w:rPr>
          <w:sz w:val="20"/>
          <w:szCs w:val="20"/>
          <w:color w:val="auto"/>
        </w:rPr>
      </w:pPr>
      <w:r>
        <w:rPr>
          <w:rFonts w:ascii="Arial" w:cs="Arial" w:eastAsia="Arial" w:hAnsi="Arial"/>
          <w:sz w:val="22"/>
          <w:szCs w:val="22"/>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w:t>
      </w:r>
      <w:r>
        <w:rPr>
          <w:rFonts w:ascii="MS PGothic" w:cs="MS PGothic" w:eastAsia="MS PGothic" w:hAnsi="MS PGothic"/>
          <w:sz w:val="22"/>
          <w:szCs w:val="22"/>
          <w:color w:val="auto"/>
        </w:rPr>
        <w:t>‑</w:t>
      </w:r>
      <w:r>
        <w:rPr>
          <w:rFonts w:ascii="Arial" w:cs="Arial" w:eastAsia="Arial" w:hAnsi="Arial"/>
          <w:sz w:val="22"/>
          <w:szCs w:val="22"/>
          <w:color w:val="auto"/>
        </w:rPr>
        <w:t>Oxley Act, reduced disclosure obligations regarding executive compensation in our periodic reports and proxy statements, and exemptions from the requirements of holding a non</w:t>
      </w:r>
      <w:r>
        <w:rPr>
          <w:rFonts w:ascii="MS PGothic" w:cs="MS PGothic" w:eastAsia="MS PGothic" w:hAnsi="MS PGothic"/>
          <w:sz w:val="22"/>
          <w:szCs w:val="22"/>
          <w:color w:val="auto"/>
        </w:rPr>
        <w:t>‑</w:t>
      </w:r>
      <w:r>
        <w:rPr>
          <w:rFonts w:ascii="Arial" w:cs="Arial" w:eastAsia="Arial" w:hAnsi="Arial"/>
          <w:sz w:val="22"/>
          <w:szCs w:val="22"/>
          <w:color w:val="auto"/>
        </w:rPr>
        <w:t>binding advisory vote on executive compensation and shareholder approval of any golden parachute payments not previously approved. If some investors find our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securities less attractive as a result, there may be a less active trading market for our securities and the prices of our securities may be more volatile.</w:t>
      </w:r>
    </w:p>
    <w:p>
      <w:pPr>
        <w:spacing w:after="0" w:line="202"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70" w:lineRule="exact"/>
        <w:rPr>
          <w:sz w:val="20"/>
          <w:szCs w:val="20"/>
          <w:color w:val="auto"/>
        </w:rPr>
      </w:pPr>
    </w:p>
    <w:p>
      <w:pPr>
        <w:ind w:right="60"/>
        <w:spacing w:after="0" w:line="249" w:lineRule="exact"/>
        <w:rPr>
          <w:sz w:val="20"/>
          <w:szCs w:val="20"/>
          <w:color w:val="auto"/>
        </w:rPr>
      </w:pPr>
      <w:r>
        <w:rPr>
          <w:rFonts w:ascii="Arial" w:cs="Arial" w:eastAsia="Arial" w:hAnsi="Arial"/>
          <w:sz w:val="22"/>
          <w:szCs w:val="22"/>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w:t>
      </w:r>
      <w:r>
        <w:rPr>
          <w:rFonts w:ascii="MS PGothic" w:cs="MS PGothic" w:eastAsia="MS PGothic" w:hAnsi="MS PGothic"/>
          <w:sz w:val="22"/>
          <w:szCs w:val="22"/>
          <w:color w:val="auto"/>
        </w:rPr>
        <w:t>‑</w:t>
      </w:r>
      <w:r>
        <w:rPr>
          <w:rFonts w:ascii="Arial" w:cs="Arial" w:eastAsia="Arial" w:hAnsi="Arial"/>
          <w:sz w:val="22"/>
          <w:szCs w:val="22"/>
          <w:color w:val="auto"/>
        </w:rPr>
        <w:t>affiliates exceeds $700 million as of the prior June 30th, and (2) the date on which we have issued more than $1.0 billion in non</w:t>
      </w:r>
      <w:r>
        <w:rPr>
          <w:rFonts w:ascii="MS PGothic" w:cs="MS PGothic" w:eastAsia="MS PGothic" w:hAnsi="MS PGothic"/>
          <w:sz w:val="22"/>
          <w:szCs w:val="22"/>
          <w:color w:val="auto"/>
        </w:rPr>
        <w:t>‑</w:t>
      </w:r>
      <w:r>
        <w:rPr>
          <w:rFonts w:ascii="Arial" w:cs="Arial" w:eastAsia="Arial" w:hAnsi="Arial"/>
          <w:sz w:val="22"/>
          <w:szCs w:val="22"/>
          <w:color w:val="auto"/>
        </w:rPr>
        <w:t>convertible debt during the prior three</w:t>
      </w:r>
      <w:r>
        <w:rPr>
          <w:rFonts w:ascii="MS PGothic" w:cs="MS PGothic" w:eastAsia="MS PGothic" w:hAnsi="MS PGothic"/>
          <w:sz w:val="22"/>
          <w:szCs w:val="22"/>
          <w:color w:val="auto"/>
        </w:rPr>
        <w:t>‑</w:t>
      </w:r>
      <w:r>
        <w:rPr>
          <w:rFonts w:ascii="Arial" w:cs="Arial" w:eastAsia="Arial" w:hAnsi="Arial"/>
          <w:sz w:val="22"/>
          <w:szCs w:val="22"/>
          <w:color w:val="auto"/>
        </w:rPr>
        <w:t>year period.</w:t>
      </w:r>
    </w:p>
    <w:p>
      <w:pPr>
        <w:spacing w:after="0" w:line="214" w:lineRule="exact"/>
        <w:rPr>
          <w:sz w:val="20"/>
          <w:szCs w:val="20"/>
          <w:color w:val="auto"/>
        </w:rPr>
      </w:pPr>
    </w:p>
    <w:p>
      <w:pPr>
        <w:spacing w:after="0" w:line="248" w:lineRule="exact"/>
        <w:rPr>
          <w:sz w:val="20"/>
          <w:szCs w:val="20"/>
          <w:color w:val="auto"/>
        </w:rPr>
      </w:pPr>
      <w:r>
        <w:rPr>
          <w:rFonts w:ascii="Arial" w:cs="Arial" w:eastAsia="Arial" w:hAnsi="Arial"/>
          <w:sz w:val="22"/>
          <w:szCs w:val="22"/>
          <w:color w:val="auto"/>
        </w:rPr>
        <w:t>Additionally, we are a “smaller reporting company” as defined in Item 10(f)(1) of Regulation S</w:t>
      </w:r>
      <w:r>
        <w:rPr>
          <w:rFonts w:ascii="MS PGothic" w:cs="MS PGothic" w:eastAsia="MS PGothic" w:hAnsi="MS PGothic"/>
          <w:sz w:val="22"/>
          <w:szCs w:val="22"/>
          <w:color w:val="auto"/>
        </w:rPr>
        <w:t>‑</w:t>
      </w:r>
      <w:r>
        <w:rPr>
          <w:rFonts w:ascii="Arial" w:cs="Arial" w:eastAsia="Arial" w:hAnsi="Arial"/>
          <w:sz w:val="22"/>
          <w:szCs w:val="22"/>
          <w:color w:val="auto"/>
        </w:rPr>
        <w:t>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w:t>
      </w:r>
      <w:r>
        <w:rPr>
          <w:rFonts w:ascii="MS PGothic" w:cs="MS PGothic" w:eastAsia="MS PGothic" w:hAnsi="MS PGothic"/>
          <w:sz w:val="22"/>
          <w:szCs w:val="22"/>
          <w:color w:val="auto"/>
        </w:rPr>
        <w:t>‑</w:t>
      </w:r>
      <w:r>
        <w:rPr>
          <w:rFonts w:ascii="Arial" w:cs="Arial" w:eastAsia="Arial" w:hAnsi="Arial"/>
          <w:sz w:val="22"/>
          <w:szCs w:val="22"/>
          <w:color w:val="auto"/>
        </w:rPr>
        <w:t>affiliates exceeds $250 million as of the prior June 30, or (2) our annual revenues exceeded $100 million during such completed fiscal year and the market value of our ordinary shares held by non</w:t>
      </w:r>
      <w:r>
        <w:rPr>
          <w:rFonts w:ascii="MS PGothic" w:cs="MS PGothic" w:eastAsia="MS PGothic" w:hAnsi="MS PGothic"/>
          <w:sz w:val="22"/>
          <w:szCs w:val="22"/>
          <w:color w:val="auto"/>
        </w:rPr>
        <w:t>‑</w:t>
      </w:r>
      <w:r>
        <w:rPr>
          <w:rFonts w:ascii="Arial" w:cs="Arial" w:eastAsia="Arial" w:hAnsi="Arial"/>
          <w:sz w:val="22"/>
          <w:szCs w:val="22"/>
          <w:color w:val="auto"/>
        </w:rPr>
        <w:t>affiliates exceeds $700 million as of the prior June 30.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39"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There is no material litigation, arbitration or governmental proceeding currently pending against us or any members of our management team in their capacity as such.</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Officers, Directors and Director Nominees Our officers, directors and director nominees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Adam Stone</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Michael Altman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Director</w:t>
            </w:r>
          </w:p>
        </w:tc>
      </w:tr>
    </w:tbl>
    <w:p>
      <w:pPr>
        <w:spacing w:after="0" w:line="207"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b w:val="1"/>
          <w:bCs w:val="1"/>
          <w:i w:val="1"/>
          <w:iCs w:val="1"/>
          <w:color w:val="auto"/>
        </w:rPr>
        <w:t xml:space="preserve">Adam Stone </w:t>
      </w:r>
      <w:r>
        <w:rPr>
          <w:rFonts w:ascii="Arial" w:cs="Arial" w:eastAsia="Arial" w:hAnsi="Arial"/>
          <w:sz w:val="19"/>
          <w:szCs w:val="19"/>
          <w:color w:val="auto"/>
        </w:rPr>
        <w:t>serves as our Chief Executive Officer and is a member of our board of directors. Mr. Stone joined Perceptive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Advisors in 2006 and has acted as Chief Investment Officer since 2012 and is a member of the internal investment committees of Perceptive Advisors’ credit opportunities and venture funds. Mr. Stone currently also serves on the boards of directors of ARYA Sciences Acquisition Corp. (Nasdaq: ARYA), ARYA Sciences Acquisition Corp II,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84"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We believe that Mr. Stone’s broad operational and transactional experience, and his position as Chief Executive Officer, make him well qualified to serve on our board of directors.</w:t>
      </w:r>
    </w:p>
    <w:p>
      <w:pPr>
        <w:spacing w:after="0" w:line="20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b w:val="1"/>
          <w:bCs w:val="1"/>
          <w:i w:val="1"/>
          <w:iCs w:val="1"/>
          <w:color w:val="auto"/>
        </w:rPr>
        <w:t>Michael Altman</w:t>
      </w:r>
      <w:r>
        <w:rPr>
          <w:rFonts w:ascii="Arial" w:cs="Arial" w:eastAsia="Arial" w:hAnsi="Arial"/>
          <w:sz w:val="22"/>
          <w:szCs w:val="22"/>
          <w:color w:val="auto"/>
        </w:rPr>
        <w:t>, CFA, serves as our Chief Financial Officer and is a member of our board of directors. Mr. Altman joined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which are portfolio companies of Perceptive Advisors. Mr. Altman also serves on the board of ARYA Sciences Acquisition Corp. (Nasdaq: ARYA) and ARYA Sciences Acquisition Corp II. Prior to joining Perceptive Advisors in, Mr. Altman was a trader and analyst at First New York Securities from 2005 to 2007. Mr. Altman graduated from the University of Vermont with a BS in Business Administration.</w:t>
      </w:r>
    </w:p>
    <w:p>
      <w:pPr>
        <w:spacing w:after="0" w:line="214"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We believe that Mr. Altman’s broad operational and transactional experience make him well qualified to serve on our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and Terms of Office of Officers and Directors</w:t>
      </w:r>
    </w:p>
    <w:p>
      <w:pPr>
        <w:spacing w:after="0" w:line="239" w:lineRule="exact"/>
        <w:rPr>
          <w:sz w:val="20"/>
          <w:szCs w:val="20"/>
          <w:color w:val="auto"/>
        </w:rPr>
      </w:pPr>
    </w:p>
    <w:p>
      <w:pPr>
        <w:ind w:right="200"/>
        <w:spacing w:after="0" w:line="252" w:lineRule="exact"/>
        <w:rPr>
          <w:sz w:val="20"/>
          <w:szCs w:val="20"/>
          <w:color w:val="auto"/>
        </w:rPr>
      </w:pPr>
      <w:r>
        <w:rPr>
          <w:rFonts w:ascii="Arial" w:cs="Arial" w:eastAsia="Arial" w:hAnsi="Arial"/>
          <w:sz w:val="19"/>
          <w:szCs w:val="19"/>
          <w:color w:val="auto"/>
        </w:rPr>
        <w:t>Our board of directors is divided into three classes, with only one class of directors being elected in each year, and with each class (except for those directors appointed prior to our first annual meeting of shareholders) serving a three</w:t>
      </w:r>
      <w:r>
        <w:rPr>
          <w:rFonts w:ascii="MS PGothic" w:cs="MS PGothic" w:eastAsia="MS PGothic" w:hAnsi="MS PGothic"/>
          <w:sz w:val="19"/>
          <w:szCs w:val="19"/>
          <w:color w:val="auto"/>
        </w:rPr>
        <w:t>‑</w:t>
      </w:r>
      <w:r>
        <w:rPr>
          <w:rFonts w:ascii="Arial" w:cs="Arial" w:eastAsia="Arial" w:hAnsi="Arial"/>
          <w:sz w:val="19"/>
          <w:szCs w:val="19"/>
          <w:color w:val="auto"/>
        </w:rPr>
        <w:t>year term. The term</w:t>
      </w:r>
    </w:p>
    <w:p>
      <w:pPr>
        <w:spacing w:after="0"/>
        <w:tabs>
          <w:tab w:leader="none" w:pos="6720" w:val="left"/>
        </w:tabs>
        <w:rPr>
          <w:sz w:val="20"/>
          <w:szCs w:val="20"/>
          <w:color w:val="auto"/>
        </w:rPr>
      </w:pPr>
      <w:r>
        <w:rPr>
          <w:rFonts w:ascii="Arial" w:cs="Arial" w:eastAsia="Arial" w:hAnsi="Arial"/>
          <w:sz w:val="22"/>
          <w:szCs w:val="22"/>
          <w:color w:val="auto"/>
        </w:rPr>
        <w:t>of office of the first class of directors, consisting of Michael Altman and</w:t>
      </w:r>
      <w:r>
        <w:rPr>
          <w:sz w:val="20"/>
          <w:szCs w:val="20"/>
          <w:color w:val="auto"/>
        </w:rPr>
        <w:tab/>
      </w:r>
      <w:r>
        <w:rPr>
          <w:rFonts w:ascii="Arial" w:cs="Arial" w:eastAsia="Arial" w:hAnsi="Arial"/>
          <w:sz w:val="19"/>
          <w:szCs w:val="19"/>
          <w:color w:val="auto"/>
        </w:rPr>
        <w:t>, will expire at our first annual meeting of</w:t>
      </w:r>
    </w:p>
    <w:p>
      <w:pPr>
        <w:spacing w:after="0"/>
        <w:tabs>
          <w:tab w:leader="none" w:pos="8680" w:val="left"/>
        </w:tabs>
        <w:rPr>
          <w:sz w:val="20"/>
          <w:szCs w:val="20"/>
          <w:color w:val="auto"/>
        </w:rPr>
      </w:pPr>
      <w:r>
        <w:rPr>
          <w:rFonts w:ascii="Arial" w:cs="Arial" w:eastAsia="Arial" w:hAnsi="Arial"/>
          <w:sz w:val="22"/>
          <w:szCs w:val="22"/>
          <w:color w:val="auto"/>
        </w:rPr>
        <w:t>shareholders. The term of office of the second class of directors, consisting of Adam Stone and</w:t>
      </w:r>
      <w:r>
        <w:rPr>
          <w:sz w:val="20"/>
          <w:szCs w:val="20"/>
          <w:color w:val="auto"/>
        </w:rPr>
        <w:tab/>
      </w:r>
      <w:r>
        <w:rPr>
          <w:rFonts w:ascii="Arial" w:cs="Arial" w:eastAsia="Arial" w:hAnsi="Arial"/>
          <w:sz w:val="19"/>
          <w:szCs w:val="19"/>
          <w:color w:val="auto"/>
        </w:rPr>
        <w:t>, will expire at our second</w:t>
      </w:r>
    </w:p>
    <w:p>
      <w:pPr>
        <w:spacing w:after="0"/>
        <w:tabs>
          <w:tab w:leader="none" w:pos="8620" w:val="left"/>
          <w:tab w:leader="none" w:pos="9400" w:val="left"/>
        </w:tabs>
        <w:rPr>
          <w:sz w:val="20"/>
          <w:szCs w:val="20"/>
          <w:color w:val="auto"/>
        </w:rPr>
      </w:pPr>
      <w:r>
        <w:rPr>
          <w:rFonts w:ascii="Arial" w:cs="Arial" w:eastAsia="Arial" w:hAnsi="Arial"/>
          <w:sz w:val="21"/>
          <w:szCs w:val="21"/>
          <w:color w:val="auto"/>
        </w:rPr>
        <w:t>annual meeting of shareholders. The term of office of the third class of directors, consisting of</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19"/>
          <w:szCs w:val="19"/>
          <w:color w:val="auto"/>
        </w:rPr>
        <w:t>, will expire at our</w:t>
      </w:r>
    </w:p>
    <w:p>
      <w:pPr>
        <w:spacing w:after="0"/>
        <w:rPr>
          <w:sz w:val="20"/>
          <w:szCs w:val="20"/>
          <w:color w:val="auto"/>
        </w:rPr>
      </w:pPr>
      <w:r>
        <w:rPr>
          <w:rFonts w:ascii="Arial" w:cs="Arial" w:eastAsia="Arial" w:hAnsi="Arial"/>
          <w:sz w:val="22"/>
          <w:szCs w:val="22"/>
          <w:color w:val="auto"/>
        </w:rPr>
        <w:t>third annual meeting of shareholders.</w:t>
      </w:r>
    </w:p>
    <w:p>
      <w:pPr>
        <w:spacing w:after="0" w:line="215"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61" w:lineRule="exact"/>
        <w:rPr>
          <w:sz w:val="20"/>
          <w:szCs w:val="20"/>
          <w:color w:val="auto"/>
        </w:rPr>
      </w:pPr>
    </w:p>
    <w:p>
      <w:pPr>
        <w:ind w:right="620"/>
        <w:spacing w:after="0" w:line="297" w:lineRule="auto"/>
        <w:rPr>
          <w:sz w:val="20"/>
          <w:szCs w:val="20"/>
          <w:color w:val="auto"/>
        </w:rPr>
      </w:pPr>
      <w:r>
        <w:rPr>
          <w:rFonts w:ascii="Arial" w:cs="Arial" w:eastAsia="Arial" w:hAnsi="Arial"/>
          <w:sz w:val="19"/>
          <w:szCs w:val="19"/>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61" w:lineRule="exact"/>
        <w:rPr>
          <w:sz w:val="20"/>
          <w:szCs w:val="20"/>
          <w:color w:val="auto"/>
        </w:rPr>
      </w:pPr>
    </w:p>
    <w:p>
      <w:pPr>
        <w:ind w:right="260"/>
        <w:spacing w:after="0" w:line="252" w:lineRule="auto"/>
        <w:rPr>
          <w:sz w:val="20"/>
          <w:szCs w:val="20"/>
          <w:color w:val="auto"/>
        </w:rPr>
      </w:pPr>
      <w:r>
        <w:rPr>
          <w:rFonts w:ascii="Arial" w:cs="Arial" w:eastAsia="Arial" w:hAnsi="Arial"/>
          <w:sz w:val="21"/>
          <w:szCs w:val="21"/>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board, chief executive officer, president, chief financial officer, vice presidents, secretary, treasurer and such other offices as may be determined by the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280"/>
        <w:spacing w:after="0" w:line="270" w:lineRule="auto"/>
        <w:rPr>
          <w:sz w:val="20"/>
          <w:szCs w:val="20"/>
          <w:color w:val="auto"/>
        </w:rPr>
      </w:pPr>
      <w:r>
        <w:rPr>
          <w:rFonts w:ascii="Arial" w:cs="Arial" w:eastAsia="Arial" w:hAnsi="Arial"/>
          <w:sz w:val="19"/>
          <w:szCs w:val="19"/>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Upon the effectiveness of the registration statement of which this prospectus forms a part, we expect to have “independent directors” as defined in Nasdaq’s listing</w:t>
      </w:r>
    </w:p>
    <w:p>
      <w:pPr>
        <w:spacing w:after="0" w:line="4" w:lineRule="exact"/>
        <w:rPr>
          <w:sz w:val="20"/>
          <w:szCs w:val="20"/>
          <w:color w:val="auto"/>
        </w:rPr>
      </w:pPr>
    </w:p>
    <w:p>
      <w:pPr>
        <w:ind w:right="440"/>
        <w:spacing w:after="0" w:line="234" w:lineRule="auto"/>
        <w:rPr>
          <w:sz w:val="20"/>
          <w:szCs w:val="20"/>
          <w:color w:val="auto"/>
        </w:rPr>
      </w:pPr>
      <w:r>
        <w:rPr>
          <w:rFonts w:ascii="Arial" w:cs="Arial" w:eastAsia="Arial" w:hAnsi="Arial"/>
          <w:sz w:val="22"/>
          <w:szCs w:val="22"/>
          <w:color w:val="auto"/>
        </w:rPr>
        <w:t>standards and applicable SEC rules. Our board of directors has determined that , , and are “independent directors” as defined in the Nasdaq listing standards and applicable SEC rules. Our independent directors will have regularly scheduled meetings at which only independent directors are present.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and Director Compensation</w:t>
      </w:r>
    </w:p>
    <w:p>
      <w:pPr>
        <w:spacing w:after="0" w:line="239" w:lineRule="exact"/>
        <w:rPr>
          <w:sz w:val="20"/>
          <w:szCs w:val="20"/>
          <w:color w:val="auto"/>
        </w:rPr>
      </w:pPr>
    </w:p>
    <w:p>
      <w:pPr>
        <w:ind w:right="20"/>
        <w:spacing w:after="0" w:line="245" w:lineRule="exact"/>
        <w:rPr>
          <w:sz w:val="20"/>
          <w:szCs w:val="20"/>
          <w:color w:val="auto"/>
        </w:rPr>
      </w:pPr>
      <w:r>
        <w:rPr>
          <w:rFonts w:ascii="Arial" w:cs="Arial" w:eastAsia="Arial" w:hAnsi="Arial"/>
          <w:sz w:val="19"/>
          <w:szCs w:val="19"/>
          <w:color w:val="auto"/>
        </w:rPr>
        <w:t>In 2020, our sponsor transferred 30,000 founder shares to each of Messrs. , and . None of our executive officers or directors have received any cash compensation for services rendered to us. Commencing on the date that our securities are first listed on the Nasdaq through the earlier of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will be reimbursed for any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217" w:lineRule="exact"/>
        <w:rPr>
          <w:sz w:val="20"/>
          <w:szCs w:val="20"/>
          <w:color w:val="auto"/>
        </w:rPr>
      </w:pPr>
    </w:p>
    <w:p>
      <w:pPr>
        <w:ind w:right="20"/>
        <w:spacing w:after="0" w:line="246" w:lineRule="exact"/>
        <w:rPr>
          <w:sz w:val="20"/>
          <w:szCs w:val="20"/>
          <w:color w:val="auto"/>
        </w:rPr>
      </w:pPr>
      <w:r>
        <w:rPr>
          <w:rFonts w:ascii="Arial" w:cs="Arial" w:eastAsia="Arial" w:hAnsi="Arial"/>
          <w:sz w:val="19"/>
          <w:szCs w:val="19"/>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w:t>
      </w:r>
      <w:r>
        <w:rPr>
          <w:rFonts w:ascii="MS PGothic" w:cs="MS PGothic" w:eastAsia="MS PGothic" w:hAnsi="MS PGothic"/>
          <w:sz w:val="19"/>
          <w:szCs w:val="19"/>
          <w:color w:val="auto"/>
        </w:rPr>
        <w:t>‑</w:t>
      </w:r>
      <w:r>
        <w:rPr>
          <w:rFonts w:ascii="Arial" w:cs="Arial" w:eastAsia="Arial" w:hAnsi="Arial"/>
          <w:sz w:val="19"/>
          <w:szCs w:val="19"/>
          <w:color w:val="auto"/>
        </w:rPr>
        <w: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39" w:lineRule="exact"/>
        <w:rPr>
          <w:sz w:val="20"/>
          <w:szCs w:val="20"/>
          <w:color w:val="auto"/>
        </w:rPr>
      </w:pPr>
    </w:p>
    <w:p>
      <w:pPr>
        <w:ind w:right="100"/>
        <w:spacing w:after="0" w:line="247" w:lineRule="exact"/>
        <w:rPr>
          <w:sz w:val="20"/>
          <w:szCs w:val="20"/>
          <w:color w:val="auto"/>
        </w:rPr>
      </w:pPr>
      <w:r>
        <w:rPr>
          <w:rFonts w:ascii="Arial" w:cs="Arial" w:eastAsia="Arial" w:hAnsi="Arial"/>
          <w:sz w:val="19"/>
          <w:szCs w:val="19"/>
          <w:color w:val="auto"/>
        </w:rPr>
        <w:t>Upon the effectiveness of the registration statement of which this prospectus forms a part, our board of directors will have three standing committees: an audit committee, a nominating committee and a compensation committee. Subject to phase</w:t>
      </w:r>
      <w:r>
        <w:rPr>
          <w:rFonts w:ascii="MS PGothic" w:cs="MS PGothic" w:eastAsia="MS PGothic" w:hAnsi="MS PGothic"/>
          <w:sz w:val="19"/>
          <w:szCs w:val="19"/>
          <w:color w:val="auto"/>
        </w:rPr>
        <w:t>‑</w:t>
      </w:r>
      <w:r>
        <w:rPr>
          <w:rFonts w:ascii="Arial" w:cs="Arial" w:eastAsia="Arial" w:hAnsi="Arial"/>
          <w:sz w:val="19"/>
          <w:szCs w:val="19"/>
          <w:color w:val="auto"/>
        </w:rPr>
        <w:t>in rules and a limited exception, the rules of Nasdaq and Rule 10A</w:t>
      </w:r>
      <w:r>
        <w:rPr>
          <w:rFonts w:ascii="MS PGothic" w:cs="MS PGothic" w:eastAsia="MS PGothic" w:hAnsi="MS PGothic"/>
          <w:sz w:val="19"/>
          <w:szCs w:val="19"/>
          <w:color w:val="auto"/>
        </w:rPr>
        <w:t>‑</w:t>
      </w:r>
      <w:r>
        <w:rPr>
          <w:rFonts w:ascii="Arial" w:cs="Arial" w:eastAsia="Arial" w:hAnsi="Arial"/>
          <w:sz w:val="19"/>
          <w:szCs w:val="19"/>
          <w:color w:val="auto"/>
        </w:rPr>
        <w:t>3 of the Exchange Act require that the audit committee of a listed company be comprised solely of independent directors. Subject to phase</w:t>
      </w:r>
      <w:r>
        <w:rPr>
          <w:rFonts w:ascii="MS PGothic" w:cs="MS PGothic" w:eastAsia="MS PGothic" w:hAnsi="MS PGothic"/>
          <w:sz w:val="19"/>
          <w:szCs w:val="19"/>
          <w:color w:val="auto"/>
        </w:rPr>
        <w:t>‑</w:t>
      </w:r>
      <w:r>
        <w:rPr>
          <w:rFonts w:ascii="Arial" w:cs="Arial" w:eastAsia="Arial" w:hAnsi="Arial"/>
          <w:sz w:val="19"/>
          <w:szCs w:val="19"/>
          <w:color w:val="auto"/>
        </w:rPr>
        <w:t>in rules and a limited exception, the rules of Nasdaq require that the compensation committee of a listed company be comprised solely of independent directors. Each committee will operate under a charter that has been approved by our board and will have the composition and responsibilities described below. The charter of each committee will be available on our website.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Upon the effectiveness of the registration statement of which this prospectus forms a part, we will establish an audit committee of</w:t>
      </w:r>
    </w:p>
    <w:p>
      <w:pPr>
        <w:spacing w:after="0" w:line="43"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color w:val="auto"/>
        </w:rPr>
        <w:t>the board of directors. , and will serve as members of our audit committee. Our board of directors has determined that each of , and are independent. will serve as the Chairman of the audit committee. Each member of the</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audit committee meets the financial literacy requirements of Nasdaq and our board of directors has determined that qualifies as an “audit committee financial expert” as defined in applicable SEC rules and has accounting or related financial management expertise.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audit committee is responsible for:</w:t>
      </w:r>
    </w:p>
    <w:p>
      <w:pPr>
        <w:spacing w:after="0" w:line="240" w:lineRule="exact"/>
        <w:rPr>
          <w:sz w:val="20"/>
          <w:szCs w:val="20"/>
          <w:color w:val="auto"/>
        </w:rPr>
      </w:pPr>
    </w:p>
    <w:p>
      <w:pPr>
        <w:ind w:left="980" w:right="24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52" w:lineRule="exact"/>
        <w:rPr>
          <w:rFonts w:ascii="Arial" w:cs="Arial" w:eastAsia="Arial" w:hAnsi="Arial"/>
          <w:sz w:val="18"/>
          <w:szCs w:val="18"/>
          <w:color w:val="auto"/>
        </w:rPr>
      </w:pPr>
    </w:p>
    <w:p>
      <w:pPr>
        <w:ind w:left="980" w:right="460" w:hanging="324"/>
        <w:spacing w:after="0" w:line="223" w:lineRule="exact"/>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approving all audit services and permitted non</w:t>
      </w:r>
      <w:r>
        <w:rPr>
          <w:rFonts w:ascii="MS PGothic" w:cs="MS PGothic" w:eastAsia="MS PGothic" w:hAnsi="MS PGothic"/>
          <w:sz w:val="18"/>
          <w:szCs w:val="18"/>
          <w:color w:val="auto"/>
        </w:rPr>
        <w:t>‑</w:t>
      </w:r>
      <w:r>
        <w:rPr>
          <w:rFonts w:ascii="Arial" w:cs="Arial" w:eastAsia="Arial" w:hAnsi="Arial"/>
          <w:sz w:val="18"/>
          <w:szCs w:val="18"/>
          <w:color w:val="auto"/>
        </w:rPr>
        <w:t>audit services to be performed by our independent registered public accounting firm, including the fees and terms of the services to be performed;</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252" w:lineRule="exact"/>
        <w:rPr>
          <w:rFonts w:ascii="Arial" w:cs="Arial" w:eastAsia="Arial" w:hAnsi="Arial"/>
          <w:sz w:val="18"/>
          <w:szCs w:val="18"/>
          <w:color w:val="auto"/>
        </w:rPr>
      </w:pPr>
    </w:p>
    <w:p>
      <w:pPr>
        <w:ind w:left="980" w:right="36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210" w:lineRule="exact"/>
        <w:rPr>
          <w:rFonts w:ascii="Arial" w:cs="Arial" w:eastAsia="Arial" w:hAnsi="Arial"/>
          <w:sz w:val="18"/>
          <w:szCs w:val="18"/>
          <w:color w:val="auto"/>
        </w:rPr>
      </w:pPr>
    </w:p>
    <w:p>
      <w:pPr>
        <w:ind w:left="980" w:right="5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73" w:lineRule="exact"/>
        <w:rPr>
          <w:rFonts w:ascii="Arial" w:cs="Arial" w:eastAsia="Arial" w:hAnsi="Arial"/>
          <w:sz w:val="17"/>
          <w:szCs w:val="17"/>
          <w:color w:val="auto"/>
        </w:rPr>
      </w:pPr>
    </w:p>
    <w:p>
      <w:pPr>
        <w:ind w:left="980" w:right="36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173" w:lineRule="exact"/>
        <w:rPr>
          <w:rFonts w:ascii="Arial" w:cs="Arial" w:eastAsia="Arial" w:hAnsi="Arial"/>
          <w:sz w:val="17"/>
          <w:szCs w:val="17"/>
          <w:color w:val="auto"/>
        </w:rPr>
      </w:pPr>
    </w:p>
    <w:p>
      <w:pPr>
        <w:jc w:val="both"/>
        <w:ind w:left="980" w:right="22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Nominating Committee</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Upon the effectiveness of the registration statement of which this prospectus forms a part, we will establish a nominating</w:t>
      </w:r>
    </w:p>
    <w:p>
      <w:pPr>
        <w:spacing w:after="0" w:line="20"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committee of our board of directors. The members of our nominating committee will be , and , and will serve as chairman of the nominating committee. Our board of directors has determined that each of , and are independent.</w:t>
      </w:r>
    </w:p>
    <w:p>
      <w:pPr>
        <w:spacing w:after="0" w:line="213" w:lineRule="exact"/>
        <w:rPr>
          <w:sz w:val="20"/>
          <w:szCs w:val="20"/>
          <w:color w:val="auto"/>
        </w:rPr>
      </w:pPr>
    </w:p>
    <w:p>
      <w:pPr>
        <w:jc w:val="both"/>
        <w:ind w:right="640"/>
        <w:spacing w:after="0"/>
        <w:rPr>
          <w:sz w:val="20"/>
          <w:szCs w:val="20"/>
          <w:color w:val="auto"/>
        </w:rPr>
      </w:pPr>
      <w:r>
        <w:rPr>
          <w:rFonts w:ascii="Arial" w:cs="Arial" w:eastAsia="Arial" w:hAnsi="Arial"/>
          <w:sz w:val="22"/>
          <w:szCs w:val="22"/>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Guidelines for Selecting Director Nominees</w:t>
      </w:r>
    </w:p>
    <w:p>
      <w:pPr>
        <w:spacing w:after="0" w:line="23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guidelines for selecting nominees, which will be specified in a charter to be adopted by us, generally provide that persons to be nominated:</w:t>
      </w:r>
    </w:p>
    <w:p>
      <w:pPr>
        <w:spacing w:after="0" w:line="209"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268"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Upon the effectiveness of the registration statement of which this prospectus forms a part, we will establish a compensation</w:t>
      </w:r>
    </w:p>
    <w:p>
      <w:pPr>
        <w:spacing w:after="0" w:line="43"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committee of our board of directors. The members of our compensation committee will be , and , and will serve as chairman of the compensation committee.</w:t>
      </w:r>
    </w:p>
    <w:p>
      <w:pPr>
        <w:spacing w:after="0" w:line="214" w:lineRule="exact"/>
        <w:rPr>
          <w:sz w:val="20"/>
          <w:szCs w:val="20"/>
          <w:color w:val="auto"/>
        </w:rPr>
      </w:pPr>
    </w:p>
    <w:p>
      <w:pPr>
        <w:ind w:right="840"/>
        <w:spacing w:after="0" w:line="250" w:lineRule="auto"/>
        <w:rPr>
          <w:sz w:val="20"/>
          <w:szCs w:val="20"/>
          <w:color w:val="auto"/>
        </w:rPr>
      </w:pPr>
      <w:r>
        <w:rPr>
          <w:rFonts w:ascii="Arial" w:cs="Arial" w:eastAsia="Arial" w:hAnsi="Arial"/>
          <w:sz w:val="22"/>
          <w:szCs w:val="22"/>
          <w:color w:val="auto"/>
        </w:rPr>
        <w:t>Our board of directors has determined that each of , and are independent. We will adopt a compensation committee charter, which will detail the principal functions of the compensation committee, including:</w:t>
      </w:r>
    </w:p>
    <w:p>
      <w:pPr>
        <w:spacing w:after="0" w:line="209" w:lineRule="exact"/>
        <w:rPr>
          <w:sz w:val="20"/>
          <w:szCs w:val="20"/>
          <w:color w:val="auto"/>
        </w:rPr>
      </w:pPr>
    </w:p>
    <w:p>
      <w:pPr>
        <w:ind w:left="980" w:right="12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w:t>
      </w:r>
      <w:r>
        <w:rPr>
          <w:rFonts w:ascii="MS PGothic" w:cs="MS PGothic" w:eastAsia="MS PGothic" w:hAnsi="MS PGothic"/>
          <w:sz w:val="18"/>
          <w:szCs w:val="18"/>
          <w:color w:val="auto"/>
        </w:rPr>
        <w:t>‑</w:t>
      </w:r>
      <w:r>
        <w:rPr>
          <w:rFonts w:ascii="Arial" w:cs="Arial" w:eastAsia="Arial" w:hAnsi="Arial"/>
          <w:sz w:val="18"/>
          <w:szCs w:val="18"/>
          <w:color w:val="auto"/>
        </w:rPr>
        <w:t>based remuneration plans;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45" w:lineRule="exact"/>
        <w:rPr>
          <w:sz w:val="20"/>
          <w:szCs w:val="20"/>
          <w:color w:val="auto"/>
        </w:rPr>
      </w:pPr>
    </w:p>
    <w:p>
      <w:pPr>
        <w:ind w:right="240"/>
        <w:spacing w:after="0" w:line="249" w:lineRule="auto"/>
        <w:rPr>
          <w:sz w:val="20"/>
          <w:szCs w:val="20"/>
          <w:color w:val="auto"/>
        </w:rPr>
      </w:pPr>
      <w:r>
        <w:rPr>
          <w:rFonts w:ascii="Arial" w:cs="Arial" w:eastAsia="Arial" w:hAnsi="Arial"/>
          <w:sz w:val="21"/>
          <w:szCs w:val="21"/>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Committee Interlocks and Insider Participation</w:t>
      </w:r>
    </w:p>
    <w:p>
      <w:pPr>
        <w:spacing w:after="0" w:line="233"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None of our executive officers currently serves, and in the past year has not served, as a member of the compensation committee of any entity that has one or more executive officers serving on our board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39" w:lineRule="exact"/>
        <w:rPr>
          <w:sz w:val="20"/>
          <w:szCs w:val="20"/>
          <w:color w:val="auto"/>
        </w:rPr>
      </w:pPr>
    </w:p>
    <w:p>
      <w:pPr>
        <w:ind w:right="80"/>
        <w:spacing w:after="0" w:line="251" w:lineRule="exact"/>
        <w:rPr>
          <w:sz w:val="20"/>
          <w:szCs w:val="20"/>
          <w:color w:val="auto"/>
        </w:rPr>
      </w:pPr>
      <w:r>
        <w:rPr>
          <w:rFonts w:ascii="Arial" w:cs="Arial" w:eastAsia="Arial" w:hAnsi="Arial"/>
          <w:sz w:val="22"/>
          <w:szCs w:val="22"/>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w:t>
      </w:r>
      <w:r>
        <w:rPr>
          <w:rFonts w:ascii="MS PGothic" w:cs="MS PGothic" w:eastAsia="MS PGothic" w:hAnsi="MS PGothic"/>
          <w:sz w:val="22"/>
          <w:szCs w:val="22"/>
          <w:color w:val="auto"/>
        </w:rPr>
        <w:t>‑</w:t>
      </w:r>
      <w:r>
        <w:rPr>
          <w:rFonts w:ascii="Arial" w:cs="Arial" w:eastAsia="Arial" w:hAnsi="Arial"/>
          <w:sz w:val="22"/>
          <w:szCs w:val="22"/>
          <w:color w:val="auto"/>
        </w:rPr>
        <w:t>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Under Cayman Islands law, directors and officers owe the following fiduciary duties:</w:t>
      </w:r>
    </w:p>
    <w:p>
      <w:pPr>
        <w:spacing w:after="0" w:line="24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45"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212" w:lineRule="exact"/>
        <w:rPr>
          <w:sz w:val="20"/>
          <w:szCs w:val="20"/>
          <w:color w:val="auto"/>
        </w:rPr>
      </w:pPr>
    </w:p>
    <w:p>
      <w:pPr>
        <w:ind w:right="40"/>
        <w:spacing w:after="0" w:line="249" w:lineRule="exact"/>
        <w:rPr>
          <w:sz w:val="20"/>
          <w:szCs w:val="20"/>
          <w:color w:val="auto"/>
        </w:rPr>
      </w:pPr>
      <w:r>
        <w:rPr>
          <w:rFonts w:ascii="Arial" w:cs="Arial" w:eastAsia="Arial" w:hAnsi="Arial"/>
          <w:sz w:val="21"/>
          <w:szCs w:val="21"/>
          <w:color w:val="auto"/>
        </w:rPr>
        <w:t>As set out above, directors have a duty not to put themselves in a position of conflict and this includes a duty not to engage in self</w:t>
      </w:r>
      <w:r>
        <w:rPr>
          <w:rFonts w:ascii="MS PGothic" w:cs="MS PGothic" w:eastAsia="MS PGothic" w:hAnsi="MS PGothic"/>
          <w:sz w:val="21"/>
          <w:szCs w:val="21"/>
          <w:color w:val="auto"/>
        </w:rPr>
        <w:t>‑</w:t>
      </w:r>
      <w:r>
        <w:rPr>
          <w:rFonts w:ascii="Arial" w:cs="Arial" w:eastAsia="Arial" w:hAnsi="Arial"/>
          <w:sz w:val="21"/>
          <w:szCs w:val="21"/>
          <w:color w:val="auto"/>
        </w:rPr>
        <w:t xml:space="preserve">dealing, or to otherwise benefit as a result of their position. However, in some instances what would otherwise be a breach of this duty can be forgiven and/or authorized in advance by the shareholders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there is full disclosure by the directors. This can be done by way of permission granted in the amended and restated memorandum and articles of association or alternatively by shareholder approval at shareholder meetings.</w:t>
      </w:r>
    </w:p>
    <w:p>
      <w:pPr>
        <w:spacing w:after="0" w:line="215" w:lineRule="exact"/>
        <w:rPr>
          <w:sz w:val="20"/>
          <w:szCs w:val="20"/>
          <w:color w:val="auto"/>
        </w:rPr>
      </w:pPr>
    </w:p>
    <w:p>
      <w:pPr>
        <w:spacing w:after="0" w:line="248" w:lineRule="exact"/>
        <w:rPr>
          <w:sz w:val="20"/>
          <w:szCs w:val="20"/>
          <w:color w:val="auto"/>
        </w:rPr>
      </w:pPr>
      <w:r>
        <w:rPr>
          <w:rFonts w:ascii="Arial" w:cs="Arial" w:eastAsia="Arial" w:hAnsi="Arial"/>
          <w:sz w:val="22"/>
          <w:szCs w:val="22"/>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w:t>
      </w:r>
      <w:r>
        <w:rPr>
          <w:rFonts w:ascii="MS PGothic" w:cs="MS PGothic" w:eastAsia="MS PGothic" w:hAnsi="MS PGothic"/>
          <w:sz w:val="22"/>
          <w:szCs w:val="22"/>
          <w:color w:val="auto"/>
        </w:rPr>
        <w:t>‑</w:t>
      </w:r>
      <w:r>
        <w:rPr>
          <w:rFonts w:ascii="Arial" w:cs="Arial" w:eastAsia="Arial" w:hAnsi="Arial"/>
          <w:sz w:val="22"/>
          <w:szCs w:val="22"/>
          <w:color w:val="auto"/>
        </w:rPr>
        <w:t>current fiduciary or contractual obligations, he or she will honor his or her fiduciary or contractual obligations to present such business combination opportunity to such entity, subject to their fiduciary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duties under Cayman Islands law. We do not believe, however, that the fiduciary duties or contractual obligations of our officers or directors will materially affect our ability to complete our initial business combination.</w:t>
      </w:r>
    </w:p>
    <w:p>
      <w:pPr>
        <w:spacing w:after="0" w:line="202" w:lineRule="exact"/>
        <w:rPr>
          <w:sz w:val="20"/>
          <w:szCs w:val="20"/>
          <w:color w:val="auto"/>
        </w:rPr>
      </w:pPr>
    </w:p>
    <w:p>
      <w:pPr>
        <w:ind w:right="1000"/>
        <w:spacing w:after="0" w:line="250" w:lineRule="auto"/>
        <w:rPr>
          <w:sz w:val="20"/>
          <w:szCs w:val="20"/>
          <w:color w:val="auto"/>
        </w:rPr>
      </w:pPr>
      <w:r>
        <w:rPr>
          <w:rFonts w:ascii="Arial" w:cs="Arial" w:eastAsia="Arial" w:hAnsi="Arial"/>
          <w:sz w:val="22"/>
          <w:szCs w:val="22"/>
          <w:color w:val="auto"/>
        </w:rPr>
        <w:t>Below is a table summarizing the entities to which our executive officers and directors currently have fiduciary duties, contractual obligations or other material management relationships: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Individual</w:t>
            </w: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Entity</w:t>
            </w: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Entity’s Business</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Affiliation</w:t>
            </w:r>
          </w:p>
        </w:tc>
      </w:tr>
      <w:tr>
        <w:trPr>
          <w:trHeight w:val="210"/>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Adam Stone</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Perceptive Advisors, LLC</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Hedge Fund</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Investment Officer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Biosciences</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Renovia</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Xontogeny</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Biotechnology</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Sciences Acquisition Corp.</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Purpose Acquisition Company</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Sciences Acquisition Corp II</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Purpose Acquisition Company</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02"/>
        </w:trPr>
        <w:tc>
          <w:tcPr>
            <w:tcW w:w="1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w:t>
            </w: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Perceptive Advisors, LLC</w:t>
            </w: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Hedge Fund</w:t>
            </w: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Managing Director</w:t>
            </w:r>
          </w:p>
        </w:tc>
      </w:tr>
      <w:tr>
        <w:trPr>
          <w:trHeight w:val="230"/>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Altman</w:t>
            </w: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Vitruvius Therapeutics</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Lyra Therapeutics</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Sciences Acquisition Corp.</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Purpose Acquisition Company</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Sciences Acquisition Corp II</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Purpose Acquisition Company</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Director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Potential investors should also be aware of the following other potential conflicts of interest:</w:t>
      </w:r>
    </w:p>
    <w:p>
      <w:pPr>
        <w:spacing w:after="0" w:line="240" w:lineRule="exact"/>
        <w:rPr>
          <w:sz w:val="20"/>
          <w:szCs w:val="20"/>
          <w:color w:val="auto"/>
        </w:rPr>
      </w:pPr>
    </w:p>
    <w:p>
      <w:pPr>
        <w:ind w:left="980" w:right="40" w:hanging="324"/>
        <w:spacing w:after="0" w:line="219" w:lineRule="exact"/>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w:t>
      </w:r>
      <w:r>
        <w:rPr>
          <w:rFonts w:ascii="MS PGothic" w:cs="MS PGothic" w:eastAsia="MS PGothic" w:hAnsi="MS PGothic"/>
          <w:sz w:val="18"/>
          <w:szCs w:val="18"/>
          <w:color w:val="auto"/>
        </w:rPr>
        <w:t>‑</w:t>
      </w:r>
      <w:r>
        <w:rPr>
          <w:rFonts w:ascii="Arial" w:cs="Arial" w:eastAsia="Arial" w:hAnsi="Arial"/>
          <w:sz w:val="18"/>
          <w:szCs w:val="18"/>
          <w:color w:val="auto"/>
        </w:rPr>
        <w:t>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23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sponsor subscribed for founder shares prior to the date of this prospectus and will purchase private placement units in a transaction that</w:t>
      </w:r>
    </w:p>
    <w:p>
      <w:pPr>
        <w:spacing w:after="0" w:line="46" w:lineRule="exact"/>
        <w:rPr>
          <w:sz w:val="20"/>
          <w:szCs w:val="20"/>
          <w:color w:val="auto"/>
        </w:rPr>
      </w:pPr>
    </w:p>
    <w:p>
      <w:pPr>
        <w:ind w:left="980"/>
        <w:spacing w:after="0"/>
        <w:tabs>
          <w:tab w:leader="none" w:pos="5800" w:val="left"/>
          <w:tab w:leader="none" w:pos="10720" w:val="left"/>
        </w:tabs>
        <w:rPr>
          <w:sz w:val="20"/>
          <w:szCs w:val="20"/>
          <w:color w:val="auto"/>
        </w:rPr>
      </w:pPr>
      <w:r>
        <w:rPr>
          <w:rFonts w:ascii="Arial" w:cs="Arial" w:eastAsia="Arial" w:hAnsi="Arial"/>
          <w:sz w:val="18"/>
          <w:szCs w:val="18"/>
          <w:color w:val="auto"/>
        </w:rPr>
        <w:t>will close simultaneously with the closing of this offering. In</w:t>
      </w:r>
      <w:r>
        <w:rPr>
          <w:sz w:val="20"/>
          <w:szCs w:val="20"/>
          <w:color w:val="auto"/>
        </w:rPr>
        <w:tab/>
      </w:r>
      <w:r>
        <w:rPr>
          <w:rFonts w:ascii="Arial" w:cs="Arial" w:eastAsia="Arial" w:hAnsi="Arial"/>
          <w:sz w:val="18"/>
          <w:szCs w:val="18"/>
          <w:color w:val="auto"/>
        </w:rPr>
        <w:t>2020, our sponsor transferred 30,000 founder shares to each of</w:t>
      </w:r>
      <w:r>
        <w:rPr>
          <w:sz w:val="20"/>
          <w:szCs w:val="20"/>
          <w:color w:val="auto"/>
        </w:rPr>
        <w:tab/>
      </w:r>
      <w:r>
        <w:rPr>
          <w:rFonts w:ascii="Arial" w:cs="Arial" w:eastAsia="Arial" w:hAnsi="Arial"/>
          <w:sz w:val="15"/>
          <w:szCs w:val="15"/>
          <w:color w:val="auto"/>
        </w:rPr>
        <w:t>, and</w:t>
      </w:r>
    </w:p>
    <w:p>
      <w:pPr>
        <w:spacing w:after="0" w:line="9" w:lineRule="exact"/>
        <w:rPr>
          <w:sz w:val="20"/>
          <w:szCs w:val="20"/>
          <w:color w:val="auto"/>
        </w:rPr>
      </w:pPr>
    </w:p>
    <w:p>
      <w:pPr>
        <w:ind w:left="980" w:right="20" w:firstLine="225"/>
        <w:spacing w:after="0" w:line="286" w:lineRule="auto"/>
        <w:tabs>
          <w:tab w:leader="none" w:pos="12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sponsor and our management team have entered into agreements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980" w:right="40"/>
        <w:spacing w:after="0" w:line="247" w:lineRule="exact"/>
        <w:rPr>
          <w:sz w:val="20"/>
          <w:szCs w:val="20"/>
          <w:color w:val="auto"/>
        </w:rPr>
      </w:pPr>
      <w:r>
        <w:rPr>
          <w:rFonts w:ascii="Arial" w:cs="Arial" w:eastAsia="Arial" w:hAnsi="Arial"/>
          <w:sz w:val="19"/>
          <w:szCs w:val="19"/>
          <w:color w:val="auto"/>
        </w:rPr>
        <w:t>time period, the private placement units and the underlying securities will expire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units, the private placement shares, the private placement warrants and the Class A ordinary shares underlying such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200" w:lineRule="exact"/>
        <w:rPr>
          <w:sz w:val="20"/>
          <w:szCs w:val="20"/>
          <w:color w:val="auto"/>
        </w:rPr>
      </w:pPr>
    </w:p>
    <w:p>
      <w:pPr>
        <w:spacing w:after="0" w:line="245" w:lineRule="exact"/>
        <w:rPr>
          <w:sz w:val="20"/>
          <w:szCs w:val="20"/>
          <w:color w:val="auto"/>
        </w:rPr>
      </w:pPr>
    </w:p>
    <w:p>
      <w:pPr>
        <w:ind w:left="980" w:right="36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20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which is a member of FINRA or an independent valuation or accounting firm that such initial business combination or transaction is fair to our company from a financial point of view. We are not required to obtain such an opinion in any other context. Furthermore, in no event will our sponsor or any of our existing officers or directors, or any of their respective affiliates, be paid by us any finder’s fee, consulting fee or other compensation prior to, or for any services they render in order to effectuate, the completion of our initial business combination. Further, commencing on the date our securities are first listed on the Nasdaq, we will also reimburse our sponsor for office space, secretarial and administrative services provided to us in the amount of $10,000 per month.</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cannot assure you that any of the above mentioned conflicts will be resolved in our favor.</w:t>
      </w:r>
    </w:p>
    <w:p>
      <w:pPr>
        <w:spacing w:after="0" w:line="23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 and Indemnification of Officers and Directors</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05"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We believe that these provisions, the insurance and the indemnity agreements are necessary to attract and retain talented and experienced officers and directors.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PRINCIPAL SHAREHOLDERS</w:t>
      </w:r>
    </w:p>
    <w:p>
      <w:pPr>
        <w:spacing w:after="0" w:line="239"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22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45"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61" w:lineRule="exact"/>
        <w:rPr>
          <w:sz w:val="20"/>
          <w:szCs w:val="20"/>
          <w:color w:val="auto"/>
        </w:rPr>
      </w:pPr>
    </w:p>
    <w:p>
      <w:pPr>
        <w:ind w:right="460"/>
        <w:spacing w:after="0" w:line="252" w:lineRule="exact"/>
        <w:rPr>
          <w:sz w:val="20"/>
          <w:szCs w:val="20"/>
          <w:color w:val="auto"/>
        </w:rPr>
      </w:pPr>
      <w:r>
        <w:rPr>
          <w:rFonts w:ascii="Arial" w:cs="Arial" w:eastAsia="Arial" w:hAnsi="Arial"/>
          <w:sz w:val="19"/>
          <w:szCs w:val="19"/>
          <w:color w:val="auto"/>
        </w:rPr>
        <w:t>On April 2, 2020, we issued to our sponsor 3,593,750 founder shares (of which, 468,750 are subject to forfeiture if the underwriters do not exercise their over</w:t>
      </w:r>
      <w:r>
        <w:rPr>
          <w:rFonts w:ascii="MS PGothic" w:cs="MS PGothic" w:eastAsia="MS PGothic" w:hAnsi="MS PGothic"/>
          <w:sz w:val="19"/>
          <w:szCs w:val="19"/>
          <w:color w:val="auto"/>
        </w:rPr>
        <w:t>‑</w:t>
      </w:r>
      <w:r>
        <w:rPr>
          <w:rFonts w:ascii="Arial" w:cs="Arial" w:eastAsia="Arial" w:hAnsi="Arial"/>
          <w:sz w:val="19"/>
          <w:szCs w:val="19"/>
          <w:color w:val="auto"/>
        </w:rPr>
        <w:t>allotment option) in exchange for a capital contribution of $25,000, or approximately</w:t>
      </w:r>
    </w:p>
    <w:p>
      <w:pPr>
        <w:spacing w:after="0" w:line="1" w:lineRule="exact"/>
        <w:rPr>
          <w:sz w:val="20"/>
          <w:szCs w:val="20"/>
          <w:color w:val="auto"/>
        </w:rPr>
      </w:pPr>
    </w:p>
    <w:p>
      <w:pPr>
        <w:ind w:right="40"/>
        <w:spacing w:after="0" w:line="244" w:lineRule="exact"/>
        <w:rPr>
          <w:sz w:val="20"/>
          <w:szCs w:val="20"/>
          <w:color w:val="auto"/>
        </w:rPr>
      </w:pPr>
      <w:r>
        <w:rPr>
          <w:rFonts w:ascii="Arial" w:cs="Arial" w:eastAsia="Arial" w:hAnsi="Arial"/>
          <w:sz w:val="21"/>
          <w:szCs w:val="21"/>
          <w:color w:val="auto"/>
        </w:rPr>
        <w:t>$0.007 per share. In April , 2020, our sponsor transferred 30,000 founder shares to each of Messrs. , and . In addition, our sponsor has committed, pursuant to a written agreement, to purchase an aggregate of 450,000 private placement units for a purchase price of $10.00 per unit in a private placement that will occur simultaneously with the closing of this offering (assuming the underwriters do not exercise their over</w:t>
      </w:r>
      <w:r>
        <w:rPr>
          <w:rFonts w:ascii="MS PGothic" w:cs="MS PGothic" w:eastAsia="MS PGothic" w:hAnsi="MS PGothic"/>
          <w:sz w:val="21"/>
          <w:szCs w:val="21"/>
          <w:color w:val="auto"/>
        </w:rPr>
        <w:t>‑</w:t>
      </w:r>
      <w:r>
        <w:rPr>
          <w:rFonts w:ascii="Arial" w:cs="Arial" w:eastAsia="Arial" w:hAnsi="Arial"/>
          <w:sz w:val="21"/>
          <w:szCs w:val="21"/>
          <w:color w:val="auto"/>
        </w:rPr>
        <w:t>allotment option). Prior to the initial investment in the company of $25,000 by the sponsor, the company had no assets, tangible or intangible. The per share price of the founder shares was determined by dividing the amount contributed to the company by the number of founder shares issued. The number of shares beneficially owned and post</w:t>
      </w:r>
      <w:r>
        <w:rPr>
          <w:rFonts w:ascii="MS PGothic" w:cs="MS PGothic" w:eastAsia="MS PGothic" w:hAnsi="MS PGothic"/>
          <w:sz w:val="21"/>
          <w:szCs w:val="21"/>
          <w:color w:val="auto"/>
        </w:rPr>
        <w:t>‑</w:t>
      </w:r>
      <w:r>
        <w:rPr>
          <w:rFonts w:ascii="Arial" w:cs="Arial" w:eastAsia="Arial" w:hAnsi="Arial"/>
          <w:sz w:val="21"/>
          <w:szCs w:val="21"/>
          <w:color w:val="auto"/>
        </w:rPr>
        <w:t>offering percentages in the following table assume that the underwriters do not exercise their over</w:t>
      </w:r>
      <w:r>
        <w:rPr>
          <w:rFonts w:ascii="MS PGothic" w:cs="MS PGothic" w:eastAsia="MS PGothic" w:hAnsi="MS PGothic"/>
          <w:sz w:val="21"/>
          <w:szCs w:val="21"/>
          <w:color w:val="auto"/>
        </w:rPr>
        <w:t>‑</w:t>
      </w:r>
      <w:r>
        <w:rPr>
          <w:rFonts w:ascii="Arial" w:cs="Arial" w:eastAsia="Arial" w:hAnsi="Arial"/>
          <w:sz w:val="21"/>
          <w:szCs w:val="21"/>
          <w:color w:val="auto"/>
        </w:rPr>
        <w:t>allotment option and that there are 16,075,000 ordinary shares, consisting of (i) 12,500,000 Class A ordinary shares, (ii) 3,125,000 Class B ordinary shares, and (iii) 450,000 Class A ordinary shares underlying the private placement units, issued and outstanding after this offering.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3"/>
              </w:rPr>
              <w:t>Number of</w:t>
            </w:r>
          </w:p>
        </w:tc>
        <w:tc>
          <w:tcPr>
            <w:tcW w:w="28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Approximate Percentage of</w:t>
            </w:r>
          </w:p>
        </w:tc>
      </w:tr>
      <w:tr>
        <w:trPr>
          <w:trHeight w:val="241"/>
        </w:trPr>
        <w:tc>
          <w:tcPr>
            <w:tcW w:w="43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6"/>
              </w:rPr>
              <w:t>Shares</w:t>
            </w:r>
          </w:p>
        </w:tc>
        <w:tc>
          <w:tcPr>
            <w:tcW w:w="28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Outstanding Ordinary Shares</w:t>
            </w:r>
          </w:p>
        </w:tc>
      </w:tr>
      <w:tr>
        <w:trPr>
          <w:trHeight w:val="188"/>
        </w:trPr>
        <w:tc>
          <w:tcPr>
            <w:tcW w:w="4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305"/>
              <w:spacing w:after="0" w:line="188" w:lineRule="exact"/>
              <w:rPr>
                <w:sz w:val="20"/>
                <w:szCs w:val="20"/>
                <w:color w:val="auto"/>
              </w:rPr>
            </w:pPr>
            <w:r>
              <w:rPr>
                <w:rFonts w:ascii="Arial" w:cs="Arial" w:eastAsia="Arial" w:hAnsi="Arial"/>
                <w:sz w:val="18"/>
                <w:szCs w:val="18"/>
                <w:b w:val="1"/>
                <w:bCs w:val="1"/>
                <w:color w:val="auto"/>
                <w:w w:val="89"/>
              </w:rPr>
              <w:t>Beneficially</w:t>
            </w: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44"/>
        </w:trPr>
        <w:tc>
          <w:tcPr>
            <w:tcW w:w="4320" w:type="dxa"/>
            <w:vAlign w:val="bottom"/>
          </w:tcPr>
          <w:p>
            <w:pPr>
              <w:spacing w:after="0" w:line="243" w:lineRule="exact"/>
              <w:rPr>
                <w:sz w:val="20"/>
                <w:szCs w:val="20"/>
                <w:color w:val="auto"/>
              </w:rPr>
            </w:pPr>
            <w:r>
              <w:rPr>
                <w:rFonts w:ascii="Arial" w:cs="Arial" w:eastAsia="Arial" w:hAnsi="Arial"/>
                <w:sz w:val="17"/>
                <w:szCs w:val="17"/>
                <w:b w:val="1"/>
                <w:bCs w:val="1"/>
                <w:color w:val="auto"/>
              </w:rPr>
              <w:t>Name And Address Of Beneficial Owner</w:t>
            </w:r>
            <w:r>
              <w:rPr>
                <w:rFonts w:ascii="Arial" w:cs="Arial" w:eastAsia="Arial" w:hAnsi="Arial"/>
                <w:sz w:val="28"/>
                <w:szCs w:val="28"/>
                <w:b w:val="1"/>
                <w:bCs w:val="1"/>
                <w:color w:val="auto"/>
                <w:vertAlign w:val="superscript"/>
              </w:rPr>
              <w:t>(1)</w:t>
            </w: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90"/>
              </w:rPr>
              <w:t>Owned</w:t>
            </w:r>
            <w:r>
              <w:rPr>
                <w:rFonts w:ascii="Arial" w:cs="Arial" w:eastAsia="Arial" w:hAnsi="Arial"/>
                <w:sz w:val="28"/>
                <w:szCs w:val="28"/>
                <w:b w:val="1"/>
                <w:bCs w:val="1"/>
                <w:color w:val="auto"/>
                <w:w w:val="90"/>
                <w:vertAlign w:val="superscript"/>
              </w:rPr>
              <w:t>(2)</w:t>
            </w:r>
          </w:p>
        </w:tc>
        <w:tc>
          <w:tcPr>
            <w:tcW w:w="38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w w:val="90"/>
              </w:rPr>
              <w:t>Before Offering</w:t>
            </w:r>
          </w:p>
        </w:tc>
        <w:tc>
          <w:tcPr>
            <w:tcW w:w="240" w:type="dxa"/>
            <w:vAlign w:val="bottom"/>
          </w:tcPr>
          <w:p>
            <w:pPr>
              <w:spacing w:after="0"/>
              <w:rPr>
                <w:sz w:val="21"/>
                <w:szCs w:val="21"/>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After Offering</w:t>
            </w:r>
          </w:p>
        </w:tc>
      </w:tr>
      <w:tr>
        <w:trPr>
          <w:trHeight w:val="27"/>
        </w:trPr>
        <w:tc>
          <w:tcPr>
            <w:tcW w:w="4320" w:type="dxa"/>
            <w:vAlign w:val="bottom"/>
            <w:shd w:val="clear" w:color="auto" w:fill="000000"/>
          </w:tcPr>
          <w:p>
            <w:pPr>
              <w:spacing w:after="0"/>
              <w:rPr>
                <w:sz w:val="2"/>
                <w:szCs w:val="2"/>
                <w:color w:val="auto"/>
              </w:rPr>
            </w:pPr>
          </w:p>
        </w:tc>
        <w:tc>
          <w:tcPr>
            <w:tcW w:w="2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ARYA Sciences Holdings III (our sponsor)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3,485,000</w:t>
            </w:r>
          </w:p>
        </w:tc>
        <w:tc>
          <w:tcPr>
            <w:tcW w:w="3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87"/>
              </w:rPr>
              <w:t>(3)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Adam Stone</w:t>
            </w:r>
          </w:p>
        </w:tc>
        <w:tc>
          <w:tcPr>
            <w:tcW w:w="2500" w:type="dxa"/>
            <w:vAlign w:val="bottom"/>
          </w:tcPr>
          <w:p>
            <w:pPr>
              <w:spacing w:after="0"/>
              <w:rPr>
                <w:sz w:val="18"/>
                <w:szCs w:val="18"/>
                <w:color w:val="auto"/>
              </w:rPr>
            </w:pPr>
          </w:p>
        </w:tc>
        <w:tc>
          <w:tcPr>
            <w:tcW w:w="1580" w:type="dxa"/>
            <w:vAlign w:val="bottom"/>
            <w:gridSpan w:val="3"/>
          </w:tcPr>
          <w:p>
            <w:pPr>
              <w:jc w:val="right"/>
              <w:ind w:right="125"/>
              <w:spacing w:after="0" w:line="216" w:lineRule="exact"/>
              <w:rPr>
                <w:sz w:val="20"/>
                <w:szCs w:val="20"/>
                <w:color w:val="auto"/>
              </w:rPr>
            </w:pPr>
            <w:r>
              <w:rPr>
                <w:rFonts w:ascii="Arial" w:cs="Arial" w:eastAsia="Arial" w:hAnsi="Arial"/>
                <w:sz w:val="16"/>
                <w:szCs w:val="16"/>
                <w:color w:val="auto"/>
              </w:rPr>
              <w:t>3,485,000</w:t>
            </w:r>
            <w:r>
              <w:rPr>
                <w:rFonts w:ascii="Arial" w:cs="Arial" w:eastAsia="Arial" w:hAnsi="Arial"/>
                <w:sz w:val="25"/>
                <w:szCs w:val="25"/>
                <w:color w:val="auto"/>
                <w:vertAlign w:val="superscript"/>
              </w:rPr>
              <w:t>(3)</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21.68%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Michael Altman</w:t>
            </w:r>
          </w:p>
        </w:tc>
        <w:tc>
          <w:tcPr>
            <w:tcW w:w="2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25"/>
              <w:spacing w:after="0" w:line="216" w:lineRule="exact"/>
              <w:rPr>
                <w:sz w:val="20"/>
                <w:szCs w:val="20"/>
                <w:color w:val="auto"/>
              </w:rPr>
            </w:pPr>
            <w:r>
              <w:rPr>
                <w:rFonts w:ascii="Arial" w:cs="Arial" w:eastAsia="Arial" w:hAnsi="Arial"/>
                <w:sz w:val="16"/>
                <w:szCs w:val="16"/>
                <w:color w:val="auto"/>
              </w:rPr>
              <w:t>3,485,000</w:t>
            </w:r>
            <w:r>
              <w:rPr>
                <w:rFonts w:ascii="Arial" w:cs="Arial" w:eastAsia="Arial" w:hAnsi="Arial"/>
                <w:sz w:val="25"/>
                <w:szCs w:val="25"/>
                <w:color w:val="auto"/>
                <w:vertAlign w:val="superscript"/>
              </w:rPr>
              <w:t>(3)</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21.68%</w:t>
            </w:r>
          </w:p>
        </w:tc>
      </w:tr>
      <w:tr>
        <w:trPr>
          <w:trHeight w:val="216"/>
        </w:trPr>
        <w:tc>
          <w:tcPr>
            <w:tcW w:w="4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80" w:type="dxa"/>
            <w:vAlign w:val="bottom"/>
            <w:gridSpan w:val="3"/>
          </w:tcPr>
          <w:p>
            <w:pPr>
              <w:jc w:val="right"/>
              <w:ind w:right="305"/>
              <w:spacing w:after="0"/>
              <w:rPr>
                <w:sz w:val="20"/>
                <w:szCs w:val="20"/>
                <w:color w:val="auto"/>
              </w:rPr>
            </w:pPr>
            <w:r>
              <w:rPr>
                <w:rFonts w:ascii="Arial" w:cs="Arial" w:eastAsia="Arial" w:hAnsi="Arial"/>
                <w:sz w:val="18"/>
                <w:szCs w:val="18"/>
                <w:color w:val="auto"/>
              </w:rPr>
              <w:t>30,000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color w:val="auto"/>
              </w:rPr>
              <w:t>30,000</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80" w:type="dxa"/>
            <w:vAlign w:val="bottom"/>
            <w:gridSpan w:val="3"/>
          </w:tcPr>
          <w:p>
            <w:pPr>
              <w:jc w:val="right"/>
              <w:ind w:right="305"/>
              <w:spacing w:after="0"/>
              <w:rPr>
                <w:sz w:val="20"/>
                <w:szCs w:val="20"/>
                <w:color w:val="auto"/>
              </w:rPr>
            </w:pPr>
            <w:r>
              <w:rPr>
                <w:rFonts w:ascii="Arial" w:cs="Arial" w:eastAsia="Arial" w:hAnsi="Arial"/>
                <w:sz w:val="18"/>
                <w:szCs w:val="18"/>
                <w:color w:val="auto"/>
              </w:rPr>
              <w:t>30,000</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6"/>
              </w:rPr>
              <w:t>All officers, directors and director nominees as a group (</w:t>
            </w:r>
          </w:p>
        </w:tc>
        <w:tc>
          <w:tcPr>
            <w:tcW w:w="2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individuals)</w:t>
            </w:r>
          </w:p>
        </w:tc>
        <w:tc>
          <w:tcPr>
            <w:tcW w:w="1580" w:type="dxa"/>
            <w:vAlign w:val="bottom"/>
            <w:gridSpan w:val="3"/>
            <w:shd w:val="clear" w:color="auto" w:fill="CCEEFF"/>
          </w:tcPr>
          <w:p>
            <w:pPr>
              <w:jc w:val="right"/>
              <w:ind w:right="305"/>
              <w:spacing w:after="0"/>
              <w:rPr>
                <w:sz w:val="20"/>
                <w:szCs w:val="20"/>
                <w:color w:val="auto"/>
              </w:rPr>
            </w:pPr>
            <w:r>
              <w:rPr>
                <w:rFonts w:ascii="Arial" w:cs="Arial" w:eastAsia="Arial" w:hAnsi="Arial"/>
                <w:sz w:val="18"/>
                <w:szCs w:val="18"/>
                <w:color w:val="auto"/>
              </w:rPr>
              <w:t>90,000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3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5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Unless otherwise noted, the business address of the following entities or individuals is 51 Astor Place, 10th Floor, New York, New York 10003.</w:t>
      </w:r>
    </w:p>
    <w:p>
      <w:pPr>
        <w:spacing w:after="0" w:line="263" w:lineRule="exact"/>
        <w:rPr>
          <w:rFonts w:ascii="Arial" w:cs="Arial" w:eastAsia="Arial" w:hAnsi="Arial"/>
          <w:sz w:val="17"/>
          <w:szCs w:val="17"/>
          <w:color w:val="auto"/>
        </w:rPr>
      </w:pPr>
    </w:p>
    <w:p>
      <w:pPr>
        <w:ind w:left="340" w:right="140" w:hanging="332"/>
        <w:spacing w:after="0" w:line="25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and private placement shares. The Class B ordinary shares will automatically convert into Class</w:t>
      </w:r>
    </w:p>
    <w:p>
      <w:pPr>
        <w:spacing w:after="0" w:line="1" w:lineRule="exact"/>
        <w:rPr>
          <w:sz w:val="20"/>
          <w:szCs w:val="20"/>
          <w:color w:val="auto"/>
        </w:rPr>
      </w:pPr>
    </w:p>
    <w:p>
      <w:pPr>
        <w:ind w:left="660" w:right="940" w:hanging="323"/>
        <w:spacing w:after="0" w:line="236" w:lineRule="auto"/>
        <w:rPr>
          <w:sz w:val="20"/>
          <w:szCs w:val="20"/>
          <w:color w:val="auto"/>
        </w:rPr>
      </w:pPr>
      <w:r>
        <w:rPr>
          <w:rFonts w:ascii="Arial" w:cs="Arial" w:eastAsia="Arial" w:hAnsi="Arial"/>
          <w:sz w:val="22"/>
          <w:szCs w:val="22"/>
          <w:color w:val="auto"/>
        </w:rPr>
        <w:t>A ordinary shares at the time of our initial business combination as described in the section entitled “Description of Securities.”</w:t>
      </w:r>
    </w:p>
    <w:p>
      <w:pPr>
        <w:spacing w:after="0" w:line="221" w:lineRule="exact"/>
        <w:rPr>
          <w:sz w:val="20"/>
          <w:szCs w:val="20"/>
          <w:color w:val="auto"/>
        </w:rPr>
      </w:pPr>
    </w:p>
    <w:p>
      <w:pPr>
        <w:ind w:left="340" w:right="300" w:hanging="332"/>
        <w:spacing w:after="0" w:line="311"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shares reported above are held in the name of our sponsor. Our sponsor is governed by a board of directors consisting of two directors, Messrs. Stone and Altman. As such, Messrs. Stone and Altman have voting and investment discretion with respect to the Class B ordinary shares held of record by our sponsor and may be deemed to have shared beneficial ownership of the Class B ordinary shares held directly by our sponsor.</w:t>
      </w:r>
    </w:p>
    <w:p>
      <w:pPr>
        <w:spacing w:after="0" w:line="169"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Immediately after this offering, our initial shareholders will beneficially own 20% of the then issued and outstanding ordinary shares (excluding the private placement shares underlying the private placement units and assuming they do not purchase any units in this offering) and will have the right to elect all of our directors prior to the completion of our initial business combination.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 shareholders (and their permitted transferees, if any) at 20% of the issued and outstanding ordinary</w:t>
      </w:r>
    </w:p>
    <w:p>
      <w:pPr>
        <w:sectPr>
          <w:pgSz w:w="11900" w:h="16838" w:orient="portrait"/>
          <w:cols w:equalWidth="0" w:num="1">
            <w:col w:w="11240"/>
          </w:cols>
          <w:pgMar w:left="320" w:top="121" w:right="339" w:bottom="91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10" w:gutter="0" w:footer="0" w:header="0"/>
          <w:type w:val="continuous"/>
        </w:sectPr>
      </w:pPr>
    </w:p>
    <w:bookmarkStart w:id="110" w:name="page111"/>
    <w:bookmarkEnd w:id="11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shares (excluding the private placement shares underlying the private placement units) upon the consummation of this offering. Holders of our public shares will not have the right to elect any directors to our board of directors prior to the completion of our initial business combination. Because of this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pacing w:after="0" w:line="215"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Our sponsor and our management team have entered into agreements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Further, our sponsor and each member of our management team have agreed to vote their founder shares, private placement shares and public shares purchased during or after this offering in favor of our initial business combination.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Our sponsor is deemed to be our “promoter” as such term is defined under the federal securities laws.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Transfers of Founder Shares and Private Placement Units</w:t>
      </w:r>
    </w:p>
    <w:p>
      <w:pPr>
        <w:spacing w:after="0" w:line="239"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The founder shares, private placement units, private placement shares, private placement warrants and any Class A ordinary shares issued upon conversion or exercise thereof are each subject to transfer restrictions pursuant to lock</w:t>
      </w:r>
      <w:r>
        <w:rPr>
          <w:rFonts w:ascii="MS PGothic" w:cs="MS PGothic" w:eastAsia="MS PGothic" w:hAnsi="MS PGothic"/>
          <w:sz w:val="19"/>
          <w:szCs w:val="19"/>
          <w:color w:val="auto"/>
        </w:rPr>
        <w:t>‑</w:t>
      </w:r>
      <w:r>
        <w:rPr>
          <w:rFonts w:ascii="Arial" w:cs="Arial" w:eastAsia="Arial" w:hAnsi="Arial"/>
          <w:sz w:val="19"/>
          <w:szCs w:val="19"/>
          <w:color w:val="auto"/>
        </w:rPr>
        <w:t>up provisions in the agreements entered into by our sponsor and management team.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 xml:space="preserve">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units, private placement shares, private placement warrants and Class A ordinary shares issued upon conversion or exercise thereof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public shareholders having the right to exchange their Class A ordinary shares for cash, securities or other property subsequent to our completion of our initial business combination;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case of clauses (a) through (f) these permitted transferees must enter into a written agreement agreeing to be bound by these transfer restrictions and the other restrictions contained in the letter agreement.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On April 2, 2020, we issued 3,593,750 founder shares to our sponsor in exchange for a capital contribution of $25,000, or</w:t>
      </w:r>
    </w:p>
    <w:p>
      <w:pPr>
        <w:spacing w:after="0" w:line="33" w:lineRule="exact"/>
        <w:rPr>
          <w:sz w:val="20"/>
          <w:szCs w:val="20"/>
          <w:color w:val="auto"/>
        </w:rPr>
      </w:pPr>
    </w:p>
    <w:p>
      <w:pPr>
        <w:spacing w:after="0"/>
        <w:tabs>
          <w:tab w:leader="none" w:pos="4000" w:val="left"/>
          <w:tab w:leader="none" w:pos="10740" w:val="left"/>
        </w:tabs>
        <w:rPr>
          <w:sz w:val="20"/>
          <w:szCs w:val="20"/>
          <w:color w:val="auto"/>
        </w:rPr>
      </w:pPr>
      <w:r>
        <w:rPr>
          <w:rFonts w:ascii="Arial" w:cs="Arial" w:eastAsia="Arial" w:hAnsi="Arial"/>
          <w:sz w:val="22"/>
          <w:szCs w:val="22"/>
          <w:color w:val="auto"/>
        </w:rPr>
        <w:t>approximately $0.007 per share. In April</w:t>
      </w:r>
      <w:r>
        <w:rPr>
          <w:sz w:val="20"/>
          <w:szCs w:val="20"/>
          <w:color w:val="auto"/>
        </w:rPr>
        <w:tab/>
      </w:r>
      <w:r>
        <w:rPr>
          <w:rFonts w:ascii="Arial" w:cs="Arial" w:eastAsia="Arial" w:hAnsi="Arial"/>
          <w:sz w:val="19"/>
          <w:szCs w:val="19"/>
          <w:color w:val="auto"/>
        </w:rPr>
        <w:t>, 2020, our sponsor transferred 30,000 founder shares to each of Messrs.</w:t>
      </w:r>
      <w:r>
        <w:rPr>
          <w:sz w:val="20"/>
          <w:szCs w:val="20"/>
          <w:color w:val="auto"/>
        </w:rPr>
        <w:tab/>
      </w:r>
      <w:r>
        <w:rPr>
          <w:rFonts w:ascii="Arial" w:cs="Arial" w:eastAsia="Arial" w:hAnsi="Arial"/>
          <w:sz w:val="21"/>
          <w:szCs w:val="21"/>
          <w:color w:val="auto"/>
        </w:rPr>
        <w:t>,</w:t>
      </w:r>
    </w:p>
    <w:p>
      <w:pPr>
        <w:ind w:left="180"/>
        <w:spacing w:after="0" w:line="219" w:lineRule="exact"/>
        <w:tabs>
          <w:tab w:leader="none" w:pos="940" w:val="left"/>
        </w:tabs>
        <w:rPr>
          <w:sz w:val="20"/>
          <w:szCs w:val="20"/>
          <w:color w:val="auto"/>
        </w:rPr>
      </w:pPr>
      <w:r>
        <w:rPr>
          <w:rFonts w:ascii="Arial" w:cs="Arial" w:eastAsia="Arial" w:hAnsi="Arial"/>
          <w:sz w:val="19"/>
          <w:szCs w:val="19"/>
          <w:color w:val="auto"/>
        </w:rPr>
        <w:t>and</w:t>
      </w:r>
      <w:r>
        <w:rPr>
          <w:sz w:val="20"/>
          <w:szCs w:val="20"/>
          <w:color w:val="auto"/>
        </w:rPr>
        <w:tab/>
      </w:r>
      <w:r>
        <w:rPr>
          <w:rFonts w:ascii="Arial" w:cs="Arial" w:eastAsia="Arial" w:hAnsi="Arial"/>
          <w:sz w:val="19"/>
          <w:szCs w:val="19"/>
          <w:color w:val="auto"/>
        </w:rPr>
        <w:t>. Such shares will not be subject to forfeiture in the event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The</w:t>
      </w:r>
    </w:p>
    <w:p>
      <w:pPr>
        <w:spacing w:after="0" w:line="25" w:lineRule="exact"/>
        <w:rPr>
          <w:sz w:val="20"/>
          <w:szCs w:val="20"/>
          <w:color w:val="auto"/>
        </w:rPr>
      </w:pPr>
    </w:p>
    <w:p>
      <w:pPr>
        <w:ind w:right="60"/>
        <w:spacing w:after="0" w:line="244" w:lineRule="exact"/>
        <w:rPr>
          <w:sz w:val="20"/>
          <w:szCs w:val="20"/>
          <w:color w:val="auto"/>
        </w:rPr>
      </w:pPr>
      <w:r>
        <w:rPr>
          <w:rFonts w:ascii="Arial" w:cs="Arial" w:eastAsia="Arial" w:hAnsi="Arial"/>
          <w:sz w:val="21"/>
          <w:szCs w:val="21"/>
          <w:color w:val="auto"/>
        </w:rPr>
        <w:t>number of founder shares issued was determined based on the expectation that such founder shares would represent 20% of the issued and outstanding shares (excluding the private placement shares underlying the private placement units) upon completion of this offering. If we increase or decrease the size of this offering, we will effect a share capitalization or a share surrender or other appropriate mechanism, as applicable, with respect to our Class B ordinary shares immediately prior to the consummation of the offering in such amount as to maintain the ownership of our initial shareholders (and their permitted transferees, if any) at 20% of the issued and outstanding ordinary shares (excluding the private placement shares underlying the private placement units) upon the consummation of this offering. Up to 468,750 founder shares held by our sponsor are subject to forfeiture by our sponsor depending on the extent to which the underwriters’ over</w:t>
      </w:r>
      <w:r>
        <w:rPr>
          <w:rFonts w:ascii="MS PGothic" w:cs="MS PGothic" w:eastAsia="MS PGothic" w:hAnsi="MS PGothic"/>
          <w:sz w:val="21"/>
          <w:szCs w:val="21"/>
          <w:color w:val="auto"/>
        </w:rPr>
        <w:t>‑</w:t>
      </w:r>
      <w:r>
        <w:rPr>
          <w:rFonts w:ascii="Arial" w:cs="Arial" w:eastAsia="Arial" w:hAnsi="Arial"/>
          <w:sz w:val="21"/>
          <w:szCs w:val="21"/>
          <w:color w:val="auto"/>
        </w:rPr>
        <w:t>allotment option is exercised. The founder shares (including the Class A ordinary shares issuable upon exercise thereof) may not, subject to certain limited exceptions, be transferred, assigned or sold by the holder.</w:t>
      </w:r>
    </w:p>
    <w:p>
      <w:pPr>
        <w:spacing w:after="0" w:line="220" w:lineRule="exact"/>
        <w:rPr>
          <w:sz w:val="20"/>
          <w:szCs w:val="20"/>
          <w:color w:val="auto"/>
        </w:rPr>
      </w:pPr>
    </w:p>
    <w:p>
      <w:pPr>
        <w:spacing w:after="0" w:line="248" w:lineRule="exact"/>
        <w:rPr>
          <w:sz w:val="20"/>
          <w:szCs w:val="20"/>
          <w:color w:val="auto"/>
        </w:rPr>
      </w:pPr>
      <w:r>
        <w:rPr>
          <w:rFonts w:ascii="Arial" w:cs="Arial" w:eastAsia="Arial" w:hAnsi="Arial"/>
          <w:sz w:val="19"/>
          <w:szCs w:val="19"/>
          <w:color w:val="auto"/>
        </w:rPr>
        <w:t>Our sponsor has committed, pursuant to a written agreement, to purchase 450,000 private placement units (or 487,500 private placement units if the over</w:t>
      </w:r>
      <w:r>
        <w:rPr>
          <w:rFonts w:ascii="MS PGothic" w:cs="MS PGothic" w:eastAsia="MS PGothic" w:hAnsi="MS PGothic"/>
          <w:sz w:val="19"/>
          <w:szCs w:val="19"/>
          <w:color w:val="auto"/>
        </w:rPr>
        <w:t>‑</w:t>
      </w:r>
      <w:r>
        <w:rPr>
          <w:rFonts w:ascii="Arial" w:cs="Arial" w:eastAsia="Arial" w:hAnsi="Arial"/>
          <w:sz w:val="19"/>
          <w:szCs w:val="19"/>
          <w:color w:val="auto"/>
        </w:rPr>
        <w:t>allotment option is exercised in full) for a purchase price of $10.00 per unit in a private placement that will occur simultaneously with the closing of this offering. As such, our sponsor’s interest in this transaction is valued at between $4,500,000 and $4,875,000, depending on the number of private placement units purchased. The private placement units (including the private placement shares, private placement warrants and Class A ordinary shares issued upon the exercise or conversion thereof) may not, subject to certain limited exceptions, be transferred, assigned or sold by the holder.</w:t>
      </w:r>
    </w:p>
    <w:p>
      <w:pPr>
        <w:spacing w:after="0" w:line="215" w:lineRule="exact"/>
        <w:rPr>
          <w:sz w:val="20"/>
          <w:szCs w:val="20"/>
          <w:color w:val="auto"/>
        </w:rPr>
      </w:pPr>
    </w:p>
    <w:p>
      <w:pPr>
        <w:ind w:right="120"/>
        <w:spacing w:after="0" w:line="249" w:lineRule="exact"/>
        <w:rPr>
          <w:sz w:val="20"/>
          <w:szCs w:val="20"/>
          <w:color w:val="auto"/>
        </w:rPr>
      </w:pPr>
      <w:r>
        <w:rPr>
          <w:rFonts w:ascii="Arial" w:cs="Arial" w:eastAsia="Arial" w:hAnsi="Arial"/>
          <w:sz w:val="22"/>
          <w:szCs w:val="22"/>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w:t>
      </w:r>
      <w:r>
        <w:rPr>
          <w:rFonts w:ascii="MS PGothic" w:cs="MS PGothic" w:eastAsia="MS PGothic" w:hAnsi="MS PGothic"/>
          <w:sz w:val="22"/>
          <w:szCs w:val="22"/>
          <w:color w:val="auto"/>
        </w:rPr>
        <w:t>‑</w:t>
      </w:r>
      <w:r>
        <w:rPr>
          <w:rFonts w:ascii="Arial" w:cs="Arial" w:eastAsia="Arial" w:hAnsi="Arial"/>
          <w:sz w:val="22"/>
          <w:szCs w:val="22"/>
          <w:color w:val="auto"/>
        </w:rPr>
        <w:t>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214"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We currently maintain our executive offices at 51 Astor Place, 10th Floor, New York, New York 10003. The cost for our use of this space is included in the $10,000 per month fee we will pay to our sponsor for office space, administrative and support services, commencing on the date that our securities are first listed on the Nasdaq. Upon completion of our initial business combination or our liquidation, we will cease paying these monthly fees.</w:t>
      </w:r>
    </w:p>
    <w:p>
      <w:pPr>
        <w:spacing w:after="0" w:line="212"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such persons in connection with activities on our behalf.</w:t>
      </w:r>
    </w:p>
    <w:p>
      <w:pPr>
        <w:spacing w:after="0" w:line="217" w:lineRule="exact"/>
        <w:rPr>
          <w:sz w:val="20"/>
          <w:szCs w:val="20"/>
          <w:color w:val="auto"/>
        </w:rPr>
      </w:pPr>
    </w:p>
    <w:p>
      <w:pPr>
        <w:ind w:right="20"/>
        <w:spacing w:after="0" w:line="251" w:lineRule="exact"/>
        <w:rPr>
          <w:sz w:val="20"/>
          <w:szCs w:val="20"/>
          <w:color w:val="auto"/>
        </w:rPr>
      </w:pPr>
      <w:r>
        <w:rPr>
          <w:rFonts w:ascii="Arial" w:cs="Arial" w:eastAsia="Arial" w:hAnsi="Arial"/>
          <w:sz w:val="22"/>
          <w:szCs w:val="22"/>
          <w:color w:val="auto"/>
        </w:rPr>
        <w:t>Our sponsor may loan us funds to be used for a portion of the expenses of this offering. These loans would be non</w:t>
      </w:r>
      <w:r>
        <w:rPr>
          <w:rFonts w:ascii="MS PGothic" w:cs="MS PGothic" w:eastAsia="MS PGothic" w:hAnsi="MS PGothic"/>
          <w:sz w:val="22"/>
          <w:szCs w:val="22"/>
          <w:color w:val="auto"/>
        </w:rPr>
        <w:t>‑</w:t>
      </w:r>
      <w:r>
        <w:rPr>
          <w:rFonts w:ascii="Arial" w:cs="Arial" w:eastAsia="Arial" w:hAnsi="Arial"/>
          <w:sz w:val="22"/>
          <w:szCs w:val="22"/>
          <w:color w:val="auto"/>
        </w:rPr>
        <w:t>interest bearing, unsecured and are due at the earlier of December 31, 2020 and the closing of this offering. The loan will be repaid upon the closing of this offering out of the estimated $1,000,000 of offering proceeds that has been allocated to the payment of offering expenses and that is not held in the trust account.</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$1.50 per warrant at the option of the lender. The warrants would be identical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spacing w:after="0" w:line="214" w:lineRule="exact"/>
        <w:rPr>
          <w:sz w:val="20"/>
          <w:szCs w:val="20"/>
          <w:color w:val="auto"/>
        </w:rPr>
      </w:pPr>
    </w:p>
    <w:p>
      <w:pPr>
        <w:ind w:right="60"/>
        <w:spacing w:after="0" w:line="248" w:lineRule="exact"/>
        <w:rPr>
          <w:sz w:val="20"/>
          <w:szCs w:val="20"/>
          <w:color w:val="auto"/>
        </w:rPr>
      </w:pPr>
      <w:r>
        <w:rPr>
          <w:rFonts w:ascii="Arial" w:cs="Arial" w:eastAsia="Arial" w:hAnsi="Arial"/>
          <w:sz w:val="21"/>
          <w:szCs w:val="21"/>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w:t>
      </w:r>
      <w:r>
        <w:rPr>
          <w:rFonts w:ascii="MS PGothic" w:cs="MS PGothic" w:eastAsia="MS PGothic" w:hAnsi="MS PGothic"/>
          <w:sz w:val="21"/>
          <w:szCs w:val="21"/>
          <w:color w:val="auto"/>
        </w:rPr>
        <w:t>‑</w:t>
      </w:r>
      <w:r>
        <w:rPr>
          <w:rFonts w:ascii="Arial" w:cs="Arial" w:eastAsia="Arial" w:hAnsi="Arial"/>
          <w:sz w:val="21"/>
          <w:szCs w:val="21"/>
          <w:color w:val="auto"/>
        </w:rPr>
        <w:t>combination business to determine executive and director compensation.</w:t>
      </w:r>
    </w:p>
    <w:p>
      <w:pPr>
        <w:spacing w:after="0" w:line="21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We will enter into a registration and shareholder rights agreement pursuant to which our initial shareholders, and their permitted transferees, if any, will be entitled to certain registration rights with respect to the private placement units, the private placement shares, the private placement warrants, the securities issuable upon conversion of working capital loans (if any) and the Class A ordinary shares issuable upon exercise of the foregoing and upon conversion of the founder shares. Further,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184"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Our sponsor has indicated an interest to purchase up to an aggregate of $25,000,000 of our ordinary shares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w:t>
      </w:r>
      <w:r>
        <w:rPr>
          <w:rFonts w:ascii="MS PGothic" w:cs="MS PGothic" w:eastAsia="MS PGothic" w:hAnsi="MS PGothic"/>
          <w:sz w:val="19"/>
          <w:szCs w:val="19"/>
          <w:color w:val="auto"/>
        </w:rPr>
        <w:t>‑</w:t>
      </w:r>
      <w:r>
        <w:rPr>
          <w:rFonts w:ascii="Arial" w:cs="Arial" w:eastAsia="Arial" w:hAnsi="Arial"/>
          <w:sz w:val="19"/>
          <w:szCs w:val="19"/>
          <w:color w:val="auto"/>
        </w:rPr>
        <w: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Policy for Approval of Related Party Transactions</w:t>
      </w:r>
    </w:p>
    <w:p>
      <w:pPr>
        <w:spacing w:after="0" w:line="239" w:lineRule="exact"/>
        <w:rPr>
          <w:sz w:val="20"/>
          <w:szCs w:val="20"/>
          <w:color w:val="auto"/>
        </w:rPr>
      </w:pPr>
    </w:p>
    <w:p>
      <w:pPr>
        <w:ind w:right="160"/>
        <w:spacing w:after="0" w:line="246" w:lineRule="exact"/>
        <w:rPr>
          <w:sz w:val="20"/>
          <w:szCs w:val="20"/>
          <w:color w:val="auto"/>
        </w:rPr>
      </w:pPr>
      <w:r>
        <w:rPr>
          <w:rFonts w:ascii="Arial" w:cs="Arial" w:eastAsia="Arial" w:hAnsi="Arial"/>
          <w:sz w:val="21"/>
          <w:szCs w:val="21"/>
          <w:color w:val="auto"/>
        </w:rPr>
        <w:t>The audit committee of our board of directors will adopt a charter, providing for the review, approval and/or ratification of “related party transactions,” which are those transactions required to be disclosed pursuant to Item 404 of Regulation S</w:t>
      </w:r>
      <w:r>
        <w:rPr>
          <w:rFonts w:ascii="MS PGothic" w:cs="MS PGothic" w:eastAsia="MS PGothic" w:hAnsi="MS PGothic"/>
          <w:sz w:val="21"/>
          <w:szCs w:val="21"/>
          <w:color w:val="auto"/>
        </w:rPr>
        <w:t>‑</w:t>
      </w:r>
      <w:r>
        <w:rPr>
          <w:rFonts w:ascii="Arial" w:cs="Arial" w:eastAsia="Arial" w:hAnsi="Arial"/>
          <w:sz w:val="21"/>
          <w:szCs w:val="21"/>
          <w:color w:val="auto"/>
        </w:rPr>
        <w:t>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SECURITIES</w:t>
      </w:r>
    </w:p>
    <w:p>
      <w:pPr>
        <w:spacing w:after="0" w:line="239"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479,000,000 Class A ordinary shares and 20,000,000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39" w:lineRule="exact"/>
        <w:rPr>
          <w:sz w:val="20"/>
          <w:szCs w:val="20"/>
          <w:color w:val="auto"/>
        </w:rPr>
      </w:pPr>
    </w:p>
    <w:p>
      <w:pPr>
        <w:spacing w:after="0" w:line="249" w:lineRule="exact"/>
        <w:rPr>
          <w:sz w:val="20"/>
          <w:szCs w:val="20"/>
          <w:color w:val="auto"/>
        </w:rPr>
      </w:pPr>
      <w:r>
        <w:rPr>
          <w:rFonts w:ascii="Arial" w:cs="Arial" w:eastAsia="Arial" w:hAnsi="Arial"/>
          <w:sz w:val="22"/>
          <w:szCs w:val="22"/>
          <w:color w:val="auto"/>
        </w:rPr>
        <w:t>Each unit has an offering price of $10.00 and consists of one Class A ordinary share and one</w:t>
      </w:r>
      <w:r>
        <w:rPr>
          <w:rFonts w:ascii="MS PGothic" w:cs="MS PGothic" w:eastAsia="MS PGothic" w:hAnsi="MS PGothic"/>
          <w:sz w:val="22"/>
          <w:szCs w:val="22"/>
          <w:color w:val="auto"/>
        </w:rPr>
        <w:t>‑</w:t>
      </w:r>
      <w:r>
        <w:rPr>
          <w:rFonts w:ascii="Arial" w:cs="Arial" w:eastAsia="Arial" w:hAnsi="Arial"/>
          <w:sz w:val="22"/>
          <w:szCs w:val="22"/>
          <w:color w:val="auto"/>
        </w:rPr>
        <w:t>fourth of one redeemable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w:t>
      </w:r>
    </w:p>
    <w:p>
      <w:pPr>
        <w:spacing w:after="0" w:line="214" w:lineRule="exact"/>
        <w:rPr>
          <w:sz w:val="20"/>
          <w:szCs w:val="20"/>
          <w:color w:val="auto"/>
        </w:rPr>
      </w:pPr>
    </w:p>
    <w:p>
      <w:pPr>
        <w:spacing w:after="0" w:line="247" w:lineRule="exact"/>
        <w:rPr>
          <w:sz w:val="20"/>
          <w:szCs w:val="20"/>
          <w:color w:val="auto"/>
        </w:rPr>
      </w:pPr>
      <w:r>
        <w:rPr>
          <w:rFonts w:ascii="Arial" w:cs="Arial" w:eastAsia="Arial" w:hAnsi="Arial"/>
          <w:sz w:val="21"/>
          <w:szCs w:val="21"/>
          <w:color w:val="auto"/>
        </w:rPr>
        <w:t>The Class A ordinary shares and warrants comprising the units are expected to begin separate trading on the 52nd day following the date of this prospectus unless Jefferies LLC informs us of its decision to allow earlier separate trading, subject to our having filed the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four units, you will not be able to receive or trade a whole warrant.</w:t>
      </w:r>
    </w:p>
    <w:p>
      <w:pPr>
        <w:spacing w:after="0" w:line="215" w:lineRule="exact"/>
        <w:rPr>
          <w:sz w:val="20"/>
          <w:szCs w:val="20"/>
          <w:color w:val="auto"/>
        </w:rPr>
      </w:pPr>
    </w:p>
    <w:p>
      <w:pPr>
        <w:jc w:val="both"/>
        <w:ind w:right="100"/>
        <w:spacing w:after="0" w:line="248" w:lineRule="exact"/>
        <w:rPr>
          <w:sz w:val="20"/>
          <w:szCs w:val="20"/>
          <w:color w:val="auto"/>
        </w:rPr>
      </w:pPr>
      <w:r>
        <w:rPr>
          <w:rFonts w:ascii="Arial" w:cs="Arial" w:eastAsia="Arial" w:hAnsi="Arial"/>
          <w:sz w:val="21"/>
          <w:szCs w:val="21"/>
          <w:color w:val="auto"/>
        </w:rPr>
        <w:t>In no event will the Class A ordinary shares and warrants be traded separately until we have filed with the SEC a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which includes an audited balance sheet reflecting our receipt of the gross proceeds of this offering and the sale of the private placement units. We will file a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which includes this audited balance sheet promptly after the completion of this offering. If the underwriters’ over</w:t>
      </w:r>
      <w:r>
        <w:rPr>
          <w:rFonts w:ascii="MS PGothic" w:cs="MS PGothic" w:eastAsia="MS PGothic" w:hAnsi="MS PGothic"/>
          <w:sz w:val="21"/>
          <w:szCs w:val="21"/>
          <w:color w:val="auto"/>
        </w:rPr>
        <w:t>‑</w:t>
      </w:r>
      <w:r>
        <w:rPr>
          <w:rFonts w:ascii="Arial" w:cs="Arial" w:eastAsia="Arial" w:hAnsi="Arial"/>
          <w:sz w:val="21"/>
          <w:szCs w:val="21"/>
          <w:color w:val="auto"/>
        </w:rPr>
        <w:t>allotment option is exercised following the initial filing of such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a second or amended Current Report on Form 8</w:t>
      </w:r>
      <w:r>
        <w:rPr>
          <w:rFonts w:ascii="MS PGothic" w:cs="MS PGothic" w:eastAsia="MS PGothic" w:hAnsi="MS PGothic"/>
          <w:sz w:val="21"/>
          <w:szCs w:val="21"/>
          <w:color w:val="auto"/>
        </w:rPr>
        <w:t>‑</w:t>
      </w:r>
      <w:r>
        <w:rPr>
          <w:rFonts w:ascii="Arial" w:cs="Arial" w:eastAsia="Arial" w:hAnsi="Arial"/>
          <w:sz w:val="21"/>
          <w:szCs w:val="21"/>
          <w:color w:val="auto"/>
        </w:rPr>
        <w:t>K will be filed to provide updated financial information to reflect the exercise of the underwriters’ over</w:t>
      </w:r>
      <w:r>
        <w:rPr>
          <w:rFonts w:ascii="MS PGothic" w:cs="MS PGothic" w:eastAsia="MS PGothic" w:hAnsi="MS PGothic"/>
          <w:sz w:val="21"/>
          <w:szCs w:val="21"/>
          <w:color w:val="auto"/>
        </w:rPr>
        <w:t>‑</w:t>
      </w:r>
      <w:r>
        <w:rPr>
          <w:rFonts w:ascii="Arial" w:cs="Arial" w:eastAsia="Arial" w:hAnsi="Arial"/>
          <w:sz w:val="21"/>
          <w:szCs w:val="21"/>
          <w:color w:val="auto"/>
        </w:rPr>
        <w:t>allotment option.</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Additionally, the units will automatically separate into their component parts and will not be traded after completion of our initial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Placement Units</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private placement units (including the private placement shares, the private placement warrants and Class A ordinary shares issuable upon exercise of such warrants) will not be transferable or salable until 30 days after the completion of our initial business combination (except, among other limited exceptions as described under “Principal Shareholders — Transfers of Founder Shares and Private Placement Units,” to our officers and directors and other persons or entities affiliated with our sponsor) and the private placement warrants included therein will not be redeemable by us (except as described below under “— Warrants—Public Shareholders’ Warrants—Redemption of warrants for Class A ordinary shares when the price per Class A ordinary share equals or exceeds $10.00”) so long as they are held by our sponsor or its permitted transferees. Holders of our private placement units are entitled to certain registration rights. If we do not consummate an initial business combination within 24 months from the closing of this offering, the proceeds from the sale of the private placement units held in the trust account will be used to fund the redemption of our public shares (subject to the requirements of applicable law) and the private placement units (and the underlying securities) will expire worthless. Further,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4" w:name="page115"/>
    <w:bookmarkEnd w:id="11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color w:val="auto"/>
        </w:rPr>
        <w:t>of our initial business combination. Otherwise, the private placement units are identical to the units sold in this offering.</w:t>
      </w:r>
    </w:p>
    <w:p>
      <w:pPr>
        <w:spacing w:after="0" w:line="245" w:lineRule="exact"/>
        <w:rPr>
          <w:sz w:val="20"/>
          <w:szCs w:val="20"/>
          <w:color w:val="auto"/>
        </w:rPr>
      </w:pPr>
    </w:p>
    <w:p>
      <w:pPr>
        <w:ind w:right="240"/>
        <w:spacing w:after="0" w:line="248" w:lineRule="auto"/>
        <w:rPr>
          <w:sz w:val="20"/>
          <w:szCs w:val="20"/>
          <w:color w:val="auto"/>
        </w:rPr>
      </w:pPr>
      <w:r>
        <w:rPr>
          <w:rFonts w:ascii="Arial" w:cs="Arial" w:eastAsia="Arial" w:hAnsi="Arial"/>
          <w:sz w:val="21"/>
          <w:szCs w:val="21"/>
          <w:color w:val="auto"/>
        </w:rPr>
        <w:t>Our sponsor and our management team have agreed not to transfer, assign or sell any of their private placement units, private placement shares, the private placement warrants and any Class A ordinary shares issued upon conversion or exercise thereof until 30 days after the completion of our initial business combination, except that, among other limited exceptions as described under the section of this prospectus entitled “Principal Shareholders — Transfers of Founder Shares and Private Placement Units,” to our officers and directors and other persons or entities affiliated with our sponsor” made to our officers and directors and other persons or entities affiliated with our sponsor.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239" w:lineRule="exact"/>
        <w:rPr>
          <w:sz w:val="20"/>
          <w:szCs w:val="20"/>
          <w:color w:val="auto"/>
        </w:rPr>
      </w:pPr>
    </w:p>
    <w:p>
      <w:pPr>
        <w:ind w:right="20"/>
        <w:spacing w:after="0" w:line="249" w:lineRule="exact"/>
        <w:rPr>
          <w:sz w:val="20"/>
          <w:szCs w:val="20"/>
          <w:color w:val="auto"/>
        </w:rPr>
      </w:pPr>
      <w:r>
        <w:rPr>
          <w:rFonts w:ascii="Arial" w:cs="Arial" w:eastAsia="Arial" w:hAnsi="Arial"/>
          <w:sz w:val="19"/>
          <w:szCs w:val="19"/>
          <w:color w:val="auto"/>
        </w:rPr>
        <w:t>Prior to the date of this prospectus, there were 3,593,750 Class B ordinary shares issued and outstanding, all of which were held of record by our initial shareholders, so that our initial shareholders will own 20% of our issued and outstanding shares (excluding the private placement shares underlying the private placement units and assuming our initial shareholders do not purchase any units in this offering) after this offering. Upon the closing of this offering, 16,075,000 of our ordinary shares will be outstanding (assuming no exercise of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including:</w:t>
      </w:r>
    </w:p>
    <w:p>
      <w:pPr>
        <w:spacing w:after="0" w:line="222"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12,500,000 Class A ordinary shares underlying the units issued as part of this offering;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450,000 Class A ordinary shares underlying the private placement units issued simultaneously with the closing of this offering;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3,125,000 Class B ordinary shares held by our initial shareholders.</w:t>
      </w:r>
    </w:p>
    <w:p>
      <w:pPr>
        <w:spacing w:after="0" w:line="245"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initial shareholders (and their permitted transferees, if any) at 20% of our issued and outstanding ordinary shares (excluding the private placement shares underlying the private placement units) upon the consummation of this offering.</w:t>
      </w:r>
    </w:p>
    <w:p>
      <w:pPr>
        <w:spacing w:after="0" w:line="205"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w:t>
      </w:r>
      <w:r>
        <w:rPr>
          <w:rFonts w:ascii="MS PGothic" w:cs="MS PGothic" w:eastAsia="MS PGothic" w:hAnsi="MS PGothic"/>
          <w:sz w:val="19"/>
          <w:szCs w:val="19"/>
          <w:color w:val="auto"/>
        </w:rPr>
        <w:t>‑</w:t>
      </w:r>
      <w:r>
        <w:rPr>
          <w:rFonts w:ascii="Arial" w:cs="Arial" w:eastAsia="Arial" w:hAnsi="Arial"/>
          <w:sz w:val="19"/>
          <w:szCs w:val="19"/>
          <w:color w:val="auto"/>
        </w:rPr>
        <w:t>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holders representing at least two</w:t>
      </w:r>
      <w:r>
        <w:rPr>
          <w:rFonts w:ascii="MS PGothic" w:cs="MS PGothic" w:eastAsia="MS PGothic" w:hAnsi="MS PGothic"/>
          <w:sz w:val="19"/>
          <w:szCs w:val="19"/>
          <w:color w:val="auto"/>
        </w:rPr>
        <w:t>‑</w:t>
      </w:r>
      <w:r>
        <w:rPr>
          <w:rFonts w:ascii="Arial" w:cs="Arial" w:eastAsia="Arial" w:hAnsi="Arial"/>
          <w:sz w:val="19"/>
          <w:szCs w:val="19"/>
          <w:color w:val="auto"/>
        </w:rPr>
        <w:t>thirds of our outstanding Class B ordinary shares.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Because our amended and restated memorandum and articles of association will authorize the issuance of up to 479,000,000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214" w:lineRule="exact"/>
        <w:rPr>
          <w:sz w:val="20"/>
          <w:szCs w:val="20"/>
          <w:color w:val="auto"/>
        </w:rPr>
      </w:pPr>
    </w:p>
    <w:p>
      <w:pPr>
        <w:spacing w:after="0" w:line="246" w:lineRule="exact"/>
        <w:rPr>
          <w:sz w:val="20"/>
          <w:szCs w:val="20"/>
          <w:color w:val="auto"/>
        </w:rPr>
      </w:pPr>
      <w:r>
        <w:rPr>
          <w:rFonts w:ascii="Arial" w:cs="Arial" w:eastAsia="Arial" w:hAnsi="Arial"/>
          <w:sz w:val="21"/>
          <w:szCs w:val="21"/>
          <w:color w:val="auto"/>
        </w:rPr>
        <w:t>Our board of directors is divided into three classes with only one class of directors being elected in each year and each class (except for those directors appointed prior to our first annual meeting of shareholders) serving a three</w:t>
      </w:r>
      <w:r>
        <w:rPr>
          <w:rFonts w:ascii="MS PGothic" w:cs="MS PGothic" w:eastAsia="MS PGothic" w:hAnsi="MS PGothic"/>
          <w:sz w:val="21"/>
          <w:szCs w:val="21"/>
          <w:color w:val="auto"/>
        </w:rPr>
        <w:t>‑</w:t>
      </w:r>
      <w:r>
        <w:rPr>
          <w:rFonts w:ascii="Arial" w:cs="Arial" w:eastAsia="Arial" w:hAnsi="Arial"/>
          <w:sz w:val="21"/>
          <w:szCs w:val="21"/>
          <w:color w:val="auto"/>
        </w:rPr>
        <w:t>year term. In accordance with Nasdaq corporate governance requirements, we are not required to hold an annual meeting until one year after our first fiscal year end following our listing on Nasdaq. As an exempted company, there is no requirement under the Companies Law for us to hold annual or shareholder meetings to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220" w:lineRule="exact"/>
        <w:rPr>
          <w:sz w:val="20"/>
          <w:szCs w:val="20"/>
          <w:color w:val="auto"/>
        </w:rPr>
      </w:pPr>
    </w:p>
    <w:p>
      <w:pPr>
        <w:spacing w:after="0" w:line="244" w:lineRule="exact"/>
        <w:rPr>
          <w:sz w:val="20"/>
          <w:szCs w:val="20"/>
          <w:color w:val="auto"/>
        </w:rPr>
      </w:pPr>
      <w:r>
        <w:rPr>
          <w:rFonts w:ascii="Arial" w:cs="Arial" w:eastAsia="Arial" w:hAnsi="Arial"/>
          <w:sz w:val="19"/>
          <w:szCs w:val="19"/>
          <w:color w:val="auto"/>
        </w:rPr>
        <w:t>We will provide our public shareholders with the opportunity to redeem all or a portion of their public shares upon the completion of our initial business combination at a per</w:t>
      </w:r>
      <w:r>
        <w:rPr>
          <w:rFonts w:ascii="MS PGothic" w:cs="MS PGothic" w:eastAsia="MS PGothic" w:hAnsi="MS PGothic"/>
          <w:sz w:val="19"/>
          <w:szCs w:val="19"/>
          <w:color w:val="auto"/>
        </w:rPr>
        <w:t>‑</w:t>
      </w:r>
      <w:r>
        <w:rPr>
          <w:rFonts w:ascii="Arial" w:cs="Arial" w:eastAsia="Arial" w:hAnsi="Arial"/>
          <w:sz w:val="19"/>
          <w:szCs w:val="19"/>
          <w:color w:val="auto"/>
        </w:rPr>
        <w:t>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owner must identify itself in order to valid redeem its shares. Our sponsor and our management team have entered into agreements with us, pursuant to which they have agreed to waive their redemption rights with respect to their founder shares, private placement shares and any public shares purchased during or after this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rule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rule ,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However, the participation of our sponsor, officers, directors, advisors or their affiliates in privately</w:t>
      </w:r>
      <w:r>
        <w:rPr>
          <w:rFonts w:ascii="MS PGothic" w:cs="MS PGothic" w:eastAsia="MS PGothic" w:hAnsi="MS PGothic"/>
          <w:sz w:val="19"/>
          <w:szCs w:val="19"/>
          <w:color w:val="auto"/>
        </w:rPr>
        <w:t>‑</w:t>
      </w:r>
      <w:r>
        <w:rPr>
          <w:rFonts w:ascii="Arial" w:cs="Arial" w:eastAsia="Arial" w:hAnsi="Arial"/>
          <w:sz w:val="19"/>
          <w:szCs w:val="19"/>
          <w:color w:val="auto"/>
        </w:rPr>
        <w:t>negotiated transactions (as described in this prospectus), if any, could result in the approval of our initial business combination even if a majority of our public shareholders vote, or indicate their intention to vote, against such initial business combination unless restricted by applicable Nasdaq rules. For purposes of seeking approval of the majority of our issued and outstanding ordinary shares, non</w:t>
      </w:r>
      <w:r>
        <w:rPr>
          <w:rFonts w:ascii="MS PGothic" w:cs="MS PGothic" w:eastAsia="MS PGothic" w:hAnsi="MS PGothic"/>
          <w:sz w:val="19"/>
          <w:szCs w:val="19"/>
          <w:color w:val="auto"/>
        </w:rPr>
        <w:t>‑</w:t>
      </w:r>
      <w:r>
        <w:rPr>
          <w:rFonts w:ascii="Arial" w:cs="Arial" w:eastAsia="Arial" w:hAnsi="Arial"/>
          <w:sz w:val="19"/>
          <w:szCs w:val="19"/>
          <w:color w:val="auto"/>
        </w:rPr>
        <w:t>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213"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this offering in favor of our initial business combination. As a result, in addition to our initial shareholders’ founder shares and private placement shares, we would need 4,462,501, or</w:t>
      </w:r>
    </w:p>
    <w:p>
      <w:pPr>
        <w:spacing w:after="0" w:line="4" w:lineRule="exact"/>
        <w:rPr>
          <w:sz w:val="20"/>
          <w:szCs w:val="20"/>
          <w:color w:val="auto"/>
        </w:rPr>
      </w:pPr>
    </w:p>
    <w:p>
      <w:pPr>
        <w:ind w:right="140"/>
        <w:spacing w:after="0" w:line="245" w:lineRule="exact"/>
        <w:rPr>
          <w:sz w:val="20"/>
          <w:szCs w:val="20"/>
          <w:color w:val="auto"/>
        </w:rPr>
      </w:pPr>
      <w:r>
        <w:rPr>
          <w:rFonts w:ascii="Arial" w:cs="Arial" w:eastAsia="Arial" w:hAnsi="Arial"/>
          <w:sz w:val="19"/>
          <w:szCs w:val="19"/>
          <w:color w:val="auto"/>
        </w:rPr>
        <w:t>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The other members of our management team have entered into agreements similar to the one entered into by our sponsor with respect to any public shares acquired by them in or after this offering. Additionally, each public shareholder may elect to redeem their public shares irrespective of whether they vote for or against the proposed transaction or vote at all.</w:t>
      </w:r>
    </w:p>
    <w:p>
      <w:pPr>
        <w:spacing w:after="0" w:line="214"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Pursuant to our amended and restated memorandum and articles of association, 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w:t>
      </w:r>
      <w:r>
        <w:rPr>
          <w:rFonts w:ascii="MS PGothic" w:cs="MS PGothic" w:eastAsia="MS PGothic" w:hAnsi="MS PGothic"/>
          <w:sz w:val="19"/>
          <w:szCs w:val="19"/>
          <w:color w:val="auto"/>
        </w:rPr>
        <w:t>‑</w:t>
      </w:r>
      <w:r>
        <w:rPr>
          <w:rFonts w:ascii="Arial" w:cs="Arial" w:eastAsia="Arial" w:hAnsi="Arial"/>
          <w:sz w:val="19"/>
          <w:szCs w:val="19"/>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of clause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200" w:lineRule="exact"/>
        <w:rPr>
          <w:sz w:val="20"/>
          <w:szCs w:val="20"/>
          <w:color w:val="auto"/>
        </w:rPr>
      </w:pPr>
    </w:p>
    <w:p>
      <w:pPr>
        <w:spacing w:after="0" w:line="234"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w:t>
      </w:r>
      <w:r>
        <w:rPr>
          <w:rFonts w:ascii="MS PGothic" w:cs="MS PGothic" w:eastAsia="MS PGothic" w:hAnsi="MS PGothic"/>
          <w:sz w:val="19"/>
          <w:szCs w:val="19"/>
          <w:color w:val="auto"/>
        </w:rPr>
        <w:t>‑</w:t>
      </w:r>
      <w:r>
        <w:rPr>
          <w:rFonts w:ascii="Arial" w:cs="Arial" w:eastAsia="Arial" w:hAnsi="Arial"/>
          <w:sz w:val="19"/>
          <w:szCs w:val="19"/>
          <w:color w:val="auto"/>
        </w:rPr>
        <w:t>outstanding public shares, upon the completion of our initial business combination, subject to the limitations described 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w:t>
      </w:r>
    </w:p>
    <w:p>
      <w:pPr>
        <w:spacing w:after="0" w:line="220"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252" w:lineRule="exact"/>
        <w:rPr>
          <w:rFonts w:ascii="Arial" w:cs="Arial" w:eastAsia="Arial" w:hAnsi="Arial"/>
          <w:sz w:val="18"/>
          <w:szCs w:val="18"/>
          <w:color w:val="auto"/>
        </w:rPr>
      </w:pPr>
    </w:p>
    <w:p>
      <w:pPr>
        <w:ind w:left="980" w:right="60" w:hanging="324"/>
        <w:spacing w:after="0" w:line="269"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this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this offering (although they will be entitled to liquidating distributions from the trust account with respect to any public shares they hold if we fail to complete our initial business combination within 24 months from the closing of this offering);</w:t>
      </w:r>
    </w:p>
    <w:p>
      <w:pPr>
        <w:spacing w:after="0" w:line="208" w:lineRule="exact"/>
        <w:rPr>
          <w:rFonts w:ascii="Arial" w:cs="Arial" w:eastAsia="Arial" w:hAnsi="Arial"/>
          <w:sz w:val="17"/>
          <w:szCs w:val="17"/>
          <w:color w:val="auto"/>
        </w:rPr>
      </w:pPr>
    </w:p>
    <w:p>
      <w:pPr>
        <w:ind w:left="980" w:right="40" w:hanging="324"/>
        <w:spacing w:after="0" w:line="220" w:lineRule="exact"/>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founder shares will automatically convert into our Class A ordinary shares at the time of our initial business combination as described below adjacent to the caption “Founder shares conversion and anti</w:t>
      </w:r>
      <w:r>
        <w:rPr>
          <w:rFonts w:ascii="MS PGothic" w:cs="MS PGothic" w:eastAsia="MS PGothic" w:hAnsi="MS PGothic"/>
          <w:sz w:val="18"/>
          <w:szCs w:val="18"/>
          <w:color w:val="auto"/>
        </w:rPr>
        <w:t>‑</w:t>
      </w:r>
      <w:r>
        <w:rPr>
          <w:rFonts w:ascii="Arial" w:cs="Arial" w:eastAsia="Arial" w:hAnsi="Arial"/>
          <w:sz w:val="18"/>
          <w:szCs w:val="18"/>
          <w:color w:val="auto"/>
        </w:rPr>
        <w:t>dilution rights” and in our amended and restated memorandum and articles of association; and</w:t>
      </w:r>
    </w:p>
    <w:p>
      <w:pPr>
        <w:spacing w:after="0" w:line="231"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245" w:lineRule="exact"/>
        <w:rPr>
          <w:sz w:val="20"/>
          <w:szCs w:val="20"/>
          <w:color w:val="auto"/>
        </w:rPr>
      </w:pPr>
    </w:p>
    <w:p>
      <w:pPr>
        <w:spacing w:after="0" w:line="246" w:lineRule="exact"/>
        <w:rPr>
          <w:sz w:val="20"/>
          <w:szCs w:val="20"/>
          <w:color w:val="auto"/>
        </w:rPr>
      </w:pPr>
      <w:r>
        <w:rPr>
          <w:rFonts w:ascii="Arial" w:cs="Arial" w:eastAsia="Arial" w:hAnsi="Arial"/>
          <w:sz w:val="21"/>
          <w:szCs w:val="21"/>
          <w:color w:val="auto"/>
        </w:rPr>
        <w:t>If we submit our initial business combination to our public shareholders for a vote, our sponsor and our management team have agreed to vote their founder shares, private placement shares and any public shares purchased during or after this offering in favor of our initial business combination.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this offering in favor of our initial business combination. As a result, in addition to our initial shareholders’ founder shares and private placement shares, we would need 4,462,501, or 35.70%, of the 12,500,000 public shares sold in this offering to be voted in favor of an initial business combination in order to have our initial business combination approved (assuming all issued and outstanding shares are voted, the private placement shares to be issued to our sponsor are voted in favor of the transaction and the over</w:t>
      </w:r>
      <w:r>
        <w:rPr>
          <w:rFonts w:ascii="MS PGothic" w:cs="MS PGothic" w:eastAsia="MS PGothic" w:hAnsi="MS PGothic"/>
          <w:sz w:val="21"/>
          <w:szCs w:val="21"/>
          <w:color w:val="auto"/>
        </w:rPr>
        <w:t>‑</w:t>
      </w:r>
      <w:r>
        <w:rPr>
          <w:rFonts w:ascii="Arial" w:cs="Arial" w:eastAsia="Arial" w:hAnsi="Arial"/>
          <w:sz w:val="21"/>
          <w:szCs w:val="21"/>
          <w:color w:val="auto"/>
        </w:rPr>
        <w:t>allotment option is not exercised);</w:t>
      </w:r>
    </w:p>
    <w:p>
      <w:pPr>
        <w:spacing w:after="0" w:line="215" w:lineRule="exact"/>
        <w:rPr>
          <w:sz w:val="20"/>
          <w:szCs w:val="20"/>
          <w:color w:val="auto"/>
        </w:rPr>
      </w:pPr>
    </w:p>
    <w:p>
      <w:pPr>
        <w:ind w:right="20"/>
        <w:spacing w:after="0" w:line="249" w:lineRule="exact"/>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w:t>
      </w:r>
      <w:r>
        <w:rPr>
          <w:rFonts w:ascii="MS PGothic" w:cs="MS PGothic" w:eastAsia="MS PGothic" w:hAnsi="MS PGothic"/>
          <w:sz w:val="19"/>
          <w:szCs w:val="19"/>
          <w:color w:val="auto"/>
        </w:rPr>
        <w:t>‑</w:t>
      </w:r>
      <w:r>
        <w:rPr>
          <w:rFonts w:ascii="Arial" w:cs="Arial" w:eastAsia="Arial" w:hAnsi="Arial"/>
          <w:sz w:val="19"/>
          <w:szCs w:val="19"/>
          <w:color w:val="auto"/>
        </w:rPr>
        <w:t>converted basis, 20% of the sum of (i) the total number of ordinary shares issued and outstanding (excluding the private placement shares underlying the private placement units) upon completion of this offering, plus (ii) the sum of the total number of Class A ordinary shares issued or deemed issued or issuable upon conversion or exercise of any equity</w:t>
      </w:r>
      <w:r>
        <w:rPr>
          <w:rFonts w:ascii="MS PGothic" w:cs="MS PGothic" w:eastAsia="MS PGothic" w:hAnsi="MS PGothic"/>
          <w:sz w:val="19"/>
          <w:szCs w:val="19"/>
          <w:color w:val="auto"/>
        </w:rPr>
        <w:t>‑</w:t>
      </w:r>
      <w:r>
        <w:rPr>
          <w:rFonts w:ascii="Arial" w:cs="Arial" w:eastAsia="Arial" w:hAnsi="Arial"/>
          <w:sz w:val="19"/>
          <w:szCs w:val="19"/>
          <w:color w:val="auto"/>
        </w:rPr>
        <w:t>linked securities or rights issued or deemed issued, by the Company in connection with or in relation to the consummation of the initial business combination, excluding any Class A ordinary shares or equity</w:t>
      </w:r>
      <w:r>
        <w:rPr>
          <w:rFonts w:ascii="MS PGothic" w:cs="MS PGothic" w:eastAsia="MS PGothic" w:hAnsi="MS PGothic"/>
          <w:sz w:val="19"/>
          <w:szCs w:val="19"/>
          <w:color w:val="auto"/>
        </w:rPr>
        <w:t>‑</w:t>
      </w:r>
      <w:r>
        <w:rPr>
          <w:rFonts w:ascii="Arial" w:cs="Arial" w:eastAsia="Arial" w:hAnsi="Arial"/>
          <w:sz w:val="19"/>
          <w:szCs w:val="19"/>
          <w:color w:val="auto"/>
        </w:rPr>
        <w:t>linked securities exercisable for or convertible into Class A ordinary shares issued, deemed issued, or to be issued, to any seller in the initial business combination and any private placement warrants issued to our sponsor, members of our management team or any of their affiliates upon conversion of working capital loans. In no event will the Class B ordinary shares convert into Class A ordinary shares at a rate of less than one to one.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spacing w:after="0" w:line="245" w:lineRule="exact"/>
        <w:rPr>
          <w:sz w:val="20"/>
          <w:szCs w:val="20"/>
          <w:color w:val="auto"/>
        </w:rPr>
      </w:pPr>
      <w:r>
        <w:rPr>
          <w:rFonts w:ascii="Arial" w:cs="Arial" w:eastAsia="Arial" w:hAnsi="Arial"/>
          <w:sz w:val="19"/>
          <w:szCs w:val="19"/>
          <w:color w:val="auto"/>
        </w:rPr>
        <w:t>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and management team with respect to any founder shares, private placement units, private placement shares, private placement warrants and Class A ordinary shares issued upon conversion or exercise thereof. We refer to such transfer restrictions throughout this prospectus as the lock</w:t>
      </w:r>
      <w:r>
        <w:rPr>
          <w:rFonts w:ascii="MS PGothic" w:cs="MS PGothic" w:eastAsia="MS PGothic" w:hAnsi="MS PGothic"/>
          <w:sz w:val="19"/>
          <w:szCs w:val="19"/>
          <w:color w:val="auto"/>
        </w:rPr>
        <w:t>‑</w:t>
      </w:r>
      <w:r>
        <w:rPr>
          <w:rFonts w:ascii="Arial" w:cs="Arial" w:eastAsia="Arial" w:hAnsi="Arial"/>
          <w:sz w:val="19"/>
          <w:szCs w:val="19"/>
          <w:color w:val="auto"/>
        </w:rPr>
        <w:t>up. Notwithstanding the foregoing,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trading day period commencing at least 150 days after our initial business combination, the founder shares will be released from the lock</w:t>
      </w:r>
      <w:r>
        <w:rPr>
          <w:rFonts w:ascii="MS PGothic" w:cs="MS PGothic" w:eastAsia="MS PGothic" w:hAnsi="MS PGothic"/>
          <w:sz w:val="19"/>
          <w:szCs w:val="19"/>
          <w:color w:val="auto"/>
        </w:rPr>
        <w:t>‑</w:t>
      </w:r>
      <w:r>
        <w:rPr>
          <w:rFonts w:ascii="Arial" w:cs="Arial" w:eastAsia="Arial" w:hAnsi="Arial"/>
          <w:sz w:val="19"/>
          <w:szCs w:val="19"/>
          <w:color w:val="auto"/>
        </w:rPr>
        <w:t>up.</w:t>
      </w:r>
    </w:p>
    <w:p>
      <w:pPr>
        <w:spacing w:after="0" w:line="218" w:lineRule="exact"/>
        <w:rPr>
          <w:sz w:val="20"/>
          <w:szCs w:val="20"/>
          <w:color w:val="auto"/>
        </w:rPr>
      </w:pPr>
    </w:p>
    <w:p>
      <w:pPr>
        <w:ind w:right="200"/>
        <w:spacing w:after="0" w:line="247" w:lineRule="exact"/>
        <w:rPr>
          <w:sz w:val="20"/>
          <w:szCs w:val="20"/>
          <w:color w:val="auto"/>
        </w:rPr>
      </w:pPr>
      <w:r>
        <w:rPr>
          <w:rFonts w:ascii="Arial" w:cs="Arial" w:eastAsia="Arial" w:hAnsi="Arial"/>
          <w:sz w:val="19"/>
          <w:szCs w:val="19"/>
          <w:color w:val="auto"/>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w:t>
      </w:r>
      <w:r>
        <w:rPr>
          <w:rFonts w:ascii="MS PGothic" w:cs="MS PGothic" w:eastAsia="MS PGothic" w:hAnsi="MS PGothic"/>
          <w:sz w:val="19"/>
          <w:szCs w:val="19"/>
          <w:color w:val="auto"/>
        </w:rPr>
        <w:t>‑</w:t>
      </w:r>
      <w:r>
        <w:rPr>
          <w:rFonts w:ascii="Arial" w:cs="Arial" w:eastAsia="Arial" w:hAnsi="Arial"/>
          <w:sz w:val="19"/>
          <w:szCs w:val="19"/>
          <w:color w:val="auto"/>
        </w:rPr>
        <w:t>thirds of our outstanding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 of 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Under the Companies Law, we must keep a register of members and there should be entered therein:</w:t>
      </w:r>
    </w:p>
    <w:p>
      <w:pPr>
        <w:spacing w:after="0" w:line="240"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names and addresses of the members of the company, a statement of the shares held by each member, which:</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distinguishes each share by its number (so long as the share has a number);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confirms the amount paid, or agreed to be considered as paid, on the shares of each member;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confirms the number and category of shares held by each member; and</w:t>
      </w:r>
    </w:p>
    <w:p>
      <w:pPr>
        <w:spacing w:after="0" w:line="252" w:lineRule="exact"/>
        <w:rPr>
          <w:rFonts w:ascii="Arial" w:cs="Arial" w:eastAsia="Arial" w:hAnsi="Arial"/>
          <w:sz w:val="18"/>
          <w:szCs w:val="18"/>
          <w:color w:val="auto"/>
        </w:rPr>
      </w:pPr>
    </w:p>
    <w:p>
      <w:pPr>
        <w:ind w:left="1300" w:right="360" w:hanging="320"/>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confirms whether each relevant category of shares held by a member carries voting rights under the Articles, and if so, whether such voting rights are conditional;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45"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For these purposes, “voting rights” means rights conferred on shareholders, including the right to appoint or remove directors, in respect of their shares to vote at general meetings of the company on all or substantially all matters. A voting right is conditional where the voting right arises only in certain circumstances.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9" w:name="page120"/>
    <w:bookmarkEnd w:id="11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spacing w:after="0" w:line="249" w:lineRule="exact"/>
        <w:rPr>
          <w:sz w:val="20"/>
          <w:szCs w:val="20"/>
          <w:color w:val="auto"/>
        </w:rPr>
      </w:pPr>
      <w:r>
        <w:rPr>
          <w:rFonts w:ascii="Arial" w:cs="Arial" w:eastAsia="Arial" w:hAnsi="Arial"/>
          <w:sz w:val="22"/>
          <w:szCs w:val="22"/>
          <w:color w:val="auto"/>
        </w:rPr>
        <w:t>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w:t>
      </w:r>
      <w:r>
        <w:rPr>
          <w:rFonts w:ascii="MS PGothic" w:cs="MS PGothic" w:eastAsia="MS PGothic" w:hAnsi="MS PGothic"/>
          <w:sz w:val="22"/>
          <w:szCs w:val="22"/>
          <w:color w:val="auto"/>
        </w:rPr>
        <w:t>‑</w:t>
      </w:r>
      <w:r>
        <w:rPr>
          <w:rFonts w:ascii="Arial" w:cs="Arial" w:eastAsia="Arial" w:hAnsi="Arial"/>
          <w:sz w:val="22"/>
          <w:szCs w:val="22"/>
          <w:color w:val="auto"/>
        </w:rPr>
        <w:t>examination by a Cayman Islands court.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Preference Shares</w:t>
      </w:r>
    </w:p>
    <w:p>
      <w:pPr>
        <w:spacing w:after="0" w:line="239" w:lineRule="exact"/>
        <w:rPr>
          <w:sz w:val="20"/>
          <w:szCs w:val="20"/>
          <w:color w:val="auto"/>
        </w:rPr>
      </w:pPr>
    </w:p>
    <w:p>
      <w:pPr>
        <w:ind w:right="80"/>
        <w:spacing w:after="0" w:line="246" w:lineRule="exact"/>
        <w:rPr>
          <w:sz w:val="20"/>
          <w:szCs w:val="20"/>
          <w:color w:val="auto"/>
        </w:rPr>
      </w:pPr>
      <w:r>
        <w:rPr>
          <w:rFonts w:ascii="Arial" w:cs="Arial" w:eastAsia="Arial" w:hAnsi="Arial"/>
          <w:sz w:val="19"/>
          <w:szCs w:val="19"/>
          <w:color w:val="auto"/>
        </w:rPr>
        <w:t>Our amended and restated memorandum and articles of association will authorize 1,000,000 preference shares and will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w:t>
      </w:r>
      <w:r>
        <w:rPr>
          <w:rFonts w:ascii="MS PGothic" w:cs="MS PGothic" w:eastAsia="MS PGothic" w:hAnsi="MS PGothic"/>
          <w:sz w:val="19"/>
          <w:szCs w:val="19"/>
          <w:color w:val="auto"/>
        </w:rPr>
        <w:t>‑</w:t>
      </w:r>
      <w:r>
        <w:rPr>
          <w:rFonts w:ascii="Arial" w:cs="Arial" w:eastAsia="Arial" w:hAnsi="Arial"/>
          <w:sz w:val="19"/>
          <w:szCs w:val="19"/>
          <w:color w:val="auto"/>
        </w:rPr>
        <w:t>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Shareholders’ Warrants</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four units, you will not be able to receive or trade a whole warrant. The warrants will expire five years after the completion of our initial business combination, at 5:00 p.m., New York City time, or earlier upon redemption or liquidation.</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We have agreed that as soon as practicable, but in no event later than 20 business days after the closing of our initial business combination, we will use our commercially reasonable efforts to file with the SEC a registration statement covering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 xml:space="preserve">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 (9) of the Securities Act or another exemption, but we will use our best efforts to register or qualify the shares under applicable blue sky laws to the extent an exemption is not available.</w:t>
      </w:r>
    </w:p>
    <w:p>
      <w:pPr>
        <w:spacing w:after="0" w:line="208"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Redemption of warrants for cash when the price per Class A ordinary share equals or exceeds $18.00</w:t>
      </w:r>
      <w:r>
        <w:rPr>
          <w:rFonts w:ascii="Arial" w:cs="Arial" w:eastAsia="Arial" w:hAnsi="Arial"/>
          <w:sz w:val="19"/>
          <w:szCs w:val="19"/>
          <w:color w:val="auto"/>
        </w:rPr>
        <w:t>. Once the warrants become</w:t>
      </w:r>
      <w:r>
        <w:rPr>
          <w:rFonts w:ascii="Arial" w:cs="Arial" w:eastAsia="Arial" w:hAnsi="Arial"/>
          <w:sz w:val="19"/>
          <w:szCs w:val="19"/>
          <w:i w:val="1"/>
          <w:iCs w:val="1"/>
          <w:color w:val="auto"/>
        </w:rPr>
        <w:t xml:space="preserve"> </w:t>
      </w:r>
      <w:r>
        <w:rPr>
          <w:rFonts w:ascii="Arial" w:cs="Arial" w:eastAsia="Arial" w:hAnsi="Arial"/>
          <w:sz w:val="19"/>
          <w:szCs w:val="19"/>
          <w:color w:val="auto"/>
        </w:rPr>
        <w:t>exercisable, we may call the warrants for redemption (except as described herein with respect to the private placement warrants):</w:t>
      </w:r>
    </w:p>
    <w:p>
      <w:pPr>
        <w:spacing w:after="0" w:line="139"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52" w:lineRule="exact"/>
        <w:rPr>
          <w:rFonts w:ascii="Arial" w:cs="Arial" w:eastAsia="Arial" w:hAnsi="Arial"/>
          <w:sz w:val="18"/>
          <w:szCs w:val="18"/>
          <w:color w:val="auto"/>
        </w:rPr>
      </w:pPr>
    </w:p>
    <w:p>
      <w:pPr>
        <w:ind w:left="980" w:right="280" w:hanging="324"/>
        <w:spacing w:after="0" w:line="220" w:lineRule="exact"/>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$18.00 per share (as adjusted for share splits, share capitalizations, reorganizations, recapitalizations and the like) for any 20 trading days within a 30</w:t>
      </w:r>
      <w:r>
        <w:rPr>
          <w:rFonts w:ascii="MS PGothic" w:cs="MS PGothic" w:eastAsia="MS PGothic" w:hAnsi="MS PGothic"/>
          <w:sz w:val="18"/>
          <w:szCs w:val="18"/>
          <w:color w:val="auto"/>
        </w:rPr>
        <w:t>‑</w:t>
      </w:r>
      <w:r>
        <w:rPr>
          <w:rFonts w:ascii="Arial" w:cs="Arial" w:eastAsia="Arial" w:hAnsi="Arial"/>
          <w:sz w:val="18"/>
          <w:szCs w:val="18"/>
          <w:color w:val="auto"/>
        </w:rPr>
        <w:t>trading day period ending three business days before we send to the notice of redemption to the warrant holders.</w:t>
      </w:r>
    </w:p>
    <w:p>
      <w:pPr>
        <w:spacing w:after="0" w:line="224"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If and when the warrants become redeemable by us, we may exercise our redemption right even if we are unable to register or qualify the underlying securities for sale under all applicable state securities laws.</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Redemption of warrants for Class A ordinary shares when the price per Class A ordinary share equals or exceeds $10.00</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Commencing ninety days after the warrants become exercisable, we may redeem the outstanding warrants:</w:t>
      </w:r>
    </w:p>
    <w:p>
      <w:pPr>
        <w:spacing w:after="0" w:line="222"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980" w:right="240" w:hanging="324"/>
        <w:spacing w:after="0" w:line="311"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at $0.10 per warrant upon a minimum of 30 days’ prior written notice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holders will be able to exercise their warrants on a cashless basis prior to redemption and receive that number of shares determined by reference to the table below, based on the redemption date and the “fair market value” of our Class A ordinary shares (as defined below) except as otherwise described below;</w:t>
      </w:r>
    </w:p>
    <w:p>
      <w:pPr>
        <w:spacing w:after="0" w:line="175" w:lineRule="exact"/>
        <w:rPr>
          <w:rFonts w:ascii="Arial" w:cs="Arial" w:eastAsia="Arial" w:hAnsi="Arial"/>
          <w:sz w:val="16"/>
          <w:szCs w:val="16"/>
          <w:color w:val="auto"/>
        </w:rPr>
      </w:pPr>
    </w:p>
    <w:p>
      <w:pPr>
        <w:ind w:left="980" w:hanging="324"/>
        <w:spacing w:after="0" w:line="263"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closing price of our Class A ordinary shares equals or exceeds $10.00 per public share (as adjusted for share subdivisions, share dividends, reorganizations, reclassifications, recapitalizations and the like) on the trading day before we send the notice of redemption to the warrant holders;</w:t>
      </w:r>
    </w:p>
    <w:p>
      <w:pPr>
        <w:spacing w:after="0" w:line="210"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private placement warrants are also concurrently called for redemption on the same terms as the outstanding public warrants, as described above;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520" w:hanging="324"/>
        <w:spacing w:after="0" w:line="224" w:lineRule="exact"/>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Class A ordinary shares issuable upon exercise of the warrants and a current prospectus relating thereto available throughout the 30</w:t>
      </w:r>
      <w:r>
        <w:rPr>
          <w:rFonts w:ascii="MS PGothic" w:cs="MS PGothic" w:eastAsia="MS PGothic" w:hAnsi="MS PGothic"/>
          <w:sz w:val="16"/>
          <w:szCs w:val="16"/>
          <w:color w:val="auto"/>
        </w:rPr>
        <w:t>‑</w:t>
      </w:r>
      <w:r>
        <w:rPr>
          <w:rFonts w:ascii="Arial" w:cs="Arial" w:eastAsia="Arial" w:hAnsi="Arial"/>
          <w:sz w:val="16"/>
          <w:szCs w:val="16"/>
          <w:color w:val="auto"/>
        </w:rPr>
        <w:t>day period after written notice of redemption is given.</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The numbers in the table below represent the number of Class A ordinary shares that a warrant holder will receive upon exercise in connection with a redemption by us pursuant to this redemption feature, based on the “fair market value” of our Class A ordinary shares on the corresponding redemption date (assuming holders elect to exercise their warrants and such warrants are not redeemed for $0.10 per warrant), determined based on volume weighted average price of our Class A ordinary shares as reported during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211" w:lineRule="exact"/>
        <w:rPr>
          <w:sz w:val="20"/>
          <w:szCs w:val="20"/>
          <w:color w:val="auto"/>
        </w:rPr>
      </w:pPr>
    </w:p>
    <w:p>
      <w:pPr>
        <w:ind w:right="100"/>
        <w:spacing w:after="0" w:line="247" w:lineRule="exact"/>
        <w:rPr>
          <w:sz w:val="20"/>
          <w:szCs w:val="20"/>
          <w:color w:val="auto"/>
        </w:rPr>
      </w:pPr>
      <w:r>
        <w:rPr>
          <w:rFonts w:ascii="Arial" w:cs="Arial" w:eastAsia="Arial" w:hAnsi="Arial"/>
          <w:sz w:val="21"/>
          <w:szCs w:val="21"/>
          <w:color w:val="auto"/>
        </w:rPr>
        <w:t>The share prices set forth in the column headings of the table below will be adjusted as of any date on which the number of shares issuable upon exercise of a warrant is adjusted as set forth in the first three paragraphs under the heading “—Anti</w:t>
      </w:r>
      <w:r>
        <w:rPr>
          <w:rFonts w:ascii="MS PGothic" w:cs="MS PGothic" w:eastAsia="MS PGothic" w:hAnsi="MS PGothic"/>
          <w:sz w:val="21"/>
          <w:szCs w:val="21"/>
          <w:color w:val="auto"/>
        </w:rPr>
        <w:t>‑</w:t>
      </w:r>
      <w:r>
        <w:rPr>
          <w:rFonts w:ascii="Arial" w:cs="Arial" w:eastAsia="Arial" w:hAnsi="Arial"/>
          <w:sz w:val="21"/>
          <w:szCs w:val="21"/>
          <w:color w:val="auto"/>
        </w:rPr>
        <w:t>dilution Adjustments” below.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r>
              <w:rPr>
                <w:rFonts w:ascii="Arial" w:cs="Arial" w:eastAsia="Arial" w:hAnsi="Arial"/>
                <w:sz w:val="18"/>
                <w:szCs w:val="18"/>
                <w:b w:val="1"/>
                <w:bCs w:val="1"/>
                <w:color w:val="auto"/>
              </w:rPr>
              <w:t>Redemption Date</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10"/>
          </w:tcPr>
          <w:p>
            <w:pPr>
              <w:ind w:left="340"/>
              <w:spacing w:after="0"/>
              <w:rPr>
                <w:sz w:val="20"/>
                <w:szCs w:val="20"/>
                <w:color w:val="auto"/>
              </w:rPr>
            </w:pPr>
            <w:r>
              <w:rPr>
                <w:rFonts w:ascii="Arial" w:cs="Arial" w:eastAsia="Arial" w:hAnsi="Arial"/>
                <w:sz w:val="18"/>
                <w:szCs w:val="18"/>
                <w:b w:val="1"/>
                <w:bCs w:val="1"/>
                <w:color w:val="auto"/>
              </w:rPr>
              <w:t>Fair Market Value of Class A Ordinary Shares</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37"/>
        </w:trPr>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(period to expiration of warrants)</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&lt;10.00</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11.00</w:t>
            </w:r>
          </w:p>
        </w:tc>
        <w:tc>
          <w:tcPr>
            <w:tcW w:w="1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13.00</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15.00</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16.00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17.00</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&gt;18.00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57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0.337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0.358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54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0.252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0.272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0.307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0.347</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0.357</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51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0.320</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48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0.241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0.263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0.301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0.317</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0.344</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0.356</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45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0.343</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0.356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42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0.228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0.252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0.274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0.294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0.312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0.342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0.355</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39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0.309</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0.340</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0.354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36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0.213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0.239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0.263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0.285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0.305</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0.353</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33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0.352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30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0.196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0.224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0.250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0.274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0.297</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0.335</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0.351</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27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24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0.173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0.204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0.233</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0.285</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0.308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0.348</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21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0.279</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0.304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18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0.146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0.179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0.211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0.242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0.271</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0.298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0.322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0.345</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15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0.291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12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0.111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0.146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0.181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0.250</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0.282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0.312</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0.339</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9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6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0.065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0.099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0.137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0.178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0.219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0.296</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0.331</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3 months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0.243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0 months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0.042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0.179</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0.233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0.281</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0.323</w:t>
            </w:r>
          </w:p>
        </w:tc>
        <w:tc>
          <w:tcPr>
            <w:tcW w:w="780" w:type="dxa"/>
            <w:vAlign w:val="bottom"/>
          </w:tcPr>
          <w:p>
            <w:pPr>
              <w:jc w:val="right"/>
              <w:spacing w:after="0"/>
              <w:rPr>
                <w:sz w:val="20"/>
                <w:szCs w:val="20"/>
                <w:color w:val="auto"/>
              </w:rPr>
            </w:pPr>
            <w:r>
              <w:rPr>
                <w:rFonts w:ascii="Arial" w:cs="Arial" w:eastAsia="Arial" w:hAnsi="Arial"/>
                <w:sz w:val="18"/>
                <w:szCs w:val="18"/>
                <w:color w:val="auto"/>
              </w:rPr>
              <w:t>0.365</w:t>
            </w:r>
          </w:p>
        </w:tc>
      </w:tr>
    </w:tbl>
    <w:p>
      <w:pPr>
        <w:spacing w:after="0" w:line="207" w:lineRule="exact"/>
        <w:rPr>
          <w:sz w:val="20"/>
          <w:szCs w:val="20"/>
          <w:color w:val="auto"/>
        </w:rPr>
      </w:pPr>
    </w:p>
    <w:p>
      <w:pPr>
        <w:ind w:right="60"/>
        <w:spacing w:after="0" w:line="245" w:lineRule="exact"/>
        <w:rPr>
          <w:sz w:val="20"/>
          <w:szCs w:val="20"/>
          <w:color w:val="auto"/>
        </w:rPr>
      </w:pPr>
      <w:r>
        <w:rPr>
          <w:rFonts w:ascii="Arial" w:cs="Arial" w:eastAsia="Arial" w:hAnsi="Arial"/>
          <w:sz w:val="19"/>
          <w:szCs w:val="19"/>
          <w:color w:val="auto"/>
        </w:rPr>
        <w:t>The exact fair market value and redemption date may not be set forth in the table above, in which case, if the fair market value is between two values in the table or the redemption date is between two redemption dates in the table, the number of Class A ordinary shares to be issued for each warrant exercised will be determined by a straight</w:t>
      </w:r>
      <w:r>
        <w:rPr>
          <w:rFonts w:ascii="MS PGothic" w:cs="MS PGothic" w:eastAsia="MS PGothic" w:hAnsi="MS PGothic"/>
          <w:sz w:val="19"/>
          <w:szCs w:val="19"/>
          <w:color w:val="auto"/>
        </w:rPr>
        <w:t>‑</w:t>
      </w:r>
      <w:r>
        <w:rPr>
          <w:rFonts w:ascii="Arial" w:cs="Arial" w:eastAsia="Arial" w:hAnsi="Arial"/>
          <w:sz w:val="19"/>
          <w:szCs w:val="19"/>
          <w:color w:val="auto"/>
        </w:rPr>
        <w:t>line interpolation between the number of shares set forth for the higher and lower fair market values and the earlier and later redemption dates, as applicable, based on a 365 or 366</w:t>
      </w:r>
      <w:r>
        <w:rPr>
          <w:rFonts w:ascii="MS PGothic" w:cs="MS PGothic" w:eastAsia="MS PGothic" w:hAnsi="MS PGothic"/>
          <w:sz w:val="19"/>
          <w:szCs w:val="19"/>
          <w:color w:val="auto"/>
        </w:rPr>
        <w:t>‑</w:t>
      </w:r>
      <w:r>
        <w:rPr>
          <w:rFonts w:ascii="Arial" w:cs="Arial" w:eastAsia="Arial" w:hAnsi="Arial"/>
          <w:sz w:val="19"/>
          <w:szCs w:val="19"/>
          <w:color w:val="auto"/>
        </w:rPr>
        <w:t>day year, as applicable. For example, if the volume weighted average price of our Class A ordinary shares as reported during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ordinary shares for each whole warrant. For an example where the exact fair market value and redemption date are not as set forth in the table above, if the volume weighted average price of our Class A ordinary shares as reported during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ordinary shares for each whole warrant. In no event will the warrants be exercisable on a cashless basis in connection with this redemption feature for more than 0.365 Class A ordinary shares per warrant (subject to adjustment). Finally, as reflected in the table above, if the warrants are out of the money and about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expire, they cannot be exercised on a cashless basis in connection with a redemption by us pursuant to this redemption feature, since they will not be exercisable for any Class A ordinary shares.</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Class A ordinary shares exceeds $18.00 per share for a specified period of time. This redemption feature is structured to allow for all of the outstanding warrants to be redeemed when the Class A ordinary shares are trading at or above $10.00 per public share, which may be at a time when the trading price of our Class A ordinary shares is below the exercise price of the warrants. We have established this redemption feature to provide us with the flexibility to redeem the warrants without the warrants having to reach the $18.00 per share threshold set forth above under “—Redemption of warrants for cash when the price per Class A ordinary share equals or exceeds $18.00.” Holders choosing to exercise their warrants in connection with a redemption pursuant to this feature will, in effect, receive a number of shares for their warrants based on an option pricing model with a fixed volatility input as of the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200" w:lineRule="exact"/>
        <w:rPr>
          <w:sz w:val="20"/>
          <w:szCs w:val="20"/>
          <w:color w:val="auto"/>
        </w:rPr>
      </w:pPr>
    </w:p>
    <w:p>
      <w:pPr>
        <w:spacing w:after="0" w:line="230"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As stated above, we can redeem the warrants when the Class A ordinary shares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ordinary shares are trading at a price below the exercise price of the warrants, this could result in the warrant holders receiving fewer Class A ordinary shares than they would have received if they had chosen to wait to exercise their warrants for Class A ordinary shares if and when such Class A ordinary shares were trading at a price higher than the exercise price of $11.50.</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9"/>
          <w:szCs w:val="19"/>
          <w:i w:val="1"/>
          <w:iCs w:val="1"/>
          <w:color w:val="auto"/>
        </w:rPr>
        <w:t>Redemption procedures and cashless exercise</w:t>
      </w:r>
      <w:r>
        <w:rPr>
          <w:rFonts w:ascii="Arial" w:cs="Arial" w:eastAsia="Arial" w:hAnsi="Arial"/>
          <w:sz w:val="19"/>
          <w:szCs w:val="19"/>
          <w:color w:val="auto"/>
        </w:rPr>
        <w:t>. If we call the warrants for redemption as described under “—Redemption of</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for cash when the price per Class A ordinary share equals or exceeds $18.00,” our management will have the option to require any holder that wishes to exercise his, her or its warrant to do so on a “cashless basis” beginning three business days after the notice of redemption is sent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lesser of (A) the quotient obtained by dividing (x) the product of the number of Class A ordinary shares underlying the warrants, multiplied by the difference between the exercise price of the warrants and the “fair market value” (defined below) by (y) the fair market value and (B) 0.365. The “fair market value” will mean the average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3" w:name="page124"/>
    <w:bookmarkEnd w:id="12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feature is an attractive option to us if we do not need the cash from the exercise of the warrants after our initial business combination. If we call our warrants for redemption and our management team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74"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spacing w:after="0" w:line="170" w:lineRule="exact"/>
        <w:rPr>
          <w:sz w:val="20"/>
          <w:szCs w:val="20"/>
          <w:color w:val="auto"/>
        </w:rPr>
      </w:pPr>
    </w:p>
    <w:p>
      <w:pPr>
        <w:spacing w:after="0" w:line="245" w:lineRule="exact"/>
        <w:rPr>
          <w:sz w:val="20"/>
          <w:szCs w:val="20"/>
          <w:color w:val="auto"/>
        </w:rPr>
      </w:pPr>
      <w:r>
        <w:rPr>
          <w:rFonts w:ascii="Arial" w:cs="Arial" w:eastAsia="Arial" w:hAnsi="Arial"/>
          <w:sz w:val="19"/>
          <w:szCs w:val="19"/>
          <w:i w:val="1"/>
          <w:iCs w:val="1"/>
          <w:color w:val="auto"/>
        </w:rPr>
        <w:t>Anti</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dilution Adjustments</w:t>
      </w:r>
      <w:r>
        <w:rPr>
          <w:rFonts w:ascii="Arial" w:cs="Arial" w:eastAsia="Arial" w:hAnsi="Arial"/>
          <w:sz w:val="19"/>
          <w:szCs w:val="19"/>
          <w:color w:val="auto"/>
        </w:rPr>
        <w:t>. If the number of outstanding Class A ordinary shares is increased by a capitalization or share dividend</w:t>
      </w:r>
      <w:r>
        <w:rPr>
          <w:rFonts w:ascii="Arial" w:cs="Arial" w:eastAsia="Arial" w:hAnsi="Arial"/>
          <w:sz w:val="19"/>
          <w:szCs w:val="19"/>
          <w:i w:val="1"/>
          <w:iCs w:val="1"/>
          <w:color w:val="auto"/>
        </w:rPr>
        <w:t xml:space="preserve"> </w:t>
      </w:r>
      <w:r>
        <w:rPr>
          <w:rFonts w:ascii="Arial" w:cs="Arial" w:eastAsia="Arial" w:hAnsi="Arial"/>
          <w:sz w:val="19"/>
          <w:szCs w:val="19"/>
          <w:color w:val="auto"/>
        </w:rPr>
        <w:t>payable in Class A ordinary shares, or by a split</w:t>
      </w:r>
      <w:r>
        <w:rPr>
          <w:rFonts w:ascii="MS PGothic" w:cs="MS PGothic" w:eastAsia="MS PGothic" w:hAnsi="MS PGothic"/>
          <w:sz w:val="19"/>
          <w:szCs w:val="19"/>
          <w:color w:val="auto"/>
        </w:rPr>
        <w:t>‑</w:t>
      </w:r>
      <w:r>
        <w:rPr>
          <w:rFonts w:ascii="Arial" w:cs="Arial" w:eastAsia="Arial" w:hAnsi="Arial"/>
          <w:sz w:val="19"/>
          <w:szCs w:val="19"/>
          <w:color w:val="auto"/>
        </w:rPr>
        <w:t>up of ordinary shares or other similar event, then, on the effective date of such capitalization or share dividend, split</w:t>
      </w:r>
      <w:r>
        <w:rPr>
          <w:rFonts w:ascii="MS PGothic" w:cs="MS PGothic" w:eastAsia="MS PGothic" w:hAnsi="MS PGothic"/>
          <w:sz w:val="19"/>
          <w:szCs w:val="19"/>
          <w:color w:val="auto"/>
        </w:rPr>
        <w:t>‑</w:t>
      </w:r>
      <w:r>
        <w:rPr>
          <w:rFonts w:ascii="Arial" w:cs="Arial" w:eastAsia="Arial" w:hAnsi="Arial"/>
          <w:sz w:val="19"/>
          <w:szCs w:val="19"/>
          <w:color w:val="auto"/>
        </w:rPr>
        <w:t>up or similar event, the number of Class A ordinary shares issuable on exercise of each warrant will be increased in proportion to such increase in the outstanding ordinary shares. A rights offering to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217" w:lineRule="exact"/>
        <w:rPr>
          <w:sz w:val="20"/>
          <w:szCs w:val="20"/>
          <w:color w:val="auto"/>
        </w:rPr>
      </w:pPr>
    </w:p>
    <w:p>
      <w:pPr>
        <w:spacing w:after="0" w:line="244" w:lineRule="exact"/>
        <w:rPr>
          <w:sz w:val="20"/>
          <w:szCs w:val="20"/>
          <w:color w:val="auto"/>
        </w:rPr>
      </w:pPr>
      <w:r>
        <w:rPr>
          <w:rFonts w:ascii="Arial" w:cs="Arial" w:eastAsia="Arial" w:hAnsi="Arial"/>
          <w:sz w:val="19"/>
          <w:szCs w:val="19"/>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w:t>
      </w:r>
      <w:r>
        <w:rPr>
          <w:rFonts w:ascii="MS PGothic" w:cs="MS PGothic" w:eastAsia="MS PGothic" w:hAnsi="MS PGothic"/>
          <w:sz w:val="19"/>
          <w:szCs w:val="19"/>
          <w:color w:val="auto"/>
        </w:rPr>
        <w:t>‑</w:t>
      </w:r>
      <w:r>
        <w:rPr>
          <w:rFonts w:ascii="Arial" w:cs="Arial" w:eastAsia="Arial" w:hAnsi="Arial"/>
          <w:sz w:val="19"/>
          <w:szCs w:val="19"/>
          <w:color w:val="auto"/>
        </w:rPr>
        <w:t>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226"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214"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w:t>
      </w:r>
      <w:r>
        <w:rPr>
          <w:rFonts w:ascii="MS PGothic" w:cs="MS PGothic" w:eastAsia="MS PGothic" w:hAnsi="MS PGothic"/>
          <w:sz w:val="19"/>
          <w:szCs w:val="19"/>
          <w:color w:val="auto"/>
        </w:rPr>
        <w:t>‑</w:t>
      </w:r>
      <w:r>
        <w:rPr>
          <w:rFonts w:ascii="Arial" w:cs="Arial" w:eastAsia="Arial" w:hAnsi="Arial"/>
          <w:sz w:val="19"/>
          <w:szCs w:val="19"/>
          <w:color w:val="auto"/>
        </w:rPr>
        <w:t>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0" w:lineRule="exact"/>
        <w:rPr>
          <w:sz w:val="20"/>
          <w:szCs w:val="20"/>
          <w:color w:val="auto"/>
        </w:rPr>
      </w:pPr>
    </w:p>
    <w:p>
      <w:pPr>
        <w:spacing w:after="0" w:line="23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77"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61"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 Warrants</w:t>
      </w:r>
    </w:p>
    <w:p>
      <w:pPr>
        <w:spacing w:after="0" w:line="233"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Units,” to our officers and directors and other persons or entities affiliated with the initial purchasers of the private placement warrants) and they will not be redeemable by us (except as described above under “—Public Shareholders’ Warrants—Redemption of warrants for Class A ordinary shares when the price per Class A ordinary share equals or exceeds $10.00”) so long as they are held by our sponsor or its permitted transferees. Our sponsor, or its permitted transferees, has the option to exercise the private placement warrants on a</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205"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Except as described above under “—Public Shareholders’ Warrants—Redemption procedures and cashless exercise,” 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“historical fair market value” (defined below) over the exercise price of the warrants by (y) the historical fair market value. The “historical fair market value” will mean the average reported closing price of the Class A ordinary shares for the 10 trading days ending on the third trading day prior to the date on which the notice of warrant exercise is sent to the holders of warrants. The reason that we have agreed that these warrants will be exercisable on a cashless basis so long as they are held by our sponsor and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00" w:lineRule="exact"/>
        <w:rPr>
          <w:sz w:val="20"/>
          <w:szCs w:val="20"/>
          <w:color w:val="auto"/>
        </w:rPr>
      </w:pPr>
    </w:p>
    <w:p>
      <w:pPr>
        <w:spacing w:after="0" w:line="230" w:lineRule="exact"/>
        <w:rPr>
          <w:sz w:val="20"/>
          <w:szCs w:val="20"/>
          <w:color w:val="auto"/>
        </w:rPr>
      </w:pPr>
    </w:p>
    <w:p>
      <w:pPr>
        <w:ind w:right="180"/>
        <w:spacing w:after="0" w:line="249" w:lineRule="exact"/>
        <w:rPr>
          <w:sz w:val="20"/>
          <w:szCs w:val="20"/>
          <w:color w:val="auto"/>
        </w:rPr>
      </w:pPr>
      <w:r>
        <w:rPr>
          <w:rFonts w:ascii="Arial" w:cs="Arial" w:eastAsia="Arial" w:hAnsi="Arial"/>
          <w:sz w:val="22"/>
          <w:szCs w:val="22"/>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w:t>
      </w:r>
      <w:r>
        <w:rPr>
          <w:rFonts w:ascii="MS PGothic" w:cs="MS PGothic" w:eastAsia="MS PGothic" w:hAnsi="MS PGothic"/>
          <w:sz w:val="22"/>
          <w:szCs w:val="22"/>
          <w:color w:val="auto"/>
        </w:rPr>
        <w:t>‑</w:t>
      </w:r>
      <w:r>
        <w:rPr>
          <w:rFonts w:ascii="Arial" w:cs="Arial" w:eastAsia="Arial" w:hAnsi="Arial"/>
          <w:sz w:val="22"/>
          <w:szCs w:val="22"/>
          <w:color w:val="auto"/>
        </w:rPr>
        <w:t>business combination company at a price of $1.50 per warrant at the option of the lender. Such warrants would be identical to the private placement warrants.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39" w:lineRule="exact"/>
        <w:rPr>
          <w:sz w:val="20"/>
          <w:szCs w:val="20"/>
          <w:color w:val="auto"/>
        </w:rPr>
      </w:pPr>
    </w:p>
    <w:p>
      <w:pPr>
        <w:ind w:right="40"/>
        <w:spacing w:after="0" w:line="249" w:lineRule="exact"/>
        <w:rPr>
          <w:sz w:val="20"/>
          <w:szCs w:val="20"/>
          <w:color w:val="auto"/>
        </w:rPr>
      </w:pPr>
      <w:r>
        <w:rPr>
          <w:rFonts w:ascii="Arial" w:cs="Arial" w:eastAsia="Arial" w:hAnsi="Arial"/>
          <w:sz w:val="19"/>
          <w:szCs w:val="19"/>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If we increase the size of this offering, we will effect a share capitalization or other appropriate mechanism immediately prior to the consummation of this offering in such amount as to maintain the number of founder shares, on an as</w:t>
      </w:r>
      <w:r>
        <w:rPr>
          <w:rFonts w:ascii="MS PGothic" w:cs="MS PGothic" w:eastAsia="MS PGothic" w:hAnsi="MS PGothic"/>
          <w:sz w:val="19"/>
          <w:szCs w:val="19"/>
          <w:color w:val="auto"/>
        </w:rPr>
        <w:t>‑</w:t>
      </w:r>
      <w:r>
        <w:rPr>
          <w:rFonts w:ascii="Arial" w:cs="Arial" w:eastAsia="Arial" w:hAnsi="Arial"/>
          <w:sz w:val="19"/>
          <w:szCs w:val="19"/>
          <w:color w:val="auto"/>
        </w:rPr>
        <w:t>converted basis, at 20% of our issued and outstanding ordinary shares (excluding the private placement shares underlying the private placement units) upon the consummation of this offering. Further, if we incur any indebtedness in connection with a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Transfer Agent and Warrant Agent</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Differences in Corporate Law</w:t>
      </w:r>
    </w:p>
    <w:p>
      <w:pPr>
        <w:spacing w:after="0" w:line="239"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i w:val="1"/>
          <w:iCs w:val="1"/>
          <w:color w:val="auto"/>
        </w:rPr>
        <w:t>Mergers and Similar Arrangements</w:t>
      </w:r>
      <w:r>
        <w:rPr>
          <w:rFonts w:ascii="Arial" w:cs="Arial" w:eastAsia="Arial" w:hAnsi="Arial"/>
          <w:sz w:val="19"/>
          <w:szCs w:val="19"/>
          <w:color w:val="auto"/>
        </w:rPr>
        <w:t>. In certain circumstances, the Companies Law allows for mergers or consolidations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two Cayman Islands companies, or between a Cayman Islands exempted company and a company incorporated in another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is facilitated by the laws of that other jurisdiction) so as to form a single surviving company.</w:t>
      </w:r>
    </w:p>
    <w:p>
      <w:pPr>
        <w:spacing w:after="0" w:line="161" w:lineRule="exact"/>
        <w:rPr>
          <w:sz w:val="20"/>
          <w:szCs w:val="20"/>
          <w:color w:val="auto"/>
        </w:rPr>
      </w:pPr>
    </w:p>
    <w:p>
      <w:pPr>
        <w:ind w:right="160"/>
        <w:spacing w:after="0" w:line="246" w:lineRule="exact"/>
        <w:rPr>
          <w:sz w:val="20"/>
          <w:szCs w:val="20"/>
          <w:color w:val="auto"/>
        </w:rPr>
      </w:pPr>
      <w:r>
        <w:rPr>
          <w:rFonts w:ascii="Arial" w:cs="Arial" w:eastAsia="Arial" w:hAnsi="Arial"/>
          <w:sz w:val="19"/>
          <w:szCs w:val="19"/>
          <w:color w:val="auto"/>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w:t>
      </w:r>
      <w:r>
        <w:rPr>
          <w:rFonts w:ascii="MS PGothic" w:cs="MS PGothic" w:eastAsia="MS PGothic" w:hAnsi="MS PGothic"/>
          <w:sz w:val="19"/>
          <w:szCs w:val="19"/>
          <w:color w:val="auto"/>
        </w:rPr>
        <w:t>‑</w:t>
      </w:r>
      <w:r>
        <w:rPr>
          <w:rFonts w:ascii="Arial" w:cs="Arial" w:eastAsia="Arial" w:hAnsi="Arial"/>
          <w:sz w:val="19"/>
          <w:szCs w:val="19"/>
          <w:color w:val="auto"/>
        </w:rPr>
        <w:t>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Where the above procedures are adopted, the Companies Law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200" w:lineRule="exact"/>
        <w:rPr>
          <w:sz w:val="20"/>
          <w:szCs w:val="20"/>
          <w:color w:val="auto"/>
        </w:rPr>
      </w:pPr>
    </w:p>
    <w:p>
      <w:pPr>
        <w:spacing w:after="0" w:line="238"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w:t>
      </w:r>
      <w:r>
        <w:rPr>
          <w:rFonts w:ascii="MS PGothic" w:cs="MS PGothic" w:eastAsia="MS PGothic" w:hAnsi="MS PGothic"/>
          <w:sz w:val="19"/>
          <w:szCs w:val="19"/>
          <w:color w:val="auto"/>
        </w:rPr>
        <w:t>‑</w:t>
      </w:r>
      <w:r>
        <w:rPr>
          <w:rFonts w:ascii="Arial" w:cs="Arial" w:eastAsia="Arial" w:hAnsi="Arial"/>
          <w:sz w:val="19"/>
          <w:szCs w:val="19"/>
          <w:color w:val="auto"/>
        </w:rPr>
        <w:t>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219" w:lineRule="exact"/>
        <w:rPr>
          <w:sz w:val="20"/>
          <w:szCs w:val="20"/>
          <w:color w:val="auto"/>
        </w:rPr>
      </w:pPr>
    </w:p>
    <w:p>
      <w:pPr>
        <w:ind w:left="980" w:right="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96" w:lineRule="exact"/>
        <w:rPr>
          <w:sz w:val="20"/>
          <w:szCs w:val="20"/>
          <w:color w:val="auto"/>
        </w:rPr>
      </w:pPr>
    </w:p>
    <w:p>
      <w:pPr>
        <w:ind w:right="480"/>
        <w:spacing w:after="0" w:line="251" w:lineRule="exact"/>
        <w:rPr>
          <w:sz w:val="20"/>
          <w:szCs w:val="20"/>
          <w:color w:val="auto"/>
        </w:rPr>
      </w:pPr>
      <w:r>
        <w:rPr>
          <w:rFonts w:ascii="Arial" w:cs="Arial" w:eastAsia="Arial" w:hAnsi="Arial"/>
          <w:sz w:val="19"/>
          <w:szCs w:val="19"/>
          <w:i w:val="1"/>
          <w:iCs w:val="1"/>
          <w:color w:val="auto"/>
        </w:rPr>
        <w:t>Squeeze</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out Provisions</w:t>
      </w:r>
      <w:r>
        <w:rPr>
          <w:rFonts w:ascii="Arial" w:cs="Arial" w:eastAsia="Arial" w:hAnsi="Arial"/>
          <w:sz w:val="19"/>
          <w:szCs w:val="19"/>
          <w:color w:val="auto"/>
        </w:rPr>
        <w:t>. When a tender offer is made and accepted by holders of 90% of the shares to whom the offer relates</w:t>
      </w:r>
      <w:r>
        <w:rPr>
          <w:rFonts w:ascii="Arial" w:cs="Arial" w:eastAsia="Arial" w:hAnsi="Arial"/>
          <w:sz w:val="19"/>
          <w:szCs w:val="19"/>
          <w:i w:val="1"/>
          <w:iCs w:val="1"/>
          <w:color w:val="auto"/>
        </w:rPr>
        <w:t xml:space="preserve"> </w:t>
      </w:r>
      <w:r>
        <w:rPr>
          <w:rFonts w:ascii="Arial" w:cs="Arial" w:eastAsia="Arial" w:hAnsi="Arial"/>
          <w:sz w:val="19"/>
          <w:szCs w:val="19"/>
          <w:color w:val="auto"/>
        </w:rPr>
        <w:t>within four months, the offeror may, within a two</w:t>
      </w:r>
      <w:r>
        <w:rPr>
          <w:rFonts w:ascii="MS PGothic" w:cs="MS PGothic" w:eastAsia="MS PGothic" w:hAnsi="MS PGothic"/>
          <w:sz w:val="19"/>
          <w:szCs w:val="19"/>
          <w:color w:val="auto"/>
        </w:rPr>
        <w:t>‑</w:t>
      </w:r>
      <w:r>
        <w:rPr>
          <w:rFonts w:ascii="Arial" w:cs="Arial" w:eastAsia="Arial" w:hAnsi="Arial"/>
          <w:sz w:val="19"/>
          <w:szCs w:val="19"/>
          <w:color w:val="auto"/>
        </w:rPr>
        <w:t>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9"/>
          <w:szCs w:val="19"/>
          <w:i w:val="1"/>
          <w:iCs w:val="1"/>
          <w:color w:val="auto"/>
        </w:rPr>
        <w:t>Shareholders’ Suits</w:t>
      </w:r>
      <w:r>
        <w:rPr>
          <w:rFonts w:ascii="Arial" w:cs="Arial" w:eastAsia="Arial" w:hAnsi="Arial"/>
          <w:sz w:val="19"/>
          <w:szCs w:val="19"/>
          <w:color w:val="auto"/>
        </w:rPr>
        <w:t>. Our Cayman Islands counsel is not aware of any reported class action having been brought in a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4"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ultra vires (beyond the scope of its authority);</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4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 shareholder may have a direct right of action against us where the individual rights of that shareholder have been infringed or are about to be infringed.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of Civil Liabilities</w:t>
      </w:r>
      <w:r>
        <w:rPr>
          <w:rFonts w:ascii="Arial" w:cs="Arial" w:eastAsia="Arial" w:hAnsi="Arial"/>
          <w:sz w:val="22"/>
          <w:szCs w:val="22"/>
          <w:color w:val="auto"/>
        </w:rPr>
        <w:t>. The Cayman Islands has a different body of securities laws as compared to the United States and</w:t>
      </w:r>
      <w:r>
        <w:rPr>
          <w:rFonts w:ascii="Arial" w:cs="Arial" w:eastAsia="Arial" w:hAnsi="Arial"/>
          <w:sz w:val="22"/>
          <w:szCs w:val="22"/>
          <w:i w:val="1"/>
          <w:iCs w:val="1"/>
          <w:color w:val="auto"/>
        </w:rPr>
        <w:t xml:space="preserve"> </w:t>
      </w:r>
      <w:r>
        <w:rPr>
          <w:rFonts w:ascii="Arial" w:cs="Arial" w:eastAsia="Arial" w:hAnsi="Arial"/>
          <w:sz w:val="22"/>
          <w:szCs w:val="22"/>
          <w:color w:val="auto"/>
        </w:rPr>
        <w:t>provides less protection to investors. Additionally, Cayman Islands companies may not have standing to sue before the Federal courts of the United States.</w:t>
      </w:r>
    </w:p>
    <w:p>
      <w:pPr>
        <w:spacing w:after="0" w:line="213"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1"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i w:val="1"/>
          <w:iCs w:val="1"/>
          <w:color w:val="auto"/>
        </w:rPr>
        <w:t>Special Considerations for Exempted Companies</w:t>
      </w:r>
      <w:r>
        <w:rPr>
          <w:rFonts w:ascii="Arial" w:cs="Arial" w:eastAsia="Arial" w:hAnsi="Arial"/>
          <w:sz w:val="19"/>
          <w:szCs w:val="19"/>
          <w:color w:val="auto"/>
        </w:rPr>
        <w:t>. We are an exempted company with limited liability (meaning our public</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4" w:lineRule="exact"/>
        <w:rPr>
          <w:sz w:val="20"/>
          <w:szCs w:val="20"/>
          <w:color w:val="auto"/>
        </w:rPr>
      </w:pPr>
    </w:p>
    <w:p>
      <w:pPr>
        <w:ind w:left="980" w:right="2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shareholder meeting;</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9" w:name="page130"/>
    <w:bookmarkEnd w:id="12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and Restated Memorandum and Articles of Association</w:t>
      </w:r>
    </w:p>
    <w:p>
      <w:pPr>
        <w:spacing w:after="0" w:line="239"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w:t>
      </w:r>
      <w:r>
        <w:rPr>
          <w:rFonts w:ascii="MS PGothic" w:cs="MS PGothic" w:eastAsia="MS PGothic" w:hAnsi="MS PGothic"/>
          <w:sz w:val="19"/>
          <w:szCs w:val="19"/>
          <w:color w:val="auto"/>
        </w:rPr>
        <w:t>‑</w:t>
      </w:r>
      <w:r>
        <w:rPr>
          <w:rFonts w:ascii="Arial" w:cs="Arial" w:eastAsia="Arial" w:hAnsi="Arial"/>
          <w:sz w:val="19"/>
          <w:szCs w:val="19"/>
          <w:color w:val="auto"/>
        </w:rPr>
        <w:t>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w:t>
      </w:r>
      <w:r>
        <w:rPr>
          <w:rFonts w:ascii="MS PGothic" w:cs="MS PGothic" w:eastAsia="MS PGothic" w:hAnsi="MS PGothic"/>
          <w:sz w:val="19"/>
          <w:szCs w:val="19"/>
          <w:color w:val="auto"/>
        </w:rPr>
        <w:t>‑</w:t>
      </w:r>
      <w:r>
        <w:rPr>
          <w:rFonts w:ascii="Arial" w:cs="Arial" w:eastAsia="Arial" w:hAnsi="Arial"/>
          <w:sz w:val="19"/>
          <w:szCs w:val="19"/>
          <w:color w:val="auto"/>
        </w:rPr>
        <w:t>thirds of our shareholders who attend and vote at a shareholder meeting of the company (i.e., the lowest threshold permissible under Cayman Islands law), or by a unanimous written resolution of all of our shareholders.</w:t>
      </w:r>
    </w:p>
    <w:p>
      <w:pPr>
        <w:spacing w:after="0" w:line="21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Our initial shareholders and their permitted transferees, if any, who will collectively beneficially own 20% of our ordinary shares (excluding the private placement shares underlying the private placement units and assuming they do not purchase any units in this offering) upon the closing of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212" w:lineRule="exact"/>
        <w:rPr>
          <w:sz w:val="20"/>
          <w:szCs w:val="20"/>
          <w:color w:val="auto"/>
        </w:rPr>
      </w:pPr>
    </w:p>
    <w:p>
      <w:pPr>
        <w:ind w:left="980" w:right="40" w:hanging="324"/>
        <w:spacing w:after="0" w:line="218" w:lineRule="exact"/>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we do not consummate an initial business combination within 24 months from the closing of this offering, we will (i) cease all operations except for the purpose of winding up; (ii) as promptly as reasonably possible but no more than ten business days thereafter, redeem the public shares, at a per</w:t>
      </w:r>
      <w:r>
        <w:rPr>
          <w:rFonts w:ascii="MS PGothic" w:cs="MS PGothic" w:eastAsia="MS PGothic" w:hAnsi="MS PGothic"/>
          <w:sz w:val="17"/>
          <w:szCs w:val="17"/>
          <w:color w:val="auto"/>
        </w:rPr>
        <w:t>‑</w:t>
      </w:r>
      <w:r>
        <w:rPr>
          <w:rFonts w:ascii="Arial" w:cs="Arial" w:eastAsia="Arial" w:hAnsi="Arial"/>
          <w:sz w:val="17"/>
          <w:szCs w:val="17"/>
          <w:color w:val="auto"/>
        </w:rPr>
        <w:t>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w:t>
      </w:r>
      <w:r>
        <w:rPr>
          <w:rFonts w:ascii="MS PGothic" w:cs="MS PGothic" w:eastAsia="MS PGothic" w:hAnsi="MS PGothic"/>
          <w:sz w:val="17"/>
          <w:szCs w:val="17"/>
          <w:color w:val="auto"/>
        </w:rPr>
        <w:t>‑</w:t>
      </w:r>
      <w:r>
        <w:rPr>
          <w:rFonts w:ascii="Arial" w:cs="Arial" w:eastAsia="Arial" w:hAnsi="Arial"/>
          <w:sz w:val="17"/>
          <w:szCs w:val="17"/>
          <w:color w:val="auto"/>
        </w:rPr>
        <w:t>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229" w:lineRule="exact"/>
        <w:rPr>
          <w:rFonts w:ascii="Arial" w:cs="Arial" w:eastAsia="Arial" w:hAnsi="Arial"/>
          <w:sz w:val="17"/>
          <w:szCs w:val="17"/>
          <w:color w:val="auto"/>
        </w:rPr>
      </w:pPr>
    </w:p>
    <w:p>
      <w:pPr>
        <w:ind w:left="980" w:right="140" w:hanging="324"/>
        <w:spacing w:after="0" w:line="275"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prior to the completion of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203" w:lineRule="exact"/>
        <w:rPr>
          <w:rFonts w:ascii="Arial" w:cs="Arial" w:eastAsia="Arial" w:hAnsi="Arial"/>
          <w:sz w:val="17"/>
          <w:szCs w:val="17"/>
          <w:color w:val="auto"/>
        </w:rPr>
      </w:pPr>
    </w:p>
    <w:p>
      <w:pPr>
        <w:ind w:left="980" w:right="240" w:hanging="324"/>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980" w:right="100"/>
        <w:spacing w:after="0" w:line="328" w:lineRule="auto"/>
        <w:rPr>
          <w:sz w:val="20"/>
          <w:szCs w:val="20"/>
          <w:color w:val="auto"/>
        </w:rPr>
      </w:pPr>
      <w:r>
        <w:rPr>
          <w:rFonts w:ascii="Arial" w:cs="Arial" w:eastAsia="Arial" w:hAnsi="Arial"/>
          <w:sz w:val="19"/>
          <w:szCs w:val="19"/>
          <w:color w:val="auto"/>
        </w:rPr>
        <w:t>opinion from an independent investment banking firm which is a member of FINRA or an independent valuation or accounting firm that such a business combination or transaction is fair to our company from a financial point of view;</w:t>
      </w:r>
    </w:p>
    <w:p>
      <w:pPr>
        <w:spacing w:after="0" w:line="139" w:lineRule="exact"/>
        <w:rPr>
          <w:sz w:val="20"/>
          <w:szCs w:val="20"/>
          <w:color w:val="auto"/>
        </w:rPr>
      </w:pPr>
    </w:p>
    <w:p>
      <w:pPr>
        <w:ind w:left="980" w:right="20" w:hanging="324"/>
        <w:spacing w:after="0" w:line="219" w:lineRule="exact"/>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shareholder vote on our initial business combination is not required by applicable law or stock exchange rule and we do not decide to hold a shareholder vote for business or other reasons, we will offer to redeem our public shares pursuant to Rule 13e</w:t>
      </w:r>
      <w:r>
        <w:rPr>
          <w:rFonts w:ascii="MS PGothic" w:cs="MS PGothic" w:eastAsia="MS PGothic" w:hAnsi="MS PGothic"/>
          <w:sz w:val="18"/>
          <w:szCs w:val="18"/>
          <w:color w:val="auto"/>
        </w:rPr>
        <w:t>‑</w:t>
      </w:r>
      <w:r>
        <w:rPr>
          <w:rFonts w:ascii="Arial" w:cs="Arial" w:eastAsia="Arial" w:hAnsi="Arial"/>
          <w:sz w:val="18"/>
          <w:szCs w:val="18"/>
          <w:color w:val="auto"/>
        </w:rPr>
        <w:t>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232" w:lineRule="exact"/>
        <w:rPr>
          <w:rFonts w:ascii="Arial" w:cs="Arial" w:eastAsia="Arial" w:hAnsi="Arial"/>
          <w:sz w:val="18"/>
          <w:szCs w:val="18"/>
          <w:color w:val="auto"/>
        </w:rPr>
      </w:pPr>
    </w:p>
    <w:p>
      <w:pPr>
        <w:ind w:left="980" w:right="40" w:hanging="324"/>
        <w:spacing w:after="0" w:line="286"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w:t>
      </w:r>
    </w:p>
    <w:p>
      <w:pPr>
        <w:spacing w:after="0" w:line="192" w:lineRule="exact"/>
        <w:rPr>
          <w:rFonts w:ascii="Arial" w:cs="Arial" w:eastAsia="Arial" w:hAnsi="Arial"/>
          <w:sz w:val="17"/>
          <w:szCs w:val="17"/>
          <w:color w:val="auto"/>
        </w:rPr>
      </w:pPr>
    </w:p>
    <w:p>
      <w:pPr>
        <w:ind w:left="980" w:hanging="324"/>
        <w:spacing w:after="0" w:line="218" w:lineRule="exact"/>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ordinary shares, we will provide our public shareholders with the opportunity to redeem all or a portion of their ordinary shares upon such approval at a per</w:t>
      </w:r>
      <w:r>
        <w:rPr>
          <w:rFonts w:ascii="MS PGothic" w:cs="MS PGothic" w:eastAsia="MS PGothic" w:hAnsi="MS PGothic"/>
          <w:sz w:val="17"/>
          <w:szCs w:val="17"/>
          <w:color w:val="auto"/>
        </w:rPr>
        <w:t>‑</w:t>
      </w:r>
      <w:r>
        <w:rPr>
          <w:rFonts w:ascii="Arial" w:cs="Arial" w:eastAsia="Arial" w:hAnsi="Arial"/>
          <w:sz w:val="17"/>
          <w:szCs w:val="17"/>
          <w:color w:val="auto"/>
        </w:rPr>
        <w:t>share price, payable in cash, equal to the aggregate amount then on deposit in the trust account, including interest earned on the funds held in the trust account and not previously released to us to pay our income taxes, if any, divided by the number of the then</w:t>
      </w:r>
      <w:r>
        <w:rPr>
          <w:rFonts w:ascii="MS PGothic" w:cs="MS PGothic" w:eastAsia="MS PGothic" w:hAnsi="MS PGothic"/>
          <w:sz w:val="17"/>
          <w:szCs w:val="17"/>
          <w:color w:val="auto"/>
        </w:rPr>
        <w:t>‑</w:t>
      </w:r>
      <w:r>
        <w:rPr>
          <w:rFonts w:ascii="Arial" w:cs="Arial" w:eastAsia="Arial" w:hAnsi="Arial"/>
          <w:sz w:val="17"/>
          <w:szCs w:val="17"/>
          <w:color w:val="auto"/>
        </w:rPr>
        <w:t>outstanding public shares, subject to the limitations described herein; and</w:t>
      </w:r>
    </w:p>
    <w:p>
      <w:pPr>
        <w:spacing w:after="0" w:line="231" w:lineRule="exact"/>
        <w:rPr>
          <w:rFonts w:ascii="Arial" w:cs="Arial" w:eastAsia="Arial" w:hAnsi="Arial"/>
          <w:sz w:val="17"/>
          <w:szCs w:val="17"/>
          <w:color w:val="auto"/>
        </w:rPr>
      </w:pPr>
    </w:p>
    <w:p>
      <w:pPr>
        <w:ind w:left="980" w:hanging="324"/>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56" w:lineRule="exact"/>
        <w:rPr>
          <w:sz w:val="20"/>
          <w:szCs w:val="20"/>
          <w:color w:val="auto"/>
        </w:rPr>
      </w:pPr>
    </w:p>
    <w:p>
      <w:pPr>
        <w:ind w:right="160"/>
        <w:spacing w:after="0" w:line="328" w:lineRule="auto"/>
        <w:rPr>
          <w:sz w:val="20"/>
          <w:szCs w:val="20"/>
          <w:color w:val="auto"/>
        </w:rPr>
      </w:pPr>
      <w:r>
        <w:rPr>
          <w:rFonts w:ascii="Arial" w:cs="Arial" w:eastAsia="Arial" w:hAnsi="Arial"/>
          <w:sz w:val="19"/>
          <w:szCs w:val="19"/>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3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 xml:space="preserve">The Companies Law permits a company incorporated in the Cayman Islands to amend its memorandum and articles of association with the approval of a special resolution. A company’s articles of association may specify that the approval of a higher majority is required but,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05"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auto"/>
        </w:rPr>
        <w:t>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Money Laundering — Cayman Islands</w:t>
      </w:r>
    </w:p>
    <w:p>
      <w:pPr>
        <w:spacing w:after="0" w:line="239" w:lineRule="exact"/>
        <w:rPr>
          <w:sz w:val="20"/>
          <w:szCs w:val="20"/>
          <w:color w:val="auto"/>
        </w:rPr>
      </w:pPr>
    </w:p>
    <w:p>
      <w:pPr>
        <w:ind w:right="40"/>
        <w:spacing w:after="0" w:line="251" w:lineRule="exact"/>
        <w:rPr>
          <w:sz w:val="20"/>
          <w:szCs w:val="20"/>
          <w:color w:val="auto"/>
        </w:rPr>
      </w:pPr>
      <w:r>
        <w:rPr>
          <w:rFonts w:ascii="Arial" w:cs="Arial" w:eastAsia="Arial" w:hAnsi="Arial"/>
          <w:sz w:val="21"/>
          <w:szCs w:val="21"/>
          <w:color w:val="auto"/>
        </w:rPr>
        <w:t>In order to comply with legislation or regulations aimed at the prevention of money laundering, we are required to adopt and maintain anti</w:t>
      </w:r>
      <w:r>
        <w:rPr>
          <w:rFonts w:ascii="MS PGothic" w:cs="MS PGothic" w:eastAsia="MS PGothic" w:hAnsi="MS PGothic"/>
          <w:sz w:val="21"/>
          <w:szCs w:val="21"/>
          <w:color w:val="auto"/>
        </w:rPr>
        <w:t>‑</w:t>
      </w:r>
      <w:r>
        <w:rPr>
          <w:rFonts w:ascii="Arial" w:cs="Arial" w:eastAsia="Arial" w:hAnsi="Arial"/>
          <w:sz w:val="21"/>
          <w:szCs w:val="21"/>
          <w:color w:val="auto"/>
        </w:rPr>
        <w:t>money laundering procedures, and may require subscribers to provide evidence to verify their identity and source of funds. Where permitted, and subject to certain conditions, we may also delegate the maintenance of our anti</w:t>
      </w:r>
      <w:r>
        <w:rPr>
          <w:rFonts w:ascii="MS PGothic" w:cs="MS PGothic" w:eastAsia="MS PGothic" w:hAnsi="MS PGothic"/>
          <w:sz w:val="21"/>
          <w:szCs w:val="21"/>
          <w:color w:val="auto"/>
        </w:rPr>
        <w:t>‑</w:t>
      </w:r>
      <w:r>
        <w:rPr>
          <w:rFonts w:ascii="Arial" w:cs="Arial" w:eastAsia="Arial" w:hAnsi="Arial"/>
          <w:sz w:val="21"/>
          <w:szCs w:val="21"/>
          <w:color w:val="auto"/>
        </w:rPr>
        <w:t>money laundering procedures (including the acquisition of due diligence information) to a suitable person.</w:t>
      </w:r>
    </w:p>
    <w:p>
      <w:pPr>
        <w:spacing w:after="0" w:line="213" w:lineRule="exact"/>
        <w:rPr>
          <w:sz w:val="20"/>
          <w:szCs w:val="20"/>
          <w:color w:val="auto"/>
        </w:rPr>
      </w:pPr>
    </w:p>
    <w:p>
      <w:pPr>
        <w:ind w:right="180"/>
        <w:spacing w:after="0" w:line="253" w:lineRule="exact"/>
        <w:rPr>
          <w:sz w:val="20"/>
          <w:szCs w:val="20"/>
          <w:color w:val="auto"/>
        </w:rPr>
      </w:pPr>
      <w:r>
        <w:rPr>
          <w:rFonts w:ascii="Arial" w:cs="Arial" w:eastAsia="Arial" w:hAnsi="Arial"/>
          <w:sz w:val="21"/>
          <w:szCs w:val="21"/>
          <w:color w:val="auto"/>
        </w:rPr>
        <w:t>We reserve the right to request such information as is necessary to verify the identity of a subscriber. In some cases the directors may be satisfied that no further information is required since an exemption applies under the Anti</w:t>
      </w:r>
      <w:r>
        <w:rPr>
          <w:rFonts w:ascii="MS PGothic" w:cs="MS PGothic" w:eastAsia="MS PGothic" w:hAnsi="MS PGothic"/>
          <w:sz w:val="21"/>
          <w:szCs w:val="21"/>
          <w:color w:val="auto"/>
        </w:rPr>
        <w:t>‑</w:t>
      </w:r>
      <w:r>
        <w:rPr>
          <w:rFonts w:ascii="Arial" w:cs="Arial" w:eastAsia="Arial" w:hAnsi="Arial"/>
          <w:sz w:val="21"/>
          <w:szCs w:val="21"/>
          <w:color w:val="auto"/>
        </w:rPr>
        <w:t>Money Laundering Regulations (2020 Revision) of the Cayman Islands, as amended and revised from time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time (the “Regulations”). Depending on the circumstances of each application, a detailed verification of identity might not be required where:</w:t>
      </w:r>
    </w:p>
    <w:p>
      <w:pPr>
        <w:spacing w:after="0" w:line="209"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subscriber makes the payment for their investment from an account held in the subscriber’s name at a recognized financial institution;</w:t>
      </w:r>
    </w:p>
    <w:p>
      <w:pPr>
        <w:spacing w:after="0" w:line="275" w:lineRule="exact"/>
        <w:rPr>
          <w:rFonts w:ascii="Arial" w:cs="Arial" w:eastAsia="Arial" w:hAnsi="Arial"/>
          <w:sz w:val="16"/>
          <w:szCs w:val="16"/>
          <w:color w:val="auto"/>
        </w:rPr>
      </w:pPr>
    </w:p>
    <w:p>
      <w:pPr>
        <w:ind w:left="1300" w:right="1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subscriber is regulated by a recognized regulatory authority and is based or incorporated in, or formed under the law of, a recognized jurisdiction; or</w:t>
      </w:r>
    </w:p>
    <w:p>
      <w:pPr>
        <w:spacing w:after="0" w:line="197" w:lineRule="exact"/>
        <w:rPr>
          <w:rFonts w:ascii="Arial" w:cs="Arial" w:eastAsia="Arial" w:hAnsi="Arial"/>
          <w:sz w:val="18"/>
          <w:szCs w:val="18"/>
          <w:color w:val="auto"/>
        </w:rPr>
      </w:pPr>
    </w:p>
    <w:p>
      <w:pPr>
        <w:ind w:left="1300" w:right="200" w:hanging="644"/>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203" w:lineRule="exact"/>
        <w:rPr>
          <w:sz w:val="20"/>
          <w:szCs w:val="20"/>
          <w:color w:val="auto"/>
        </w:rPr>
      </w:pPr>
    </w:p>
    <w:p>
      <w:pPr>
        <w:jc w:val="both"/>
        <w:ind w:right="100"/>
        <w:spacing w:after="0" w:line="253" w:lineRule="exact"/>
        <w:rPr>
          <w:sz w:val="20"/>
          <w:szCs w:val="20"/>
          <w:color w:val="auto"/>
        </w:rPr>
      </w:pPr>
      <w:r>
        <w:rPr>
          <w:rFonts w:ascii="Arial" w:cs="Arial" w:eastAsia="Arial" w:hAnsi="Arial"/>
          <w:sz w:val="22"/>
          <w:szCs w:val="22"/>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w:t>
      </w:r>
      <w:r>
        <w:rPr>
          <w:rFonts w:ascii="MS PGothic" w:cs="MS PGothic" w:eastAsia="MS PGothic" w:hAnsi="MS PGothic"/>
          <w:sz w:val="22"/>
          <w:szCs w:val="22"/>
          <w:color w:val="auto"/>
        </w:rPr>
        <w:t>‑</w:t>
      </w:r>
      <w:r>
        <w:rPr>
          <w:rFonts w:ascii="Arial" w:cs="Arial" w:eastAsia="Arial" w:hAnsi="Arial"/>
          <w:sz w:val="22"/>
          <w:szCs w:val="22"/>
          <w:color w:val="auto"/>
        </w:rPr>
        <w:t>money laundering regulations.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213" w:lineRule="exact"/>
        <w:rPr>
          <w:sz w:val="20"/>
          <w:szCs w:val="20"/>
          <w:color w:val="auto"/>
        </w:rPr>
      </w:pPr>
    </w:p>
    <w:p>
      <w:pPr>
        <w:ind w:right="100"/>
        <w:spacing w:after="0" w:line="251" w:lineRule="exact"/>
        <w:rPr>
          <w:sz w:val="20"/>
          <w:szCs w:val="20"/>
          <w:color w:val="auto"/>
        </w:rPr>
      </w:pPr>
      <w:r>
        <w:rPr>
          <w:rFonts w:ascii="Arial" w:cs="Arial" w:eastAsia="Arial" w:hAnsi="Arial"/>
          <w:sz w:val="19"/>
          <w:szCs w:val="19"/>
          <w:color w:val="auto"/>
        </w:rPr>
        <w:t>We also reserve the right to refuse to make any distribution payment to a shareholder if our directors or officers suspect or are advised that the payment of such distribution to such shareholder might result in a breach of applicable anti</w:t>
      </w:r>
      <w:r>
        <w:rPr>
          <w:rFonts w:ascii="MS PGothic" w:cs="MS PGothic" w:eastAsia="MS PGothic" w:hAnsi="MS PGothic"/>
          <w:sz w:val="19"/>
          <w:szCs w:val="19"/>
          <w:color w:val="auto"/>
        </w:rPr>
        <w:t>‑</w:t>
      </w:r>
      <w:r>
        <w:rPr>
          <w:rFonts w:ascii="Arial" w:cs="Arial" w:eastAsia="Arial" w:hAnsi="Arial"/>
          <w:sz w:val="19"/>
          <w:szCs w:val="19"/>
          <w:color w:val="auto"/>
        </w:rPr>
        <w:t>money laundering or other laws or regulations by any person in any relevant jurisdiction, or if such refusal is considered necessary or appropriate to ensure our compliance with any such laws or regulations in any applicable jurisdiction.</w:t>
      </w:r>
    </w:p>
    <w:p>
      <w:pPr>
        <w:spacing w:after="0" w:line="214"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Protection in the Cayman Islands – Privacy Notice</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This privacy notice explains the manner in which the company collects, processes and maintains personal data about investors of the company pursuant to the Data Protection Law, 2017 of the Cayman Islands, as amended from time to time and any regulations, codes of practice or orders promulgated pursuant thereto (“DPL”).</w:t>
      </w:r>
    </w:p>
    <w:p>
      <w:pPr>
        <w:spacing w:after="0" w:line="21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company is committed to processing personal data in accordance with the DPL. In its use of personal data, the company will be characterized under the DPL as a ‘data controller’, whilst certain of the company’s service providers, affiliates and delegates may act as ‘data processors’ under the DPL. These service providers may process personal information for their own lawful purposes in connection with services provided to the company.</w:t>
      </w:r>
    </w:p>
    <w:p>
      <w:pPr>
        <w:spacing w:after="0" w:line="212"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By virtue of making an investment in the company, the company and certain of the company’s service providers may collect, record, store, transfer and otherwise process personal data by which individuals may be directly or indirectly identified.</w:t>
      </w:r>
    </w:p>
    <w:p>
      <w:pPr>
        <w:spacing w:after="0" w:line="132" w:lineRule="exact"/>
        <w:rPr>
          <w:sz w:val="20"/>
          <w:szCs w:val="20"/>
          <w:color w:val="auto"/>
        </w:rPr>
      </w:pPr>
    </w:p>
    <w:p>
      <w:pPr>
        <w:ind w:right="160"/>
        <w:spacing w:after="0" w:line="251" w:lineRule="exact"/>
        <w:rPr>
          <w:sz w:val="20"/>
          <w:szCs w:val="20"/>
          <w:color w:val="auto"/>
        </w:rPr>
      </w:pPr>
      <w:r>
        <w:rPr>
          <w:rFonts w:ascii="Arial" w:cs="Arial" w:eastAsia="Arial" w:hAnsi="Arial"/>
          <w:sz w:val="21"/>
          <w:szCs w:val="21"/>
          <w:color w:val="auto"/>
        </w:rPr>
        <w:t>Your personal data will be processed fairly and for lawful purposes, including (a) where the processing is necessary for the company to perform a contract to which you are a party or for taking pre</w:t>
      </w:r>
      <w:r>
        <w:rPr>
          <w:rFonts w:ascii="MS PGothic" w:cs="MS PGothic" w:eastAsia="MS PGothic" w:hAnsi="MS PGothic"/>
          <w:sz w:val="21"/>
          <w:szCs w:val="21"/>
          <w:color w:val="auto"/>
        </w:rPr>
        <w:t>‑</w:t>
      </w:r>
      <w:r>
        <w:rPr>
          <w:rFonts w:ascii="Arial" w:cs="Arial" w:eastAsia="Arial" w:hAnsi="Arial"/>
          <w:sz w:val="21"/>
          <w:szCs w:val="21"/>
          <w:color w:val="auto"/>
        </w:rPr>
        <w:t>contractual steps at your request (b) where the processing is necessary for compliance with any legal, tax or regulatory obligation to which the company is subject or (c) where the processing is for the purposes of legitimate interests pursued by the company or by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service provider to whom the data are disclosed. As a data controller, we will only use your personal data for the purposes for which we collected it. If we need to use your personal data for an unrelated purpose, we will contact you.</w:t>
      </w:r>
    </w:p>
    <w:p>
      <w:pPr>
        <w:spacing w:after="0" w:line="132"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Your personal data shall not be held by the company for longer than necessary with regard to the purposes of the data processing.</w:t>
      </w:r>
    </w:p>
    <w:p>
      <w:pPr>
        <w:spacing w:after="0" w:line="268"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We will not sell your personal data. Any transfer of personal data outside of the Cayman Islands shall be in accordance with the requirements of the DPL. Where necessary, we will ensure that separate and appropriate legal agreements are put in place with the recipient of that data.</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The company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9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You have certain rights under the DPL, including (a) the right to be informed as to how we collect and use your personal data (and this privacy notice fulfils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85" w:lineRule="exact"/>
        <w:rPr>
          <w:sz w:val="20"/>
          <w:szCs w:val="20"/>
          <w:color w:val="auto"/>
        </w:rPr>
      </w:pPr>
    </w:p>
    <w:p>
      <w:pPr>
        <w:ind w:right="260"/>
        <w:spacing w:after="0" w:line="254" w:lineRule="exact"/>
        <w:rPr>
          <w:sz w:val="20"/>
          <w:szCs w:val="20"/>
          <w:color w:val="auto"/>
        </w:rPr>
      </w:pPr>
      <w:r>
        <w:rPr>
          <w:rFonts w:ascii="Arial" w:cs="Arial" w:eastAsia="Arial" w:hAnsi="Arial"/>
          <w:sz w:val="19"/>
          <w:szCs w:val="19"/>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calling +1 (345) 946</w:t>
      </w:r>
      <w:r>
        <w:rPr>
          <w:rFonts w:ascii="MS PGothic" w:cs="MS PGothic" w:eastAsia="MS PGothic" w:hAnsi="MS PGothic"/>
          <w:sz w:val="19"/>
          <w:szCs w:val="19"/>
          <w:color w:val="auto"/>
        </w:rPr>
        <w:t>‑</w:t>
      </w:r>
      <w:r>
        <w:rPr>
          <w:rFonts w:ascii="Arial" w:cs="Arial" w:eastAsia="Arial" w:hAnsi="Arial"/>
          <w:sz w:val="19"/>
          <w:szCs w:val="19"/>
          <w:color w:val="auto"/>
        </w:rPr>
        <w:t>6283 or by email at info@ombudsman.ky.</w:t>
      </w:r>
    </w:p>
    <w:p>
      <w:pPr>
        <w:spacing w:after="0" w:line="207"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color w:val="auto"/>
        </w:rPr>
        <w:t>Certain Anti</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Takeover Provisions of our Amended and Restated Memorandum and Articles of Association</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21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Eligible for Future Sale</w:t>
      </w:r>
    </w:p>
    <w:p>
      <w:pPr>
        <w:spacing w:after="0" w:line="239"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Immediately after this offering we will have 16,075,000 Class A ordinary shares (or 18,456,250 Class A ordinary shares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exercised in full) issued and outstanding on an as</w:t>
      </w:r>
      <w:r>
        <w:rPr>
          <w:rFonts w:ascii="MS PGothic" w:cs="MS PGothic" w:eastAsia="MS PGothic" w:hAnsi="MS PGothic"/>
          <w:sz w:val="19"/>
          <w:szCs w:val="19"/>
          <w:color w:val="auto"/>
        </w:rPr>
        <w:t>‑</w:t>
      </w:r>
      <w:r>
        <w:rPr>
          <w:rFonts w:ascii="Arial" w:cs="Arial" w:eastAsia="Arial" w:hAnsi="Arial"/>
          <w:sz w:val="19"/>
          <w:szCs w:val="19"/>
          <w:color w:val="auto"/>
        </w:rPr>
        <w:t>converted basis. Of these shares, the Class A ordinary shares sold in this offering (12,500,000 Class A ordinary shares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and 14,375,000 Class A ordinary shares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(3,125,000 founder shares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and 3,593,750 founder shares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exercised in full) and all of the outstanding private placement units (450,000 private placement units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not exercised and 487,500 private placement units if the underwriters’ over</w:t>
      </w:r>
      <w:r>
        <w:rPr>
          <w:rFonts w:ascii="MS PGothic" w:cs="MS PGothic" w:eastAsia="MS PGothic" w:hAnsi="MS PGothic"/>
          <w:sz w:val="19"/>
          <w:szCs w:val="19"/>
          <w:color w:val="auto"/>
        </w:rPr>
        <w:t>‑</w:t>
      </w:r>
      <w:r>
        <w:rPr>
          <w:rFonts w:ascii="Arial" w:cs="Arial" w:eastAsia="Arial" w:hAnsi="Arial"/>
          <w:sz w:val="19"/>
          <w:szCs w:val="19"/>
          <w:color w:val="auto"/>
        </w:rPr>
        <w:t>allotment option is exercised in full), and the securities underlying the foregoing, will be restricted securities under Rule 144, in that they were issued in private transactions not involving a public offering.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Rule 144</w:t>
      </w: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 xml:space="preserve">Pursuant to Rule 144, a person who has beneficially owned restricted shares or warrants for at least six months would be entitled to sell their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4" w:lineRule="exact"/>
        <w:rPr>
          <w:sz w:val="20"/>
          <w:szCs w:val="20"/>
          <w:color w:val="auto"/>
        </w:rPr>
      </w:pPr>
    </w:p>
    <w:p>
      <w:pPr>
        <w:jc w:val="both"/>
        <w:spacing w:after="0" w:line="254" w:lineRule="exact"/>
        <w:rPr>
          <w:sz w:val="20"/>
          <w:szCs w:val="20"/>
          <w:color w:val="auto"/>
        </w:rPr>
      </w:pPr>
      <w:r>
        <w:rPr>
          <w:rFonts w:ascii="Arial" w:cs="Arial" w:eastAsia="Arial" w:hAnsi="Arial"/>
          <w:sz w:val="19"/>
          <w:szCs w:val="19"/>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w:t>
      </w:r>
      <w:r>
        <w:rPr>
          <w:rFonts w:ascii="MS PGothic" w:cs="MS PGothic" w:eastAsia="MS PGothic" w:hAnsi="MS PGothic"/>
          <w:sz w:val="19"/>
          <w:szCs w:val="19"/>
          <w:color w:val="auto"/>
        </w:rPr>
        <w:t>‑</w:t>
      </w:r>
      <w:r>
        <w:rPr>
          <w:rFonts w:ascii="Arial" w:cs="Arial" w:eastAsia="Arial" w:hAnsi="Arial"/>
          <w:sz w:val="19"/>
          <w:szCs w:val="19"/>
          <w:color w:val="auto"/>
        </w:rPr>
        <w:t>month period only a number of securities that does not exceed the greater of:</w:t>
      </w:r>
    </w:p>
    <w:p>
      <w:pPr>
        <w:spacing w:after="0" w:line="220" w:lineRule="exact"/>
        <w:rPr>
          <w:sz w:val="20"/>
          <w:szCs w:val="20"/>
          <w:color w:val="auto"/>
        </w:rPr>
      </w:pPr>
    </w:p>
    <w:p>
      <w:pPr>
        <w:ind w:left="980" w:right="440" w:hanging="324"/>
        <w:spacing w:after="0" w:line="223" w:lineRule="exact"/>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160,750 shares immediately after this offering (or 184,563 shares if the underwriters exercise their over</w:t>
      </w:r>
      <w:r>
        <w:rPr>
          <w:rFonts w:ascii="MS PGothic" w:cs="MS PGothic" w:eastAsia="MS PGothic" w:hAnsi="MS PGothic"/>
          <w:sz w:val="18"/>
          <w:szCs w:val="18"/>
          <w:color w:val="auto"/>
        </w:rPr>
        <w:t>‑</w:t>
      </w:r>
      <w:r>
        <w:rPr>
          <w:rFonts w:ascii="Arial" w:cs="Arial" w:eastAsia="Arial" w:hAnsi="Arial"/>
          <w:sz w:val="18"/>
          <w:szCs w:val="18"/>
          <w:color w:val="auto"/>
        </w:rPr>
        <w:t>allotment option in full); and</w:t>
      </w:r>
    </w:p>
    <w:p>
      <w:pPr>
        <w:spacing w:after="0" w:line="22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90" w:lineRule="exact"/>
        <w:rPr>
          <w:sz w:val="20"/>
          <w:szCs w:val="20"/>
          <w:color w:val="auto"/>
        </w:rPr>
      </w:pPr>
    </w:p>
    <w:p>
      <w:pPr>
        <w:ind w:right="960"/>
        <w:spacing w:after="0" w:line="250" w:lineRule="auto"/>
        <w:rPr>
          <w:sz w:val="20"/>
          <w:szCs w:val="20"/>
          <w:color w:val="auto"/>
        </w:rPr>
      </w:pPr>
      <w:r>
        <w:rPr>
          <w:rFonts w:ascii="Arial" w:cs="Arial" w:eastAsia="Arial" w:hAnsi="Arial"/>
          <w:sz w:val="22"/>
          <w:szCs w:val="22"/>
          <w:color w:val="auto"/>
        </w:rPr>
        <w:t>Sales by our affiliates under Rule 144 are also limited by manner of sale provisions and notice requirements and to the availability of current public information about us.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Restrictions on the Use of Rule 144 by Shell Companies or Former Shell Companies</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20"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52" w:lineRule="exact"/>
        <w:rPr>
          <w:rFonts w:ascii="Arial" w:cs="Arial" w:eastAsia="Arial" w:hAnsi="Arial"/>
          <w:sz w:val="18"/>
          <w:szCs w:val="18"/>
          <w:color w:val="auto"/>
        </w:rPr>
      </w:pPr>
    </w:p>
    <w:p>
      <w:pPr>
        <w:ind w:left="980" w:right="100" w:hanging="324"/>
        <w:spacing w:after="0" w:line="224" w:lineRule="exact"/>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12 months (or such shorter period that the issuer was required to file such reports and materials), other than Form 8</w:t>
      </w:r>
      <w:r>
        <w:rPr>
          <w:rFonts w:ascii="MS PGothic" w:cs="MS PGothic" w:eastAsia="MS PGothic" w:hAnsi="MS PGothic"/>
          <w:sz w:val="17"/>
          <w:szCs w:val="17"/>
          <w:color w:val="auto"/>
        </w:rPr>
        <w:t>‑</w:t>
      </w:r>
      <w:r>
        <w:rPr>
          <w:rFonts w:ascii="Arial" w:cs="Arial" w:eastAsia="Arial" w:hAnsi="Arial"/>
          <w:sz w:val="17"/>
          <w:szCs w:val="17"/>
          <w:color w:val="auto"/>
        </w:rPr>
        <w:t>K reports; and</w:t>
      </w:r>
    </w:p>
    <w:p>
      <w:pPr>
        <w:spacing w:after="0" w:line="2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As a result, our initial shareholders will be able to sell their founder shares and our sponsor will be able to sell its private placement units, and the securities underlying the foregoing, pursuant to Rule 144 without registration one year after we have completed our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and Shareholder Rights</w:t>
      </w:r>
    </w:p>
    <w:p>
      <w:pPr>
        <w:spacing w:after="0" w:line="239" w:lineRule="exact"/>
        <w:rPr>
          <w:sz w:val="20"/>
          <w:szCs w:val="20"/>
          <w:color w:val="auto"/>
        </w:rPr>
      </w:pPr>
    </w:p>
    <w:p>
      <w:pPr>
        <w:ind w:right="20"/>
        <w:spacing w:after="0" w:line="245" w:lineRule="exact"/>
        <w:rPr>
          <w:sz w:val="20"/>
          <w:szCs w:val="20"/>
          <w:color w:val="auto"/>
        </w:rPr>
      </w:pPr>
      <w:r>
        <w:rPr>
          <w:rFonts w:ascii="Arial" w:cs="Arial" w:eastAsia="Arial" w:hAnsi="Arial"/>
          <w:sz w:val="19"/>
          <w:szCs w:val="19"/>
          <w:color w:val="auto"/>
        </w:rPr>
        <w:t>The holders of the founder shares, private placement units, private placement shares, private placement warrants, Class A ordinary shares underlying the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w:t>
      </w:r>
      <w:r>
        <w:rPr>
          <w:rFonts w:ascii="MS PGothic" w:cs="MS PGothic" w:eastAsia="MS PGothic" w:hAnsi="MS PGothic"/>
          <w:sz w:val="19"/>
          <w:szCs w:val="19"/>
          <w:color w:val="auto"/>
        </w:rPr>
        <w:t>‑</w:t>
      </w:r>
      <w:r>
        <w:rPr>
          <w:rFonts w:ascii="Arial" w:cs="Arial" w:eastAsia="Arial" w:hAnsi="Arial"/>
          <w:sz w:val="19"/>
          <w:szCs w:val="19"/>
          <w:color w:val="auto"/>
        </w:rPr>
        <w:t>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w:t>
      </w:r>
      <w:r>
        <w:rPr>
          <w:rFonts w:ascii="MS PGothic" w:cs="MS PGothic" w:eastAsia="MS PGothic" w:hAnsi="MS PGothic"/>
          <w:sz w:val="19"/>
          <w:szCs w:val="19"/>
          <w:color w:val="auto"/>
        </w:rPr>
        <w:t>‑</w:t>
      </w:r>
      <w:r>
        <w:rPr>
          <w:rFonts w:ascii="Arial" w:cs="Arial" w:eastAsia="Arial" w:hAnsi="Arial"/>
          <w:sz w:val="19"/>
          <w:szCs w:val="19"/>
          <w:color w:val="auto"/>
        </w:rPr>
        <w:t>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20"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Except as described herein,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units, private placement shares, private placement warrants and Class A ordinary shares issued upon conversion or exercise thereof until 30 days after the completion of our initial business combination. Any permitted transferees will be subject to the same restrictions and other agreements of our sponsor and management team with respect to any founder shares, private placement units, private placement shares, private placement warrants and Class A ordinary shares issued upon conversion or exercise thereof. We refer to such transfer restrictions throughout this prospectus as the lock</w:t>
      </w:r>
      <w:r>
        <w:rPr>
          <w:rFonts w:ascii="MS PGothic" w:cs="MS PGothic" w:eastAsia="MS PGothic" w:hAnsi="MS PGothic"/>
          <w:sz w:val="19"/>
          <w:szCs w:val="19"/>
          <w:color w:val="auto"/>
        </w:rPr>
        <w:t>‑</w:t>
      </w:r>
      <w:r>
        <w:rPr>
          <w:rFonts w:ascii="Arial" w:cs="Arial" w:eastAsia="Arial" w:hAnsi="Arial"/>
          <w:sz w:val="19"/>
          <w:szCs w:val="19"/>
          <w:color w:val="auto"/>
        </w:rPr>
        <w:t>up.</w:t>
      </w:r>
    </w:p>
    <w:p>
      <w:pPr>
        <w:spacing w:after="0" w:line="220" w:lineRule="exact"/>
        <w:rPr>
          <w:sz w:val="20"/>
          <w:szCs w:val="20"/>
          <w:color w:val="auto"/>
        </w:rPr>
      </w:pPr>
    </w:p>
    <w:p>
      <w:pPr>
        <w:ind w:right="500"/>
        <w:spacing w:after="0" w:line="297" w:lineRule="auto"/>
        <w:rPr>
          <w:sz w:val="20"/>
          <w:szCs w:val="20"/>
          <w:color w:val="auto"/>
        </w:rPr>
      </w:pPr>
      <w:r>
        <w:rPr>
          <w:rFonts w:ascii="Arial" w:cs="Arial" w:eastAsia="Arial" w:hAnsi="Arial"/>
          <w:sz w:val="19"/>
          <w:szCs w:val="19"/>
          <w:color w:val="auto"/>
        </w:rPr>
        <w:t>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 of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60" w:type="dxa"/>
            <w:vAlign w:val="bottom"/>
            <w:gridSpan w:val="2"/>
          </w:tcPr>
          <w:p>
            <w:pPr>
              <w:spacing w:after="0"/>
              <w:rPr>
                <w:sz w:val="20"/>
                <w:szCs w:val="20"/>
                <w:color w:val="auto"/>
              </w:rPr>
            </w:pPr>
            <w:r>
              <w:rPr>
                <w:rFonts w:ascii="Arial" w:cs="Arial" w:eastAsia="Arial" w:hAnsi="Arial"/>
                <w:sz w:val="22"/>
                <w:szCs w:val="22"/>
                <w:color w:val="auto"/>
                <w:w w:val="93"/>
              </w:rPr>
              <w:t>We intend to apply to have our units listed on Nasdaq under the symbol “</w:t>
            </w:r>
          </w:p>
        </w:tc>
        <w:tc>
          <w:tcPr>
            <w:tcW w:w="4580" w:type="dxa"/>
            <w:vAlign w:val="bottom"/>
            <w:gridSpan w:val="2"/>
          </w:tcPr>
          <w:p>
            <w:pPr>
              <w:ind w:left="320"/>
              <w:spacing w:after="0"/>
              <w:rPr>
                <w:sz w:val="20"/>
                <w:szCs w:val="20"/>
                <w:color w:val="auto"/>
              </w:rPr>
            </w:pPr>
            <w:r>
              <w:rPr>
                <w:rFonts w:ascii="Arial" w:cs="Arial" w:eastAsia="Arial" w:hAnsi="Arial"/>
                <w:sz w:val="22"/>
                <w:szCs w:val="22"/>
                <w:color w:val="auto"/>
                <w:w w:val="90"/>
              </w:rPr>
              <w:t>.” Once the securities comprising the units begin</w:t>
            </w:r>
          </w:p>
        </w:tc>
      </w:tr>
      <w:tr>
        <w:trPr>
          <w:trHeight w:val="243"/>
        </w:trPr>
        <w:tc>
          <w:tcPr>
            <w:tcW w:w="10620" w:type="dxa"/>
            <w:vAlign w:val="bottom"/>
            <w:gridSpan w:val="3"/>
          </w:tcPr>
          <w:p>
            <w:pPr>
              <w:spacing w:after="0" w:line="243" w:lineRule="exact"/>
              <w:rPr>
                <w:sz w:val="20"/>
                <w:szCs w:val="20"/>
                <w:color w:val="auto"/>
              </w:rPr>
            </w:pPr>
            <w:r>
              <w:rPr>
                <w:rFonts w:ascii="Arial" w:cs="Arial" w:eastAsia="Arial" w:hAnsi="Arial"/>
                <w:sz w:val="22"/>
                <w:szCs w:val="22"/>
                <w:color w:val="auto"/>
                <w:w w:val="91"/>
              </w:rPr>
              <w:t>separate trading, we expect that the Class A ordinary shares and warrants will be listed on Nasdaq under the symbols “</w:t>
            </w:r>
          </w:p>
        </w:tc>
        <w:tc>
          <w:tcPr>
            <w:tcW w:w="620" w:type="dxa"/>
            <w:vAlign w:val="bottom"/>
          </w:tcPr>
          <w:p>
            <w:pPr>
              <w:ind w:left="340"/>
              <w:spacing w:after="0" w:line="243" w:lineRule="exact"/>
              <w:rPr>
                <w:sz w:val="20"/>
                <w:szCs w:val="20"/>
                <w:color w:val="auto"/>
              </w:rPr>
            </w:pPr>
            <w:r>
              <w:rPr>
                <w:rFonts w:ascii="Arial" w:cs="Arial" w:eastAsia="Arial" w:hAnsi="Arial"/>
                <w:sz w:val="22"/>
                <w:szCs w:val="22"/>
                <w:color w:val="auto"/>
              </w:rPr>
              <w:t>”</w:t>
            </w: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and “</w:t>
            </w:r>
          </w:p>
        </w:tc>
        <w:tc>
          <w:tcPr>
            <w:tcW w:w="10440" w:type="dxa"/>
            <w:vAlign w:val="bottom"/>
            <w:gridSpan w:val="3"/>
          </w:tcPr>
          <w:p>
            <w:pPr>
              <w:ind w:left="320"/>
              <w:spacing w:after="0" w:line="243" w:lineRule="exact"/>
              <w:rPr>
                <w:sz w:val="20"/>
                <w:szCs w:val="20"/>
                <w:color w:val="auto"/>
              </w:rPr>
            </w:pPr>
            <w:r>
              <w:rPr>
                <w:rFonts w:ascii="Arial" w:cs="Arial" w:eastAsia="Arial" w:hAnsi="Arial"/>
                <w:sz w:val="22"/>
                <w:szCs w:val="22"/>
                <w:color w:val="auto"/>
                <w:w w:val="91"/>
              </w:rPr>
              <w:t>,” respectively. The units will automatically separate into their component parts and will not be traded following the</w:t>
            </w:r>
          </w:p>
        </w:tc>
      </w:tr>
      <w:tr>
        <w:trPr>
          <w:trHeight w:val="274"/>
        </w:trPr>
        <w:tc>
          <w:tcPr>
            <w:tcW w:w="6660" w:type="dxa"/>
            <w:vAlign w:val="bottom"/>
            <w:gridSpan w:val="2"/>
          </w:tcPr>
          <w:p>
            <w:pPr>
              <w:spacing w:after="0"/>
              <w:rPr>
                <w:sz w:val="20"/>
                <w:szCs w:val="20"/>
                <w:color w:val="auto"/>
              </w:rPr>
            </w:pPr>
            <w:r>
              <w:rPr>
                <w:rFonts w:ascii="Arial" w:cs="Arial" w:eastAsia="Arial" w:hAnsi="Arial"/>
                <w:sz w:val="22"/>
                <w:szCs w:val="22"/>
                <w:color w:val="auto"/>
              </w:rPr>
              <w:t>completion of our initial business combination.</w:t>
            </w:r>
          </w:p>
        </w:tc>
        <w:tc>
          <w:tcPr>
            <w:tcW w:w="39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85"/>
        </w:trPr>
        <w:tc>
          <w:tcPr>
            <w:tcW w:w="800" w:type="dxa"/>
            <w:vAlign w:val="bottom"/>
          </w:tcPr>
          <w:p>
            <w:pPr>
              <w:spacing w:after="0"/>
              <w:rPr>
                <w:sz w:val="24"/>
                <w:szCs w:val="24"/>
                <w:color w:val="auto"/>
              </w:rPr>
            </w:pPr>
          </w:p>
        </w:tc>
        <w:tc>
          <w:tcPr>
            <w:tcW w:w="5860" w:type="dxa"/>
            <w:vAlign w:val="bottom"/>
          </w:tcPr>
          <w:p>
            <w:pPr>
              <w:jc w:val="right"/>
              <w:ind w:right="830"/>
              <w:spacing w:after="0"/>
              <w:rPr>
                <w:sz w:val="20"/>
                <w:szCs w:val="20"/>
                <w:color w:val="auto"/>
              </w:rPr>
            </w:pPr>
            <w:r>
              <w:rPr>
                <w:rFonts w:ascii="Arial" w:cs="Arial" w:eastAsia="Arial" w:hAnsi="Arial"/>
                <w:sz w:val="14"/>
                <w:szCs w:val="14"/>
                <w:color w:val="auto"/>
              </w:rPr>
              <w:t>129</w:t>
            </w:r>
          </w:p>
        </w:tc>
        <w:tc>
          <w:tcPr>
            <w:tcW w:w="3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
        </w:trPr>
        <w:tc>
          <w:tcPr>
            <w:tcW w:w="80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TAXATION</w:t>
      </w:r>
    </w:p>
    <w:p>
      <w:pPr>
        <w:spacing w:after="0" w:line="239" w:lineRule="exact"/>
        <w:rPr>
          <w:sz w:val="20"/>
          <w:szCs w:val="20"/>
          <w:color w:val="auto"/>
        </w:rPr>
      </w:pPr>
    </w:p>
    <w:p>
      <w:pPr>
        <w:ind w:right="40"/>
        <w:spacing w:after="0" w:line="249" w:lineRule="exact"/>
        <w:rPr>
          <w:sz w:val="20"/>
          <w:szCs w:val="20"/>
          <w:color w:val="auto"/>
        </w:rPr>
      </w:pPr>
      <w:r>
        <w:rPr>
          <w:rFonts w:ascii="Arial" w:cs="Arial" w:eastAsia="Arial" w:hAnsi="Arial"/>
          <w:sz w:val="19"/>
          <w:szCs w:val="19"/>
          <w:color w:val="auto"/>
        </w:rPr>
        <w:t>The following summary of certain Cayman Islands and U.S. federal income tax consequences of an investment in our units, each consisting of one Class A ordinary share and one</w:t>
      </w:r>
      <w:r>
        <w:rPr>
          <w:rFonts w:ascii="MS PGothic" w:cs="MS PGothic" w:eastAsia="MS PGothic" w:hAnsi="MS PGothic"/>
          <w:sz w:val="19"/>
          <w:szCs w:val="19"/>
          <w:color w:val="auto"/>
        </w:rPr>
        <w:t>‑</w:t>
      </w:r>
      <w:r>
        <w:rPr>
          <w:rFonts w:ascii="Arial" w:cs="Arial" w:eastAsia="Arial" w:hAnsi="Arial"/>
          <w:sz w:val="19"/>
          <w:szCs w:val="19"/>
          <w:color w:val="auto"/>
        </w:rPr>
        <w:t>fourth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Prospective investors should consult their advisors on the possible tax consequences of investing in our securities under the laws of their country of citizenship, residence or domicile.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Cayman Islands Tax Considerations</w:t>
      </w:r>
    </w:p>
    <w:p>
      <w:pPr>
        <w:spacing w:after="0" w:line="239"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 Existing Cayman Islands Laws</w:t>
      </w:r>
    </w:p>
    <w:p>
      <w:pPr>
        <w:spacing w:after="0" w:line="239"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70"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No stamp duty is payable in respect of the issue of the warrants. An instrument of transfer in respect of a warrant is stampable if executed in or brought into the Cayman Islands.</w:t>
      </w:r>
    </w:p>
    <w:p>
      <w:pPr>
        <w:spacing w:after="0" w:line="202"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No stamp duty is payable in respect of the issue of our Class A ordinary shares or on an instrument of transfer in respect of such shares.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TAX CONCESSIONS LAW</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(2018 Revision)</w:t>
      </w:r>
    </w:p>
    <w:p>
      <w:pPr>
        <w:jc w:val="center"/>
        <w:ind w:right="-39"/>
        <w:spacing w:after="0"/>
        <w:rPr>
          <w:sz w:val="20"/>
          <w:szCs w:val="20"/>
          <w:color w:val="auto"/>
        </w:rPr>
      </w:pPr>
      <w:r>
        <w:rPr>
          <w:rFonts w:ascii="Arial" w:cs="Arial" w:eastAsia="Arial" w:hAnsi="Arial"/>
          <w:sz w:val="22"/>
          <w:szCs w:val="22"/>
          <w:b w:val="1"/>
          <w:bCs w:val="1"/>
          <w:color w:val="auto"/>
        </w:rPr>
        <w:t>UNDERTAKING AS TO TAX CONCESSIONS</w:t>
      </w:r>
    </w:p>
    <w:p>
      <w:pPr>
        <w:spacing w:after="0" w:line="21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In accordance with the provision of Section 6 of The Tax Concessions Law (2018 Revision), the Financial Secretary undertakes with ARYA Sciences Acquisition Corp III (the “Company”):</w:t>
      </w:r>
    </w:p>
    <w:p>
      <w:pPr>
        <w:spacing w:after="0" w:line="209" w:lineRule="exact"/>
        <w:rPr>
          <w:sz w:val="20"/>
          <w:szCs w:val="20"/>
          <w:color w:val="auto"/>
        </w:rPr>
      </w:pPr>
    </w:p>
    <w:p>
      <w:pPr>
        <w:ind w:left="980" w:right="140" w:hanging="324"/>
        <w:spacing w:after="0" w:line="263"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 3. In addition, that no tax to be levied on profits, income, gains or appreciations or which is in the nature of estate duty or inheritance tax shall be payable:</w:t>
      </w:r>
    </w:p>
    <w:p>
      <w:pPr>
        <w:spacing w:after="0" w:line="21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3.2 On or in respect of the shares, debentures or other obligations of the Company; or</w:t>
      </w:r>
    </w:p>
    <w:p>
      <w:pPr>
        <w:spacing w:after="0" w:line="252" w:lineRule="exact"/>
        <w:rPr>
          <w:rFonts w:ascii="Arial" w:cs="Arial" w:eastAsia="Arial" w:hAnsi="Arial"/>
          <w:sz w:val="18"/>
          <w:szCs w:val="18"/>
          <w:color w:val="auto"/>
        </w:rPr>
      </w:pPr>
    </w:p>
    <w:p>
      <w:pPr>
        <w:ind w:left="1300" w:right="540" w:hanging="324"/>
        <w:spacing w:after="0" w:line="277" w:lineRule="auto"/>
        <w:rPr>
          <w:rFonts w:ascii="Arial" w:cs="Arial" w:eastAsia="Arial" w:hAnsi="Arial"/>
          <w:sz w:val="18"/>
          <w:szCs w:val="18"/>
          <w:color w:val="auto"/>
        </w:rPr>
      </w:pPr>
      <w:r>
        <w:rPr>
          <w:rFonts w:ascii="Arial" w:cs="Arial" w:eastAsia="Arial" w:hAnsi="Arial"/>
          <w:sz w:val="18"/>
          <w:szCs w:val="18"/>
          <w:color w:val="auto"/>
        </w:rPr>
        <w:t>3.3 by way of the withholding in whole or part, of any relevant payment as defined in Section 6(3) of the Tax Concessions Law (2018 Revision).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These concessions shall be for a period of 20 years from the date hereof.</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6" w:name="page137"/>
    <w:bookmarkEnd w:id="13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States Federal Income Tax Considerations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w:t>
      </w:r>
    </w:p>
    <w:p>
      <w:pPr>
        <w:spacing w:after="0" w:line="233" w:lineRule="exact"/>
        <w:rPr>
          <w:sz w:val="20"/>
          <w:szCs w:val="20"/>
          <w:color w:val="auto"/>
        </w:rPr>
      </w:pPr>
    </w:p>
    <w:p>
      <w:pPr>
        <w:spacing w:after="0" w:line="247" w:lineRule="exact"/>
        <w:rPr>
          <w:sz w:val="20"/>
          <w:szCs w:val="20"/>
          <w:color w:val="auto"/>
        </w:rPr>
      </w:pPr>
      <w:r>
        <w:rPr>
          <w:rFonts w:ascii="Arial" w:cs="Arial" w:eastAsia="Arial" w:hAnsi="Arial"/>
          <w:sz w:val="22"/>
          <w:szCs w:val="22"/>
          <w:color w:val="auto"/>
        </w:rPr>
        <w:t>The following discussion summarizes certain U.S. federal income tax considerations generally applicable to the acquisition, ownership and disposition of our units (each consisting of one Class A ordinary share and one</w:t>
      </w:r>
      <w:r>
        <w:rPr>
          <w:rFonts w:ascii="MS PGothic" w:cs="MS PGothic" w:eastAsia="MS PGothic" w:hAnsi="MS PGothic"/>
          <w:sz w:val="22"/>
          <w:szCs w:val="22"/>
          <w:color w:val="auto"/>
        </w:rPr>
        <w:t>‑</w:t>
      </w:r>
      <w:r>
        <w:rPr>
          <w:rFonts w:ascii="Arial" w:cs="Arial" w:eastAsia="Arial" w:hAnsi="Arial"/>
          <w:sz w:val="22"/>
          <w:szCs w:val="22"/>
          <w:color w:val="auto"/>
        </w:rPr>
        <w:t>fourth of one redeemable warrant), other than private placement units, that are purchased in this offering by U.S. Holders (as defined below) and Non</w:t>
      </w:r>
      <w:r>
        <w:rPr>
          <w:rFonts w:ascii="MS PGothic" w:cs="MS PGothic" w:eastAsia="MS PGothic" w:hAnsi="MS PGothic"/>
          <w:sz w:val="22"/>
          <w:szCs w:val="22"/>
          <w:color w:val="auto"/>
        </w:rPr>
        <w:t>‑</w:t>
      </w:r>
      <w:r>
        <w:rPr>
          <w:rFonts w:ascii="Arial" w:cs="Arial" w:eastAsia="Arial" w:hAnsi="Arial"/>
          <w:sz w:val="22"/>
          <w:szCs w:val="22"/>
          <w:color w:val="auto"/>
        </w:rPr>
        <w:t>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214"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This discussion is limited to certain U.S. federal income tax considerations to beneficial owners of our securities who are initial purchasers of a unit (other than a private placement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214"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w:t>
      </w:r>
      <w:r>
        <w:rPr>
          <w:rFonts w:ascii="MS PGothic" w:cs="MS PGothic" w:eastAsia="MS PGothic" w:hAnsi="MS PGothic"/>
          <w:sz w:val="18"/>
          <w:szCs w:val="18"/>
          <w:color w:val="auto"/>
        </w:rPr>
        <w:t>‑</w:t>
      </w:r>
      <w:r>
        <w:rPr>
          <w:rFonts w:ascii="Arial" w:cs="Arial" w:eastAsia="Arial" w:hAnsi="Arial"/>
          <w:sz w:val="18"/>
          <w:szCs w:val="18"/>
          <w:color w:val="auto"/>
        </w:rPr>
        <w:t>dealers;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taxpayers that are subject to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accounting rules;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corporations;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w:t>
      </w:r>
      <w:r>
        <w:rPr>
          <w:rFonts w:ascii="MS PGothic" w:cs="MS PGothic" w:eastAsia="MS PGothic" w:hAnsi="MS PGothic"/>
          <w:sz w:val="18"/>
          <w:szCs w:val="18"/>
          <w:color w:val="auto"/>
        </w:rPr>
        <w:t>‑</w:t>
      </w:r>
      <w:r>
        <w:rPr>
          <w:rFonts w:ascii="Arial" w:cs="Arial" w:eastAsia="Arial" w:hAnsi="Arial"/>
          <w:sz w:val="18"/>
          <w:szCs w:val="18"/>
          <w:color w:val="auto"/>
        </w:rPr>
        <w:t>exempt entities;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980" w:hanging="324"/>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expatriates or former long</w:t>
      </w:r>
      <w:r>
        <w:rPr>
          <w:rFonts w:ascii="MS PGothic" w:cs="MS PGothic" w:eastAsia="MS PGothic" w:hAnsi="MS PGothic"/>
          <w:sz w:val="18"/>
          <w:szCs w:val="18"/>
          <w:color w:val="auto"/>
        </w:rPr>
        <w:t>‑</w:t>
      </w:r>
      <w:r>
        <w:rPr>
          <w:rFonts w:ascii="Arial" w:cs="Arial" w:eastAsia="Arial" w:hAnsi="Arial"/>
          <w:sz w:val="18"/>
          <w:szCs w:val="18"/>
          <w:color w:val="auto"/>
        </w:rPr>
        <w:t>term residents of the United States;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252"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 or</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45"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Moreover, the discussion below is based upon the provisions of the Code, the Treasury regulations promulgated thereunder and administrative and judicial interpretations thereof, all as of the date hereof. Those authorities may be</w:t>
      </w:r>
    </w:p>
    <w:p>
      <w:pPr>
        <w:sectPr>
          <w:pgSz w:w="11900" w:h="16838" w:orient="portrait"/>
          <w:cols w:equalWidth="0" w:num="1">
            <w:col w:w="11220"/>
          </w:cols>
          <w:pgMar w:left="320" w:top="121" w:right="35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7" w:name="page138"/>
    <w:bookmarkEnd w:id="13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spacing w:after="0" w:line="254" w:lineRule="exact"/>
        <w:rPr>
          <w:sz w:val="20"/>
          <w:szCs w:val="20"/>
          <w:color w:val="auto"/>
        </w:rPr>
      </w:pPr>
      <w:r>
        <w:rPr>
          <w:rFonts w:ascii="Arial" w:cs="Arial" w:eastAsia="Arial" w:hAnsi="Arial"/>
          <w:sz w:val="19"/>
          <w:szCs w:val="19"/>
          <w:color w:val="auto"/>
        </w:rPr>
        <w:t>repealed, revoked, modified or subject to differing interpretations, possibly on a retroactive basis, so as to result in U.S. federal income tax consequences different from those discussed below. Furthermore, this discussion does not address any aspect of U.S. federal non</w:t>
      </w:r>
      <w:r>
        <w:rPr>
          <w:rFonts w:ascii="MS PGothic" w:cs="MS PGothic" w:eastAsia="MS PGothic" w:hAnsi="MS PGothic"/>
          <w:sz w:val="19"/>
          <w:szCs w:val="19"/>
          <w:color w:val="auto"/>
        </w:rPr>
        <w:t>‑</w:t>
      </w:r>
      <w:r>
        <w:rPr>
          <w:rFonts w:ascii="Arial" w:cs="Arial" w:eastAsia="Arial" w:hAnsi="Arial"/>
          <w:sz w:val="19"/>
          <w:szCs w:val="19"/>
          <w:color w:val="auto"/>
        </w:rPr>
        <w:t>income tax laws, such as gift, estate or Medicare contribution tax laws, or state, local or non</w:t>
      </w:r>
      <w:r>
        <w:rPr>
          <w:rFonts w:ascii="MS PGothic" w:cs="MS PGothic" w:eastAsia="MS PGothic" w:hAnsi="MS PGothic"/>
          <w:sz w:val="19"/>
          <w:szCs w:val="19"/>
          <w:color w:val="auto"/>
        </w:rPr>
        <w:t>‑</w:t>
      </w:r>
      <w:r>
        <w:rPr>
          <w:rFonts w:ascii="Arial" w:cs="Arial" w:eastAsia="Arial" w:hAnsi="Arial"/>
          <w:sz w:val="19"/>
          <w:szCs w:val="19"/>
          <w:color w:val="auto"/>
        </w:rPr>
        <w:t>U.S. tax laws.</w:t>
      </w:r>
    </w:p>
    <w:p>
      <w:pPr>
        <w:spacing w:after="0" w:line="21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As used herein, the term “U.S. Holder” means a beneficial owner of units, Class A ordinary shares or warrants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to be treated as a U.S. person.</w:t>
      </w:r>
    </w:p>
    <w:p>
      <w:pPr>
        <w:spacing w:after="0" w:line="179" w:lineRule="exact"/>
        <w:rPr>
          <w:sz w:val="20"/>
          <w:szCs w:val="20"/>
          <w:color w:val="auto"/>
        </w:rPr>
      </w:pPr>
    </w:p>
    <w:p>
      <w:pPr>
        <w:ind w:right="60"/>
        <w:spacing w:after="0" w:line="249" w:lineRule="exact"/>
        <w:rPr>
          <w:sz w:val="20"/>
          <w:szCs w:val="20"/>
          <w:color w:val="auto"/>
        </w:rPr>
      </w:pPr>
      <w:r>
        <w:rPr>
          <w:rFonts w:ascii="Arial" w:cs="Arial" w:eastAsia="Arial" w:hAnsi="Arial"/>
          <w:sz w:val="21"/>
          <w:szCs w:val="21"/>
          <w:color w:val="auto"/>
        </w:rPr>
        <w:t>This discussion does not consider the tax treatment of partnerships or other pass</w:t>
      </w:r>
      <w:r>
        <w:rPr>
          <w:rFonts w:ascii="MS PGothic" w:cs="MS PGothic" w:eastAsia="MS PGothic" w:hAnsi="MS PGothic"/>
          <w:sz w:val="21"/>
          <w:szCs w:val="21"/>
          <w:color w:val="auto"/>
        </w:rPr>
        <w:t>‑</w:t>
      </w:r>
      <w:r>
        <w:rPr>
          <w:rFonts w:ascii="Arial" w:cs="Arial" w:eastAsia="Arial" w:hAnsi="Arial"/>
          <w:sz w:val="21"/>
          <w:szCs w:val="21"/>
          <w:color w:val="auto"/>
        </w:rPr>
        <w:t>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A U.S. Holders who is a partner of a partnership holding our securities is urged to consult its tax advisor.</w:t>
      </w:r>
    </w:p>
    <w:p>
      <w:pPr>
        <w:spacing w:after="0" w:line="209" w:lineRule="exact"/>
        <w:rPr>
          <w:sz w:val="20"/>
          <w:szCs w:val="20"/>
          <w:color w:val="auto"/>
        </w:rPr>
      </w:pPr>
    </w:p>
    <w:p>
      <w:pPr>
        <w:ind w:right="40"/>
        <w:spacing w:after="0" w:line="249" w:lineRule="exact"/>
        <w:rPr>
          <w:sz w:val="20"/>
          <w:szCs w:val="20"/>
          <w:color w:val="auto"/>
        </w:rPr>
      </w:pPr>
      <w:r>
        <w:rPr>
          <w:rFonts w:ascii="Arial" w:cs="Arial" w:eastAsia="Arial" w:hAnsi="Arial"/>
          <w:sz w:val="22"/>
          <w:szCs w:val="22"/>
          <w:b w:val="1"/>
          <w:bCs w:val="1"/>
          <w:color w:val="auto"/>
        </w:rPr>
        <w:t>THIS DISCUSSION IS ONLY A SUMMARY OF CERTAIN U.S.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STATE, LOCAL, AND 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U.S. TAX LAWS.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Allocation of Purchase Price and Characterization of a Unit</w:t>
      </w:r>
    </w:p>
    <w:p>
      <w:pPr>
        <w:spacing w:after="0" w:line="233" w:lineRule="exact"/>
        <w:rPr>
          <w:sz w:val="20"/>
          <w:szCs w:val="20"/>
          <w:color w:val="auto"/>
        </w:rPr>
      </w:pPr>
    </w:p>
    <w:p>
      <w:pPr>
        <w:ind w:right="40"/>
        <w:spacing w:after="0" w:line="245" w:lineRule="exact"/>
        <w:rPr>
          <w:sz w:val="20"/>
          <w:szCs w:val="20"/>
          <w:color w:val="auto"/>
        </w:rPr>
      </w:pPr>
      <w:r>
        <w:rPr>
          <w:rFonts w:ascii="Arial" w:cs="Arial" w:eastAsia="Arial" w:hAnsi="Arial"/>
          <w:sz w:val="19"/>
          <w:szCs w:val="19"/>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ordinary shares and one</w:t>
      </w:r>
      <w:r>
        <w:rPr>
          <w:rFonts w:ascii="MS PGothic" w:cs="MS PGothic" w:eastAsia="MS PGothic" w:hAnsi="MS PGothic"/>
          <w:sz w:val="19"/>
          <w:szCs w:val="19"/>
          <w:color w:val="auto"/>
        </w:rPr>
        <w:t>‑</w:t>
      </w:r>
      <w:r>
        <w:rPr>
          <w:rFonts w:ascii="Arial" w:cs="Arial" w:eastAsia="Arial" w:hAnsi="Arial"/>
          <w:sz w:val="19"/>
          <w:szCs w:val="19"/>
          <w:color w:val="auto"/>
        </w:rPr>
        <w:t>fourth of one warrant, four of which may be combined into a whole warrant exercisable to acquire one share of our Class A ordinary shares. We intend to treat the acquisition of a unit in this manner and, by purchasing a unit, you will agree to adopt such treatment for applicable tax purposes. For U.S. federal income tax purposes, each holder of a unit must allocate the purchase price paid by such holder for such unit between the one Class A ordinary share and the one</w:t>
      </w:r>
      <w:r>
        <w:rPr>
          <w:rFonts w:ascii="MS PGothic" w:cs="MS PGothic" w:eastAsia="MS PGothic" w:hAnsi="MS PGothic"/>
          <w:sz w:val="19"/>
          <w:szCs w:val="19"/>
          <w:color w:val="auto"/>
        </w:rPr>
        <w:t>‑</w:t>
      </w:r>
      <w:r>
        <w:rPr>
          <w:rFonts w:ascii="Arial" w:cs="Arial" w:eastAsia="Arial" w:hAnsi="Arial"/>
          <w:sz w:val="19"/>
          <w:szCs w:val="19"/>
          <w:color w:val="auto"/>
        </w:rPr>
        <w:t>fourth of one warrant based on the relative fair market value of each at the time of issuance. The price allocated to each Class A ordinary share and one</w:t>
      </w:r>
      <w:r>
        <w:rPr>
          <w:rFonts w:ascii="MS PGothic" w:cs="MS PGothic" w:eastAsia="MS PGothic" w:hAnsi="MS PGothic"/>
          <w:sz w:val="19"/>
          <w:szCs w:val="19"/>
          <w:color w:val="auto"/>
        </w:rPr>
        <w:t>‑</w:t>
      </w:r>
      <w:r>
        <w:rPr>
          <w:rFonts w:ascii="Arial" w:cs="Arial" w:eastAsia="Arial" w:hAnsi="Arial"/>
          <w:sz w:val="19"/>
          <w:szCs w:val="19"/>
          <w:color w:val="auto"/>
        </w:rPr>
        <w:t>fourth of one warrant should constitute the shareholder’s initial tax basis in such share or warrant. Any disposition of a unit should be treated for U.S. federal income tax purposes as a disposition of the Class A ordinary share and one</w:t>
      </w:r>
      <w:r>
        <w:rPr>
          <w:rFonts w:ascii="MS PGothic" w:cs="MS PGothic" w:eastAsia="MS PGothic" w:hAnsi="MS PGothic"/>
          <w:sz w:val="19"/>
          <w:szCs w:val="19"/>
          <w:color w:val="auto"/>
        </w:rPr>
        <w:t>‑</w:t>
      </w:r>
      <w:r>
        <w:rPr>
          <w:rFonts w:ascii="Arial" w:cs="Arial" w:eastAsia="Arial" w:hAnsi="Arial"/>
          <w:sz w:val="19"/>
          <w:szCs w:val="19"/>
          <w:color w:val="auto"/>
        </w:rPr>
        <w:t>fourth of one warrant comprising the unit, and the amount realized on the disposition should be allocated between the Class A ordinary share and warrant based on their respective relative fair market values at the time of disposition (as determined by each U.S. Holder based on all the relevant facts and circumstances). Neither the separation of the Class A ordinary share and the one</w:t>
      </w:r>
      <w:r>
        <w:rPr>
          <w:rFonts w:ascii="MS PGothic" w:cs="MS PGothic" w:eastAsia="MS PGothic" w:hAnsi="MS PGothic"/>
          <w:sz w:val="19"/>
          <w:szCs w:val="19"/>
          <w:color w:val="auto"/>
        </w:rPr>
        <w:t>‑</w:t>
      </w:r>
      <w:r>
        <w:rPr>
          <w:rFonts w:ascii="Arial" w:cs="Arial" w:eastAsia="Arial" w:hAnsi="Arial"/>
          <w:sz w:val="19"/>
          <w:szCs w:val="19"/>
          <w:color w:val="auto"/>
        </w:rPr>
        <w:t>fourth of one warrant constituting a unit nor the combination of fourths of warrants into a single warrant should be a taxable event for U.S. federal income tax purposes.</w:t>
      </w:r>
    </w:p>
    <w:p>
      <w:pPr>
        <w:spacing w:after="0" w:line="217"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The foregoing treatment of the units,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200"/>
        <w:spacing w:after="0" w:line="328" w:lineRule="auto"/>
        <w:rPr>
          <w:sz w:val="20"/>
          <w:szCs w:val="20"/>
          <w:color w:val="auto"/>
        </w:rPr>
      </w:pPr>
      <w:r>
        <w:rPr>
          <w:rFonts w:ascii="Arial" w:cs="Arial" w:eastAsia="Arial" w:hAnsi="Arial"/>
          <w:sz w:val="19"/>
          <w:szCs w:val="19"/>
          <w:color w:val="auto"/>
        </w:rPr>
        <w:t>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 Holders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of Distributions</w:t>
      </w:r>
    </w:p>
    <w:p>
      <w:pPr>
        <w:spacing w:after="0" w:line="233" w:lineRule="exact"/>
        <w:rPr>
          <w:sz w:val="20"/>
          <w:szCs w:val="20"/>
          <w:color w:val="auto"/>
        </w:rPr>
      </w:pPr>
    </w:p>
    <w:p>
      <w:pPr>
        <w:ind w:right="20"/>
        <w:spacing w:after="0" w:line="246" w:lineRule="exact"/>
        <w:rPr>
          <w:sz w:val="20"/>
          <w:szCs w:val="20"/>
          <w:color w:val="auto"/>
        </w:rPr>
      </w:pPr>
      <w:r>
        <w:rPr>
          <w:rFonts w:ascii="Arial" w:cs="Arial" w:eastAsia="Arial" w:hAnsi="Arial"/>
          <w:sz w:val="21"/>
          <w:szCs w:val="21"/>
          <w:color w:val="auto"/>
        </w:rPr>
        <w:t>Subject to the PFIC rules discussed below, a U.S. Holder generally will be required to include in gross income as dividends the amount of any cash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w:t>
      </w:r>
      <w:r>
        <w:rPr>
          <w:rFonts w:ascii="MS PGothic" w:cs="MS PGothic" w:eastAsia="MS PGothic" w:hAnsi="MS PGothic"/>
          <w:sz w:val="21"/>
          <w:szCs w:val="21"/>
          <w:color w:val="auto"/>
        </w:rPr>
        <w:t>‑</w:t>
      </w:r>
      <w:r>
        <w:rPr>
          <w:rFonts w:ascii="Arial" w:cs="Arial" w:eastAsia="Arial" w:hAnsi="Arial"/>
          <w:sz w:val="21"/>
          <w:szCs w:val="21"/>
          <w:color w:val="auto"/>
        </w:rPr>
        <w:t>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220" w:lineRule="exact"/>
        <w:rPr>
          <w:sz w:val="20"/>
          <w:szCs w:val="20"/>
          <w:color w:val="auto"/>
        </w:rPr>
      </w:pPr>
    </w:p>
    <w:p>
      <w:pPr>
        <w:ind w:right="120"/>
        <w:spacing w:after="0" w:line="246" w:lineRule="exact"/>
        <w:rPr>
          <w:sz w:val="20"/>
          <w:szCs w:val="20"/>
          <w:color w:val="auto"/>
        </w:rPr>
      </w:pPr>
      <w:r>
        <w:rPr>
          <w:rFonts w:ascii="Arial" w:cs="Arial" w:eastAsia="Arial" w:hAnsi="Arial"/>
          <w:sz w:val="21"/>
          <w:szCs w:val="21"/>
          <w:color w:val="auto"/>
        </w:rPr>
        <w:t>With respect to non</w:t>
      </w:r>
      <w:r>
        <w:rPr>
          <w:rFonts w:ascii="MS PGothic" w:cs="MS PGothic" w:eastAsia="MS PGothic" w:hAnsi="MS PGothic"/>
          <w:sz w:val="21"/>
          <w:szCs w:val="21"/>
          <w:color w:val="auto"/>
        </w:rPr>
        <w:t>‑</w:t>
      </w:r>
      <w:r>
        <w:rPr>
          <w:rFonts w:ascii="Arial" w:cs="Arial" w:eastAsia="Arial" w:hAnsi="Arial"/>
          <w:sz w:val="21"/>
          <w:szCs w:val="21"/>
          <w:color w:val="auto"/>
        </w:rPr>
        <w:t>corporate U.S. Holders, under tax laws currently in effect and subject to certain exceptions (including, but not limited to, dividends treated as investment income for purposes of investment interest deduction limitations), dividends generally will be taxed at the lower applicable long</w:t>
      </w:r>
      <w:r>
        <w:rPr>
          <w:rFonts w:ascii="MS PGothic" w:cs="MS PGothic" w:eastAsia="MS PGothic" w:hAnsi="MS PGothic"/>
          <w:sz w:val="21"/>
          <w:szCs w:val="21"/>
          <w:color w:val="auto"/>
        </w:rPr>
        <w:t>‑</w:t>
      </w:r>
      <w:r>
        <w:rPr>
          <w:rFonts w:ascii="Arial" w:cs="Arial" w:eastAsia="Arial" w:hAnsi="Arial"/>
          <w:sz w:val="21"/>
          <w:szCs w:val="21"/>
          <w:color w:val="auto"/>
        </w:rPr>
        <w:t xml:space="preserve">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taxable year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Gain or Loss on Sale, Taxable Exchange or Other Taxable Disposition of Class A Ordinary Shares and Warrants</w:t>
      </w:r>
    </w:p>
    <w:p>
      <w:pPr>
        <w:spacing w:after="0" w:line="233" w:lineRule="exact"/>
        <w:rPr>
          <w:sz w:val="20"/>
          <w:szCs w:val="20"/>
          <w:color w:val="auto"/>
        </w:rPr>
      </w:pPr>
    </w:p>
    <w:p>
      <w:pPr>
        <w:ind w:right="60"/>
        <w:spacing w:after="0" w:line="248" w:lineRule="exact"/>
        <w:rPr>
          <w:sz w:val="20"/>
          <w:szCs w:val="20"/>
          <w:color w:val="auto"/>
        </w:rPr>
      </w:pPr>
      <w:r>
        <w:rPr>
          <w:rFonts w:ascii="Arial" w:cs="Arial" w:eastAsia="Arial" w:hAnsi="Arial"/>
          <w:sz w:val="22"/>
          <w:szCs w:val="22"/>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w:t>
      </w:r>
      <w:r>
        <w:rPr>
          <w:rFonts w:ascii="MS PGothic" w:cs="MS PGothic" w:eastAsia="MS PGothic" w:hAnsi="MS PGothic"/>
          <w:sz w:val="22"/>
          <w:szCs w:val="22"/>
          <w:color w:val="auto"/>
        </w:rPr>
        <w:t>‑</w:t>
      </w:r>
      <w:r>
        <w:rPr>
          <w:rFonts w:ascii="Arial" w:cs="Arial" w:eastAsia="Arial" w:hAnsi="Arial"/>
          <w:sz w:val="22"/>
          <w:szCs w:val="22"/>
          <w:color w:val="auto"/>
        </w:rPr>
        <w:t>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The amount of gain or loss recognized on a sale or other taxable disposition generally will be equal to the difference between (i)</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sum of the amount of cash and the fair market value of any property received in such disposition (or, if the Class A ordinary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or warrants are held as part of units at the time of the disposition, the portion of the amount realized on such disposition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is allocated to the Class A ordinary shares or warrants based upon the then relative fair market values of the Class A ordinary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and the warrants included in the units) and (ii) the U.S. Holder’s adjusted tax basis in its Class A ordinary shares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warrants so disposed of. A U.S. Holder’s adjusted tax basis in its Class A ordinary shares and warrants generally will equal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U.S. Holder’s acquisition cost (that is, the portion of the purchase price of a unit allocated to a Class A ordinary share or</w:t>
      </w:r>
    </w:p>
    <w:p>
      <w:pPr>
        <w:spacing w:after="0" w:line="2"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one</w:t>
      </w:r>
      <w:r>
        <w:rPr>
          <w:rFonts w:ascii="MS PGothic" w:cs="MS PGothic" w:eastAsia="MS PGothic" w:hAnsi="MS PGothic"/>
          <w:sz w:val="19"/>
          <w:szCs w:val="19"/>
          <w:color w:val="auto"/>
        </w:rPr>
        <w:t>‑</w:t>
      </w:r>
      <w:r>
        <w:rPr>
          <w:rFonts w:ascii="Arial" w:cs="Arial" w:eastAsia="Arial" w:hAnsi="Arial"/>
          <w:sz w:val="19"/>
          <w:szCs w:val="19"/>
          <w:color w:val="auto"/>
        </w:rPr>
        <w:t>fourth of one warrant, as described above under “— Allocation of Purchase Price and Characterization of a Unit”) reduced</w:t>
      </w:r>
    </w:p>
    <w:p>
      <w:pPr>
        <w:spacing w:after="0" w:line="25" w:lineRule="exact"/>
        <w:rPr>
          <w:sz w:val="20"/>
          <w:szCs w:val="20"/>
          <w:color w:val="auto"/>
        </w:rPr>
      </w:pPr>
    </w:p>
    <w:p>
      <w:pPr>
        <w:spacing w:after="0" w:line="242" w:lineRule="exact"/>
        <w:rPr>
          <w:sz w:val="20"/>
          <w:szCs w:val="20"/>
          <w:color w:val="auto"/>
        </w:rPr>
      </w:pPr>
      <w:r>
        <w:rPr>
          <w:rFonts w:ascii="Arial" w:cs="Arial" w:eastAsia="Arial" w:hAnsi="Arial"/>
          <w:sz w:val="21"/>
          <w:szCs w:val="21"/>
          <w:color w:val="auto"/>
        </w:rPr>
        <w:t>by any prior distributions treated as a return of capital. Long</w:t>
      </w:r>
      <w:r>
        <w:rPr>
          <w:rFonts w:ascii="MS PGothic" w:cs="MS PGothic" w:eastAsia="MS PGothic" w:hAnsi="MS PGothic"/>
          <w:sz w:val="21"/>
          <w:szCs w:val="21"/>
          <w:color w:val="auto"/>
        </w:rPr>
        <w:t>‑</w:t>
      </w:r>
      <w:r>
        <w:rPr>
          <w:rFonts w:ascii="Arial" w:cs="Arial" w:eastAsia="Arial" w:hAnsi="Arial"/>
          <w:sz w:val="21"/>
          <w:szCs w:val="21"/>
          <w:color w:val="auto"/>
        </w:rPr>
        <w:t>term capital gain realized by a non</w:t>
      </w:r>
      <w:r>
        <w:rPr>
          <w:rFonts w:ascii="MS PGothic" w:cs="MS PGothic" w:eastAsia="MS PGothic" w:hAnsi="MS PGothic"/>
          <w:sz w:val="21"/>
          <w:szCs w:val="21"/>
          <w:color w:val="auto"/>
        </w:rPr>
        <w:t>‑</w:t>
      </w:r>
      <w:r>
        <w:rPr>
          <w:rFonts w:ascii="Arial" w:cs="Arial" w:eastAsia="Arial" w:hAnsi="Arial"/>
          <w:sz w:val="21"/>
          <w:szCs w:val="21"/>
          <w:color w:val="auto"/>
        </w:rPr>
        <w:t>corporate U.S. Holder 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currently eligible to be taxed at reduced rates. See “— Exercise or Lapse of a Warrant” below for a discussion regarding a U.S.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Holder’s tax basis in the Class A ordinary share acquired pursuant to the exercise of a warrant. The deduction of capital losses 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subject to certain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 of Class A Ordinary Shares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Subject to the PFIC rules discussed below, in the event that a U.S. Holder’s Class A ordinary shares are redeemed pursuant to the redemption provisions described in this prospectus under “Description of Securities — Ordinary Shares” or if we purchase a U.S. Holder’s Class A ordinary shares in an open market transaction (referred to herein</w:t>
      </w:r>
    </w:p>
    <w:p>
      <w:pPr>
        <w:sectPr>
          <w:pgSz w:w="11900" w:h="16838" w:orient="portrait"/>
          <w:cols w:equalWidth="0" w:num="1">
            <w:col w:w="11200"/>
          </w:cols>
          <w:pgMar w:left="320" w:top="121" w:right="379" w:bottom="1440" w:gutter="0" w:footer="0" w:header="0"/>
        </w:sect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39" w:name="page140"/>
    <w:bookmarkEnd w:id="13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 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00" w:lineRule="exact"/>
        <w:rPr>
          <w:sz w:val="20"/>
          <w:szCs w:val="20"/>
          <w:color w:val="auto"/>
        </w:rPr>
      </w:pPr>
    </w:p>
    <w:p>
      <w:pPr>
        <w:spacing w:after="0" w:line="235"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In determining whether any of the foregoing tests are satisfied, a U.S. Holder takes into account not only Class A ordinary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the completion of our initial business combination, the Class A ordinary shares may not be treated as voting stock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Exercise or Lapse of a Warrant</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211"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 —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85"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61"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While not free from doubt, a redemption of warrants for Class A ordinary shares described in the section of this prospectus entitled “Description of Securities— Warrants—Public Shareholders’ Warrants—Redemption of warrants for Class A ordinary shares when the price per Class A ordinary share equals or exceeds $10.00” should be treated as a “recapitalization” for U.S. federal income tax purposes. Accordingly, subject to the PFIC rules described below, a U.S. Holder should not recognize any gain or loss on the redemption of warrants for Class A ordinary shares. In such event, a U.S. Holder’s aggregate tax basis in the Class A ordinary shares received in the redemption generally should equal the U.S. Holder’s aggregate tax basis in the warrants redeemed and the holding period for the Class A ordinary shares received should include the U.S. Holder’s holding period for the surrendered warrants. However, there is some uncertainty regarding this tax treatment and it is possible such a redemption could be treated in part as a taxable exchange in which gain or loss would be recognized in a manner similar to that discussed above for a cashless exercise of warrants. Accordingly, a U.S. Holder is urged to consult its tax advisor regarding the tax consequences of a redemption of warrants for Class A ordinary shares.</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Subject to the PFIC rules described below, if we redeem warrants for cash pursuant to the redemption provisions described in the section of this prospectus entitled “Description of Securities—Warrants—Public Shareholders’ Warrants—Redemption of warrants for cash when the price per Class A ordinary share equals or exceeds $18.00” or if we purchase warrants in an open market transaction, such redemption or purchase generally will be treated as a taxable disposition to the U.S. Holder, taxed as described above under “—Gain or Loss on Sale, Taxable Exchange or Other Taxable Disposition of Class A Ordinary Shares and Warrants.” We intend to treat the exercise of a warrant occurring after our giving notice of an intention to redeem the warrant for $0.10 as described in the section of this prospectus entitled “Description of Securities—Warrants—Public Shareholders’ Warrants —Redemption of warrants for Class A ordinary shares when the price per Class A ordinary share equals or exceeds $10.00” as if we redeemed such warrant for shares as described in the immediately preceding paragraph. However if the redemption were instead to be characterized for U.S. federal income tax purposes as an exercise of the warrant (which we do not expect), then the tax treatment would instead be treated as described above in the first paragraph under “U.S. Holders—Exercise, Lapse or Redemption of a Warrant.”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Possible Constructive Distributions</w:t>
      </w:r>
    </w:p>
    <w:p>
      <w:pPr>
        <w:spacing w:after="0" w:line="233" w:lineRule="exact"/>
        <w:rPr>
          <w:sz w:val="20"/>
          <w:szCs w:val="20"/>
          <w:color w:val="auto"/>
        </w:rPr>
      </w:pPr>
    </w:p>
    <w:p>
      <w:pPr>
        <w:ind w:right="480"/>
        <w:spacing w:after="0" w:line="257" w:lineRule="auto"/>
        <w:rPr>
          <w:sz w:val="20"/>
          <w:szCs w:val="20"/>
          <w:color w:val="auto"/>
        </w:rPr>
      </w:pPr>
      <w:r>
        <w:rPr>
          <w:rFonts w:ascii="Arial" w:cs="Arial" w:eastAsia="Arial" w:hAnsi="Arial"/>
          <w:sz w:val="21"/>
          <w:szCs w:val="21"/>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w:t>
      </w:r>
    </w:p>
    <w:p>
      <w:pPr>
        <w:sectPr>
          <w:pgSz w:w="11900" w:h="16838" w:orient="portrait"/>
          <w:cols w:equalWidth="0" w:num="1">
            <w:col w:w="11240"/>
          </w:cols>
          <w:pgMar w:left="320" w:top="121" w:right="3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which has the effect of preventing dilution generally is not taxable. The U.S. Holders of the warrants would, however, be treated as receiving a constructive distribution from us if, for example, the adjustment increases the U.S. Holder’s proportionate interest in our assets or earnings and profits (e.g., through an increase in the number of Class A ordinary shares that would be obtained upon exercise)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Passive Foreign Investment Company Rules</w:t>
      </w:r>
    </w:p>
    <w:p>
      <w:pPr>
        <w:spacing w:after="0" w:line="233"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A foreign (i.e., non</w:t>
      </w:r>
      <w:r>
        <w:rPr>
          <w:rFonts w:ascii="MS PGothic" w:cs="MS PGothic" w:eastAsia="MS PGothic" w:hAnsi="MS PGothic"/>
          <w:sz w:val="19"/>
          <w:szCs w:val="19"/>
          <w:color w:val="auto"/>
        </w:rPr>
        <w:t>‑</w:t>
      </w:r>
      <w:r>
        <w:rPr>
          <w:rFonts w:ascii="Arial" w:cs="Arial" w:eastAsia="Arial" w:hAnsi="Arial"/>
          <w:sz w:val="19"/>
          <w:szCs w:val="19"/>
          <w:color w:val="auto"/>
        </w:rPr>
        <w:t>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217"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Because we are a blank check company, with no current active business, we believe that it is likely that we will meet the PFIC asset and/or income test for our current taxable year. However, pursuant to a start</w:t>
      </w:r>
      <w:r>
        <w:rPr>
          <w:rFonts w:ascii="MS PGothic" w:cs="MS PGothic" w:eastAsia="MS PGothic" w:hAnsi="MS PGothic"/>
          <w:sz w:val="19"/>
          <w:szCs w:val="19"/>
          <w:color w:val="auto"/>
        </w:rPr>
        <w:t>‑</w:t>
      </w:r>
      <w:r>
        <w:rPr>
          <w:rFonts w:ascii="Arial" w:cs="Arial" w:eastAsia="Arial" w:hAnsi="Arial"/>
          <w:sz w:val="19"/>
          <w:szCs w:val="19"/>
          <w:color w:val="auto"/>
        </w:rPr>
        <w:t>up exception, a corporation will not be a PFIC for the first taxable year the corporation has gross income (the “start</w:t>
      </w:r>
      <w:r>
        <w:rPr>
          <w:rFonts w:ascii="MS PGothic" w:cs="MS PGothic" w:eastAsia="MS PGothic" w:hAnsi="MS PGothic"/>
          <w:sz w:val="19"/>
          <w:szCs w:val="19"/>
          <w:color w:val="auto"/>
        </w:rPr>
        <w:t>‑</w:t>
      </w:r>
      <w:r>
        <w:rPr>
          <w:rFonts w:ascii="Arial" w:cs="Arial" w:eastAsia="Arial" w:hAnsi="Arial"/>
          <w:sz w:val="19"/>
          <w:szCs w:val="19"/>
          <w:color w:val="auto"/>
        </w:rPr>
        <w:t>up year”), if (1) no predecessor of the corporation was a PFIC; (2) the corporation satisfies the IRS that it will not be a PFIC for either of the two taxable years following the start</w:t>
      </w:r>
      <w:r>
        <w:rPr>
          <w:rFonts w:ascii="MS PGothic" w:cs="MS PGothic" w:eastAsia="MS PGothic" w:hAnsi="MS PGothic"/>
          <w:sz w:val="19"/>
          <w:szCs w:val="19"/>
          <w:color w:val="auto"/>
        </w:rPr>
        <w:t>‑</w:t>
      </w:r>
      <w:r>
        <w:rPr>
          <w:rFonts w:ascii="Arial" w:cs="Arial" w:eastAsia="Arial" w:hAnsi="Arial"/>
          <w:sz w:val="19"/>
          <w:szCs w:val="19"/>
          <w:color w:val="auto"/>
        </w:rPr>
        <w:t>up year; and (3) the corporation is not in fact a PFIC for either of those years. The applicability of the start</w:t>
      </w:r>
      <w:r>
        <w:rPr>
          <w:rFonts w:ascii="MS PGothic" w:cs="MS PGothic" w:eastAsia="MS PGothic" w:hAnsi="MS PGothic"/>
          <w:sz w:val="19"/>
          <w:szCs w:val="19"/>
          <w:color w:val="auto"/>
        </w:rPr>
        <w:t>‑</w:t>
      </w:r>
      <w:r>
        <w:rPr>
          <w:rFonts w:ascii="Arial" w:cs="Arial" w:eastAsia="Arial" w:hAnsi="Arial"/>
          <w:sz w:val="19"/>
          <w:szCs w:val="19"/>
          <w:color w:val="auto"/>
        </w:rPr>
        <w:t>up exception to us is uncertain and will not be known until after the close of our current taxable year or, possibly, after the close of our two subsequent taxable years.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(or we do not complete a business acquisition by the end of the first taxable year after the taxable year of our formation), then we will likely not qualify for the start</w:t>
      </w:r>
      <w:r>
        <w:rPr>
          <w:rFonts w:ascii="MS PGothic" w:cs="MS PGothic" w:eastAsia="MS PGothic" w:hAnsi="MS PGothic"/>
          <w:sz w:val="19"/>
          <w:szCs w:val="19"/>
          <w:color w:val="auto"/>
        </w:rPr>
        <w:t>‑</w:t>
      </w:r>
      <w:r>
        <w:rPr>
          <w:rFonts w:ascii="Arial" w:cs="Arial" w:eastAsia="Arial" w:hAnsi="Arial"/>
          <w:sz w:val="19"/>
          <w:szCs w:val="19"/>
          <w:color w:val="auto"/>
        </w:rPr>
        <w: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218" w:lineRule="exact"/>
        <w:rPr>
          <w:sz w:val="20"/>
          <w:szCs w:val="20"/>
          <w:color w:val="auto"/>
        </w:rPr>
      </w:pPr>
    </w:p>
    <w:p>
      <w:pPr>
        <w:ind w:right="40"/>
        <w:spacing w:after="0" w:line="246" w:lineRule="exact"/>
        <w:rPr>
          <w:sz w:val="20"/>
          <w:szCs w:val="20"/>
          <w:color w:val="auto"/>
        </w:rPr>
      </w:pPr>
      <w:r>
        <w:rPr>
          <w:rFonts w:ascii="Arial" w:cs="Arial" w:eastAsia="Arial" w:hAnsi="Arial"/>
          <w:sz w:val="19"/>
          <w:szCs w:val="19"/>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or a mark</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market election for our first taxable year as a PFIC, and in which the U.S. Holder held (or was deemed to hold) Class A ordinary shares, as described below, such U.S. Holder generally will be subject to special and adverse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Under these rules:</w:t>
      </w:r>
    </w:p>
    <w:p>
      <w:pPr>
        <w:spacing w:after="0" w:line="240" w:lineRule="exact"/>
        <w:rPr>
          <w:sz w:val="20"/>
          <w:szCs w:val="20"/>
          <w:color w:val="auto"/>
        </w:rPr>
      </w:pPr>
    </w:p>
    <w:p>
      <w:pPr>
        <w:ind w:left="980" w:right="2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140" w:hanging="324"/>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210"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9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PFIC Elections</w:t>
      </w:r>
    </w:p>
    <w:p>
      <w:pPr>
        <w:spacing w:after="0" w:line="233" w:lineRule="exact"/>
        <w:rPr>
          <w:sz w:val="20"/>
          <w:szCs w:val="20"/>
          <w:color w:val="auto"/>
        </w:rPr>
      </w:pPr>
    </w:p>
    <w:p>
      <w:pPr>
        <w:ind w:right="80"/>
        <w:spacing w:after="0" w:line="248" w:lineRule="exact"/>
        <w:rPr>
          <w:sz w:val="20"/>
          <w:szCs w:val="20"/>
          <w:color w:val="auto"/>
        </w:rPr>
      </w:pPr>
      <w:r>
        <w:rPr>
          <w:rFonts w:ascii="Arial" w:cs="Arial" w:eastAsia="Arial" w:hAnsi="Arial"/>
          <w:sz w:val="19"/>
          <w:szCs w:val="19"/>
          <w:color w:val="auto"/>
        </w:rPr>
        <w:t>In general, if we are determined to be a PFIC, a U.S. Holder may avoid the adverse PFIC tax consequences described above in respect of our Class A ordinary shares (but not our warrants) by making and maintaining a timely and valid QEF election (if eligible to do so) to include in income its pro rata share of our net capital gains (as long</w:t>
      </w:r>
      <w:r>
        <w:rPr>
          <w:rFonts w:ascii="MS PGothic" w:cs="MS PGothic" w:eastAsia="MS PGothic" w:hAnsi="MS PGothic"/>
          <w:sz w:val="19"/>
          <w:szCs w:val="19"/>
          <w:color w:val="auto"/>
        </w:rPr>
        <w:t>‑</w:t>
      </w:r>
      <w:r>
        <w:rPr>
          <w:rFonts w:ascii="Arial" w:cs="Arial" w:eastAsia="Arial" w:hAnsi="Arial"/>
          <w:sz w:val="19"/>
          <w:szCs w:val="19"/>
          <w:color w:val="auto"/>
        </w:rPr>
        <w:t>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A U.S. Holder may not make a QEF election with respect to its warrants to acquire our Class A ordinary shares. As a result, if a U.S. Holder sells or otherwise disposes of such warrants (other than upon exercise of such warrants for cash) and we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Under another type of purging election, an electing U.S. Holder will be treated as having received as an excess distribution its ratable share of our earnings and profits determined for U.S. federal income tax purposes. In order for a U.S. Holder to make the second election, we must also be a “controlled foreign corporation” as defined in the Code, and there are no assurances that we will so qualify. As a result of either purging election, the U.S. Holder will have a new basis and holding period in the Class A ordinary shares acquired upon the exercise of the warrants for purposes of the PFIC rules.</w:t>
      </w:r>
    </w:p>
    <w:p>
      <w:pPr>
        <w:spacing w:after="0" w:line="184"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The QEF election is made on a shareholder</w:t>
      </w:r>
      <w:r>
        <w:rPr>
          <w:rFonts w:ascii="MS PGothic" w:cs="MS PGothic" w:eastAsia="MS PGothic" w:hAnsi="MS PGothic"/>
          <w:sz w:val="19"/>
          <w:szCs w:val="19"/>
          <w:color w:val="auto"/>
        </w:rPr>
        <w:t>‑</w:t>
      </w:r>
      <w:r>
        <w:rPr>
          <w:rFonts w:ascii="Arial" w:cs="Arial" w:eastAsia="Arial" w:hAnsi="Arial"/>
          <w:sz w:val="19"/>
          <w:szCs w:val="19"/>
          <w:color w:val="auto"/>
        </w:rPr>
        <w:t>by</w:t>
      </w:r>
      <w:r>
        <w:rPr>
          <w:rFonts w:ascii="MS PGothic" w:cs="MS PGothic" w:eastAsia="MS PGothic" w:hAnsi="MS PGothic"/>
          <w:sz w:val="19"/>
          <w:szCs w:val="19"/>
          <w:color w:val="auto"/>
        </w:rPr>
        <w:t>‑</w:t>
      </w:r>
      <w:r>
        <w:rPr>
          <w:rFonts w:ascii="Arial" w:cs="Arial" w:eastAsia="Arial" w:hAnsi="Arial"/>
          <w:sz w:val="19"/>
          <w:szCs w:val="19"/>
          <w:color w:val="auto"/>
        </w:rPr>
        <w:t>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217"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82" w:lineRule="exact"/>
        <w:rPr>
          <w:sz w:val="20"/>
          <w:szCs w:val="20"/>
          <w:color w:val="auto"/>
        </w:rPr>
      </w:pPr>
    </w:p>
    <w:p>
      <w:pPr>
        <w:ind w:right="40"/>
        <w:spacing w:after="0" w:line="246" w:lineRule="exact"/>
        <w:rPr>
          <w:sz w:val="20"/>
          <w:szCs w:val="20"/>
          <w:color w:val="auto"/>
        </w:rPr>
      </w:pPr>
      <w:r>
        <w:rPr>
          <w:rFonts w:ascii="Arial" w:cs="Arial" w:eastAsia="Arial" w:hAnsi="Arial"/>
          <w:sz w:val="21"/>
          <w:szCs w:val="21"/>
          <w:color w:val="auto"/>
        </w:rPr>
        <w:t>Alternatively, 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market election may not be made with respect to warrants.</w:t>
      </w:r>
    </w:p>
    <w:p>
      <w:pPr>
        <w:spacing w:after="0" w:line="215" w:lineRule="exact"/>
        <w:rPr>
          <w:sz w:val="20"/>
          <w:szCs w:val="20"/>
          <w:color w:val="auto"/>
        </w:rPr>
      </w:pPr>
    </w:p>
    <w:p>
      <w:pPr>
        <w:ind w:right="100"/>
        <w:spacing w:after="0" w:line="249" w:lineRule="exact"/>
        <w:rPr>
          <w:sz w:val="20"/>
          <w:szCs w:val="20"/>
          <w:color w:val="auto"/>
        </w:rPr>
      </w:pPr>
      <w:r>
        <w:rPr>
          <w:rFonts w:ascii="Arial" w:cs="Arial" w:eastAsia="Arial" w:hAnsi="Arial"/>
          <w:sz w:val="19"/>
          <w:szCs w:val="19"/>
          <w:color w:val="auto"/>
        </w:rPr>
        <w:t>The mark</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market election is available only for “marketable stock,” generally, stock that is regularly traded on a national securities exchange that is registered with the SEC, including Nasdaq (on which we intend to list the Class A ordinary shares), or on a foreign exchange or market that the IRS determines has rules sufficient to ensure that the market price represents a legitimate and sound fair market value. U.S. Holders should consult their tax advisors regarding the availability and tax consequences of a mark</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market election with respect to our Class A ordinary shares under their particular circumstances.</w:t>
      </w:r>
    </w:p>
    <w:p>
      <w:pPr>
        <w:spacing w:after="0" w:line="215" w:lineRule="exact"/>
        <w:rPr>
          <w:sz w:val="20"/>
          <w:szCs w:val="20"/>
          <w:color w:val="auto"/>
        </w:rPr>
      </w:pPr>
    </w:p>
    <w:p>
      <w:pPr>
        <w:jc w:val="both"/>
        <w:ind w:right="80"/>
        <w:spacing w:after="0" w:line="249" w:lineRule="exact"/>
        <w:rPr>
          <w:sz w:val="20"/>
          <w:szCs w:val="20"/>
          <w:color w:val="auto"/>
        </w:rPr>
      </w:pPr>
      <w:r>
        <w:rPr>
          <w:rFonts w:ascii="Arial" w:cs="Arial" w:eastAsia="Arial" w:hAnsi="Arial"/>
          <w:sz w:val="19"/>
          <w:szCs w:val="19"/>
          <w:color w:val="auto"/>
        </w:rPr>
        <w:t>If we are a PFIC and, at any time, have a foreign subsidiary that is classified as a PFIC, U.S. Holders generally would be deemed to own a portion of the shares of such lower</w:t>
      </w:r>
      <w:r>
        <w:rPr>
          <w:rFonts w:ascii="MS PGothic" w:cs="MS PGothic" w:eastAsia="MS PGothic" w:hAnsi="MS PGothic"/>
          <w:sz w:val="19"/>
          <w:szCs w:val="19"/>
          <w:color w:val="auto"/>
        </w:rPr>
        <w:t>‑</w:t>
      </w:r>
      <w:r>
        <w:rPr>
          <w:rFonts w:ascii="Arial" w:cs="Arial" w:eastAsia="Arial" w:hAnsi="Arial"/>
          <w:sz w:val="19"/>
          <w:szCs w:val="19"/>
          <w:color w:val="auto"/>
        </w:rPr>
        <w:t>tier PFIC, and generally could incur liability for the deferred tax and interest charge described above if we receive a distribution from, or dispose of all or part of our interest in, the lower</w:t>
      </w:r>
      <w:r>
        <w:rPr>
          <w:rFonts w:ascii="MS PGothic" w:cs="MS PGothic" w:eastAsia="MS PGothic" w:hAnsi="MS PGothic"/>
          <w:sz w:val="19"/>
          <w:szCs w:val="19"/>
          <w:color w:val="auto"/>
        </w:rPr>
        <w:t>‑</w:t>
      </w:r>
      <w:r>
        <w:rPr>
          <w:rFonts w:ascii="Arial" w:cs="Arial" w:eastAsia="Arial" w:hAnsi="Arial"/>
          <w:sz w:val="19"/>
          <w:szCs w:val="19"/>
          <w:color w:val="auto"/>
        </w:rPr>
        <w:t>tier PFIC or the U.S.</w:t>
      </w:r>
    </w:p>
    <w:p>
      <w:pPr>
        <w:spacing w:after="0" w:line="1" w:lineRule="exact"/>
        <w:rPr>
          <w:sz w:val="20"/>
          <w:szCs w:val="20"/>
          <w:color w:val="auto"/>
        </w:rPr>
      </w:pPr>
    </w:p>
    <w:p>
      <w:pPr>
        <w:ind w:right="40"/>
        <w:spacing w:after="0" w:line="245" w:lineRule="exact"/>
        <w:rPr>
          <w:sz w:val="20"/>
          <w:szCs w:val="20"/>
          <w:color w:val="auto"/>
        </w:rPr>
      </w:pPr>
      <w:r>
        <w:rPr>
          <w:rFonts w:ascii="Arial" w:cs="Arial" w:eastAsia="Arial" w:hAnsi="Arial"/>
          <w:sz w:val="21"/>
          <w:szCs w:val="21"/>
          <w:color w:val="auto"/>
        </w:rPr>
        <w:t>Holders otherwise were deemed to have disposed of an interest in the lower</w:t>
      </w:r>
      <w:r>
        <w:rPr>
          <w:rFonts w:ascii="MS PGothic" w:cs="MS PGothic" w:eastAsia="MS PGothic" w:hAnsi="MS PGothic"/>
          <w:sz w:val="21"/>
          <w:szCs w:val="21"/>
          <w:color w:val="auto"/>
        </w:rPr>
        <w:t>‑</w:t>
      </w:r>
      <w:r>
        <w:rPr>
          <w:rFonts w:ascii="Arial" w:cs="Arial" w:eastAsia="Arial" w:hAnsi="Arial"/>
          <w:sz w:val="21"/>
          <w:szCs w:val="21"/>
          <w:color w:val="auto"/>
        </w:rPr>
        <w:t>tier PFIC. We will endeavor to cause any lower</w:t>
      </w:r>
      <w:r>
        <w:rPr>
          <w:rFonts w:ascii="MS PGothic" w:cs="MS PGothic" w:eastAsia="MS PGothic" w:hAnsi="MS PGothic"/>
          <w:sz w:val="21"/>
          <w:szCs w:val="21"/>
          <w:color w:val="auto"/>
        </w:rPr>
        <w:t>‑</w:t>
      </w:r>
      <w:r>
        <w:rPr>
          <w:rFonts w:ascii="Arial" w:cs="Arial" w:eastAsia="Arial" w:hAnsi="Arial"/>
          <w:sz w:val="21"/>
          <w:szCs w:val="21"/>
          <w:color w:val="auto"/>
        </w:rPr>
        <w:t>tier PFIC to provide to a U.S. Holder the information that may be required to make or maintain a QEF election with respect to the lower</w:t>
      </w:r>
      <w:r>
        <w:rPr>
          <w:rFonts w:ascii="MS PGothic" w:cs="MS PGothic" w:eastAsia="MS PGothic" w:hAnsi="MS PGothic"/>
          <w:sz w:val="21"/>
          <w:szCs w:val="21"/>
          <w:color w:val="auto"/>
        </w:rPr>
        <w:t>‑</w:t>
      </w:r>
      <w:r>
        <w:rPr>
          <w:rFonts w:ascii="Arial" w:cs="Arial" w:eastAsia="Arial" w:hAnsi="Arial"/>
          <w:sz w:val="21"/>
          <w:szCs w:val="21"/>
          <w:color w:val="auto"/>
        </w:rPr>
        <w:t>tier PFIC. There can be no assurance that we will have timely knowledge of the status of any such lower</w:t>
      </w:r>
      <w:r>
        <w:rPr>
          <w:rFonts w:ascii="MS PGothic" w:cs="MS PGothic" w:eastAsia="MS PGothic" w:hAnsi="MS PGothic"/>
          <w:sz w:val="21"/>
          <w:szCs w:val="21"/>
          <w:color w:val="auto"/>
        </w:rPr>
        <w:t>‑</w:t>
      </w:r>
      <w:r>
        <w:rPr>
          <w:rFonts w:ascii="Arial" w:cs="Arial" w:eastAsia="Arial" w:hAnsi="Arial"/>
          <w:sz w:val="21"/>
          <w:szCs w:val="21"/>
          <w:color w:val="auto"/>
        </w:rPr>
        <w:t>tier PFIC. In addition, we may not hold a controlling interest in any such lower</w:t>
      </w:r>
      <w:r>
        <w:rPr>
          <w:rFonts w:ascii="MS PGothic" w:cs="MS PGothic" w:eastAsia="MS PGothic" w:hAnsi="MS PGothic"/>
          <w:sz w:val="21"/>
          <w:szCs w:val="21"/>
          <w:color w:val="auto"/>
        </w:rPr>
        <w:t>‑</w:t>
      </w:r>
      <w:r>
        <w:rPr>
          <w:rFonts w:ascii="Arial" w:cs="Arial" w:eastAsia="Arial" w:hAnsi="Arial"/>
          <w:sz w:val="21"/>
          <w:szCs w:val="21"/>
          <w:color w:val="auto"/>
        </w:rPr>
        <w:t>tier PFIC and thus there can be no assurance we will be able to cause the lower</w:t>
      </w:r>
      <w:r>
        <w:rPr>
          <w:rFonts w:ascii="MS PGothic" w:cs="MS PGothic" w:eastAsia="MS PGothic" w:hAnsi="MS PGothic"/>
          <w:sz w:val="21"/>
          <w:szCs w:val="21"/>
          <w:color w:val="auto"/>
        </w:rPr>
        <w:t>‑</w:t>
      </w:r>
      <w:r>
        <w:rPr>
          <w:rFonts w:ascii="Arial" w:cs="Arial" w:eastAsia="Arial" w:hAnsi="Arial"/>
          <w:sz w:val="21"/>
          <w:szCs w:val="21"/>
          <w:color w:val="auto"/>
        </w:rPr>
        <w:t>tier PFIC to provide such required information. U.S. Holders are urged to consult their tax advisors regarding the tax issues raised by lower</w:t>
      </w:r>
      <w:r>
        <w:rPr>
          <w:rFonts w:ascii="MS PGothic" w:cs="MS PGothic" w:eastAsia="MS PGothic" w:hAnsi="MS PGothic"/>
          <w:sz w:val="21"/>
          <w:szCs w:val="21"/>
          <w:color w:val="auto"/>
        </w:rPr>
        <w:t>‑</w:t>
      </w:r>
      <w:r>
        <w:rPr>
          <w:rFonts w:ascii="Arial" w:cs="Arial" w:eastAsia="Arial" w:hAnsi="Arial"/>
          <w:sz w:val="21"/>
          <w:szCs w:val="21"/>
          <w:color w:val="auto"/>
        </w:rPr>
        <w:t>tier PFICs.</w:t>
      </w:r>
    </w:p>
    <w:p>
      <w:pPr>
        <w:spacing w:after="0" w:line="216" w:lineRule="exact"/>
        <w:rPr>
          <w:sz w:val="20"/>
          <w:szCs w:val="20"/>
          <w:color w:val="auto"/>
        </w:rPr>
      </w:pPr>
    </w:p>
    <w:p>
      <w:pPr>
        <w:spacing w:after="0" w:line="251" w:lineRule="exact"/>
        <w:rPr>
          <w:sz w:val="20"/>
          <w:szCs w:val="20"/>
          <w:color w:val="auto"/>
        </w:rPr>
      </w:pPr>
      <w:r>
        <w:rPr>
          <w:rFonts w:ascii="Arial" w:cs="Arial" w:eastAsia="Arial" w:hAnsi="Arial"/>
          <w:sz w:val="22"/>
          <w:szCs w:val="22"/>
          <w:color w:val="auto"/>
        </w:rPr>
        <w:t>A U.S. Holder that owns (or is deemed to own) shares in a PFIC during any taxable year of the U.S. Holder, may have to file an IRS Form 8621 (whether or not a QEF or market</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market election is made) and such other information as may be required by the U.S. Treasury Department. Failure to do so, if required, will extend the statute of limitations until such required information is furnished to the IRS.</w:t>
      </w:r>
    </w:p>
    <w:p>
      <w:pPr>
        <w:spacing w:after="0" w:line="212" w:lineRule="exact"/>
        <w:rPr>
          <w:sz w:val="20"/>
          <w:szCs w:val="20"/>
          <w:color w:val="auto"/>
        </w:rPr>
      </w:pPr>
    </w:p>
    <w:p>
      <w:pPr>
        <w:jc w:val="both"/>
        <w:ind w:right="540"/>
        <w:spacing w:after="0" w:line="254" w:lineRule="exact"/>
        <w:rPr>
          <w:sz w:val="20"/>
          <w:szCs w:val="20"/>
          <w:color w:val="auto"/>
        </w:rPr>
      </w:pPr>
      <w:r>
        <w:rPr>
          <w:rFonts w:ascii="Arial" w:cs="Arial" w:eastAsia="Arial" w:hAnsi="Arial"/>
          <w:sz w:val="19"/>
          <w:szCs w:val="19"/>
          <w:color w:val="auto"/>
        </w:rPr>
        <w:t>The rules dealing with PFICs and with the QEF and mark</w:t>
      </w:r>
      <w:r>
        <w:rPr>
          <w:rFonts w:ascii="MS PGothic" w:cs="MS PGothic" w:eastAsia="MS PGothic" w:hAnsi="MS PGothic"/>
          <w:sz w:val="19"/>
          <w:szCs w:val="19"/>
          <w:color w:val="auto"/>
        </w:rPr>
        <w:t>‑</w:t>
      </w:r>
      <w:r>
        <w:rPr>
          <w:rFonts w:ascii="Arial" w:cs="Arial" w:eastAsia="Arial" w:hAnsi="Arial"/>
          <w:sz w:val="19"/>
          <w:szCs w:val="19"/>
          <w:color w:val="auto"/>
        </w:rPr>
        <w:t>to</w:t>
      </w:r>
      <w:r>
        <w:rPr>
          <w:rFonts w:ascii="MS PGothic" w:cs="MS PGothic" w:eastAsia="MS PGothic" w:hAnsi="MS PGothic"/>
          <w:sz w:val="19"/>
          <w:szCs w:val="19"/>
          <w:color w:val="auto"/>
        </w:rPr>
        <w:t>‑</w:t>
      </w:r>
      <w:r>
        <w:rPr>
          <w:rFonts w:ascii="Arial" w:cs="Arial" w:eastAsia="Arial" w:hAnsi="Arial"/>
          <w:sz w:val="19"/>
          <w:szCs w:val="19"/>
          <w:color w:val="auto"/>
        </w:rPr>
        <w:t>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 Reporting</w:t>
      </w:r>
    </w:p>
    <w:p>
      <w:pPr>
        <w:spacing w:after="0" w:line="23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215" w:lineRule="exact"/>
        <w:rPr>
          <w:sz w:val="20"/>
          <w:szCs w:val="20"/>
          <w:color w:val="auto"/>
        </w:rPr>
      </w:pPr>
    </w:p>
    <w:p>
      <w:pPr>
        <w:spacing w:after="0" w:line="253" w:lineRule="exact"/>
        <w:rPr>
          <w:sz w:val="20"/>
          <w:szCs w:val="20"/>
          <w:color w:val="auto"/>
        </w:rPr>
      </w:pPr>
      <w:r>
        <w:rPr>
          <w:rFonts w:ascii="Arial" w:cs="Arial" w:eastAsia="Arial" w:hAnsi="Arial"/>
          <w:sz w:val="22"/>
          <w:szCs w:val="22"/>
          <w:b w:val="1"/>
          <w:bCs w:val="1"/>
          <w:i w:val="1"/>
          <w:iCs w:val="1"/>
          <w:color w:val="auto"/>
        </w:rPr>
        <w:t>Non</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U.S. Holders</w:t>
      </w:r>
    </w:p>
    <w:p>
      <w:pPr>
        <w:spacing w:after="0" w:line="233" w:lineRule="exact"/>
        <w:rPr>
          <w:sz w:val="20"/>
          <w:szCs w:val="20"/>
          <w:color w:val="auto"/>
        </w:rPr>
      </w:pPr>
    </w:p>
    <w:p>
      <w:pPr>
        <w:jc w:val="both"/>
        <w:ind w:right="540"/>
        <w:spacing w:after="0" w:line="254" w:lineRule="exact"/>
        <w:rPr>
          <w:sz w:val="20"/>
          <w:szCs w:val="20"/>
          <w:color w:val="auto"/>
        </w:rPr>
      </w:pPr>
      <w:r>
        <w:rPr>
          <w:rFonts w:ascii="Arial" w:cs="Arial" w:eastAsia="Arial" w:hAnsi="Arial"/>
          <w:sz w:val="19"/>
          <w:szCs w:val="19"/>
          <w:color w:val="auto"/>
        </w:rPr>
        <w:t>This section applies to you if you are a “Non</w:t>
      </w:r>
      <w:r>
        <w:rPr>
          <w:rFonts w:ascii="MS PGothic" w:cs="MS PGothic" w:eastAsia="MS PGothic" w:hAnsi="MS PGothic"/>
          <w:sz w:val="19"/>
          <w:szCs w:val="19"/>
          <w:color w:val="auto"/>
        </w:rPr>
        <w:t>‑</w:t>
      </w:r>
      <w:r>
        <w:rPr>
          <w:rFonts w:ascii="Arial" w:cs="Arial" w:eastAsia="Arial" w:hAnsi="Arial"/>
          <w:sz w:val="19"/>
          <w:szCs w:val="19"/>
          <w:color w:val="auto"/>
        </w:rPr>
        <w:t>U.S. Holder.” As used herein, the term “Non</w:t>
      </w:r>
      <w:r>
        <w:rPr>
          <w:rFonts w:ascii="MS PGothic" w:cs="MS PGothic" w:eastAsia="MS PGothic" w:hAnsi="MS PGothic"/>
          <w:sz w:val="19"/>
          <w:szCs w:val="19"/>
          <w:color w:val="auto"/>
        </w:rPr>
        <w:t>‑</w:t>
      </w:r>
      <w:r>
        <w:rPr>
          <w:rFonts w:ascii="Arial" w:cs="Arial" w:eastAsia="Arial" w:hAnsi="Arial"/>
          <w:sz w:val="19"/>
          <w:szCs w:val="19"/>
          <w:color w:val="auto"/>
        </w:rPr>
        <w:t>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220" w:lineRule="exact"/>
        <w:rPr>
          <w:sz w:val="20"/>
          <w:szCs w:val="20"/>
          <w:color w:val="auto"/>
        </w:rPr>
      </w:pPr>
    </w:p>
    <w:p>
      <w:pPr>
        <w:ind w:left="980" w:hanging="324"/>
        <w:spacing w:after="0" w:line="196" w:lineRule="exact"/>
        <w:tabs>
          <w:tab w:leader="none" w:pos="9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non</w:t>
      </w:r>
      <w:r>
        <w:rPr>
          <w:rFonts w:ascii="MS PGothic" w:cs="MS PGothic" w:eastAsia="MS PGothic" w:hAnsi="MS PGothic"/>
          <w:sz w:val="17"/>
          <w:szCs w:val="17"/>
          <w:color w:val="auto"/>
        </w:rPr>
        <w:t>‑</w:t>
      </w:r>
      <w:r>
        <w:rPr>
          <w:rFonts w:ascii="Arial" w:cs="Arial" w:eastAsia="Arial" w:hAnsi="Arial"/>
          <w:sz w:val="17"/>
          <w:szCs w:val="17"/>
          <w:color w:val="auto"/>
        </w:rPr>
        <w:t>resident alien individual (other than certain former citizens and residents of the United States subject to U.S. tax as expatriates);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52" w:lineRule="exact"/>
        <w:rPr>
          <w:rFonts w:ascii="Arial" w:cs="Arial" w:eastAsia="Arial" w:hAnsi="Arial"/>
          <w:sz w:val="18"/>
          <w:szCs w:val="18"/>
          <w:color w:val="auto"/>
        </w:rPr>
      </w:pPr>
    </w:p>
    <w:p>
      <w:pPr>
        <w:ind w:left="980" w:right="340" w:hanging="324"/>
        <w:spacing w:after="0" w:line="263"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or trust that is not a U.S. Holder; but generally does not include an individual who is present in the United States for 183 days or more in the taxable year of disposition. A U.S. Holder who is such an individual should consult its tax advisor regarding the U.S. federal income tax consequences of the sale or other disposition of our securities.</w:t>
      </w:r>
    </w:p>
    <w:p>
      <w:pPr>
        <w:spacing w:after="0" w:line="203" w:lineRule="exact"/>
        <w:rPr>
          <w:sz w:val="20"/>
          <w:szCs w:val="20"/>
          <w:color w:val="auto"/>
        </w:rPr>
      </w:pPr>
    </w:p>
    <w:p>
      <w:pPr>
        <w:spacing w:after="0" w:line="247" w:lineRule="exact"/>
        <w:rPr>
          <w:sz w:val="20"/>
          <w:szCs w:val="20"/>
          <w:color w:val="auto"/>
        </w:rPr>
      </w:pPr>
      <w:r>
        <w:rPr>
          <w:rFonts w:ascii="Arial" w:cs="Arial" w:eastAsia="Arial" w:hAnsi="Arial"/>
          <w:sz w:val="21"/>
          <w:szCs w:val="21"/>
          <w:color w:val="auto"/>
        </w:rPr>
        <w:t>Dividends (including constructive dividends) paid or deemed paid to a Non</w:t>
      </w:r>
      <w:r>
        <w:rPr>
          <w:rFonts w:ascii="MS PGothic" w:cs="MS PGothic" w:eastAsia="MS PGothic" w:hAnsi="MS PGothic"/>
          <w:sz w:val="21"/>
          <w:szCs w:val="21"/>
          <w:color w:val="auto"/>
        </w:rPr>
        <w:t>‑</w:t>
      </w:r>
      <w:r>
        <w:rPr>
          <w:rFonts w:ascii="Arial" w:cs="Arial" w:eastAsia="Arial" w:hAnsi="Arial"/>
          <w:sz w:val="21"/>
          <w:szCs w:val="21"/>
          <w:color w:val="auto"/>
        </w:rPr>
        <w:t>U.S. Holder in respect of our Class A ordinary shares generally will not be subject to U.S. federal income tax, unless the dividends are effectively connected with the Non</w:t>
      </w:r>
      <w:r>
        <w:rPr>
          <w:rFonts w:ascii="MS PGothic" w:cs="MS PGothic" w:eastAsia="MS PGothic" w:hAnsi="MS PGothic"/>
          <w:sz w:val="21"/>
          <w:szCs w:val="21"/>
          <w:color w:val="auto"/>
        </w:rPr>
        <w:t>‑</w:t>
      </w:r>
      <w:r>
        <w:rPr>
          <w:rFonts w:ascii="Arial" w:cs="Arial" w:eastAsia="Arial" w:hAnsi="Arial"/>
          <w:sz w:val="21"/>
          <w:szCs w:val="21"/>
          <w:color w:val="auto"/>
        </w:rPr>
        <w:t>U.S. Holder’s conduct of a trade or business within the United States (and, if required by an applicable income tax treaty, are attributable to a permanent establishment or fixed base that such holder maintains in the United States). In addition, a Non</w:t>
      </w:r>
      <w:r>
        <w:rPr>
          <w:rFonts w:ascii="MS PGothic" w:cs="MS PGothic" w:eastAsia="MS PGothic" w:hAnsi="MS PGothic"/>
          <w:sz w:val="21"/>
          <w:szCs w:val="21"/>
          <w:color w:val="auto"/>
        </w:rPr>
        <w:t>‑</w:t>
      </w:r>
      <w:r>
        <w:rPr>
          <w:rFonts w:ascii="Arial" w:cs="Arial" w:eastAsia="Arial" w:hAnsi="Arial"/>
          <w:sz w:val="21"/>
          <w:szCs w:val="21"/>
          <w:color w:val="auto"/>
        </w:rPr>
        <w:t>U.S. Holder generally will not be subject to U.S. federal income tax on any gain attributable to a sale or other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215" w:lineRule="exact"/>
        <w:rPr>
          <w:sz w:val="20"/>
          <w:szCs w:val="20"/>
          <w:color w:val="auto"/>
        </w:rPr>
      </w:pPr>
    </w:p>
    <w:p>
      <w:pPr>
        <w:ind w:right="20"/>
        <w:spacing w:after="0" w:line="249" w:lineRule="exact"/>
        <w:rPr>
          <w:sz w:val="20"/>
          <w:szCs w:val="20"/>
          <w:color w:val="auto"/>
        </w:rPr>
      </w:pPr>
      <w:r>
        <w:rPr>
          <w:rFonts w:ascii="Arial" w:cs="Arial" w:eastAsia="Arial" w:hAnsi="Arial"/>
          <w:sz w:val="19"/>
          <w:szCs w:val="19"/>
          <w:color w:val="auto"/>
        </w:rPr>
        <w:t>Dividends and gains that are effectively connected with the Non</w:t>
      </w:r>
      <w:r>
        <w:rPr>
          <w:rFonts w:ascii="MS PGothic" w:cs="MS PGothic" w:eastAsia="MS PGothic" w:hAnsi="MS PGothic"/>
          <w:sz w:val="19"/>
          <w:szCs w:val="19"/>
          <w:color w:val="auto"/>
        </w:rPr>
        <w:t>‑</w:t>
      </w:r>
      <w:r>
        <w:rPr>
          <w:rFonts w:ascii="Arial" w:cs="Arial" w:eastAsia="Arial" w:hAnsi="Arial"/>
          <w:sz w:val="19"/>
          <w:szCs w:val="19"/>
          <w:color w:val="auto"/>
        </w:rPr>
        <w:t>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w:t>
      </w:r>
      <w:r>
        <w:rPr>
          <w:rFonts w:ascii="MS PGothic" w:cs="MS PGothic" w:eastAsia="MS PGothic" w:hAnsi="MS PGothic"/>
          <w:sz w:val="19"/>
          <w:szCs w:val="19"/>
          <w:color w:val="auto"/>
        </w:rPr>
        <w:t>‑</w:t>
      </w:r>
      <w:r>
        <w:rPr>
          <w:rFonts w:ascii="Arial" w:cs="Arial" w:eastAsia="Arial" w:hAnsi="Arial"/>
          <w:sz w:val="19"/>
          <w:szCs w:val="19"/>
          <w:color w:val="auto"/>
        </w:rPr>
        <w:t>U.S. Holder that is a corporation for U.S. federal income tax purposes, also may be subject to an additional branch profits tax at a 30% rate or a lower applicable tax treaty rate.</w:t>
      </w:r>
    </w:p>
    <w:p>
      <w:pPr>
        <w:spacing w:after="0" w:line="215" w:lineRule="exact"/>
        <w:rPr>
          <w:sz w:val="20"/>
          <w:szCs w:val="20"/>
          <w:color w:val="auto"/>
        </w:rPr>
      </w:pPr>
    </w:p>
    <w:p>
      <w:pPr>
        <w:ind w:right="40"/>
        <w:spacing w:after="0" w:line="249" w:lineRule="exact"/>
        <w:rPr>
          <w:sz w:val="20"/>
          <w:szCs w:val="20"/>
          <w:color w:val="auto"/>
        </w:rPr>
      </w:pPr>
      <w:r>
        <w:rPr>
          <w:rFonts w:ascii="Arial" w:cs="Arial" w:eastAsia="Arial" w:hAnsi="Arial"/>
          <w:sz w:val="22"/>
          <w:szCs w:val="22"/>
          <w:color w:val="auto"/>
        </w:rPr>
        <w:t>The characterization for U.S. federal income tax purposes of the redemption of a Non</w:t>
      </w:r>
      <w:r>
        <w:rPr>
          <w:rFonts w:ascii="MS PGothic" w:cs="MS PGothic" w:eastAsia="MS PGothic" w:hAnsi="MS PGothic"/>
          <w:sz w:val="22"/>
          <w:szCs w:val="22"/>
          <w:color w:val="auto"/>
        </w:rPr>
        <w:t>‑</w:t>
      </w:r>
      <w:r>
        <w:rPr>
          <w:rFonts w:ascii="Arial" w:cs="Arial" w:eastAsia="Arial" w:hAnsi="Arial"/>
          <w:sz w:val="22"/>
          <w:szCs w:val="22"/>
          <w:color w:val="auto"/>
        </w:rPr>
        <w:t>U.S. Holder’s Class A ordinary shares will generally correspond to the U.S. federal income tax characterization of such a redemption of a U.S. Holder’s Class A ordinary shares, as described under “U.S. Holders—Redemption of Class A Ordinary Shares” above, and the consequences of the redemption to the Non</w:t>
      </w:r>
      <w:r>
        <w:rPr>
          <w:rFonts w:ascii="MS PGothic" w:cs="MS PGothic" w:eastAsia="MS PGothic" w:hAnsi="MS PGothic"/>
          <w:sz w:val="22"/>
          <w:szCs w:val="22"/>
          <w:color w:val="auto"/>
        </w:rPr>
        <w:t>‑</w:t>
      </w:r>
      <w:r>
        <w:rPr>
          <w:rFonts w:ascii="Arial" w:cs="Arial" w:eastAsia="Arial" w:hAnsi="Arial"/>
          <w:sz w:val="22"/>
          <w:szCs w:val="22"/>
          <w:color w:val="auto"/>
        </w:rPr>
        <w:t>U.S. Holder will be as described in the paragraphs above under the heading “Non</w:t>
      </w:r>
      <w:r>
        <w:rPr>
          <w:rFonts w:ascii="MS PGothic" w:cs="MS PGothic" w:eastAsia="MS PGothic" w:hAnsi="MS PGothic"/>
          <w:sz w:val="22"/>
          <w:szCs w:val="22"/>
          <w:color w:val="auto"/>
        </w:rPr>
        <w:t>‑</w:t>
      </w:r>
      <w:r>
        <w:rPr>
          <w:rFonts w:ascii="Arial" w:cs="Arial" w:eastAsia="Arial" w:hAnsi="Arial"/>
          <w:sz w:val="22"/>
          <w:szCs w:val="22"/>
          <w:color w:val="auto"/>
        </w:rPr>
        <w:t>U.S. Holders” based on such characterization.</w:t>
      </w:r>
    </w:p>
    <w:p>
      <w:pPr>
        <w:spacing w:after="0" w:line="214" w:lineRule="exact"/>
        <w:rPr>
          <w:sz w:val="20"/>
          <w:szCs w:val="20"/>
          <w:color w:val="auto"/>
        </w:rPr>
      </w:pPr>
    </w:p>
    <w:p>
      <w:pPr>
        <w:ind w:right="40"/>
        <w:spacing w:after="0" w:line="259" w:lineRule="exact"/>
        <w:rPr>
          <w:sz w:val="20"/>
          <w:szCs w:val="20"/>
          <w:color w:val="auto"/>
        </w:rPr>
      </w:pPr>
      <w:r>
        <w:rPr>
          <w:rFonts w:ascii="Arial" w:cs="Arial" w:eastAsia="Arial" w:hAnsi="Arial"/>
          <w:sz w:val="22"/>
          <w:szCs w:val="22"/>
          <w:color w:val="auto"/>
        </w:rPr>
        <w:t>The U.S. federal income tax treatment of a Non</w:t>
      </w:r>
      <w:r>
        <w:rPr>
          <w:rFonts w:ascii="MS PGothic" w:cs="MS PGothic" w:eastAsia="MS PGothic" w:hAnsi="MS PGothic"/>
          <w:sz w:val="22"/>
          <w:szCs w:val="22"/>
          <w:color w:val="auto"/>
        </w:rPr>
        <w:t>‑</w:t>
      </w:r>
      <w:r>
        <w:rPr>
          <w:rFonts w:ascii="Arial" w:cs="Arial" w:eastAsia="Arial" w:hAnsi="Arial"/>
          <w:sz w:val="22"/>
          <w:szCs w:val="22"/>
          <w:color w:val="auto"/>
        </w:rPr>
        <w:t>U.S. Holder’s exercise of a warrant, or the lapse of a warrant held by a Non</w:t>
      </w:r>
      <w:r>
        <w:rPr>
          <w:rFonts w:ascii="MS PGothic" w:cs="MS PGothic" w:eastAsia="MS PGothic" w:hAnsi="MS PGothic"/>
          <w:sz w:val="22"/>
          <w:szCs w:val="22"/>
          <w:color w:val="auto"/>
        </w:rPr>
        <w:t>‑</w:t>
      </w:r>
      <w:r>
        <w:rPr>
          <w:rFonts w:ascii="Arial" w:cs="Arial" w:eastAsia="Arial" w:hAnsi="Arial"/>
          <w:sz w:val="22"/>
          <w:szCs w:val="22"/>
          <w:color w:val="auto"/>
        </w:rPr>
        <w:t>U.S. Holder, generally will correspond to the U.S. federal income tax treatment of the exercise or lapse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260"/>
        <w:spacing w:after="0" w:line="254" w:lineRule="exact"/>
        <w:rPr>
          <w:sz w:val="20"/>
          <w:szCs w:val="20"/>
          <w:color w:val="auto"/>
        </w:rPr>
      </w:pPr>
      <w:r>
        <w:rPr>
          <w:rFonts w:ascii="Arial" w:cs="Arial" w:eastAsia="Arial" w:hAnsi="Arial"/>
          <w:sz w:val="19"/>
          <w:szCs w:val="19"/>
          <w:color w:val="auto"/>
        </w:rPr>
        <w:t>a warrant by a U.S. Holder, as described under “— U.S. Holders — Exercise or Lapse of a Warrant,” above, although to the extent a cashless exercise results in a taxable exchange, the consequences would be similar to those described in the preceding paragraphs above for a Non</w:t>
      </w:r>
      <w:r>
        <w:rPr>
          <w:rFonts w:ascii="MS PGothic" w:cs="MS PGothic" w:eastAsia="MS PGothic" w:hAnsi="MS PGothic"/>
          <w:sz w:val="19"/>
          <w:szCs w:val="19"/>
          <w:color w:val="auto"/>
        </w:rPr>
        <w:t>‑</w:t>
      </w:r>
      <w:r>
        <w:rPr>
          <w:rFonts w:ascii="Arial" w:cs="Arial" w:eastAsia="Arial" w:hAnsi="Arial"/>
          <w:sz w:val="19"/>
          <w:szCs w:val="19"/>
          <w:color w:val="auto"/>
        </w:rPr>
        <w:t>U.S. Holder’s gain on the sale or other disposition of our Class A ordinary shares and warrants.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Information Reporting and Backup Withholding</w:t>
      </w:r>
    </w:p>
    <w:p>
      <w:pPr>
        <w:spacing w:after="0" w:line="233" w:lineRule="exact"/>
        <w:rPr>
          <w:sz w:val="20"/>
          <w:szCs w:val="20"/>
          <w:color w:val="auto"/>
        </w:rPr>
      </w:pPr>
    </w:p>
    <w:p>
      <w:pPr>
        <w:spacing w:after="0" w:line="247" w:lineRule="exact"/>
        <w:rPr>
          <w:sz w:val="20"/>
          <w:szCs w:val="20"/>
          <w:color w:val="auto"/>
        </w:rPr>
      </w:pPr>
      <w:r>
        <w:rPr>
          <w:rFonts w:ascii="Arial" w:cs="Arial" w:eastAsia="Arial" w:hAnsi="Arial"/>
          <w:sz w:val="22"/>
          <w:szCs w:val="22"/>
          <w:color w:val="auto"/>
        </w:rPr>
        <w:t>Dividend payments with respect to our Class A ordinary shares and proceeds from the sale, exchange or redemption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A Non</w:t>
      </w:r>
      <w:r>
        <w:rPr>
          <w:rFonts w:ascii="MS PGothic" w:cs="MS PGothic" w:eastAsia="MS PGothic" w:hAnsi="MS PGothic"/>
          <w:sz w:val="22"/>
          <w:szCs w:val="22"/>
          <w:color w:val="auto"/>
        </w:rPr>
        <w:t>‑</w:t>
      </w:r>
      <w:r>
        <w:rPr>
          <w:rFonts w:ascii="Arial" w:cs="Arial" w:eastAsia="Arial" w:hAnsi="Arial"/>
          <w:sz w:val="22"/>
          <w:szCs w:val="22"/>
          <w:color w:val="auto"/>
        </w:rPr>
        <w:t>U.S. Holder generally will eliminate the requirement for information reporting and backup withholding by providing certification of its foreign status, under penalties of perjury, on a duly executed applicable IRS Form W</w:t>
      </w:r>
      <w:r>
        <w:rPr>
          <w:rFonts w:ascii="MS PGothic" w:cs="MS PGothic" w:eastAsia="MS PGothic" w:hAnsi="MS PGothic"/>
          <w:sz w:val="22"/>
          <w:szCs w:val="22"/>
          <w:color w:val="auto"/>
        </w:rPr>
        <w:t>‑</w:t>
      </w:r>
      <w:r>
        <w:rPr>
          <w:rFonts w:ascii="Arial" w:cs="Arial" w:eastAsia="Arial" w:hAnsi="Arial"/>
          <w:sz w:val="22"/>
          <w:szCs w:val="22"/>
          <w:color w:val="auto"/>
        </w:rPr>
        <w:t>8 or by otherwise establishing an exemption.</w:t>
      </w:r>
    </w:p>
    <w:p>
      <w:pPr>
        <w:spacing w:after="0" w:line="218"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22"/>
          <w:szCs w:val="22"/>
          <w:b w:val="1"/>
          <w:bCs w:val="1"/>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6" w:name="page147"/>
    <w:bookmarkEnd w:id="14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w:t>
      </w:r>
    </w:p>
    <w:p>
      <w:pPr>
        <w:spacing w:after="0" w:line="239" w:lineRule="exact"/>
        <w:rPr>
          <w:sz w:val="20"/>
          <w:szCs w:val="20"/>
          <w:color w:val="auto"/>
        </w:rPr>
      </w:pPr>
    </w:p>
    <w:p>
      <w:pPr>
        <w:spacing w:after="0"/>
        <w:tabs>
          <w:tab w:leader="none" w:pos="7840" w:val="left"/>
        </w:tabs>
        <w:rPr>
          <w:sz w:val="20"/>
          <w:szCs w:val="20"/>
          <w:color w:val="auto"/>
        </w:rPr>
      </w:pPr>
      <w:r>
        <w:rPr>
          <w:rFonts w:ascii="Arial" w:cs="Arial" w:eastAsia="Arial" w:hAnsi="Arial"/>
          <w:sz w:val="22"/>
          <w:szCs w:val="22"/>
          <w:color w:val="auto"/>
        </w:rPr>
        <w:t>Subject to the terms and conditions set forth in the underwriting agreement, dated</w:t>
      </w:r>
      <w:r>
        <w:rPr>
          <w:sz w:val="20"/>
          <w:szCs w:val="20"/>
          <w:color w:val="auto"/>
        </w:rPr>
        <w:tab/>
      </w:r>
      <w:r>
        <w:rPr>
          <w:rFonts w:ascii="Arial" w:cs="Arial" w:eastAsia="Arial" w:hAnsi="Arial"/>
          <w:sz w:val="19"/>
          <w:szCs w:val="19"/>
          <w:color w:val="auto"/>
        </w:rPr>
        <w:t>, between us and Jefferies LLC, as the</w:t>
      </w:r>
    </w:p>
    <w:p>
      <w:pPr>
        <w:spacing w:after="0" w:line="8" w:lineRule="exact"/>
        <w:rPr>
          <w:sz w:val="20"/>
          <w:szCs w:val="20"/>
          <w:color w:val="auto"/>
        </w:rPr>
      </w:pPr>
    </w:p>
    <w:p>
      <w:pPr>
        <w:ind w:right="80"/>
        <w:spacing w:after="0" w:line="247" w:lineRule="exact"/>
        <w:rPr>
          <w:sz w:val="20"/>
          <w:szCs w:val="20"/>
          <w:color w:val="auto"/>
        </w:rPr>
      </w:pPr>
      <w:r>
        <w:rPr>
          <w:rFonts w:ascii="Arial" w:cs="Arial" w:eastAsia="Arial" w:hAnsi="Arial"/>
          <w:sz w:val="22"/>
          <w:szCs w:val="22"/>
          <w:color w:val="auto"/>
        </w:rPr>
        <w:t>representative of the underwriters named below and the sole book</w:t>
      </w:r>
      <w:r>
        <w:rPr>
          <w:rFonts w:ascii="MS PGothic" w:cs="MS PGothic" w:eastAsia="MS PGothic" w:hAnsi="MS PGothic"/>
          <w:sz w:val="22"/>
          <w:szCs w:val="22"/>
          <w:color w:val="auto"/>
        </w:rPr>
        <w:t>‑</w:t>
      </w:r>
      <w:r>
        <w:rPr>
          <w:rFonts w:ascii="Arial" w:cs="Arial" w:eastAsia="Arial" w:hAnsi="Arial"/>
          <w:sz w:val="22"/>
          <w:szCs w:val="22"/>
          <w:color w:val="auto"/>
        </w:rPr>
        <w:t>running manager of this offering, we have agreed to sell to the underwriters, and each of the underwriters has agreed, severally and not jointly, to purchase from us, the respective number of units shown opposite its name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Pr>
          <w:p>
            <w:pPr>
              <w:spacing w:after="0"/>
              <w:rPr>
                <w:sz w:val="20"/>
                <w:szCs w:val="20"/>
                <w:color w:val="auto"/>
              </w:rPr>
            </w:pPr>
          </w:p>
        </w:tc>
        <w:tc>
          <w:tcPr>
            <w:tcW w:w="5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Number of Units</w:t>
            </w:r>
          </w:p>
        </w:tc>
      </w:tr>
      <w:tr>
        <w:trPr>
          <w:trHeight w:val="202"/>
        </w:trPr>
        <w:tc>
          <w:tcPr>
            <w:tcW w:w="5420" w:type="dxa"/>
            <w:vAlign w:val="bottom"/>
          </w:tcPr>
          <w:p>
            <w:pPr>
              <w:spacing w:after="0" w:line="201" w:lineRule="exact"/>
              <w:rPr>
                <w:sz w:val="20"/>
                <w:szCs w:val="20"/>
                <w:color w:val="auto"/>
              </w:rPr>
            </w:pPr>
            <w:r>
              <w:rPr>
                <w:rFonts w:ascii="Arial" w:cs="Arial" w:eastAsia="Arial" w:hAnsi="Arial"/>
                <w:sz w:val="18"/>
                <w:szCs w:val="18"/>
                <w:b w:val="1"/>
                <w:bCs w:val="1"/>
                <w:color w:val="auto"/>
              </w:rPr>
              <w:t>Underwriter</w:t>
            </w:r>
          </w:p>
        </w:tc>
        <w:tc>
          <w:tcPr>
            <w:tcW w:w="44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Jefferies LLC</w:t>
            </w:r>
          </w:p>
        </w:tc>
        <w:tc>
          <w:tcPr>
            <w:tcW w:w="44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9" w:lineRule="exact"/>
        <w:rPr>
          <w:sz w:val="20"/>
          <w:szCs w:val="20"/>
          <w:color w:val="auto"/>
        </w:rPr>
      </w:pPr>
    </w:p>
    <w:p>
      <w:pPr>
        <w:ind w:right="120"/>
        <w:spacing w:after="0" w:line="249" w:lineRule="exact"/>
        <w:rPr>
          <w:sz w:val="20"/>
          <w:szCs w:val="20"/>
          <w:color w:val="auto"/>
        </w:rPr>
      </w:pPr>
      <w:r>
        <w:rPr>
          <w:rFonts w:ascii="Arial" w:cs="Arial" w:eastAsia="Arial" w:hAnsi="Arial"/>
          <w:sz w:val="21"/>
          <w:szCs w:val="21"/>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w:t>
      </w:r>
      <w:r>
        <w:rPr>
          <w:rFonts w:ascii="MS PGothic" w:cs="MS PGothic" w:eastAsia="MS PGothic" w:hAnsi="MS PGothic"/>
          <w:sz w:val="21"/>
          <w:szCs w:val="21"/>
          <w:color w:val="auto"/>
        </w:rPr>
        <w:t>‑</w:t>
      </w:r>
      <w:r>
        <w:rPr>
          <w:rFonts w:ascii="Arial" w:cs="Arial" w:eastAsia="Arial" w:hAnsi="Arial"/>
          <w:sz w:val="21"/>
          <w:szCs w:val="21"/>
          <w:color w:val="auto"/>
        </w:rPr>
        <w: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21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Commission and Expenses</w:t>
      </w:r>
    </w:p>
    <w:p>
      <w:pPr>
        <w:spacing w:after="0" w:line="239"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The underwriters have advised us that they propose to offer the units to the public at the initial public offering price set forth on the cover page of this prospectus and to certain dealers, which may include the underwriters, at that price less a concession not in</w:t>
      </w:r>
    </w:p>
    <w:p>
      <w:pPr>
        <w:spacing w:after="0"/>
        <w:tabs>
          <w:tab w:leader="none" w:pos="1540" w:val="left"/>
        </w:tabs>
        <w:rPr>
          <w:sz w:val="20"/>
          <w:szCs w:val="20"/>
          <w:color w:val="auto"/>
        </w:rPr>
      </w:pPr>
      <w:r>
        <w:rPr>
          <w:rFonts w:ascii="Arial" w:cs="Arial" w:eastAsia="Arial" w:hAnsi="Arial"/>
          <w:sz w:val="22"/>
          <w:szCs w:val="22"/>
          <w:color w:val="auto"/>
        </w:rPr>
        <w:t>excess of $</w:t>
      </w:r>
      <w:r>
        <w:rPr>
          <w:sz w:val="20"/>
          <w:szCs w:val="20"/>
          <w:color w:val="auto"/>
        </w:rPr>
        <w:tab/>
      </w:r>
      <w:r>
        <w:rPr>
          <w:rFonts w:ascii="Arial" w:cs="Arial" w:eastAsia="Arial" w:hAnsi="Arial"/>
          <w:sz w:val="19"/>
          <w:szCs w:val="19"/>
          <w:color w:val="auto"/>
        </w:rPr>
        <w:t>per unit. The underwriters may allow, and certain dealers may reallow, a discount from the concession not in</w:t>
      </w:r>
    </w:p>
    <w:p>
      <w:pPr>
        <w:spacing w:after="0" w:line="1" w:lineRule="exact"/>
        <w:rPr>
          <w:sz w:val="20"/>
          <w:szCs w:val="20"/>
          <w:color w:val="auto"/>
        </w:rPr>
      </w:pPr>
    </w:p>
    <w:p>
      <w:pPr>
        <w:jc w:val="both"/>
        <w:ind w:right="620"/>
        <w:spacing w:after="0" w:line="234" w:lineRule="auto"/>
        <w:rPr>
          <w:sz w:val="20"/>
          <w:szCs w:val="20"/>
          <w:color w:val="auto"/>
        </w:rPr>
      </w:pPr>
      <w:r>
        <w:rPr>
          <w:rFonts w:ascii="Arial" w:cs="Arial" w:eastAsia="Arial" w:hAnsi="Arial"/>
          <w:sz w:val="22"/>
          <w:szCs w:val="22"/>
          <w:color w:val="auto"/>
        </w:rPr>
        <w:t>excess of $ per unit to certain brokers and dealers. After the offering, the initial public offering price, concession and reallowance to dealers may be reduced by the representative. No such reduction will change the amount of proceeds to be received by us as set forth on the cover page of this prospectus.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ind w:left="960"/>
              <w:spacing w:after="0"/>
              <w:rPr>
                <w:sz w:val="20"/>
                <w:szCs w:val="20"/>
                <w:color w:val="auto"/>
              </w:rPr>
            </w:pPr>
            <w:r>
              <w:rPr>
                <w:rFonts w:ascii="Arial" w:cs="Arial" w:eastAsia="Arial" w:hAnsi="Arial"/>
                <w:sz w:val="18"/>
                <w:szCs w:val="18"/>
                <w:b w:val="1"/>
                <w:bCs w:val="1"/>
                <w:color w:val="auto"/>
              </w:rPr>
              <w:t>Paid by</w:t>
            </w:r>
          </w:p>
        </w:tc>
      </w:tr>
      <w:tr>
        <w:trPr>
          <w:trHeight w:val="241"/>
        </w:trPr>
        <w:tc>
          <w:tcPr>
            <w:tcW w:w="8360" w:type="dxa"/>
            <w:vAlign w:val="bottom"/>
          </w:tcPr>
          <w:p>
            <w:pPr>
              <w:spacing w:after="0"/>
              <w:rPr>
                <w:sz w:val="20"/>
                <w:szCs w:val="20"/>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4"/>
              </w:rPr>
              <w:t>ARYA Sciences Acquisition Corp III</w:t>
            </w:r>
          </w:p>
        </w:tc>
      </w:tr>
      <w:tr>
        <w:trPr>
          <w:trHeight w:val="223"/>
        </w:trPr>
        <w:tc>
          <w:tcPr>
            <w:tcW w:w="8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1"/>
              </w:rPr>
              <w:t>No Exercise</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Full Exercise</w:t>
            </w:r>
          </w:p>
        </w:tc>
        <w:tc>
          <w:tcPr>
            <w:tcW w:w="10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Per Unit</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8"/>
                <w:szCs w:val="18"/>
                <w:color w:val="auto"/>
              </w:rPr>
            </w:pPr>
          </w:p>
        </w:tc>
      </w:tr>
      <w:tr>
        <w:trPr>
          <w:trHeight w:val="390"/>
        </w:trPr>
        <w:tc>
          <w:tcPr>
            <w:tcW w:w="836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9"/>
                <w:szCs w:val="29"/>
                <w:color w:val="auto"/>
                <w:vertAlign w:val="superscript"/>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6,875,000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7,906,250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107124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62" w:lineRule="exact"/>
        <w:rPr>
          <w:sz w:val="20"/>
          <w:szCs w:val="20"/>
          <w:color w:val="auto"/>
        </w:rPr>
      </w:pPr>
    </w:p>
    <w:p>
      <w:pPr>
        <w:ind w:left="340" w:right="120" w:hanging="332"/>
        <w:spacing w:after="0" w:line="25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$0.20 per unit, or $2,500,000 in the aggregate (or $2,875,000 in the aggregate if the underwriters’ option to purchase additional units is exercised in full), is payable upon the closing of this offering. $0.35 per unit, or $4,375,000 in the aggregate (or $5,031,250 in the aggregate if the underwriters’ option to purchase additional units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7" w:name="page148"/>
    <w:bookmarkEnd w:id="14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If we do not complete our initial business combination within 24 months from the closing of this offering,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214" w:lineRule="exact"/>
        <w:rPr>
          <w:sz w:val="20"/>
          <w:szCs w:val="20"/>
          <w:color w:val="auto"/>
        </w:rPr>
      </w:pPr>
    </w:p>
    <w:p>
      <w:pPr>
        <w:ind w:right="400"/>
        <w:spacing w:after="0" w:line="253" w:lineRule="exact"/>
        <w:rPr>
          <w:sz w:val="20"/>
          <w:szCs w:val="20"/>
          <w:color w:val="auto"/>
        </w:rPr>
      </w:pPr>
      <w:r>
        <w:rPr>
          <w:rFonts w:ascii="Arial" w:cs="Arial" w:eastAsia="Arial" w:hAnsi="Arial"/>
          <w:sz w:val="22"/>
          <w:szCs w:val="22"/>
          <w:color w:val="auto"/>
        </w:rPr>
        <w:t>We estimate expenses payable by us in connection with this offering, other than the underwriting discounts and commissions referred to above, will be approximately $1,000,000. We have agreed to pay for FINRA</w:t>
      </w:r>
      <w:r>
        <w:rPr>
          <w:rFonts w:ascii="MS PGothic" w:cs="MS PGothic" w:eastAsia="MS PGothic" w:hAnsi="MS PGothic"/>
          <w:sz w:val="22"/>
          <w:szCs w:val="22"/>
          <w:color w:val="auto"/>
        </w:rPr>
        <w:t>‑</w:t>
      </w:r>
      <w:r>
        <w:rPr>
          <w:rFonts w:ascii="Arial" w:cs="Arial" w:eastAsia="Arial" w:hAnsi="Arial"/>
          <w:sz w:val="22"/>
          <w:szCs w:val="22"/>
          <w:color w:val="auto"/>
        </w:rPr>
        <w:t>related fees and expenses of the underwriters’ legal counsel, not to exceed $25,000.</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Offering Price</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our capital structure, and currently prevailing general conditions in equity securities markets, including current market valuations of publicly traded companies considered comparable to our company.</w:t>
      </w:r>
    </w:p>
    <w:p>
      <w:pPr>
        <w:spacing w:after="0" w:line="174"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239" w:lineRule="exact"/>
        <w:rPr>
          <w:sz w:val="20"/>
          <w:szCs w:val="20"/>
          <w:color w:val="auto"/>
        </w:rPr>
      </w:pPr>
    </w:p>
    <w:p>
      <w:pPr>
        <w:ind w:right="340"/>
        <w:spacing w:after="0" w:line="276" w:lineRule="auto"/>
        <w:rPr>
          <w:sz w:val="20"/>
          <w:szCs w:val="20"/>
          <w:color w:val="auto"/>
        </w:rPr>
      </w:pPr>
      <w:r>
        <w:rPr>
          <w:rFonts w:ascii="Arial" w:cs="Arial" w:eastAsia="Arial" w:hAnsi="Arial"/>
          <w:sz w:val="19"/>
          <w:szCs w:val="19"/>
          <w:color w:val="auto"/>
        </w:rPr>
        <w:t>We intend to apply to have our units listed on Nasdaq under the symbol “ .” Once the securities comprising the units begin separate trading, we expect that the Class A ordinary shares and warrants will be listed on Nasdaq under the symbols “</w:t>
      </w:r>
    </w:p>
    <w:p>
      <w:pPr>
        <w:spacing w:after="0" w:line="1" w:lineRule="exact"/>
        <w:rPr>
          <w:sz w:val="20"/>
          <w:szCs w:val="20"/>
          <w:color w:val="auto"/>
        </w:rPr>
      </w:pPr>
    </w:p>
    <w:p>
      <w:pPr>
        <w:ind w:right="20" w:firstLine="162"/>
        <w:spacing w:after="0" w:line="236" w:lineRule="auto"/>
        <w:rPr>
          <w:sz w:val="20"/>
          <w:szCs w:val="20"/>
          <w:color w:val="auto"/>
        </w:rPr>
      </w:pPr>
      <w:r>
        <w:rPr>
          <w:rFonts w:ascii="Arial" w:cs="Arial" w:eastAsia="Arial" w:hAnsi="Arial"/>
          <w:sz w:val="22"/>
          <w:szCs w:val="22"/>
          <w:color w:val="auto"/>
        </w:rPr>
        <w:t>” and “ ,” respectively. The units will automatically separate into their component parts and will not be traded following the completion of our initial business combination.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Stamp Taxes</w:t>
      </w:r>
    </w:p>
    <w:p>
      <w:pPr>
        <w:spacing w:after="0" w:line="239" w:lineRule="exact"/>
        <w:rPr>
          <w:sz w:val="20"/>
          <w:szCs w:val="20"/>
          <w:color w:val="auto"/>
        </w:rPr>
      </w:pPr>
    </w:p>
    <w:p>
      <w:pPr>
        <w:ind w:right="340"/>
        <w:spacing w:after="0" w:line="328" w:lineRule="auto"/>
        <w:rPr>
          <w:sz w:val="20"/>
          <w:szCs w:val="20"/>
          <w:color w:val="auto"/>
        </w:rPr>
      </w:pPr>
      <w:r>
        <w:rPr>
          <w:rFonts w:ascii="Arial" w:cs="Arial" w:eastAsia="Arial" w:hAnsi="Arial"/>
          <w:sz w:val="19"/>
          <w:szCs w:val="19"/>
          <w:color w:val="auto"/>
        </w:rPr>
        <w:t>If you purchase units offered in this prospectus, you may be required to pay stamp taxes and other charges under the laws and practices of the country of purchase, in addition to the offering price listed on the cover page of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Purchase Additional Units</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We have granted to the underwriters an option, exercisable for 45 days from the date of this prospectus, to purchase, from time to time, in whole or in part, up to an aggregate of 1,875,000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Letter Agreements</w:t>
      </w:r>
    </w:p>
    <w:p>
      <w:pPr>
        <w:spacing w:after="0" w:line="239" w:lineRule="exact"/>
        <w:rPr>
          <w:sz w:val="20"/>
          <w:szCs w:val="20"/>
          <w:color w:val="auto"/>
        </w:rPr>
      </w:pPr>
    </w:p>
    <w:p>
      <w:pPr>
        <w:ind w:right="40"/>
        <w:spacing w:after="0" w:line="247" w:lineRule="exact"/>
        <w:rPr>
          <w:sz w:val="20"/>
          <w:szCs w:val="20"/>
          <w:color w:val="auto"/>
        </w:rPr>
      </w:pPr>
      <w:r>
        <w:rPr>
          <w:rFonts w:ascii="Arial" w:cs="Arial" w:eastAsia="Arial" w:hAnsi="Arial"/>
          <w:sz w:val="21"/>
          <w:szCs w:val="21"/>
          <w:color w:val="auto"/>
        </w:rPr>
        <w:t xml:space="preserve">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Class A ordinary shares or any other securities convertible into, or exercisable, or exchangeable for, Class A ordinary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we may (1) issue and sell the private placement units, (2) issue and sell the additional units to cover our underwriters’ over</w:t>
      </w:r>
      <w:r>
        <w:rPr>
          <w:rFonts w:ascii="MS PGothic" w:cs="MS PGothic" w:eastAsia="MS PGothic" w:hAnsi="MS PGothic"/>
          <w:sz w:val="21"/>
          <w:szCs w:val="21"/>
          <w:color w:val="auto"/>
        </w:rPr>
        <w:t>‑</w:t>
      </w:r>
      <w:r>
        <w:rPr>
          <w:rFonts w:ascii="Arial" w:cs="Arial" w:eastAsia="Arial" w:hAnsi="Arial"/>
          <w:sz w:val="21"/>
          <w:szCs w:val="21"/>
          <w:color w:val="auto"/>
        </w:rPr>
        <w:t>allotment option (if any), (3) register with the SEC pursuant to an agreement to be entered into concurrently with the issuance and sale of the securities in this offering, the resale of the founder shares and the private placement units and the securities underlying the foregoing or the warrants and Class A ordinary shares issuable upon exercise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48" w:name="page149"/>
    <w:bookmarkEnd w:id="14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380"/>
        <w:spacing w:after="0" w:line="259" w:lineRule="exact"/>
        <w:rPr>
          <w:sz w:val="20"/>
          <w:szCs w:val="20"/>
          <w:color w:val="auto"/>
        </w:rPr>
      </w:pPr>
      <w:r>
        <w:rPr>
          <w:rFonts w:ascii="Arial" w:cs="Arial" w:eastAsia="Arial" w:hAnsi="Arial"/>
          <w:sz w:val="21"/>
          <w:szCs w:val="21"/>
          <w:color w:val="auto"/>
        </w:rPr>
        <w:t>of the warrants, and (4) issue securities in connection with an initial business combination. Jefferies LLC in its sole discretion may release any of the securities subject to these lock</w:t>
      </w:r>
      <w:r>
        <w:rPr>
          <w:rFonts w:ascii="MS PGothic" w:cs="MS PGothic" w:eastAsia="MS PGothic" w:hAnsi="MS PGothic"/>
          <w:sz w:val="21"/>
          <w:szCs w:val="21"/>
          <w:color w:val="auto"/>
        </w:rPr>
        <w:t>‑</w:t>
      </w:r>
      <w:r>
        <w:rPr>
          <w:rFonts w:ascii="Arial" w:cs="Arial" w:eastAsia="Arial" w:hAnsi="Arial"/>
          <w:sz w:val="21"/>
          <w:szCs w:val="21"/>
          <w:color w:val="auto"/>
        </w:rPr>
        <w:t>up agreements at any time without notice.</w:t>
      </w:r>
    </w:p>
    <w:p>
      <w:pPr>
        <w:spacing w:after="0" w:line="212" w:lineRule="exact"/>
        <w:rPr>
          <w:sz w:val="20"/>
          <w:szCs w:val="20"/>
          <w:color w:val="auto"/>
        </w:rPr>
      </w:pPr>
    </w:p>
    <w:p>
      <w:pPr>
        <w:ind w:right="40"/>
        <w:spacing w:after="0" w:line="246" w:lineRule="exact"/>
        <w:rPr>
          <w:sz w:val="20"/>
          <w:szCs w:val="20"/>
          <w:color w:val="auto"/>
        </w:rPr>
      </w:pPr>
      <w:r>
        <w:rPr>
          <w:rFonts w:ascii="Arial" w:cs="Arial" w:eastAsia="Arial" w:hAnsi="Arial"/>
          <w:sz w:val="19"/>
          <w:szCs w:val="19"/>
          <w:color w:val="auto"/>
        </w:rPr>
        <w:t>Our initial shareholders have agreed not to transfer, assign or sell any of their founder shares until the earlier to occur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w:t>
      </w:r>
      <w:r>
        <w:rPr>
          <w:rFonts w:ascii="MS PGothic" w:cs="MS PGothic" w:eastAsia="MS PGothic" w:hAnsi="MS PGothic"/>
          <w:sz w:val="19"/>
          <w:szCs w:val="19"/>
          <w:color w:val="auto"/>
        </w:rPr>
        <w:t>‑</w:t>
      </w:r>
      <w:r>
        <w:rPr>
          <w:rFonts w:ascii="Arial" w:cs="Arial" w:eastAsia="Arial" w:hAnsi="Arial"/>
          <w:sz w:val="19"/>
          <w:szCs w:val="19"/>
          <w:color w:val="auto"/>
        </w:rPr>
        <w:t>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(except as described herein under “Principal Shareholders — Transfers of Founder Shares and Private Placement Units”). Any permitted transferees will be subject to the same restrictions and other agreements of our our sponsor and our management team with respect to any founder shares, private placement units, private placement shares, private placement warrants and Class A ordinary shares issued upon conversion or exercise thereof. We refer to such transfer restrictions throughout this prospectus as the lock</w:t>
      </w:r>
      <w:r>
        <w:rPr>
          <w:rFonts w:ascii="MS PGothic" w:cs="MS PGothic" w:eastAsia="MS PGothic" w:hAnsi="MS PGothic"/>
          <w:sz w:val="19"/>
          <w:szCs w:val="19"/>
          <w:color w:val="auto"/>
        </w:rPr>
        <w:t>‑</w:t>
      </w:r>
      <w:r>
        <w:rPr>
          <w:rFonts w:ascii="Arial" w:cs="Arial" w:eastAsia="Arial" w:hAnsi="Arial"/>
          <w:sz w:val="19"/>
          <w:szCs w:val="19"/>
          <w:color w:val="auto"/>
        </w:rPr>
        <w:t>up.</w:t>
      </w:r>
    </w:p>
    <w:p>
      <w:pPr>
        <w:spacing w:after="0" w:line="21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private placement units (including the private placement shares, private placement warrants and Class A ordinary shares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Units”).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Stabilization</w:t>
      </w:r>
    </w:p>
    <w:p>
      <w:pPr>
        <w:spacing w:after="0" w:line="239"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211"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9" w:name="page150"/>
    <w:bookmarkEnd w:id="14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jc w:val="both"/>
        <w:ind w:right="120"/>
        <w:spacing w:after="0" w:line="249" w:lineRule="auto"/>
        <w:rPr>
          <w:sz w:val="20"/>
          <w:szCs w:val="20"/>
          <w:color w:val="auto"/>
        </w:rPr>
      </w:pPr>
      <w:r>
        <w:rPr>
          <w:rFonts w:ascii="Arial" w:cs="Arial" w:eastAsia="Arial" w:hAnsi="Arial"/>
          <w:sz w:val="21"/>
          <w:szCs w:val="21"/>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Distribution</w:t>
      </w:r>
    </w:p>
    <w:p>
      <w:pPr>
        <w:spacing w:after="0" w:line="239" w:lineRule="exact"/>
        <w:rPr>
          <w:sz w:val="20"/>
          <w:szCs w:val="20"/>
          <w:color w:val="auto"/>
        </w:rPr>
      </w:pPr>
    </w:p>
    <w:p>
      <w:pPr>
        <w:ind w:right="160"/>
        <w:spacing w:after="0" w:line="247" w:lineRule="exact"/>
        <w:rPr>
          <w:sz w:val="20"/>
          <w:szCs w:val="20"/>
          <w:color w:val="auto"/>
        </w:rPr>
      </w:pPr>
      <w:r>
        <w:rPr>
          <w:rFonts w:ascii="Arial" w:cs="Arial" w:eastAsia="Arial" w:hAnsi="Arial"/>
          <w:sz w:val="19"/>
          <w:szCs w:val="19"/>
          <w:color w:val="auto"/>
        </w:rPr>
        <w:t>A prospectus in electronic format may be made available by e</w:t>
      </w:r>
      <w:r>
        <w:rPr>
          <w:rFonts w:ascii="MS PGothic" w:cs="MS PGothic" w:eastAsia="MS PGothic" w:hAnsi="MS PGothic"/>
          <w:sz w:val="19"/>
          <w:szCs w:val="19"/>
          <w:color w:val="auto"/>
        </w:rPr>
        <w:t>‑</w:t>
      </w:r>
      <w:r>
        <w:rPr>
          <w:rFonts w:ascii="Arial" w:cs="Arial" w:eastAsia="Arial" w:hAnsi="Arial"/>
          <w:sz w:val="19"/>
          <w:szCs w:val="19"/>
          <w:color w:val="auto"/>
        </w:rPr>
        <w:t>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Activities and Relationships</w:t>
      </w:r>
    </w:p>
    <w:p>
      <w:pPr>
        <w:spacing w:after="0" w:line="239"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 xml:space="preserve">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211"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Restrictions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Canada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Resale Restrictions</w:t>
      </w:r>
    </w:p>
    <w:p>
      <w:pPr>
        <w:spacing w:after="0" w:line="233"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exemption granted by the applicable Canadian securities regulatory authority. Purchasers are advised to seek legal advice prior to any resale of the securities.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Representations of Canadian Purchasers</w:t>
      </w:r>
    </w:p>
    <w:p>
      <w:pPr>
        <w:spacing w:after="0" w:line="233"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By purchasing the securities in Canada and accepting delivery of a purchase confirmation, a purchaser is representing to us and the dealer from whom the purchase confirmation is received that:</w:t>
      </w:r>
    </w:p>
    <w:p>
      <w:pPr>
        <w:spacing w:after="0" w:line="209" w:lineRule="exact"/>
        <w:rPr>
          <w:sz w:val="20"/>
          <w:szCs w:val="20"/>
          <w:color w:val="auto"/>
        </w:rPr>
      </w:pPr>
    </w:p>
    <w:p>
      <w:pPr>
        <w:ind w:left="980" w:right="360" w:hanging="324"/>
        <w:spacing w:after="0" w:line="224" w:lineRule="exact"/>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securities without the benefit of a prospectus qualified under those securities laws as it is an “accredited investor” as defined under National Instrument 45</w:t>
      </w:r>
      <w:r>
        <w:rPr>
          <w:rFonts w:ascii="MS PGothic" w:cs="MS PGothic" w:eastAsia="MS PGothic" w:hAnsi="MS PGothic"/>
          <w:sz w:val="16"/>
          <w:szCs w:val="16"/>
          <w:color w:val="auto"/>
        </w:rPr>
        <w:t>‑</w:t>
      </w:r>
      <w:r>
        <w:rPr>
          <w:rFonts w:ascii="Arial" w:cs="Arial" w:eastAsia="Arial" w:hAnsi="Arial"/>
          <w:sz w:val="16"/>
          <w:szCs w:val="16"/>
          <w:color w:val="auto"/>
        </w:rPr>
        <w:t xml:space="preserve">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ind w:left="980" w:right="560" w:hanging="324"/>
        <w:spacing w:after="0" w:line="223" w:lineRule="exact"/>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w:t>
      </w:r>
      <w:r>
        <w:rPr>
          <w:rFonts w:ascii="MS PGothic" w:cs="MS PGothic" w:eastAsia="MS PGothic" w:hAnsi="MS PGothic"/>
          <w:sz w:val="18"/>
          <w:szCs w:val="18"/>
          <w:color w:val="auto"/>
        </w:rPr>
        <w:t>‑</w:t>
      </w:r>
      <w:r>
        <w:rPr>
          <w:rFonts w:ascii="Arial" w:cs="Arial" w:eastAsia="Arial" w:hAnsi="Arial"/>
          <w:sz w:val="18"/>
          <w:szCs w:val="18"/>
          <w:color w:val="auto"/>
        </w:rPr>
        <w:t xml:space="preserve">103 —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Conflicts of Interest</w:t>
      </w:r>
    </w:p>
    <w:p>
      <w:pPr>
        <w:spacing w:after="0" w:line="233"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Canadian purchasers are hereby notified that the underwriters are relying on the exemption set out in section 3A.3 or 3A.4, if applicable, of National Instrument 33</w:t>
      </w:r>
      <w:r>
        <w:rPr>
          <w:rFonts w:ascii="MS PGothic" w:cs="MS PGothic" w:eastAsia="MS PGothic" w:hAnsi="MS PGothic"/>
          <w:sz w:val="22"/>
          <w:szCs w:val="22"/>
          <w:color w:val="auto"/>
        </w:rPr>
        <w:t>‑</w:t>
      </w:r>
      <w:r>
        <w:rPr>
          <w:rFonts w:ascii="Arial" w:cs="Arial" w:eastAsia="Arial" w:hAnsi="Arial"/>
          <w:sz w:val="22"/>
          <w:szCs w:val="22"/>
          <w:color w:val="auto"/>
        </w:rPr>
        <w:t xml:space="preserve">105 — </w:t>
      </w:r>
      <w:r>
        <w:rPr>
          <w:rFonts w:ascii="Arial" w:cs="Arial" w:eastAsia="Arial" w:hAnsi="Arial"/>
          <w:sz w:val="22"/>
          <w:szCs w:val="22"/>
          <w:i w:val="1"/>
          <w:iCs w:val="1"/>
          <w:color w:val="auto"/>
        </w:rPr>
        <w:t>Underwriting Conflicts</w:t>
      </w:r>
      <w:r>
        <w:rPr>
          <w:rFonts w:ascii="Arial" w:cs="Arial" w:eastAsia="Arial" w:hAnsi="Arial"/>
          <w:sz w:val="22"/>
          <w:szCs w:val="22"/>
          <w:color w:val="auto"/>
        </w:rPr>
        <w:t xml:space="preserve"> from having to provide certain conflict of interest disclosure in this document.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Statutory Rights of Action</w:t>
      </w:r>
    </w:p>
    <w:p>
      <w:pPr>
        <w:spacing w:after="0" w:line="233"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 xml:space="preserve">Securities legislation in certain provinces or territories of Canada may provide a purchaser with remedies for rescission or damages if the prospectus (including any amendment thereto) such as this document contains a misrepresentation,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Enforcement of Legal Rights</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Taxation and Eligibility for Investment</w:t>
      </w:r>
    </w:p>
    <w:p>
      <w:pPr>
        <w:spacing w:after="0" w:line="233"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Australia</w:t>
      </w:r>
    </w:p>
    <w:p>
      <w:pPr>
        <w:spacing w:after="0" w:line="233" w:lineRule="exact"/>
        <w:rPr>
          <w:sz w:val="20"/>
          <w:szCs w:val="20"/>
          <w:color w:val="auto"/>
        </w:rPr>
      </w:pPr>
    </w:p>
    <w:p>
      <w:pPr>
        <w:ind w:right="540"/>
        <w:spacing w:after="0" w:line="297" w:lineRule="auto"/>
        <w:rPr>
          <w:sz w:val="20"/>
          <w:szCs w:val="20"/>
          <w:color w:val="auto"/>
        </w:rPr>
      </w:pPr>
      <w:r>
        <w:rPr>
          <w:rFonts w:ascii="Arial" w:cs="Arial" w:eastAsia="Arial" w:hAnsi="Arial"/>
          <w:sz w:val="19"/>
          <w:szCs w:val="19"/>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You confirm and warrant that you are either:</w:t>
      </w:r>
    </w:p>
    <w:p>
      <w:pPr>
        <w:spacing w:after="0" w:line="240"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right="60" w:hanging="324"/>
        <w:spacing w:after="0" w:line="263"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245" w:lineRule="exact"/>
        <w:rPr>
          <w:sz w:val="20"/>
          <w:szCs w:val="20"/>
          <w:color w:val="auto"/>
        </w:rPr>
      </w:pPr>
    </w:p>
    <w:p>
      <w:pPr>
        <w:ind w:right="680"/>
        <w:spacing w:after="0"/>
        <w:rPr>
          <w:sz w:val="20"/>
          <w:szCs w:val="20"/>
          <w:color w:val="auto"/>
        </w:rPr>
      </w:pPr>
      <w:r>
        <w:rPr>
          <w:rFonts w:ascii="Arial" w:cs="Arial" w:eastAsia="Arial" w:hAnsi="Arial"/>
          <w:sz w:val="22"/>
          <w:szCs w:val="22"/>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21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European Economic Area</w:t>
      </w:r>
    </w:p>
    <w:p>
      <w:pPr>
        <w:spacing w:after="0" w:line="23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Hong Kong</w:t>
      </w:r>
    </w:p>
    <w:p>
      <w:pPr>
        <w:spacing w:after="0" w:line="233"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Israel</w:t>
      </w:r>
    </w:p>
    <w:p>
      <w:pPr>
        <w:spacing w:after="0" w:line="233" w:lineRule="exact"/>
        <w:rPr>
          <w:sz w:val="20"/>
          <w:szCs w:val="20"/>
          <w:color w:val="auto"/>
        </w:rPr>
      </w:pPr>
    </w:p>
    <w:p>
      <w:pPr>
        <w:ind w:right="260"/>
        <w:spacing w:after="0" w:line="259" w:lineRule="exact"/>
        <w:rPr>
          <w:sz w:val="20"/>
          <w:szCs w:val="20"/>
          <w:color w:val="auto"/>
        </w:rPr>
      </w:pPr>
      <w:r>
        <w:rPr>
          <w:rFonts w:ascii="Arial" w:cs="Arial" w:eastAsia="Arial" w:hAnsi="Arial"/>
          <w:sz w:val="22"/>
          <w:szCs w:val="22"/>
          <w:color w:val="auto"/>
        </w:rPr>
        <w:t>This document does not constitute a prospectus under the Israeli Securities Law, 5728</w:t>
      </w:r>
      <w:r>
        <w:rPr>
          <w:rFonts w:ascii="MS PGothic" w:cs="MS PGothic" w:eastAsia="MS PGothic" w:hAnsi="MS PGothic"/>
          <w:sz w:val="22"/>
          <w:szCs w:val="22"/>
          <w:color w:val="auto"/>
        </w:rPr>
        <w:t>‑</w:t>
      </w:r>
      <w:r>
        <w:rPr>
          <w:rFonts w:ascii="Arial" w:cs="Arial" w:eastAsia="Arial" w:hAnsi="Arial"/>
          <w:sz w:val="22"/>
          <w:szCs w:val="22"/>
          <w:color w:val="auto"/>
        </w:rPr>
        <w:t>1968, or the Securities Law, and has not been filed with or approved by the Israel Securities Authority. In Israel, this prospectus is being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2" w:name="page153"/>
    <w:bookmarkEnd w:id="15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distributed only to, and is directed only at, and any offer of the units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Japan</w:t>
      </w:r>
    </w:p>
    <w:p>
      <w:pPr>
        <w:spacing w:after="0" w:line="233" w:lineRule="exact"/>
        <w:rPr>
          <w:sz w:val="20"/>
          <w:szCs w:val="20"/>
          <w:color w:val="auto"/>
        </w:rPr>
      </w:pPr>
    </w:p>
    <w:p>
      <w:pPr>
        <w:spacing w:after="0" w:line="248" w:lineRule="exact"/>
        <w:rPr>
          <w:sz w:val="20"/>
          <w:szCs w:val="20"/>
          <w:color w:val="auto"/>
        </w:rPr>
      </w:pPr>
      <w:r>
        <w:rPr>
          <w:rFonts w:ascii="Arial" w:cs="Arial" w:eastAsia="Arial" w:hAnsi="Arial"/>
          <w:sz w:val="19"/>
          <w:szCs w:val="19"/>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w:t>
      </w:r>
      <w:r>
        <w:rPr>
          <w:rFonts w:ascii="MS PGothic" w:cs="MS PGothic" w:eastAsia="MS PGothic" w:hAnsi="MS PGothic"/>
          <w:sz w:val="19"/>
          <w:szCs w:val="19"/>
          <w:color w:val="auto"/>
        </w:rPr>
        <w:t>‑</w:t>
      </w:r>
      <w:r>
        <w:rPr>
          <w:rFonts w:ascii="Arial" w:cs="Arial" w:eastAsia="Arial" w:hAnsi="Arial"/>
          <w:sz w:val="19"/>
          <w:szCs w:val="19"/>
          <w:color w:val="auto"/>
        </w:rPr>
        <w:t>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Singapore</w:t>
      </w:r>
    </w:p>
    <w:p>
      <w:pPr>
        <w:spacing w:after="0" w:line="233" w:lineRule="exact"/>
        <w:rPr>
          <w:sz w:val="20"/>
          <w:szCs w:val="20"/>
          <w:color w:val="auto"/>
        </w:rPr>
      </w:pPr>
    </w:p>
    <w:p>
      <w:pPr>
        <w:ind w:right="240"/>
        <w:spacing w:after="0" w:line="271" w:lineRule="auto"/>
        <w:rPr>
          <w:sz w:val="20"/>
          <w:szCs w:val="20"/>
          <w:color w:val="auto"/>
        </w:rPr>
      </w:pPr>
      <w:r>
        <w:rPr>
          <w:rFonts w:ascii="Arial" w:cs="Arial" w:eastAsia="Arial" w:hAnsi="Arial"/>
          <w:sz w:val="19"/>
          <w:szCs w:val="19"/>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w:t>
      </w:r>
    </w:p>
    <w:p>
      <w:pPr>
        <w:spacing w:after="0" w:line="3" w:lineRule="exact"/>
        <w:rPr>
          <w:sz w:val="20"/>
          <w:szCs w:val="20"/>
          <w:color w:val="auto"/>
        </w:rPr>
      </w:pPr>
    </w:p>
    <w:p>
      <w:pPr>
        <w:ind w:right="20" w:firstLine="8"/>
        <w:spacing w:after="0" w:line="233" w:lineRule="auto"/>
        <w:tabs>
          <w:tab w:leader="none" w:pos="258"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Where the securities are subscribed or purchased under Section 275 of the SFA by a relevant person which is:</w:t>
      </w:r>
    </w:p>
    <w:p>
      <w:pPr>
        <w:spacing w:after="0" w:line="240" w:lineRule="exact"/>
        <w:rPr>
          <w:sz w:val="20"/>
          <w:szCs w:val="20"/>
          <w:color w:val="auto"/>
        </w:rPr>
      </w:pPr>
    </w:p>
    <w:p>
      <w:pPr>
        <w:ind w:left="980" w:hanging="324"/>
        <w:spacing w:after="0" w:line="308"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980" w:right="180" w:hanging="324"/>
        <w:spacing w:after="0" w:line="259"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3" w:name="page154"/>
    <w:bookmarkEnd w:id="15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Switzerland</w:t>
      </w:r>
    </w:p>
    <w:p>
      <w:pPr>
        <w:spacing w:after="0" w:line="233" w:lineRule="exact"/>
        <w:rPr>
          <w:sz w:val="20"/>
          <w:szCs w:val="20"/>
          <w:color w:val="auto"/>
        </w:rPr>
      </w:pPr>
    </w:p>
    <w:p>
      <w:pPr>
        <w:ind w:right="300"/>
        <w:spacing w:after="0" w:line="279" w:lineRule="auto"/>
        <w:rPr>
          <w:sz w:val="20"/>
          <w:szCs w:val="20"/>
          <w:color w:val="auto"/>
        </w:rPr>
      </w:pPr>
      <w:r>
        <w:rPr>
          <w:rFonts w:ascii="Arial" w:cs="Arial" w:eastAsia="Arial" w:hAnsi="Arial"/>
          <w:sz w:val="19"/>
          <w:szCs w:val="19"/>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77"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Kingdom</w:t>
      </w:r>
    </w:p>
    <w:p>
      <w:pPr>
        <w:spacing w:after="0" w:line="233" w:lineRule="exact"/>
        <w:rPr>
          <w:sz w:val="20"/>
          <w:szCs w:val="20"/>
          <w:color w:val="auto"/>
        </w:rPr>
      </w:pPr>
    </w:p>
    <w:p>
      <w:pPr>
        <w:ind w:right="160"/>
        <w:spacing w:after="0" w:line="249" w:lineRule="auto"/>
        <w:rPr>
          <w:sz w:val="20"/>
          <w:szCs w:val="20"/>
          <w:color w:val="auto"/>
        </w:rPr>
      </w:pPr>
      <w:r>
        <w:rPr>
          <w:rFonts w:ascii="Arial" w:cs="Arial" w:eastAsia="Arial" w:hAnsi="Arial"/>
          <w:sz w:val="21"/>
          <w:szCs w:val="21"/>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205"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LEGAL MATTERS</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Kirkland &amp; Ellis LLP, New York, New York will pass upon the validity of the securities offered in this prospectus with respect to units and warrants. Ogier will pass upon the validity of the securities offered in this prospectus with respect to the ordinary shares and matters of Cayman Islands law. In connection with this offering, Skadden, Arps, Slate, Meagher &amp; Flom LLP, Palo Alto, California advised the underwriters in connection with the offering of the securities.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EXPERTS</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The financial statements of ARYA Sciences Acquisition Corp III as of April 2, 2020 and for the period from March 27, 2020 (inception) through April 2,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239" w:lineRule="exact"/>
        <w:rPr>
          <w:sz w:val="20"/>
          <w:szCs w:val="20"/>
          <w:color w:val="auto"/>
        </w:rPr>
      </w:pPr>
    </w:p>
    <w:p>
      <w:pPr>
        <w:ind w:right="60"/>
        <w:spacing w:after="0" w:line="247" w:lineRule="exact"/>
        <w:rPr>
          <w:sz w:val="20"/>
          <w:szCs w:val="20"/>
          <w:color w:val="auto"/>
        </w:rPr>
      </w:pPr>
      <w:r>
        <w:rPr>
          <w:rFonts w:ascii="Arial" w:cs="Arial" w:eastAsia="Arial" w:hAnsi="Arial"/>
          <w:sz w:val="21"/>
          <w:szCs w:val="21"/>
          <w:color w:val="auto"/>
        </w:rPr>
        <w:t>We have filed with the SEC a registration statement on Form S</w:t>
      </w:r>
      <w:r>
        <w:rPr>
          <w:rFonts w:ascii="MS PGothic" w:cs="MS PGothic" w:eastAsia="MS PGothic" w:hAnsi="MS PGothic"/>
          <w:sz w:val="21"/>
          <w:szCs w:val="21"/>
          <w:color w:val="auto"/>
        </w:rPr>
        <w:t>‑</w:t>
      </w:r>
      <w:r>
        <w:rPr>
          <w:rFonts w:ascii="Arial" w:cs="Arial" w:eastAsia="Arial" w:hAnsi="Arial"/>
          <w:sz w:val="21"/>
          <w:szCs w:val="21"/>
          <w:color w:val="auto"/>
        </w:rPr>
        <w:t>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4" w:name="page155"/>
    <w:bookmarkEnd w:id="15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21"/>
          <w:szCs w:val="21"/>
          <w:i w:val="1"/>
          <w:iCs w:val="1"/>
          <w:color w:val="auto"/>
        </w:rPr>
        <w:t>www.sec.gov</w:t>
      </w:r>
      <w:r>
        <w:rPr>
          <w:rFonts w:ascii="Arial" w:cs="Arial" w:eastAsia="Arial" w:hAnsi="Arial"/>
          <w:sz w:val="21"/>
          <w:szCs w:val="21"/>
          <w:color w:val="auto"/>
        </w:rPr>
        <w:t>.</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22" w:right="639" w:bottom="1440" w:gutter="0" w:footer="0" w:header="0"/>
        </w:sectPr>
      </w:pPr>
    </w:p>
    <w:bookmarkStart w:id="155" w:name="page156"/>
    <w:bookmarkEnd w:id="15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gridSpan w:val="2"/>
            <w:vMerge w:val="restart"/>
          </w:tcPr>
          <w:p>
            <w:pPr>
              <w:spacing w:after="0"/>
              <w:rPr>
                <w:sz w:val="20"/>
                <w:szCs w:val="20"/>
                <w:color w:val="auto"/>
              </w:rPr>
            </w:pPr>
            <w:r>
              <w:rPr>
                <w:rFonts w:ascii="Arial" w:cs="Arial" w:eastAsia="Arial" w:hAnsi="Arial"/>
                <w:sz w:val="18"/>
                <w:szCs w:val="18"/>
                <w:color w:val="auto"/>
              </w:rPr>
              <w:t>Audited Financial Statements of ARYA Sciences Acquisition Corp III:</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964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auto"/>
            </w:tcBorders>
          </w:tcPr>
          <w:p>
            <w:pPr>
              <w:spacing w:after="0"/>
              <w:rPr>
                <w:sz w:val="20"/>
                <w:szCs w:val="20"/>
                <w:color w:val="auto"/>
              </w:rPr>
            </w:pPr>
          </w:p>
        </w:tc>
        <w:tc>
          <w:tcPr>
            <w:tcW w:w="4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600" w:type="dxa"/>
            <w:vAlign w:val="bottom"/>
            <w:shd w:val="clear" w:color="auto" w:fill="CCEEFF"/>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Balance Sheet as of April 2, 2020</w:t>
            </w:r>
          </w:p>
        </w:tc>
        <w:tc>
          <w:tcPr>
            <w:tcW w:w="1600" w:type="dxa"/>
            <w:vAlign w:val="bottom"/>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for the period from March 27, 2020 (inception) through April 2, 2020</w:t>
            </w:r>
          </w:p>
        </w:tc>
        <w:tc>
          <w:tcPr>
            <w:tcW w:w="1600" w:type="dxa"/>
            <w:vAlign w:val="bottom"/>
            <w:shd w:val="clear" w:color="auto" w:fill="CCEEFF"/>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tcPr>
          <w:p>
            <w:pPr>
              <w:spacing w:after="0"/>
              <w:rPr>
                <w:sz w:val="20"/>
                <w:szCs w:val="20"/>
                <w:color w:val="auto"/>
              </w:rPr>
            </w:pPr>
            <w:r>
              <w:rPr>
                <w:rFonts w:ascii="Arial" w:cs="Arial" w:eastAsia="Arial" w:hAnsi="Arial"/>
                <w:sz w:val="18"/>
                <w:szCs w:val="18"/>
                <w:color w:val="auto"/>
              </w:rPr>
              <w:t>Statement of Changes in Shareholder’s Equity for the period from March 27, 2020 (inception) through April 2, 2020</w:t>
            </w:r>
          </w:p>
        </w:tc>
        <w:tc>
          <w:tcPr>
            <w:tcW w:w="1600" w:type="dxa"/>
            <w:vAlign w:val="bottom"/>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Cash Flows for the period from March 27, 2020 (inception) through April 2, 2020</w:t>
            </w:r>
          </w:p>
        </w:tc>
        <w:tc>
          <w:tcPr>
            <w:tcW w:w="1600" w:type="dxa"/>
            <w:vAlign w:val="bottom"/>
            <w:shd w:val="clear" w:color="auto" w:fill="CCEEFF"/>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color w:val="auto"/>
              </w:rPr>
              <w:t>Notes to Financial Statements</w:t>
            </w:r>
          </w:p>
        </w:tc>
        <w:tc>
          <w:tcPr>
            <w:tcW w:w="1600" w:type="dxa"/>
            <w:vAlign w:val="bottom"/>
          </w:tcPr>
          <w:p>
            <w:pPr>
              <w:jc w:val="right"/>
              <w:spacing w:after="0" w:line="207" w:lineRule="exact"/>
              <w:rPr>
                <w:sz w:val="20"/>
                <w:szCs w:val="20"/>
                <w:color w:val="auto"/>
              </w:rPr>
            </w:pPr>
            <w:r>
              <w:rPr>
                <w:rFonts w:ascii="Arial" w:cs="Arial" w:eastAsia="Arial" w:hAnsi="Arial"/>
                <w:sz w:val="18"/>
                <w:szCs w:val="18"/>
                <w:color w:val="auto"/>
              </w:rPr>
              <w:t>F</w:t>
            </w:r>
            <w:r>
              <w:rPr>
                <w:rFonts w:ascii="MS PGothic" w:cs="MS PGothic" w:eastAsia="MS PGothic" w:hAnsi="MS PGothic"/>
                <w:sz w:val="18"/>
                <w:szCs w:val="18"/>
                <w:color w:val="auto"/>
              </w:rPr>
              <w:t>‑</w:t>
            </w: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100" w:type="dxa"/>
            <w:vAlign w:val="bottom"/>
          </w:tcPr>
          <w:p>
            <w:pPr>
              <w:spacing w:after="0"/>
              <w:rPr>
                <w:sz w:val="24"/>
                <w:szCs w:val="24"/>
                <w:color w:val="auto"/>
              </w:rPr>
            </w:pPr>
          </w:p>
        </w:tc>
        <w:tc>
          <w:tcPr>
            <w:tcW w:w="4540" w:type="dxa"/>
            <w:vAlign w:val="bottom"/>
          </w:tcPr>
          <w:p>
            <w:pPr>
              <w:ind w:left="420"/>
              <w:spacing w:after="0"/>
              <w:rPr>
                <w:sz w:val="20"/>
                <w:szCs w:val="20"/>
                <w:color w:val="auto"/>
              </w:rPr>
            </w:pPr>
            <w:r>
              <w:rPr>
                <w:rFonts w:ascii="Arial" w:cs="Arial" w:eastAsia="Arial" w:hAnsi="Arial"/>
                <w:sz w:val="14"/>
                <w:szCs w:val="14"/>
                <w:color w:val="auto"/>
              </w:rPr>
              <w:t>F-1</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10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56" w:name="page157"/>
    <w:bookmarkEnd w:id="15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 and the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audited the accompanying balance sheet of ARYA Sciences Acquisition Corp III (the “Company”) as of April 2, 2020, and the related statements of operations, changes in shareholder’s equity and cash flows for the period from March 27, 2020 (inception) through April 2, 2020, and the related notes (collectively referred to as the “financial statements”). In our opinion, the financial statements present fairly, in all material respects, the financial position of the Company as of April 2, 2020, and the results of its operations and its cash flows for the period from March 27, 2020 (inception) through April 2, 2020,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WithumSmith+Brown, PC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16,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BALANCE SHEET</w:t>
      </w:r>
    </w:p>
    <w:p>
      <w:pPr>
        <w:jc w:val="center"/>
        <w:spacing w:after="0"/>
        <w:rPr>
          <w:sz w:val="20"/>
          <w:szCs w:val="20"/>
          <w:color w:val="auto"/>
        </w:rPr>
      </w:pPr>
      <w:r>
        <w:rPr>
          <w:rFonts w:ascii="Arial" w:cs="Arial" w:eastAsia="Arial" w:hAnsi="Arial"/>
          <w:sz w:val="22"/>
          <w:szCs w:val="22"/>
          <w:b w:val="1"/>
          <w:bCs w:val="1"/>
          <w:color w:val="auto"/>
        </w:rPr>
        <w:t>April 2,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$0.0001 par value; 479,000,000 shares authorized; none issued and outstanding</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B ordinary shares, $0.0001 par value; 20,000,000 shares authorized; 3,593,750 shares issued and outstanding (1)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(4,245)</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(1)This number includes up to 468,750 shares subject to forfeiture if the over-allotment option is not exercised in full or in part by the underwriters.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accompanying notes are an integral part of these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OPERATIONS</w:t>
      </w:r>
    </w:p>
    <w:p>
      <w:pPr>
        <w:jc w:val="center"/>
        <w:spacing w:after="0"/>
        <w:rPr>
          <w:sz w:val="20"/>
          <w:szCs w:val="20"/>
          <w:color w:val="auto"/>
        </w:rPr>
      </w:pPr>
      <w:r>
        <w:rPr>
          <w:rFonts w:ascii="Arial" w:cs="Arial" w:eastAsia="Arial" w:hAnsi="Arial"/>
          <w:sz w:val="22"/>
          <w:szCs w:val="22"/>
          <w:b w:val="1"/>
          <w:bCs w:val="1"/>
          <w:color w:val="auto"/>
        </w:rPr>
        <w:t>For the period from March 27, 2020 (inception) through April 2,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(4,245)</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Weighted average shares outstanding, basic and diluted </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3,125,000</w:t>
            </w:r>
          </w:p>
        </w:tc>
        <w:tc>
          <w:tcPr>
            <w:tcW w:w="8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(0.00)</w:t>
            </w:r>
          </w:p>
        </w:tc>
      </w:tr>
      <w:tr>
        <w:trPr>
          <w:trHeight w:val="21"/>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right="400" w:hanging="215"/>
        <w:spacing w:after="0" w:line="277" w:lineRule="auto"/>
        <w:rPr>
          <w:sz w:val="20"/>
          <w:szCs w:val="20"/>
          <w:color w:val="auto"/>
        </w:rPr>
      </w:pPr>
      <w:r>
        <w:rPr>
          <w:rFonts w:ascii="Arial" w:cs="Arial" w:eastAsia="Arial" w:hAnsi="Arial"/>
          <w:sz w:val="18"/>
          <w:szCs w:val="18"/>
          <w:i w:val="1"/>
          <w:iCs w:val="1"/>
          <w:color w:val="auto"/>
        </w:rPr>
        <w:t>(1)This number excludes an aggregate of up to 468,750 shares subject to forfeiture if the over-allotment option is not exercised in full or in part by the underwriters.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340" w:right="2400"/>
        <w:spacing w:after="0" w:line="243" w:lineRule="auto"/>
        <w:rPr>
          <w:sz w:val="20"/>
          <w:szCs w:val="20"/>
          <w:color w:val="auto"/>
        </w:rPr>
      </w:pPr>
      <w:r>
        <w:rPr>
          <w:rFonts w:ascii="Arial" w:cs="Arial" w:eastAsia="Arial" w:hAnsi="Arial"/>
          <w:sz w:val="22"/>
          <w:szCs w:val="22"/>
          <w:b w:val="1"/>
          <w:bCs w:val="1"/>
          <w:color w:val="auto"/>
        </w:rPr>
        <w:t>ARYA SCIENCES ACQUISITION CORP III STATEMENT OF CHANGES IN SHAREHOLDER’S EQUITY For the period from March 27, 2020 (inception) through April 2,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Ordinary Shares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Additional</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720" w:type="dxa"/>
            <w:vAlign w:val="bottom"/>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Shareholder’s</w:t>
            </w:r>
          </w:p>
        </w:tc>
      </w:tr>
      <w:tr>
        <w:trPr>
          <w:trHeight w:val="223"/>
        </w:trPr>
        <w:tc>
          <w:tcPr>
            <w:tcW w:w="272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198"/>
        </w:trPr>
        <w:tc>
          <w:tcPr>
            <w:tcW w:w="2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March 27, 2020</w:t>
            </w: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192"/>
        </w:trPr>
        <w:tc>
          <w:tcPr>
            <w:tcW w:w="2720" w:type="dxa"/>
            <w:vAlign w:val="bottom"/>
          </w:tcPr>
          <w:p>
            <w:pPr>
              <w:spacing w:after="0" w:line="192" w:lineRule="exact"/>
              <w:rPr>
                <w:sz w:val="20"/>
                <w:szCs w:val="20"/>
                <w:color w:val="auto"/>
              </w:rPr>
            </w:pPr>
            <w:r>
              <w:rPr>
                <w:rFonts w:ascii="Arial" w:cs="Arial" w:eastAsia="Arial" w:hAnsi="Arial"/>
                <w:sz w:val="18"/>
                <w:szCs w:val="18"/>
                <w:color w:val="auto"/>
                <w:w w:val="93"/>
              </w:rPr>
              <w:t>Issuance of Class B ordinary shares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2720" w:type="dxa"/>
            <w:vAlign w:val="bottom"/>
          </w:tcPr>
          <w:p>
            <w:pPr>
              <w:ind w:left="180"/>
              <w:spacing w:after="0" w:line="240" w:lineRule="exact"/>
              <w:rPr>
                <w:sz w:val="20"/>
                <w:szCs w:val="20"/>
                <w:color w:val="auto"/>
              </w:rPr>
            </w:pPr>
            <w:r>
              <w:rPr>
                <w:rFonts w:ascii="Arial" w:cs="Arial" w:eastAsia="Arial" w:hAnsi="Arial"/>
                <w:sz w:val="17"/>
                <w:szCs w:val="17"/>
                <w:color w:val="auto"/>
              </w:rPr>
              <w:t xml:space="preserve">to Sponsor </w:t>
            </w:r>
            <w:r>
              <w:rPr>
                <w:rFonts w:ascii="Arial" w:cs="Arial" w:eastAsia="Arial" w:hAnsi="Arial"/>
                <w:sz w:val="27"/>
                <w:szCs w:val="27"/>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3,593,750</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24,641</w:t>
            </w: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r>
      <w:tr>
        <w:trPr>
          <w:trHeight w:val="27"/>
        </w:trPr>
        <w:tc>
          <w:tcPr>
            <w:tcW w:w="27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b w:val="1"/>
                <w:bCs w:val="1"/>
                <w:color w:val="auto"/>
              </w:rPr>
              <w:t>Balance - April 2,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3,593,750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359</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24,641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(4,245)</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20,755</w:t>
            </w:r>
          </w:p>
        </w:tc>
      </w:tr>
      <w:tr>
        <w:trPr>
          <w:trHeight w:val="21"/>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(1)This number includes up to 468,750 shares subject to forfeiture if the over-allotment option is not exercised in full or in part by the underwriters.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CASH FLOWS</w:t>
      </w:r>
    </w:p>
    <w:p>
      <w:pPr>
        <w:jc w:val="center"/>
        <w:spacing w:after="0"/>
        <w:rPr>
          <w:sz w:val="20"/>
          <w:szCs w:val="20"/>
          <w:color w:val="auto"/>
        </w:rPr>
      </w:pPr>
      <w:r>
        <w:rPr>
          <w:rFonts w:ascii="Arial" w:cs="Arial" w:eastAsia="Arial" w:hAnsi="Arial"/>
          <w:sz w:val="22"/>
          <w:szCs w:val="22"/>
          <w:b w:val="1"/>
          <w:bCs w:val="1"/>
          <w:color w:val="auto"/>
        </w:rPr>
        <w:t>For the period from March 27, 2020 (inception) through April 2,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20" w:type="dxa"/>
            <w:vAlign w:val="bottom"/>
          </w:tcPr>
          <w:p>
            <w:pPr>
              <w:ind w:left="18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1—Description of Organization and Business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April 2, 2020, the Company had not commenced any operations. All activity for the period from March 27, 2020 (inception) through April 2,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Company’s sponsor is ARYA Sciences Holdings III, a Cayman Islands exempted limited company (the “Sponsor”). The Company’s ability to commence operations is contingent upon obtaining adequate financial resources through a proposed public offering (the “Proposed Public Offering”) of 12,500,000 units (each, a “Unit” and collectively, the “Units”) at $10.00 per Unit (or 14,375,000 units if the underwriters’ over-allotment option is exercised in full), which is discussed in Note 3, and the sale of 450,000 units (or 487,500 units if the underwriters’ over-allotment option is exercised in full) (each, a “Private Placement Unit” and collectively, the “Private Placement Units”), at a price of $10.00 per Private Placement Unit in a private placement to the Sponsor that will close simultaneously with the Proposed Public Offering.</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Company’s management has broad discretion with respect to the specific application of the net proceeds of the Proposed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the proceeds from the sale of the Private Placement Units, will be held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will provide the holders (the “Public Shareholders”) of its Class A ordinary shares, par value $0.0001, sold in the Proposed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 These Public Shares will be classified as temporary equity upon the completion of the Proposed Public Offering in accordance with the Financial Accounting Standards Board’s (“FASB”) Accounting Standards Codification (“ASC”) Topic 480</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2" w:name="page163"/>
    <w:bookmarkEnd w:id="16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Subsequent to the consummation of the Proposed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(the “Private Placement Shares”) underlying the Private Placement Units and Public Shares in connection with the completion of a Business Combination.</w:t>
      </w:r>
    </w:p>
    <w:p>
      <w:pPr>
        <w:spacing w:after="0" w:line="200" w:lineRule="exact"/>
        <w:rPr>
          <w:sz w:val="20"/>
          <w:szCs w:val="20"/>
          <w:color w:val="auto"/>
        </w:rPr>
      </w:pPr>
    </w:p>
    <w:p>
      <w:pPr>
        <w:spacing w:after="0" w:line="23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Proposed Public Offering, without the prior consent of the Company.</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Proposed Public Offering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consummate a Business Combination within the Combination Period.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initial shareholders have agreed to waive their liquidation rights with respect to the Founder Shares and Private Placement Shares held by them if the Company fails to complete a Business Combination within the Combination</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3" w:name="page164"/>
    <w:bookmarkEnd w:id="16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Period. However, if the initial shareholders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w:t>
      </w:r>
    </w:p>
    <w:p>
      <w:pPr>
        <w:spacing w:after="0" w:line="200" w:lineRule="exact"/>
        <w:rPr>
          <w:sz w:val="20"/>
          <w:szCs w:val="20"/>
          <w:color w:val="auto"/>
        </w:rPr>
      </w:pP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of Presentation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does not have sufficient liquidity to meet its anticipated obligations over the next year from the date of issuance of these financial statements. In connection with the Company’s assessment of going concern considerations in accordance with FASB’s Accounting Standards Update (“ASU”) 2014- 15,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at which time the Company will have sufficient working capital, or one year from the issuance of these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Emerging Growth Company</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Loss Per Ordinary Share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complies with accounting and disclosure requirements of FASB ASC Topic 260, “Earnings Per Share.” Net loss per share is computed by dividing net loss by the weighted average number of ordinary shares outstanding during the period. At April 2, 2020,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Credit Risk</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Instruments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Use of Estimates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Deferred Offering Costs Associated with the Proposed Public Offering</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Income Taxes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April 2,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April 2,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5" w:name="page166"/>
    <w:bookmarkEnd w:id="165"/>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Company’s financial statements. The Company’s management does not expect that the total amount of unrecognized tax benefits will materially change over the next twelve months.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accompanying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3—Proposed Public Offering</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Pursuant to the Proposed Public Offering, the Company intends to offer for sale 12,500,000 Units (or 14,375,000 Units if the underwriter’s over-allotment option is exercised in full) at a price of $10.00 per Unit. Each Unit consists of one Class A ordinary share, and one-fourth of one redeemable warrant (each, a “Public Warrant”). Each Public Warrant entitles the holder to purchase one Class A ordinary share at a price of $11.50 per share, subject to adjustment (see Note 6).</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Founder Shares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On April 2, 2020, the Sponsor paid $25,000 to cover certain offering costs of the Company in consideration of 3,593,750 Class B ordinary shares, par value $0.0001, (the “Founder Shares”). The Sponsor has agreed to forfeit up to 468,750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ordinary shares (excluding the Private Placement Shares and assuming the initial shareholders do not purchase any units in the Proposed Public Offering) after the Proposed Public Offering. If the Company increases or decreases the size of the offering, the Company will effect a share dividend or share contribution back to capital,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(excluding the Private Placement Shares). The initial shareholders will agree,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Private Placement Units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Sponsor will agree to purchase an aggregate of 450,000 Private Placement Units (or 487,500 Private Placement Units if the underwriters’ over-allotment option is exercised in full), at a price of $10.00 per Private Placement Unit ($4.5 million in the aggregate, or $4.875 million if the underwriters’ over-allotment option is exercised in full) in a private placement that will occur simultaneously with the closing of the Proposed Public Offering.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Each whole private placement warrant underlying the Private Placement Units (the “Private Placement Warrants”) is exercisable for one whole Class A ordinary share at a price of $11.50 per share. The proceeds from the Private Placement Units will be added to the proceeds from the Proposed Public Offering to be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6" w:name="page167"/>
    <w:bookmarkEnd w:id="166"/>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Sponsor and the Company’s officers and directors will agree, subject to limited exceptions, not to transfer, assign or sell any of their Private Placement Units until 30 days after the completion of the initial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Related Party Loans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April 2, 2020, the Sponsor agreed to loan the Company an aggregate of up to $300,000 to cover for expenses related to the Proposed Public Offering pursuant to a promissory note (the “Note”). This loan is non-interest bearing and payable on the earlier of December 31, 2020 and the completion of the Proposed Public Offering. As of April 2, 2020, the Company has not borrowed any amount under the Note.</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To date, the Company had no outstanding borrowings under the Working Capital Loans.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Administrative Support Agreement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Commencing on the date that the Company’s securities are first listed on the Nasdaq through the earlier of consummation of the initial Business Combination and the Company’s liquidation, the Company will reimburse the Sponsor for office space, secretarial and administrative services provided to the Company in the amount of $10,000 per month.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Forward Purchase Arrangement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5—Commitments &amp;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Registration Rights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holders of Founder Shares, Private Placement Units, Private Placement Shares, Private Placement Warrants, Class A ordinary shares underlying the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upon consummation of the Proposed Public Offering.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Warrants and the respective Class A ordinary shares</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7" w:name="page168"/>
    <w:bookmarkEnd w:id="167"/>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underlying such warrants, 30 days after the completion of the Company’ s Business Combination. The Company will bear the expenses incurred in connection with the filing of any such registration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Underwriting Agreement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will grant the underwriters a 45-day option from the final prospectus relating to the Proposed Public Offering to purchase up to 1,875,000 additional Units to cover over-allotments, if any, at the Proposed Public Offering price less the underwriting discounts and commissions.</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underwriters will be entitled to an underwriting discount of $0.20 per Unit, or $2.5 million in the aggregate (or $2.875 million in the aggregate if the underwriters’ over-allotment option is exercised in full), payable upon the closing of the Proposed Public Offering. In addition, $0.35 per unit, or approximately $4.375 million in the aggregate (or approximately $5.03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Risks and Uncertainties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6—Shareholder’s Equity</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Class A Ordinary Shares</w:t>
      </w:r>
      <w:r>
        <w:rPr>
          <w:rFonts w:ascii="Arial" w:cs="Arial" w:eastAsia="Arial" w:hAnsi="Arial"/>
          <w:sz w:val="22"/>
          <w:szCs w:val="22"/>
          <w:color w:val="auto"/>
        </w:rPr>
        <w:t>—The Company is authorized to issue 479,000,000 Class A ordinary shares with a par value of $0.0001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 share. As of April 2, 2020, there were no Class A ordinary shares issued or outstanding.</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b w:val="1"/>
          <w:bCs w:val="1"/>
          <w:i w:val="1"/>
          <w:iCs w:val="1"/>
          <w:color w:val="auto"/>
        </w:rPr>
        <w:t>Class B Ordinary Shares</w:t>
      </w:r>
      <w:r>
        <w:rPr>
          <w:rFonts w:ascii="Arial" w:cs="Arial" w:eastAsia="Arial" w:hAnsi="Arial"/>
          <w:sz w:val="19"/>
          <w:szCs w:val="19"/>
          <w:color w:val="auto"/>
        </w:rPr>
        <w:t>—The Company is authorized to issue 20,000,000 Class B ordinary shares with a par value of $0.0001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 share. On April 2, 2020, the Company issued 3,593,750 Class B ordinary shares. Of the 3,593,750 Class B ordinary shares outstanding, an aggregate of up to 468,750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(excluding the Private Placement Shares and assuming the initial shareholders do not purchase any units in the Proposed Public Offering) (See Note 4).</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Proposed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members of the Company’s management team or any of their affiliates upon conversion of Working Capital Loans. In no event will the Class B ordinary shares convert into Class A ordinary shares at a rate of less than one-to one.</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8" w:name="page169"/>
    <w:bookmarkEnd w:id="168"/>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Preference Shares</w:t>
      </w:r>
      <w:r>
        <w:rPr>
          <w:rFonts w:ascii="Arial" w:cs="Arial" w:eastAsia="Arial" w:hAnsi="Arial"/>
          <w:sz w:val="22"/>
          <w:szCs w:val="22"/>
          <w:color w:val="auto"/>
        </w:rPr>
        <w:t>— The Company is authorized to issue 1,000,000 preference shares with such designations, voting and other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rights and preferences as may be determined from time to time by the Company’s board of directors. As of April 2, 2020, there were no preference shares issued or outstanding.</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i w:val="1"/>
          <w:iCs w:val="1"/>
          <w:color w:val="auto"/>
        </w:rPr>
        <w:t>Warrants</w:t>
      </w:r>
      <w:r>
        <w:rPr>
          <w:rFonts w:ascii="Arial" w:cs="Arial" w:eastAsia="Arial" w:hAnsi="Arial"/>
          <w:sz w:val="19"/>
          <w:szCs w:val="19"/>
          <w:color w:val="auto"/>
        </w:rPr>
        <w:t>—Public Warrants may only be exercised for a whole number of shares. The Public Warrants will become exercisable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the later of (a) 30 days after the completion of a Business Combination or (b) 12 months from the closing of the Proposed Public Offering. The Company has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 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 The Public Warrants will expire five years after the completion of a Business Combination or earlier upon redemption or liquidation.</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Private Placement Warrants and the Class A ordinary shares issuable upon exercise of the Private Placement Warrants will not be transferable, assignable or salable until 30 days after the completion of the initial Business Combination (except pursuant to limited exceptions to the Company’s officers and directors and other persons or entities affiliated with the initial purchasers of the Private Placement Warrants) and they will not be redeemable by the Company (except as described below under “Redemption of warrants for Class A ordinary shares when the price per Class A ordinary share equals or exceeds $10.00”) so long as they are held by the Sponsor or its permitted transferees. The Sponsor, or its permitted transferees, has the option to exercise the Private Placement Warrants on a cashless basis.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as described below, the Private Placement Warrants have terms and provisions that are identical to those of the Public Warrants. If the Private Placement Warrants are held by holders other than the Sponsor or its permitted transferees, the Private Placement Warrants will be redeemable by the Company and exercisable by the holders on the same basis as the Public Warrants.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Redemption of warrants for cash when the price per Class A ordinary share equals or exceeds $18.00</w:t>
      </w:r>
      <w:r>
        <w:rPr>
          <w:rFonts w:ascii="Arial" w:cs="Arial" w:eastAsia="Arial" w:hAnsi="Arial"/>
          <w:sz w:val="22"/>
          <w:szCs w:val="22"/>
          <w:color w:val="auto"/>
        </w:rPr>
        <w:t>. Once the warrants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become exercisable, the Company may redeem the Public Warrants for cash (except with respect to the Private Placement Warrants):</w:t>
      </w:r>
    </w:p>
    <w:p>
      <w:pPr>
        <w:spacing w:after="0" w:line="220"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If and when the warrants become redeemable by the Company, the Company may exercise its redemption right even if it is unable to register or qualify the underlying securities for sale under all applicable state securities laws. If the Company calls the Public Warrants for redemption, as described above, management will have the option to require any holder that wishes to exercise the Public Warrants to do so on a “cashless basis,” as described in the warrant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9" w:name="page170"/>
    <w:bookmarkEnd w:id="169"/>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Redemption of warrants for Class A ordinary shares when the price per Class A ordinary share equals or exceeds $10.00.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Commencing ninety days after the warrants become exercisable, the Company may redeem the outstanding Public Warrants:</w:t>
      </w:r>
    </w:p>
    <w:p>
      <w:pPr>
        <w:spacing w:after="0" w:line="25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share subdivisions, share dividends, reorganizations, reclassifications, recapitalizations and the like) on the trading day before the Company sends the notice of redemption to the warrant 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and only if, the Private Placement Warrants are also concurrently called for redemption on the same terms as the outstanding Public Warrants;</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issuance of the Class A ordinary shares issuable upon exercise of the warrants and a current prospectus relating thereto available throughout the 30-day period after written notice of redemption is given, or an exemption from registration is available.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7—Subsequent Events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Management has evaluated subsequent events to determine if events or transactions occurring through April 16,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0" w:name="page171"/>
    <w:bookmarkEnd w:id="170"/>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20" w:type="dxa"/>
            <w:vAlign w:val="bottom"/>
          </w:tcPr>
          <w:p>
            <w:pPr>
              <w:spacing w:after="0"/>
              <w:rPr>
                <w:sz w:val="24"/>
                <w:szCs w:val="24"/>
                <w:color w:val="auto"/>
              </w:rPr>
            </w:pPr>
          </w:p>
        </w:tc>
        <w:tc>
          <w:tcPr>
            <w:tcW w:w="10120" w:type="dxa"/>
            <w:vAlign w:val="bottom"/>
            <w:gridSpan w:val="3"/>
          </w:tcPr>
          <w:p>
            <w:pPr>
              <w:jc w:val="center"/>
              <w:ind w:right="920"/>
              <w:spacing w:after="0"/>
              <w:rPr>
                <w:sz w:val="20"/>
                <w:szCs w:val="20"/>
                <w:color w:val="auto"/>
              </w:rPr>
            </w:pPr>
            <w:r>
              <w:rPr>
                <w:rFonts w:ascii="Arial" w:cs="Arial" w:eastAsia="Arial" w:hAnsi="Arial"/>
                <w:sz w:val="22"/>
                <w:szCs w:val="22"/>
                <w:b w:val="1"/>
                <w:bCs w:val="1"/>
                <w:color w:val="auto"/>
                <w:w w:val="92"/>
              </w:rPr>
              <w:t>12,500,000 UNITS</w:t>
            </w:r>
          </w:p>
        </w:tc>
      </w:tr>
      <w:tr>
        <w:trPr>
          <w:trHeight w:val="486"/>
        </w:trPr>
        <w:tc>
          <w:tcPr>
            <w:tcW w:w="1020" w:type="dxa"/>
            <w:vAlign w:val="bottom"/>
          </w:tcPr>
          <w:p>
            <w:pPr>
              <w:spacing w:after="0"/>
              <w:rPr>
                <w:sz w:val="24"/>
                <w:szCs w:val="24"/>
                <w:color w:val="auto"/>
              </w:rPr>
            </w:pPr>
          </w:p>
        </w:tc>
        <w:tc>
          <w:tcPr>
            <w:tcW w:w="10120" w:type="dxa"/>
            <w:vAlign w:val="bottom"/>
            <w:gridSpan w:val="3"/>
          </w:tcPr>
          <w:p>
            <w:pPr>
              <w:jc w:val="center"/>
              <w:ind w:right="920"/>
              <w:spacing w:after="0"/>
              <w:rPr>
                <w:sz w:val="20"/>
                <w:szCs w:val="20"/>
                <w:color w:val="auto"/>
              </w:rPr>
            </w:pPr>
            <w:r>
              <w:rPr>
                <w:rFonts w:ascii="Arial" w:cs="Arial" w:eastAsia="Arial" w:hAnsi="Arial"/>
                <w:sz w:val="22"/>
                <w:szCs w:val="22"/>
                <w:b w:val="1"/>
                <w:bCs w:val="1"/>
                <w:color w:val="auto"/>
                <w:w w:val="99"/>
              </w:rPr>
              <w:t>ARYA SCIENCES ACQUISITION CORP III</w:t>
            </w:r>
          </w:p>
        </w:tc>
      </w:tr>
      <w:tr>
        <w:trPr>
          <w:trHeight w:val="240"/>
        </w:trPr>
        <w:tc>
          <w:tcPr>
            <w:tcW w:w="10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80" w:type="dxa"/>
            <w:vAlign w:val="bottom"/>
          </w:tcPr>
          <w:p>
            <w:pPr>
              <w:spacing w:after="0"/>
              <w:rPr>
                <w:sz w:val="20"/>
                <w:szCs w:val="20"/>
                <w:color w:val="auto"/>
              </w:rPr>
            </w:pPr>
          </w:p>
        </w:tc>
      </w:tr>
      <w:tr>
        <w:trPr>
          <w:trHeight w:val="496"/>
        </w:trPr>
        <w:tc>
          <w:tcPr>
            <w:tcW w:w="1020" w:type="dxa"/>
            <w:vAlign w:val="bottom"/>
          </w:tcPr>
          <w:p>
            <w:pPr>
              <w:spacing w:after="0"/>
              <w:rPr>
                <w:sz w:val="24"/>
                <w:szCs w:val="24"/>
                <w:color w:val="auto"/>
              </w:rPr>
            </w:pPr>
          </w:p>
        </w:tc>
        <w:tc>
          <w:tcPr>
            <w:tcW w:w="10120" w:type="dxa"/>
            <w:vAlign w:val="bottom"/>
            <w:gridSpan w:val="3"/>
          </w:tcPr>
          <w:p>
            <w:pPr>
              <w:jc w:val="center"/>
              <w:ind w:right="920"/>
              <w:spacing w:after="0"/>
              <w:rPr>
                <w:sz w:val="20"/>
                <w:szCs w:val="20"/>
                <w:color w:val="auto"/>
              </w:rPr>
            </w:pPr>
            <w:r>
              <w:rPr>
                <w:rFonts w:ascii="Arial" w:cs="Arial" w:eastAsia="Arial" w:hAnsi="Arial"/>
                <w:sz w:val="22"/>
                <w:szCs w:val="22"/>
                <w:b w:val="1"/>
                <w:bCs w:val="1"/>
                <w:color w:val="auto"/>
                <w:w w:val="98"/>
              </w:rPr>
              <w:t>PRELIMINARY PROSPECTUS</w:t>
            </w:r>
          </w:p>
        </w:tc>
      </w:tr>
      <w:tr>
        <w:trPr>
          <w:trHeight w:val="486"/>
        </w:trPr>
        <w:tc>
          <w:tcPr>
            <w:tcW w:w="1020" w:type="dxa"/>
            <w:vAlign w:val="bottom"/>
          </w:tcPr>
          <w:p>
            <w:pPr>
              <w:spacing w:after="0"/>
              <w:rPr>
                <w:sz w:val="24"/>
                <w:szCs w:val="24"/>
                <w:color w:val="auto"/>
              </w:rPr>
            </w:pPr>
          </w:p>
        </w:tc>
        <w:tc>
          <w:tcPr>
            <w:tcW w:w="5440" w:type="dxa"/>
            <w:vAlign w:val="bottom"/>
            <w:gridSpan w:val="2"/>
          </w:tcPr>
          <w:p>
            <w:pPr>
              <w:jc w:val="center"/>
              <w:ind w:left="3672"/>
              <w:spacing w:after="0"/>
              <w:rPr>
                <w:sz w:val="20"/>
                <w:szCs w:val="20"/>
                <w:color w:val="auto"/>
              </w:rPr>
            </w:pPr>
            <w:r>
              <w:rPr>
                <w:rFonts w:ascii="Arial" w:cs="Arial" w:eastAsia="Arial" w:hAnsi="Arial"/>
                <w:sz w:val="22"/>
                <w:szCs w:val="22"/>
                <w:b w:val="1"/>
                <w:bCs w:val="1"/>
                <w:color w:val="auto"/>
                <w:w w:val="88"/>
              </w:rPr>
              <w:t>, 2020</w:t>
            </w:r>
          </w:p>
        </w:tc>
        <w:tc>
          <w:tcPr>
            <w:tcW w:w="4680" w:type="dxa"/>
            <w:vAlign w:val="bottom"/>
          </w:tcPr>
          <w:p>
            <w:pPr>
              <w:spacing w:after="0"/>
              <w:rPr>
                <w:sz w:val="24"/>
                <w:szCs w:val="24"/>
                <w:color w:val="auto"/>
              </w:rPr>
            </w:pPr>
          </w:p>
        </w:tc>
      </w:tr>
      <w:tr>
        <w:trPr>
          <w:trHeight w:val="240"/>
        </w:trPr>
        <w:tc>
          <w:tcPr>
            <w:tcW w:w="10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80" w:type="dxa"/>
            <w:vAlign w:val="bottom"/>
          </w:tcPr>
          <w:p>
            <w:pPr>
              <w:spacing w:after="0"/>
              <w:rPr>
                <w:sz w:val="20"/>
                <w:szCs w:val="20"/>
                <w:color w:val="auto"/>
              </w:rPr>
            </w:pPr>
          </w:p>
        </w:tc>
      </w:tr>
      <w:tr>
        <w:trPr>
          <w:trHeight w:val="459"/>
        </w:trPr>
        <w:tc>
          <w:tcPr>
            <w:tcW w:w="1020" w:type="dxa"/>
            <w:vAlign w:val="bottom"/>
          </w:tcPr>
          <w:p>
            <w:pPr>
              <w:spacing w:after="0"/>
              <w:rPr>
                <w:sz w:val="24"/>
                <w:szCs w:val="24"/>
                <w:color w:val="auto"/>
              </w:rPr>
            </w:pPr>
          </w:p>
        </w:tc>
        <w:tc>
          <w:tcPr>
            <w:tcW w:w="10120" w:type="dxa"/>
            <w:vAlign w:val="bottom"/>
            <w:gridSpan w:val="3"/>
          </w:tcPr>
          <w:p>
            <w:pPr>
              <w:jc w:val="center"/>
              <w:ind w:right="920"/>
              <w:spacing w:after="0"/>
              <w:rPr>
                <w:sz w:val="20"/>
                <w:szCs w:val="20"/>
                <w:color w:val="auto"/>
              </w:rPr>
            </w:pPr>
            <w:r>
              <w:rPr>
                <w:rFonts w:ascii="Arial" w:cs="Arial" w:eastAsia="Arial" w:hAnsi="Arial"/>
                <w:sz w:val="22"/>
                <w:szCs w:val="22"/>
                <w:i w:val="1"/>
                <w:iCs w:val="1"/>
                <w:color w:val="auto"/>
                <w:w w:val="89"/>
              </w:rPr>
              <w:t>Sole Book-Running Manager</w:t>
            </w:r>
          </w:p>
        </w:tc>
      </w:tr>
      <w:tr>
        <w:trPr>
          <w:trHeight w:val="280"/>
        </w:trPr>
        <w:tc>
          <w:tcPr>
            <w:tcW w:w="10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360" w:type="dxa"/>
            <w:vAlign w:val="bottom"/>
            <w:gridSpan w:val="2"/>
          </w:tcPr>
          <w:p>
            <w:pPr>
              <w:jc w:val="center"/>
              <w:ind w:right="4660"/>
              <w:spacing w:after="0"/>
              <w:rPr>
                <w:sz w:val="20"/>
                <w:szCs w:val="20"/>
                <w:color w:val="auto"/>
              </w:rPr>
            </w:pPr>
            <w:r>
              <w:rPr>
                <w:rFonts w:ascii="Arial" w:cs="Arial" w:eastAsia="Arial" w:hAnsi="Arial"/>
                <w:sz w:val="22"/>
                <w:szCs w:val="22"/>
                <w:b w:val="1"/>
                <w:bCs w:val="1"/>
                <w:color w:val="auto"/>
                <w:w w:val="86"/>
              </w:rPr>
              <w:t>Jefferies</w:t>
            </w:r>
          </w:p>
        </w:tc>
      </w:tr>
      <w:tr>
        <w:trPr>
          <w:trHeight w:val="473"/>
        </w:trPr>
        <w:tc>
          <w:tcPr>
            <w:tcW w:w="1020" w:type="dxa"/>
            <w:vAlign w:val="bottom"/>
          </w:tcPr>
          <w:p>
            <w:pPr>
              <w:spacing w:after="0"/>
              <w:rPr>
                <w:sz w:val="20"/>
                <w:szCs w:val="20"/>
                <w:color w:val="auto"/>
              </w:rPr>
            </w:pPr>
            <w:r>
              <w:rPr>
                <w:rFonts w:ascii="Arial" w:cs="Arial" w:eastAsia="Arial" w:hAnsi="Arial"/>
                <w:sz w:val="22"/>
                <w:szCs w:val="22"/>
                <w:color w:val="auto"/>
              </w:rPr>
              <w:t>Until</w:t>
            </w:r>
          </w:p>
        </w:tc>
        <w:tc>
          <w:tcPr>
            <w:tcW w:w="10120" w:type="dxa"/>
            <w:vAlign w:val="bottom"/>
            <w:gridSpan w:val="3"/>
          </w:tcPr>
          <w:p>
            <w:pPr>
              <w:ind w:left="560"/>
              <w:spacing w:after="0"/>
              <w:rPr>
                <w:sz w:val="20"/>
                <w:szCs w:val="20"/>
                <w:color w:val="auto"/>
              </w:rPr>
            </w:pPr>
            <w:r>
              <w:rPr>
                <w:rFonts w:ascii="Arial" w:cs="Arial" w:eastAsia="Arial" w:hAnsi="Arial"/>
                <w:sz w:val="22"/>
                <w:szCs w:val="22"/>
                <w:color w:val="auto"/>
                <w:w w:val="88"/>
              </w:rPr>
              <w:t>, 2020 (25 days after the date of this prospectus), all dealers that buy, sell or trade our ordinary shares, whether</w:t>
            </w:r>
          </w:p>
        </w:tc>
      </w:tr>
    </w:tbl>
    <w:p>
      <w:pPr>
        <w:ind w:right="520"/>
        <w:spacing w:after="0" w:line="308" w:lineRule="auto"/>
        <w:rPr>
          <w:sz w:val="20"/>
          <w:szCs w:val="20"/>
          <w:color w:val="auto"/>
        </w:rPr>
      </w:pPr>
      <w:r>
        <w:rPr>
          <w:rFonts w:ascii="Arial" w:cs="Arial" w:eastAsia="Arial" w:hAnsi="Arial"/>
          <w:sz w:val="19"/>
          <w:szCs w:val="19"/>
          <w:color w:val="auto"/>
        </w:rPr>
        <w:t>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71" w:name="page172"/>
    <w:bookmarkEnd w:id="171"/>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13.Other Expenses of Issuance and Distribution.</w:t>
      </w:r>
    </w:p>
    <w:p>
      <w:pPr>
        <w:spacing w:after="0" w:line="249"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The estimated expenses payable by us in connection with the offering described in this registration statement (other than the underwriting discount and commissions) will be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18,659</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22,063</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Director &amp; Officers liability insurance premiums (1)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Total</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100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712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1" w:lineRule="exact"/>
        <w:rPr>
          <w:sz w:val="20"/>
          <w:szCs w:val="20"/>
          <w:color w:val="auto"/>
        </w:rPr>
      </w:pPr>
    </w:p>
    <w:p>
      <w:pPr>
        <w:ind w:left="340" w:right="10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14.Indemnification of Directors and Officers.</w:t>
      </w:r>
    </w:p>
    <w:p>
      <w:pPr>
        <w:spacing w:after="0" w:line="249"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4" w:lineRule="exact"/>
        <w:rPr>
          <w:sz w:val="20"/>
          <w:szCs w:val="20"/>
          <w:color w:val="auto"/>
        </w:rPr>
      </w:pPr>
    </w:p>
    <w:p>
      <w:pPr>
        <w:jc w:val="both"/>
        <w:ind w:right="580"/>
        <w:spacing w:after="0" w:line="273" w:lineRule="auto"/>
        <w:rPr>
          <w:sz w:val="20"/>
          <w:szCs w:val="20"/>
          <w:color w:val="auto"/>
        </w:rPr>
      </w:pPr>
      <w:r>
        <w:rPr>
          <w:rFonts w:ascii="Arial" w:cs="Arial" w:eastAsia="Arial" w:hAnsi="Arial"/>
          <w:sz w:val="19"/>
          <w:szCs w:val="19"/>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w:t>
      </w:r>
    </w:p>
    <w:p>
      <w:pPr>
        <w:spacing w:after="0" w:line="1" w:lineRule="exact"/>
        <w:rPr>
          <w:sz w:val="20"/>
          <w:szCs w:val="20"/>
          <w:color w:val="auto"/>
        </w:rPr>
      </w:pPr>
    </w:p>
    <w:p>
      <w:pPr>
        <w:ind w:right="400"/>
        <w:spacing w:after="0" w:line="236" w:lineRule="auto"/>
        <w:rPr>
          <w:sz w:val="20"/>
          <w:szCs w:val="20"/>
          <w:color w:val="auto"/>
        </w:rPr>
      </w:pPr>
      <w:r>
        <w:rPr>
          <w:rFonts w:ascii="Arial" w:cs="Arial" w:eastAsia="Arial" w:hAnsi="Arial"/>
          <w:sz w:val="22"/>
          <w:szCs w:val="22"/>
          <w:color w:val="auto"/>
        </w:rPr>
        <w:t>Accordingly, any indemnification provided will only be able to be satisfied by us if (i) we have sufficient funds outside of the trust account or (ii) we consummate an initial business combination.</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22"/>
          <w:szCs w:val="22"/>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15.Recent Sales of Unregistered Securities.</w:t>
      </w:r>
    </w:p>
    <w:p>
      <w:pPr>
        <w:spacing w:after="0" w:line="249"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On April 2, 2020, we issued to ARYA Sciences Holdings III, our sponsor, 3,593,750 of our Class B ordinary shares, in exchange for a capital contribution of $25,000, or approximately $0.007 per share. Such securities were issued in connection with our organization pursuant to the exemption from registration contained in Section 4(a)(2) of the Securities Act.</w:t>
      </w:r>
    </w:p>
    <w:p>
      <w:pPr>
        <w:spacing w:after="0" w:line="161" w:lineRule="exact"/>
        <w:rPr>
          <w:sz w:val="20"/>
          <w:szCs w:val="20"/>
          <w:color w:val="auto"/>
        </w:rPr>
      </w:pPr>
    </w:p>
    <w:p>
      <w:pPr>
        <w:ind w:right="80"/>
        <w:spacing w:after="0"/>
        <w:rPr>
          <w:sz w:val="20"/>
          <w:szCs w:val="20"/>
          <w:color w:val="auto"/>
        </w:rPr>
      </w:pPr>
      <w:r>
        <w:rPr>
          <w:rFonts w:ascii="Arial" w:cs="Arial" w:eastAsia="Arial" w:hAnsi="Arial"/>
          <w:sz w:val="22"/>
          <w:szCs w:val="22"/>
          <w:color w:val="auto"/>
        </w:rPr>
        <w:t>Our sponsor is an accredited investor for purposes of Rule 501 of Regulation D. Each of the equity holders in our sponsor is an accredited investor under Rule 501 of Regulation D. The sole business of ARYA Sciences Holdings III is to act as the company’s sponsor in connection with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2" w:name="page173"/>
    <w:bookmarkEnd w:id="172"/>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Our sponsor has committed, pursuant to a written agreement, to purchase 450,000 private placement units (or 487,500 private placement units if the underwriters’ overallotment option is exercised in full), each exercisable to purchase one Class A ordinary share at $11.50 per share, at a price of $10.00 per private placement unit ($4,500,000 in the aggregate or $4,875,000 if the underwriters’ over-allotment option is exercised in full), in a private placement that will close simultaneously with the closing of this offering. These issuances will be made pursuant to the exemption from registration contained in Section 4(a)(2) of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 underwriting discounts or commissions were paid with respect to such sales.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Item16. Exhibits and Financial Statement Schedules.</w:t>
      </w:r>
    </w:p>
    <w:p>
      <w:pPr>
        <w:spacing w:after="0" w:line="256"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Exhibit Index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Item17. Undertakings.</w:t>
      </w:r>
    </w:p>
    <w:p>
      <w:pPr>
        <w:spacing w:after="0" w:line="256" w:lineRule="exact"/>
        <w:rPr>
          <w:sz w:val="20"/>
          <w:szCs w:val="20"/>
          <w:color w:val="auto"/>
        </w:rPr>
      </w:pPr>
    </w:p>
    <w:p>
      <w:pPr>
        <w:ind w:left="1300" w:right="400" w:hanging="644"/>
        <w:spacing w:after="0" w:line="26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210" w:lineRule="exact"/>
        <w:rPr>
          <w:rFonts w:ascii="Arial" w:cs="Arial" w:eastAsia="Arial" w:hAnsi="Arial"/>
          <w:sz w:val="18"/>
          <w:szCs w:val="18"/>
          <w:color w:val="auto"/>
        </w:rPr>
      </w:pPr>
    </w:p>
    <w:p>
      <w:pPr>
        <w:ind w:left="1300" w:right="40" w:hanging="644"/>
        <w:spacing w:after="0" w:line="253"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hanging="316"/>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620" w:right="40" w:hanging="316"/>
        <w:spacing w:after="0" w:line="263"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3" w:name="page174"/>
    <w:bookmarkEnd w:id="173"/>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40" w:type="dxa"/>
            <w:vAlign w:val="bottom"/>
          </w:tcPr>
          <w:p>
            <w:pPr>
              <w:jc w:val="right"/>
              <w:ind w:right="4684"/>
              <w:spacing w:after="0"/>
              <w:rPr>
                <w:sz w:val="20"/>
                <w:szCs w:val="20"/>
                <w:color w:val="auto"/>
              </w:rPr>
            </w:pPr>
            <w:r>
              <w:rPr>
                <w:rFonts w:ascii="Arial" w:cs="Arial" w:eastAsia="Arial" w:hAnsi="Arial"/>
                <w:sz w:val="22"/>
                <w:szCs w:val="22"/>
                <w:b w:val="1"/>
                <w:bCs w:val="1"/>
                <w:color w:val="auto"/>
              </w:rPr>
              <w:t>EXHIBIT INDEX</w:t>
            </w:r>
          </w:p>
        </w:tc>
      </w:tr>
      <w:tr>
        <w:trPr>
          <w:trHeight w:val="469"/>
        </w:trPr>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NO.</w:t>
            </w:r>
          </w:p>
        </w:tc>
        <w:tc>
          <w:tcPr>
            <w:tcW w:w="1240" w:type="dxa"/>
            <w:vAlign w:val="bottom"/>
          </w:tcPr>
          <w:p>
            <w:pPr>
              <w:spacing w:after="0"/>
              <w:rPr>
                <w:sz w:val="24"/>
                <w:szCs w:val="24"/>
                <w:color w:val="auto"/>
              </w:rPr>
            </w:pPr>
          </w:p>
        </w:tc>
        <w:tc>
          <w:tcPr>
            <w:tcW w:w="8640" w:type="dxa"/>
            <w:vAlign w:val="bottom"/>
          </w:tcPr>
          <w:p>
            <w:pPr>
              <w:jc w:val="right"/>
              <w:ind w:right="4224"/>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Memorandum and Articles of Association.*</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Amended and Restated Memorandum and Articles of Association.*</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Specimen Unit Certificate.*</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Specimen Ordinary Share Certificate.*</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Specimen Warrant Certificate.*</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Opinion of Kirkland &amp; Ellis LLP.*</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Opinion of Ogier, Cayman Islands Counsel to the Registrant.*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8"/>
              </w:rPr>
              <w:t>Form of Investment Management Trust Agreement between Continental Stock Transfer &amp; Trust Company and the Registrant.*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Form of Registration and Shareholder Rights Agreement among the Registrant, the Sponsor and the Holders signatory thereto.*</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Private Placement Units Purchase Agreement between the Registrant and the Sponsor.*</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Indemnity Agreement.*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Administrative Services Agreement between the Registrant and the Sponsor.*</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10.6</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dated as of April 2, 2020, issued to the Sponsor.*</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Securities Subscription Agreement, dated April 2, 2020, between the Registrant and the Sponsor.*</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10.8</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Letter Agreement between the Registrant and the Sponsor.*</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Form of Letter Agreement among the Registrant and each director and executive officer of the Registrant.*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Consent of WithumSmith+Brown, PC.*</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Consent of Kirkland &amp; Ellis LLP (included in Exhibit 5.1).*</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23.3</w:t>
            </w:r>
          </w:p>
        </w:tc>
        <w:tc>
          <w:tcPr>
            <w:tcW w:w="120" w:type="dxa"/>
            <w:vAlign w:val="bottom"/>
            <w:shd w:val="clear" w:color="auto" w:fill="CCEEFF"/>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Consent of Ogier (included in Exhibit 5.2).*</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of this Registration Statement).*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Consent of</w:t>
            </w:r>
          </w:p>
        </w:tc>
        <w:tc>
          <w:tcPr>
            <w:tcW w:w="8640" w:type="dxa"/>
            <w:vAlign w:val="bottom"/>
            <w:shd w:val="clear" w:color="auto" w:fill="CCEEFF"/>
          </w:tcPr>
          <w:p>
            <w:pPr>
              <w:jc w:val="right"/>
              <w:ind w:right="796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7124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4" w:name="page175"/>
    <w:bookmarkEnd w:id="174"/>
    <w:p>
      <w:pPr>
        <w:spacing w:after="0"/>
        <w:rPr>
          <w:rFonts w:ascii="Arial" w:cs="Arial" w:eastAsia="Arial" w:hAnsi="Arial"/>
          <w:sz w:val="14"/>
          <w:szCs w:val="14"/>
          <w:i w:val="1"/>
          <w:iCs w:val="1"/>
          <w:u w:val="single" w:color="auto"/>
          <w:color w:val="0000EE"/>
        </w:rPr>
      </w:pPr>
      <w:hyperlink w:anchor="page6">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40"/>
        <w:spacing w:after="0" w:line="276" w:lineRule="auto"/>
        <w:rPr>
          <w:sz w:val="20"/>
          <w:szCs w:val="20"/>
          <w:color w:val="auto"/>
        </w:rPr>
      </w:pPr>
      <w:r>
        <w:rPr>
          <w:rFonts w:ascii="Arial" w:cs="Arial" w:eastAsia="Arial" w:hAnsi="Arial"/>
          <w:sz w:val="19"/>
          <w:szCs w:val="19"/>
          <w:color w:val="auto"/>
        </w:rPr>
        <w:t>Pursuant to the requirements of the Securities Act of 1933, as amended, the registrant has duly caused this Registration Statement to be signed on its behalf by the undersigned, thereunto duly authorized, in the City of New York, State of New York, on</w:t>
      </w:r>
    </w:p>
    <w:p>
      <w:pPr>
        <w:spacing w:after="0" w:line="1" w:lineRule="exact"/>
        <w:rPr>
          <w:sz w:val="20"/>
          <w:szCs w:val="20"/>
          <w:color w:val="auto"/>
        </w:rPr>
      </w:pPr>
    </w:p>
    <w:p>
      <w:pPr>
        <w:spacing w:after="0"/>
        <w:tabs>
          <w:tab w:leader="none" w:pos="800" w:val="left"/>
          <w:tab w:leader="none" w:pos="1880" w:val="left"/>
        </w:tabs>
        <w:rPr>
          <w:sz w:val="20"/>
          <w:szCs w:val="20"/>
          <w:color w:val="auto"/>
        </w:rPr>
      </w:pP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day of</w:t>
      </w:r>
      <w:r>
        <w:rPr>
          <w:sz w:val="20"/>
          <w:szCs w:val="20"/>
          <w:color w:val="auto"/>
        </w:rPr>
        <w:tab/>
      </w:r>
      <w:r>
        <w:rPr>
          <w:rFonts w:ascii="Arial" w:cs="Arial" w:eastAsia="Arial" w:hAnsi="Arial"/>
          <w:sz w:val="19"/>
          <w:szCs w:val="19"/>
          <w:color w:val="auto"/>
        </w:rPr>
        <w:t>, 2020.</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Adam Stone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39" w:lineRule="exact"/>
        <w:rPr>
          <w:sz w:val="20"/>
          <w:szCs w:val="20"/>
          <w:color w:val="auto"/>
        </w:rPr>
      </w:pPr>
    </w:p>
    <w:p>
      <w:pPr>
        <w:ind w:right="60"/>
        <w:spacing w:after="0" w:line="274" w:lineRule="auto"/>
        <w:rPr>
          <w:sz w:val="20"/>
          <w:szCs w:val="20"/>
          <w:color w:val="auto"/>
        </w:rPr>
      </w:pPr>
      <w:r>
        <w:rPr>
          <w:rFonts w:ascii="Arial" w:cs="Arial" w:eastAsia="Arial" w:hAnsi="Arial"/>
          <w:sz w:val="19"/>
          <w:szCs w:val="19"/>
          <w:color w:val="auto"/>
        </w:rPr>
        <w:t>KNOW ALL MEN BY THESE PRESENTS, that each of the undersigned constitutes and appoints each of Adam Stone, Michael Altman and Sam Cohn,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as amended), and to file the same, with all exhibits thereto, and other documents in connection therewith, with the U.S.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below by the following persons in the capacities and on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436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DATE</w:t>
            </w:r>
          </w:p>
        </w:tc>
      </w:tr>
      <w:tr>
        <w:trPr>
          <w:trHeight w:val="453"/>
        </w:trPr>
        <w:tc>
          <w:tcPr>
            <w:tcW w:w="3940" w:type="dxa"/>
            <w:vAlign w:val="bottom"/>
            <w:tcBorders>
              <w:bottom w:val="single" w:sz="8" w:color="auto"/>
            </w:tcBorders>
          </w:tcPr>
          <w:p>
            <w:pPr>
              <w:spacing w:after="0"/>
              <w:rPr>
                <w:sz w:val="24"/>
                <w:szCs w:val="24"/>
                <w:color w:val="auto"/>
              </w:rPr>
            </w:pP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and Director</w:t>
            </w:r>
          </w:p>
        </w:tc>
        <w:tc>
          <w:tcPr>
            <w:tcW w:w="2680" w:type="dxa"/>
            <w:vAlign w:val="bottom"/>
          </w:tcPr>
          <w:p>
            <w:pPr>
              <w:spacing w:after="0"/>
              <w:rPr>
                <w:sz w:val="24"/>
                <w:szCs w:val="24"/>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Adam Stone</w:t>
            </w: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 2020</w:t>
            </w:r>
          </w:p>
        </w:tc>
      </w:tr>
      <w:tr>
        <w:trPr>
          <w:trHeight w:val="438"/>
        </w:trPr>
        <w:tc>
          <w:tcPr>
            <w:tcW w:w="3940" w:type="dxa"/>
            <w:vAlign w:val="bottom"/>
            <w:tcBorders>
              <w:bottom w:val="single" w:sz="8" w:color="auto"/>
            </w:tcBorders>
          </w:tcPr>
          <w:p>
            <w:pPr>
              <w:spacing w:after="0"/>
              <w:rPr>
                <w:sz w:val="24"/>
                <w:szCs w:val="24"/>
                <w:color w:val="auto"/>
              </w:rPr>
            </w:pPr>
          </w:p>
        </w:tc>
        <w:tc>
          <w:tcPr>
            <w:tcW w:w="46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and Director (</w:t>
            </w:r>
            <w:r>
              <w:rPr>
                <w:rFonts w:ascii="Arial" w:cs="Arial" w:eastAsia="Arial" w:hAnsi="Arial"/>
                <w:sz w:val="18"/>
                <w:szCs w:val="18"/>
                <w:i w:val="1"/>
                <w:iCs w:val="1"/>
                <w:color w:val="auto"/>
              </w:rPr>
              <w:t>Principal</w:t>
            </w:r>
          </w:p>
        </w:tc>
        <w:tc>
          <w:tcPr>
            <w:tcW w:w="2680" w:type="dxa"/>
            <w:vAlign w:val="bottom"/>
          </w:tcPr>
          <w:p>
            <w:pPr>
              <w:spacing w:after="0"/>
              <w:rPr>
                <w:sz w:val="24"/>
                <w:szCs w:val="24"/>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Michael Altman</w:t>
            </w:r>
          </w:p>
        </w:tc>
        <w:tc>
          <w:tcPr>
            <w:tcW w:w="4620" w:type="dxa"/>
            <w:vAlign w:val="bottom"/>
            <w:gridSpan w:val="3"/>
          </w:tcPr>
          <w:p>
            <w:pPr>
              <w:ind w:left="140"/>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tc>
        <w:tc>
          <w:tcPr>
            <w:tcW w:w="2680" w:type="dxa"/>
            <w:vAlign w:val="bottom"/>
          </w:tcPr>
          <w:p>
            <w:pPr>
              <w:jc w:val="right"/>
              <w:ind w:right="370"/>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emdash "/>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4"/>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lowerLetter"/>
      <w:start w:val="3"/>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lowerRoman"/>
      <w:start w:val="2"/>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3"/>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lvl w:ilvl="1">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2"/>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lowerRoman"/>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lowerLetter"/>
      <w:start w:val="1"/>
    </w:lvl>
    <w:lvl w:ilvl="1">
      <w:lvlJc w:val="left"/>
      <w:lvlText w:val="(%2)"/>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2020-07-27T00:06:08Z</dcterms:created>
  <dcterms:modified xsi:type="dcterms:W3CDTF">2020-07-27T00:06:08Z</dcterms:modified>
</cp:coreProperties>
</file>