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41"/>
        <w:spacing w:after="0"/>
        <w:rPr>
          <w:sz w:val="20"/>
          <w:szCs w:val="20"/>
          <w:color w:val="auto"/>
        </w:rPr>
      </w:pPr>
      <w:r>
        <w:rPr>
          <w:rFonts w:ascii="Arial" w:cs="Arial" w:eastAsia="Arial" w:hAnsi="Arial"/>
          <w:sz w:val="34"/>
          <w:szCs w:val="34"/>
          <w:b w:val="1"/>
          <w:bCs w:val="1"/>
          <w:color w:val="F9663A"/>
        </w:rPr>
        <w:t>2022 ANNUAL REPORT</w:t>
      </w:r>
    </w:p>
    <w:p>
      <w:pPr>
        <w:sectPr>
          <w:pgSz w:w="11880" w:h="15481" w:orient="portrait"/>
          <w:cols w:equalWidth="0" w:num="1">
            <w:col w:w="9001"/>
          </w:cols>
          <w:pgMar w:left="1440" w:top="1440" w:right="1440" w:bottom="1440" w:gutter="0" w:footer="0" w:header="0"/>
        </w:sectPr>
      </w:pPr>
    </w:p>
    <w:bookmarkStart w:id="1" w:name="page2"/>
    <w:bookmarkEnd w:id="1"/>
    <w:p>
      <w:pPr>
        <w:jc w:val="center"/>
        <w:spacing w:after="0"/>
        <w:rPr>
          <w:sz w:val="20"/>
          <w:szCs w:val="20"/>
          <w:color w:val="auto"/>
        </w:rPr>
      </w:pPr>
    </w:p>
    <w:p>
      <w:pPr>
        <w:sectPr>
          <w:pgSz w:w="11880" w:h="15481"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3"/>
          <w:szCs w:val="23"/>
          <w:b w:val="1"/>
          <w:bCs w:val="1"/>
          <w:color w:val="auto"/>
        </w:rPr>
        <mc:AlternateContent>
          <mc:Choice Requires="wps">
            <w:drawing>
              <wp:anchor simplePos="0" relativeHeight="251657728" behindDoc="1" locked="0" layoutInCell="0" allowOverlap="1">
                <wp:simplePos x="0" y="0"/>
                <wp:positionH relativeFrom="page">
                  <wp:posOffset>499110</wp:posOffset>
                </wp:positionH>
                <wp:positionV relativeFrom="page">
                  <wp:posOffset>624840</wp:posOffset>
                </wp:positionV>
                <wp:extent cx="645287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2870" cy="4763"/>
                        </a:xfrm>
                        <a:prstGeom prst="line">
                          <a:avLst/>
                        </a:prstGeom>
                        <a:solidFill>
                          <a:srgbClr val="FFFFFF"/>
                        </a:solidFill>
                        <a:ln w="2465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9.3pt,49.2pt" to="547.4pt,49.2pt" o:allowincell="f" strokecolor="#000000" strokeweight="1.9411pt">
                <w10:wrap anchorx="page" anchory="page"/>
              </v:line>
            </w:pict>
          </mc:Fallback>
        </mc:AlternateContent>
        <w:t>UNITED STATES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w:t>
      </w: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0" w:lineRule="exact"/>
        <w:rPr>
          <w:sz w:val="20"/>
          <w:szCs w:val="20"/>
          <w:color w:val="auto"/>
        </w:rPr>
      </w:pPr>
    </w:p>
    <w:p>
      <w:pPr>
        <w:spacing w:after="0" w:line="311" w:lineRule="exact"/>
        <w:rPr>
          <w:sz w:val="20"/>
          <w:szCs w:val="20"/>
          <w:color w:val="auto"/>
        </w:rPr>
      </w:pPr>
    </w:p>
    <w:p>
      <w:pPr>
        <w:ind w:left="560" w:right="540" w:hanging="503"/>
        <w:spacing w:after="0" w:line="298" w:lineRule="auto"/>
        <w:tabs>
          <w:tab w:leader="none" w:pos="560" w:val="left"/>
        </w:tabs>
        <w:numPr>
          <w:ilvl w:val="0"/>
          <w:numId w:val="1"/>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2022</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186" w:lineRule="exact"/>
        <w:rPr>
          <w:sz w:val="20"/>
          <w:szCs w:val="20"/>
          <w:color w:val="auto"/>
        </w:rPr>
      </w:pPr>
    </w:p>
    <w:p>
      <w:pPr>
        <w:ind w:left="560" w:right="460" w:hanging="503"/>
        <w:spacing w:after="0" w:line="298" w:lineRule="auto"/>
        <w:tabs>
          <w:tab w:leader="none" w:pos="560" w:val="left"/>
        </w:tabs>
        <w:numPr>
          <w:ilvl w:val="0"/>
          <w:numId w:val="2"/>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1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auto"/>
        </w:rPr>
        <w:t>For the transition period from ___________ to 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Commission file number 001-39434</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NAUTILUS BIOTECHNOLOGY, INC.</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3"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5000" w:type="dxa"/>
            <w:vAlign w:val="bottom"/>
          </w:tcPr>
          <w:p>
            <w:pPr>
              <w:jc w:val="center"/>
              <w:ind w:right="122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3560" w:type="dxa"/>
            <w:vAlign w:val="bottom"/>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98-1541723</w:t>
            </w:r>
          </w:p>
        </w:tc>
      </w:tr>
      <w:tr>
        <w:trPr>
          <w:trHeight w:val="233"/>
        </w:trPr>
        <w:tc>
          <w:tcPr>
            <w:tcW w:w="5000" w:type="dxa"/>
            <w:vAlign w:val="bottom"/>
          </w:tcPr>
          <w:p>
            <w:pPr>
              <w:jc w:val="center"/>
              <w:ind w:right="1222"/>
              <w:spacing w:after="0"/>
              <w:rPr>
                <w:sz w:val="20"/>
                <w:szCs w:val="20"/>
                <w:color w:val="auto"/>
              </w:rPr>
            </w:pPr>
            <w:r>
              <w:rPr>
                <w:rFonts w:ascii="Times New Roman" w:cs="Times New Roman" w:eastAsia="Times New Roman" w:hAnsi="Times New Roman"/>
                <w:sz w:val="16"/>
                <w:szCs w:val="16"/>
                <w:color w:val="auto"/>
                <w:w w:val="96"/>
              </w:rPr>
              <w:t>(State or other jurisdiction of incorporation or organization)</w:t>
            </w:r>
          </w:p>
        </w:tc>
        <w:tc>
          <w:tcPr>
            <w:tcW w:w="356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306"/>
        </w:trPr>
        <w:tc>
          <w:tcPr>
            <w:tcW w:w="5000" w:type="dxa"/>
            <w:vAlign w:val="bottom"/>
          </w:tcPr>
          <w:p>
            <w:pPr>
              <w:jc w:val="center"/>
              <w:ind w:right="1222"/>
              <w:spacing w:after="0"/>
              <w:rPr>
                <w:sz w:val="20"/>
                <w:szCs w:val="20"/>
                <w:color w:val="auto"/>
              </w:rPr>
            </w:pPr>
            <w:r>
              <w:rPr>
                <w:rFonts w:ascii="Times New Roman" w:cs="Times New Roman" w:eastAsia="Times New Roman" w:hAnsi="Times New Roman"/>
                <w:sz w:val="16"/>
                <w:szCs w:val="16"/>
                <w:b w:val="1"/>
                <w:bCs w:val="1"/>
                <w:color w:val="auto"/>
                <w:w w:val="96"/>
              </w:rPr>
              <w:t>2701 Eastlake Avenue East Seattle, Washington</w:t>
            </w:r>
          </w:p>
        </w:tc>
        <w:tc>
          <w:tcPr>
            <w:tcW w:w="3560" w:type="dxa"/>
            <w:vAlign w:val="bottom"/>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98102</w:t>
            </w:r>
          </w:p>
        </w:tc>
      </w:tr>
      <w:tr>
        <w:trPr>
          <w:trHeight w:val="233"/>
        </w:trPr>
        <w:tc>
          <w:tcPr>
            <w:tcW w:w="5000" w:type="dxa"/>
            <w:vAlign w:val="bottom"/>
          </w:tcPr>
          <w:p>
            <w:pPr>
              <w:jc w:val="center"/>
              <w:ind w:right="122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356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6"/>
              </w:rPr>
              <w:t>(Zip Code)</w:t>
            </w:r>
          </w:p>
        </w:tc>
      </w:tr>
    </w:tbl>
    <w:p>
      <w:pPr>
        <w:spacing w:after="0" w:line="1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(206) 333-2001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57" w:lineRule="exact"/>
        <w:rPr>
          <w:sz w:val="20"/>
          <w:szCs w:val="20"/>
          <w:color w:val="auto"/>
        </w:rPr>
      </w:pPr>
    </w:p>
    <w:p>
      <w:pPr>
        <w:ind w:left="1200"/>
        <w:spacing w:after="0"/>
        <w:tabs>
          <w:tab w:leader="none" w:pos="3980" w:val="left"/>
          <w:tab w:leader="none" w:pos="6420" w:val="left"/>
        </w:tabs>
        <w:rPr>
          <w:sz w:val="20"/>
          <w:szCs w:val="20"/>
          <w:color w:val="auto"/>
        </w:rPr>
      </w:pPr>
      <w:r>
        <w:rPr>
          <w:rFonts w:ascii="Times New Roman" w:cs="Times New Roman" w:eastAsia="Times New Roman" w:hAnsi="Times New Roman"/>
          <w:sz w:val="16"/>
          <w:szCs w:val="16"/>
          <w:color w:val="auto"/>
        </w:rPr>
        <w:t>Title of each class</w:t>
      </w:r>
      <w:r>
        <w:rPr>
          <w:sz w:val="20"/>
          <w:szCs w:val="20"/>
          <w:color w:val="auto"/>
        </w:rPr>
        <w:tab/>
      </w:r>
      <w:r>
        <w:rPr>
          <w:rFonts w:ascii="Times New Roman" w:cs="Times New Roman" w:eastAsia="Times New Roman" w:hAnsi="Times New Roman"/>
          <w:sz w:val="16"/>
          <w:szCs w:val="16"/>
          <w:color w:val="auto"/>
        </w:rPr>
        <w:t>Trading Symbol(s)</w:t>
      </w:r>
      <w:r>
        <w:rPr>
          <w:sz w:val="20"/>
          <w:szCs w:val="20"/>
          <w:color w:val="auto"/>
        </w:rPr>
        <w:tab/>
      </w:r>
      <w:r>
        <w:rPr>
          <w:rFonts w:ascii="Times New Roman" w:cs="Times New Roman" w:eastAsia="Times New Roman" w:hAnsi="Times New Roman"/>
          <w:sz w:val="14"/>
          <w:szCs w:val="14"/>
          <w:color w:val="auto"/>
        </w:rPr>
        <w:t>Name of each exchange on which registered</w:t>
      </w:r>
    </w:p>
    <w:p>
      <w:pPr>
        <w:spacing w:after="0" w:line="40" w:lineRule="exact"/>
        <w:rPr>
          <w:sz w:val="20"/>
          <w:szCs w:val="20"/>
          <w:color w:val="auto"/>
        </w:rPr>
      </w:pPr>
    </w:p>
    <w:p>
      <w:pPr>
        <w:ind w:left="300"/>
        <w:spacing w:after="0"/>
        <w:tabs>
          <w:tab w:leader="none" w:pos="4360" w:val="left"/>
          <w:tab w:leader="none" w:pos="6740" w:val="left"/>
        </w:tabs>
        <w:rPr>
          <w:sz w:val="20"/>
          <w:szCs w:val="20"/>
          <w:color w:val="auto"/>
        </w:rPr>
      </w:pPr>
      <w:r>
        <w:rPr>
          <w:rFonts w:ascii="Times New Roman" w:cs="Times New Roman" w:eastAsia="Times New Roman" w:hAnsi="Times New Roman"/>
          <w:sz w:val="16"/>
          <w:szCs w:val="16"/>
          <w:b w:val="1"/>
          <w:bCs w:val="1"/>
          <w:color w:val="auto"/>
        </w:rPr>
        <w:t>Common Stock, par value $0.0001 per share</w:t>
      </w:r>
      <w:r>
        <w:rPr>
          <w:sz w:val="20"/>
          <w:szCs w:val="20"/>
          <w:color w:val="auto"/>
        </w:rPr>
        <w:tab/>
      </w:r>
      <w:r>
        <w:rPr>
          <w:rFonts w:ascii="Times New Roman" w:cs="Times New Roman" w:eastAsia="Times New Roman" w:hAnsi="Times New Roman"/>
          <w:sz w:val="16"/>
          <w:szCs w:val="16"/>
          <w:b w:val="1"/>
          <w:bCs w:val="1"/>
          <w:color w:val="auto"/>
        </w:rPr>
        <w:t>NAUT</w:t>
      </w:r>
      <w:r>
        <w:rPr>
          <w:sz w:val="20"/>
          <w:szCs w:val="20"/>
          <w:color w:val="auto"/>
        </w:rPr>
        <w:tab/>
      </w:r>
      <w:r>
        <w:rPr>
          <w:rFonts w:ascii="Times New Roman" w:cs="Times New Roman" w:eastAsia="Times New Roman" w:hAnsi="Times New Roman"/>
          <w:sz w:val="14"/>
          <w:szCs w:val="14"/>
          <w:b w:val="1"/>
          <w:bCs w:val="1"/>
          <w:color w:val="auto"/>
        </w:rPr>
        <w:t>The Nasdaq Stock Market LLC</w:t>
      </w:r>
    </w:p>
    <w:p>
      <w:pPr>
        <w:spacing w:after="0" w:line="2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Securities registered pursuant to section 12(g) of the Act: </w:t>
      </w:r>
      <w:r>
        <w:rPr>
          <w:rFonts w:ascii="Times New Roman" w:cs="Times New Roman" w:eastAsia="Times New Roman" w:hAnsi="Times New Roman"/>
          <w:sz w:val="17"/>
          <w:szCs w:val="17"/>
          <w:b w:val="1"/>
          <w:bCs w:val="1"/>
          <w:color w:val="auto"/>
        </w:rPr>
        <w:t>None</w:t>
      </w:r>
    </w:p>
    <w:p>
      <w:pPr>
        <w:spacing w:after="0" w:line="180" w:lineRule="exact"/>
        <w:rPr>
          <w:sz w:val="20"/>
          <w:szCs w:val="20"/>
          <w:color w:val="auto"/>
        </w:rPr>
      </w:pPr>
    </w:p>
    <w:p>
      <w:pPr>
        <w:ind w:left="360" w:right="360"/>
        <w:spacing w:after="0" w:line="320"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p>
    <w:p>
      <w:pPr>
        <w:spacing w:after="0" w:line="141" w:lineRule="exact"/>
        <w:rPr>
          <w:sz w:val="20"/>
          <w:szCs w:val="20"/>
          <w:color w:val="auto"/>
        </w:rPr>
      </w:pPr>
    </w:p>
    <w:p>
      <w:pPr>
        <w:ind w:right="40" w:firstLine="349"/>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w:t>
      </w:r>
    </w:p>
    <w:p>
      <w:pPr>
        <w:spacing w:after="0" w:line="141" w:lineRule="exact"/>
        <w:rPr>
          <w:sz w:val="20"/>
          <w:szCs w:val="20"/>
          <w:color w:val="auto"/>
        </w:rPr>
      </w:pPr>
    </w:p>
    <w:p>
      <w:pPr>
        <w:ind w:right="100" w:firstLine="349"/>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w:t>
      </w:r>
    </w:p>
    <w:p>
      <w:pPr>
        <w:spacing w:after="0" w:line="141" w:lineRule="exact"/>
        <w:rPr>
          <w:sz w:val="20"/>
          <w:szCs w:val="20"/>
          <w:color w:val="auto"/>
        </w:rPr>
      </w:pPr>
    </w:p>
    <w:p>
      <w:pPr>
        <w:ind w:firstLine="349"/>
        <w:spacing w:after="0" w:line="27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0"/>
          <w:szCs w:val="20"/>
          <w:color w:val="auto"/>
        </w:rPr>
      </w:pPr>
    </w:p>
    <w:tbl>
      <w:tblPr>
        <w:tblLayout w:type="fixed"/>
        <w:tblInd w:w="1080" w:type="dxa"/>
        <w:tblCellMar>
          <w:top w:w="0" w:type="dxa"/>
          <w:left w:w="0" w:type="dxa"/>
          <w:bottom w:w="0" w:type="dxa"/>
          <w:right w:w="0" w:type="dxa"/>
        </w:tblCellMar>
      </w:tblP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00" w:type="dxa"/>
            <w:vAlign w:val="bottom"/>
          </w:tcPr>
          <w:p>
            <w:pPr>
              <w:ind w:left="62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Accelerated filer</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3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00" w:type="dxa"/>
            <w:vAlign w:val="bottom"/>
          </w:tcPr>
          <w:p>
            <w:pPr>
              <w:ind w:left="62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33"/>
        </w:trPr>
        <w:tc>
          <w:tcPr>
            <w:tcW w:w="2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162" w:lineRule="exact"/>
        <w:rPr>
          <w:sz w:val="20"/>
          <w:szCs w:val="20"/>
          <w:color w:val="auto"/>
        </w:rPr>
      </w:pPr>
    </w:p>
    <w:p>
      <w:pPr>
        <w:sectPr>
          <w:pgSz w:w="11880" w:h="15480" w:orient="portrait"/>
          <w:cols w:equalWidth="0" w:num="1">
            <w:col w:w="10140"/>
          </w:cols>
          <w:pgMar w:left="780" w:top="1234" w:right="960" w:bottom="884" w:gutter="0" w:footer="0" w:header="0"/>
        </w:sectPr>
      </w:pPr>
    </w:p>
    <w:p>
      <w:pPr>
        <w:ind w:firstLine="349"/>
        <w:spacing w:after="0" w:line="296"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880" w:h="15480" w:orient="portrait"/>
          <w:cols w:equalWidth="0" w:num="1">
            <w:col w:w="10140"/>
          </w:cols>
          <w:pgMar w:left="780" w:top="1234" w:right="960" w:bottom="884" w:gutter="0" w:footer="0" w:header="0"/>
          <w:type w:val="continuous"/>
        </w:sectPr>
      </w:pPr>
    </w:p>
    <w:bookmarkStart w:id="3" w:name="page4"/>
    <w:bookmarkEnd w:id="3"/>
    <w:p>
      <w:pPr>
        <w:jc w:val="both"/>
        <w:ind w:firstLine="349"/>
        <w:spacing w:after="0" w:line="277"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27" w:lineRule="exact"/>
        <w:rPr>
          <w:sz w:val="20"/>
          <w:szCs w:val="20"/>
          <w:color w:val="auto"/>
        </w:rPr>
      </w:pPr>
    </w:p>
    <w:p>
      <w:pPr>
        <w:ind w:right="260" w:firstLine="349"/>
        <w:spacing w:after="0" w:line="227"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b w:val="1"/>
          <w:bCs w:val="1"/>
          <w:color w:val="auto"/>
        </w:rPr>
        <w:t>☐</w:t>
      </w:r>
    </w:p>
    <w:p>
      <w:pPr>
        <w:spacing w:after="0" w:line="141" w:lineRule="exact"/>
        <w:rPr>
          <w:sz w:val="20"/>
          <w:szCs w:val="20"/>
          <w:color w:val="auto"/>
        </w:rPr>
      </w:pPr>
    </w:p>
    <w:p>
      <w:pPr>
        <w:ind w:right="620" w:firstLine="34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b w:val="1"/>
          <w:bCs w:val="1"/>
          <w:color w:val="auto"/>
        </w:rPr>
        <w:t>☐</w:t>
      </w:r>
    </w:p>
    <w:p>
      <w:pPr>
        <w:spacing w:after="0" w:line="130" w:lineRule="exact"/>
        <w:rPr>
          <w:sz w:val="20"/>
          <w:szCs w:val="20"/>
          <w:color w:val="auto"/>
        </w:rPr>
      </w:pPr>
    </w:p>
    <w:p>
      <w:pPr>
        <w:ind w:left="360"/>
        <w:spacing w:after="0" w:line="196" w:lineRule="exact"/>
        <w:tabs>
          <w:tab w:leader="none" w:pos="7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p>
    <w:p>
      <w:pPr>
        <w:spacing w:after="0" w:line="200" w:lineRule="exact"/>
        <w:rPr>
          <w:sz w:val="20"/>
          <w:szCs w:val="20"/>
          <w:color w:val="auto"/>
        </w:rPr>
      </w:pPr>
    </w:p>
    <w:p>
      <w:pPr>
        <w:ind w:right="140" w:firstLine="349"/>
        <w:spacing w:after="0" w:line="270" w:lineRule="auto"/>
        <w:rPr>
          <w:sz w:val="20"/>
          <w:szCs w:val="20"/>
          <w:color w:val="auto"/>
        </w:rPr>
      </w:pPr>
      <w:r>
        <w:rPr>
          <w:rFonts w:ascii="Times New Roman" w:cs="Times New Roman" w:eastAsia="Times New Roman" w:hAnsi="Times New Roman"/>
          <w:sz w:val="17"/>
          <w:szCs w:val="17"/>
          <w:color w:val="auto"/>
        </w:rPr>
        <w:t>The aggregate market value of the registrant’s common stock held by non-affiliates, based upon the closing price of the common stock on June 30, 2022, as reported by The Nasdaq Stock Market LLC, was $152 million. Shares of common stock held by each executive officer and director and by each other person who is deemed to be an affiliate of the registrant have been excluded from such computation. This determination of affiliate status is not necessarily a conclusive determination for other purposes.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registrant had outstanding 124,866,392 shares of common stock as of January 31, 2023.</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11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Portions of the registrant’s definitive Proxy Statement to be filed with the Securities and Exchange Commission in connection with the registrant’s 2023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2022. Except with respect to information specifically incorporated by reference, the Proxy Statement is not deemed to be filed as part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185420</wp:posOffset>
                </wp:positionV>
                <wp:extent cx="645287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2870" cy="4763"/>
                        </a:xfrm>
                        <a:prstGeom prst="line">
                          <a:avLst/>
                        </a:prstGeom>
                        <a:solidFill>
                          <a:srgbClr val="FFFFFF"/>
                        </a:solidFill>
                        <a:ln w="2465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4.6pt" to="508.4pt,14.6pt" o:allowincell="f" strokecolor="#000000" strokeweight="1.9411pt"/>
            </w:pict>
          </mc:Fallback>
        </mc:AlternateContent>
      </w:r>
    </w:p>
    <w:p>
      <w:pPr>
        <w:sectPr>
          <w:pgSz w:w="11880" w:h="15480" w:orient="portrait"/>
          <w:cols w:equalWidth="0" w:num="1">
            <w:col w:w="10140"/>
          </w:cols>
          <w:pgMar w:left="780" w:top="828" w:right="96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08"/>
        </w:trPr>
        <w:tc>
          <w:tcPr>
            <w:tcW w:w="8880" w:type="dxa"/>
            <w:vAlign w:val="bottom"/>
          </w:tcPr>
          <w:p>
            <w:pPr>
              <w:ind w:left="3700"/>
              <w:spacing w:after="0"/>
              <w:rPr>
                <w:sz w:val="20"/>
                <w:szCs w:val="20"/>
                <w:color w:val="auto"/>
              </w:rPr>
            </w:pPr>
            <w:r>
              <w:rPr>
                <w:rFonts w:ascii="Times New Roman" w:cs="Times New Roman" w:eastAsia="Times New Roman" w:hAnsi="Times New Roman"/>
                <w:sz w:val="23"/>
                <w:szCs w:val="23"/>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1"/>
        </w:trPr>
        <w:tc>
          <w:tcPr>
            <w:tcW w:w="88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9"/>
                <w:szCs w:val="19"/>
                <w:b w:val="1"/>
                <w:bCs w:val="1"/>
                <w:color w:val="auto"/>
                <w:w w:val="97"/>
              </w:rPr>
              <w:t>Page</w:t>
            </w:r>
          </w:p>
        </w:tc>
        <w:tc>
          <w:tcPr>
            <w:tcW w:w="0" w:type="dxa"/>
            <w:vAlign w:val="bottom"/>
          </w:tcPr>
          <w:p>
            <w:pPr>
              <w:spacing w:after="0"/>
              <w:rPr>
                <w:sz w:val="1"/>
                <w:szCs w:val="1"/>
                <w:color w:val="auto"/>
              </w:rPr>
            </w:pPr>
          </w:p>
        </w:tc>
      </w:tr>
      <w:tr>
        <w:trPr>
          <w:trHeight w:val="393"/>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1. Business</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6</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1A. Risk Factors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41</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1B. Unresolved Staff Comments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76</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2. Properties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76</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3. Legal Proceedings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4. Mine Safety Disclosures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5. Market for Registrant's Common Equity, Related Stockholder Matters and Issuer Purchases of</w:t>
            </w:r>
          </w:p>
        </w:tc>
        <w:tc>
          <w:tcPr>
            <w:tcW w:w="780" w:type="dxa"/>
            <w:vAlign w:val="bottom"/>
            <w:vMerge w:val="restart"/>
          </w:tcPr>
          <w:p>
            <w:pPr>
              <w:jc w:val="center"/>
              <w:ind w:left="283"/>
              <w:spacing w:after="0"/>
              <w:rPr>
                <w:sz w:val="20"/>
                <w:szCs w:val="20"/>
                <w:color w:val="auto"/>
              </w:rPr>
            </w:pPr>
            <w:r>
              <w:rPr>
                <w:rFonts w:ascii="Times New Roman" w:cs="Times New Roman" w:eastAsia="Times New Roman" w:hAnsi="Times New Roman"/>
                <w:sz w:val="19"/>
                <w:szCs w:val="19"/>
                <w:color w:val="auto"/>
              </w:rPr>
              <w:t>78</w:t>
            </w:r>
          </w:p>
        </w:tc>
        <w:tc>
          <w:tcPr>
            <w:tcW w:w="0" w:type="dxa"/>
            <w:vAlign w:val="bottom"/>
          </w:tcPr>
          <w:p>
            <w:pPr>
              <w:spacing w:after="0"/>
              <w:rPr>
                <w:sz w:val="1"/>
                <w:szCs w:val="1"/>
                <w:color w:val="auto"/>
              </w:rPr>
            </w:pPr>
          </w:p>
        </w:tc>
      </w:tr>
      <w:tr>
        <w:trPr>
          <w:trHeight w:val="136"/>
        </w:trPr>
        <w:tc>
          <w:tcPr>
            <w:tcW w:w="8880" w:type="dxa"/>
            <w:vAlign w:val="bottom"/>
            <w:vMerge w:val="restart"/>
          </w:tcPr>
          <w:p>
            <w:pPr>
              <w:ind w:left="580"/>
              <w:spacing w:after="0"/>
              <w:rPr>
                <w:sz w:val="20"/>
                <w:szCs w:val="20"/>
                <w:color w:val="auto"/>
              </w:rPr>
            </w:pPr>
            <w:r>
              <w:rPr>
                <w:rFonts w:ascii="Times New Roman" w:cs="Times New Roman" w:eastAsia="Times New Roman" w:hAnsi="Times New Roman"/>
                <w:sz w:val="19"/>
                <w:szCs w:val="19"/>
                <w:color w:val="4A4A4A"/>
              </w:rPr>
              <w:t>Equity Securities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8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6. [ Reserved ]</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78</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7. Management's Discussion and Analysis of Financial Condition and Results of Operations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79</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7A. Quantitative and Qualitative Disclosures About Market Risk</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90</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8. Financial Statements and Supplementary Data</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90</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9. Changes in and Disagreements With Accountants on Accounting and Financial Disclosure</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117</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9A. Controls and Procedures</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117</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9B. Other Information</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117</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9C. Disclosure Regarding Foreign Jurisdictions that Prevent Inspections</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117</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10. Directors, Executive Officers and Corporate Governance</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11. Executive Compensation</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351"/>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12. Security Ownership of Certain Beneficial Owners and Management and Related Stockholder</w:t>
            </w:r>
          </w:p>
        </w:tc>
        <w:tc>
          <w:tcPr>
            <w:tcW w:w="780" w:type="dxa"/>
            <w:vAlign w:val="bottom"/>
            <w:vMerge w:val="restart"/>
          </w:tcPr>
          <w:p>
            <w:pPr>
              <w:jc w:val="center"/>
              <w:ind w:left="303"/>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136"/>
        </w:trPr>
        <w:tc>
          <w:tcPr>
            <w:tcW w:w="8880" w:type="dxa"/>
            <w:vAlign w:val="bottom"/>
            <w:vMerge w:val="restart"/>
          </w:tcPr>
          <w:p>
            <w:pPr>
              <w:ind w:left="580"/>
              <w:spacing w:after="0"/>
              <w:rPr>
                <w:sz w:val="20"/>
                <w:szCs w:val="20"/>
                <w:color w:val="auto"/>
              </w:rPr>
            </w:pPr>
            <w:r>
              <w:rPr>
                <w:rFonts w:ascii="Times New Roman" w:cs="Times New Roman" w:eastAsia="Times New Roman" w:hAnsi="Times New Roman"/>
                <w:sz w:val="19"/>
                <w:szCs w:val="19"/>
                <w:color w:val="4A4A4A"/>
              </w:rPr>
              <w:t>Matters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8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13. Certain Relationships and Related Transactions, and Director Independence</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14. Principal Accounting Fees and Services</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IV</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15. Exhibit and Financial Statement Schedules</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119</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A4A4A"/>
              </w:rPr>
              <w:t>Item 16. Form 10-K Summary</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123</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Signatures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60"/>
          </w:cols>
          <w:pgMar w:left="1360" w:top="80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9660"/>
          </w:cols>
          <w:pgMar w:left="1360" w:top="802" w:right="860"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SPECIAL NOTE REGARDING FORWARD-LOOKING STATEMENTS</w:t>
      </w:r>
    </w:p>
    <w:p>
      <w:pPr>
        <w:spacing w:after="0" w:line="196"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This Annual Report on Form 10-K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36" w:lineRule="exact"/>
        <w:rPr>
          <w:sz w:val="20"/>
          <w:szCs w:val="20"/>
          <w:color w:val="auto"/>
        </w:rPr>
      </w:pPr>
    </w:p>
    <w:p>
      <w:pPr>
        <w:ind w:right="120" w:firstLine="347"/>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dependence on the success of our proteomics platform (the “Nautilus platform”), which remains in the development stage and subject to scientific and technical validation;</w:t>
      </w:r>
    </w:p>
    <w:p>
      <w:pPr>
        <w:spacing w:after="0" w:line="107"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timing and progress of the development of the Nautilus platform;</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functionality of the Nautilus platform;</w:t>
      </w:r>
    </w:p>
    <w:p>
      <w:pPr>
        <w:spacing w:after="0" w:line="189" w:lineRule="exact"/>
        <w:rPr>
          <w:rFonts w:ascii="Times New Roman" w:cs="Times New Roman" w:eastAsia="Times New Roman" w:hAnsi="Times New Roman"/>
          <w:sz w:val="19"/>
          <w:szCs w:val="19"/>
          <w:color w:val="auto"/>
        </w:rPr>
      </w:pPr>
    </w:p>
    <w:p>
      <w:pPr>
        <w:ind w:right="560" w:firstLine="347"/>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estimates of our addressable market, market growth, future revenue, key performance indicators, expenses, capital requirements and needs for additional financing;</w:t>
      </w:r>
    </w:p>
    <w:p>
      <w:pPr>
        <w:spacing w:after="0" w:line="107"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rate and degree of market acceptance of the Nautilus platform;</w:t>
      </w:r>
    </w:p>
    <w:p>
      <w:pPr>
        <w:spacing w:after="0" w:line="189" w:lineRule="exact"/>
        <w:rPr>
          <w:rFonts w:ascii="Times New Roman" w:cs="Times New Roman" w:eastAsia="Times New Roman" w:hAnsi="Times New Roman"/>
          <w:sz w:val="19"/>
          <w:szCs w:val="19"/>
          <w:color w:val="auto"/>
        </w:rPr>
      </w:pPr>
    </w:p>
    <w:p>
      <w:pPr>
        <w:ind w:right="240" w:firstLine="347"/>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the Nautilus platform on the field of proteomics and the size and growth of the addressable proteomics market;</w:t>
      </w:r>
    </w:p>
    <w:p>
      <w:pPr>
        <w:spacing w:after="0" w:line="107"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manage and grow our business and commercialize our Nautilus platform;</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implement our three phase commercial launch plan;</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implementation of our business model and strategic plans for the Nautilus platform;</w:t>
      </w:r>
    </w:p>
    <w:p>
      <w:pPr>
        <w:spacing w:after="0" w:line="189" w:lineRule="exact"/>
        <w:rPr>
          <w:rFonts w:ascii="Times New Roman" w:cs="Times New Roman" w:eastAsia="Times New Roman" w:hAnsi="Times New Roman"/>
          <w:sz w:val="19"/>
          <w:szCs w:val="19"/>
          <w:color w:val="auto"/>
        </w:rPr>
      </w:pPr>
    </w:p>
    <w:p>
      <w:pPr>
        <w:ind w:right="360" w:firstLine="347"/>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establish and maintain intellectual property protection for our products or avoid or defend claims of infringement;</w:t>
      </w:r>
    </w:p>
    <w:p>
      <w:pPr>
        <w:spacing w:after="0" w:line="107" w:lineRule="exact"/>
        <w:rPr>
          <w:rFonts w:ascii="Times New Roman" w:cs="Times New Roman" w:eastAsia="Times New Roman" w:hAnsi="Times New Roman"/>
          <w:sz w:val="19"/>
          <w:szCs w:val="19"/>
          <w:color w:val="auto"/>
        </w:rPr>
      </w:pPr>
    </w:p>
    <w:p>
      <w:pPr>
        <w:ind w:firstLine="347"/>
        <w:spacing w:after="0" w:line="274"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recognize the anticipated benefits of the Business Combination (as defined in Part I, Item 1, in this Annual Report on Form 10-K), which may be affected by, among other things, competition, our ability to grow and manage future growth effectively, and our ability to retain our key employees;</w:t>
      </w:r>
    </w:p>
    <w:p>
      <w:pPr>
        <w:spacing w:after="0" w:line="125"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use of proceeds from the Business Combination;</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performance of third-party partners, manufacturers and suppliers;</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applicable laws or regulations;</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raise financing in the future;</w:t>
      </w:r>
    </w:p>
    <w:p>
      <w:pPr>
        <w:spacing w:after="0" w:line="189" w:lineRule="exact"/>
        <w:rPr>
          <w:rFonts w:ascii="Times New Roman" w:cs="Times New Roman" w:eastAsia="Times New Roman" w:hAnsi="Times New Roman"/>
          <w:sz w:val="19"/>
          <w:szCs w:val="19"/>
          <w:color w:val="auto"/>
        </w:rPr>
      </w:pPr>
    </w:p>
    <w:p>
      <w:pPr>
        <w:ind w:right="300" w:firstLine="347"/>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success in retaining or recruiting, or changes required in, our officers, key employees or directors or other key personnel;</w:t>
      </w:r>
    </w:p>
    <w:p>
      <w:pPr>
        <w:spacing w:after="0" w:line="107"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volatility of the trading price of our common stock;</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develop and commercialize new products;</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about market trends;</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local, regional, national and international economic conditions and events;</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 of COVID-19 on the foregoing; and</w:t>
      </w:r>
    </w:p>
    <w:p>
      <w:pPr>
        <w:spacing w:after="0" w:line="187"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factors including but not limited to those detailed under the section entitled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color w:val="auto"/>
        </w:rPr>
        <w:t>.”</w:t>
      </w:r>
    </w:p>
    <w:p>
      <w:pPr>
        <w:sectPr>
          <w:pgSz w:w="11880" w:h="15480" w:orient="portrait"/>
          <w:cols w:equalWidth="0" w:num="1">
            <w:col w:w="9060"/>
          </w:cols>
          <w:pgMar w:left="1400" w:top="1383"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9060"/>
          </w:cols>
          <w:pgMar w:left="1400" w:top="1383" w:right="1420" w:bottom="0" w:gutter="0" w:footer="0" w:header="0"/>
          <w:type w:val="continuous"/>
        </w:sectPr>
      </w:pPr>
    </w:p>
    <w:bookmarkStart w:id="7" w:name="page8"/>
    <w:bookmarkEnd w:id="7"/>
    <w:p>
      <w:pPr>
        <w:ind w:right="160" w:firstLine="349"/>
        <w:spacing w:after="0" w:line="274" w:lineRule="auto"/>
        <w:rPr>
          <w:sz w:val="20"/>
          <w:szCs w:val="20"/>
          <w:color w:val="auto"/>
        </w:rPr>
      </w:pPr>
      <w:r>
        <w:rPr>
          <w:rFonts w:ascii="Times New Roman" w:cs="Times New Roman" w:eastAsia="Times New Roman" w:hAnsi="Times New Roman"/>
          <w:sz w:val="19"/>
          <w:szCs w:val="19"/>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5"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Annual Report on Form 10-K.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44" w:lineRule="exact"/>
        <w:rPr>
          <w:sz w:val="20"/>
          <w:szCs w:val="20"/>
          <w:color w:val="auto"/>
        </w:rPr>
      </w:pPr>
    </w:p>
    <w:p>
      <w:pPr>
        <w:ind w:right="200" w:firstLine="349"/>
        <w:spacing w:after="0" w:line="268" w:lineRule="auto"/>
        <w:rPr>
          <w:sz w:val="20"/>
          <w:szCs w:val="20"/>
          <w:color w:val="auto"/>
        </w:rPr>
      </w:pPr>
      <w:r>
        <w:rPr>
          <w:rFonts w:ascii="Times New Roman" w:cs="Times New Roman" w:eastAsia="Times New Roman" w:hAnsi="Times New Roman"/>
          <w:sz w:val="19"/>
          <w:szCs w:val="19"/>
          <w:color w:val="auto"/>
        </w:rPr>
        <w:t>The forward-looking statements made in this Annual Report on Form 10-K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31"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This Annual Report on Form 10-K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6"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This Annual Report on Form 10-K contains references to trademarks and service marks belonging to other entities. Solely for convenience, trademarks and trade names referred to in this Annual Report on Form 10-K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ectPr>
          <w:pgSz w:w="11880" w:h="15480" w:orient="portrait"/>
          <w:cols w:equalWidth="0" w:num="1">
            <w:col w:w="9080"/>
          </w:cols>
          <w:pgMar w:left="1400" w:top="139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9080"/>
          </w:cols>
          <w:pgMar w:left="1400" w:top="1390" w:right="1400" w:bottom="0" w:gutter="0" w:footer="0" w:header="0"/>
          <w:type w:val="continuous"/>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 OF BUSINESS COMBINATION</w:t>
      </w:r>
    </w:p>
    <w:p>
      <w:pPr>
        <w:spacing w:after="0" w:line="196"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On June 9, 2021 (the “Closing Date”), Nautilus Biotechnology, Inc., a Delaware corporation (f/k/a ARYA Sciences Acquisition Corp III, a Cayman Islands exempted company and our predecessor company (“ARYA”)), consummated the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36"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36"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Upon the Domestication, all of the outstanding Class A and Class B ordinary shares of ARYA were exchanged for an equivalent number of shares of common stock of New Nautilus, par value $0.0001 per share (“Common Stock”). 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and (ii) all vested and unvested options to purchase shares of Legacy Nautilus were exchanged for comparable options to purchase shares of Common Stock of New Nautilus.</w:t>
      </w:r>
    </w:p>
    <w:p>
      <w:pPr>
        <w:spacing w:after="0" w:line="136" w:lineRule="exact"/>
        <w:rPr>
          <w:sz w:val="20"/>
          <w:szCs w:val="20"/>
          <w:color w:val="auto"/>
        </w:rPr>
      </w:pPr>
    </w:p>
    <w:p>
      <w:pPr>
        <w:ind w:right="180" w:firstLine="349"/>
        <w:spacing w:after="0" w:line="260" w:lineRule="auto"/>
        <w:rPr>
          <w:sz w:val="20"/>
          <w:szCs w:val="20"/>
          <w:color w:val="auto"/>
        </w:rPr>
      </w:pPr>
      <w:r>
        <w:rPr>
          <w:rFonts w:ascii="Times New Roman" w:cs="Times New Roman" w:eastAsia="Times New Roman" w:hAnsi="Times New Roman"/>
          <w:sz w:val="19"/>
          <w:szCs w:val="19"/>
          <w:color w:val="auto"/>
        </w:rPr>
        <w:t>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immediately prior to the Effective Time, an aggregate of 20,000,000 shares of New Nautilus Common Stock at a price of $10.00 per share (the “PIPE Shares”), for aggregate gross proceeds of $200,000,000 (the “PIPE Financing”). ARYA granted the PIPE Investors certain registration rights in connection with the PIPE Financing. Also concurrently with the execution of the Business Combination Agreement, ARYA entered into the Amended and Restated Registration Rights and Lock-Up Agreement with certain stockholders of ARYA and Legacy Nautilus, which obligated the Company to register the resale of certain shares of our Common Stock issued in connection with the Domestication and the Business Combination.</w:t>
      </w:r>
    </w:p>
    <w:p>
      <w:pPr>
        <w:spacing w:after="0" w:line="141"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auto"/>
        </w:rPr>
        <w:t>As of the open of trading on June 10, 2021, the Common Stock of the Company began trading on the Nasdaq Global Select Market (“Nasdaq”) under the symbol “NAUT.”</w:t>
      </w:r>
    </w:p>
    <w:p>
      <w:pPr>
        <w:spacing w:after="0" w:line="107" w:lineRule="exact"/>
        <w:rPr>
          <w:sz w:val="20"/>
          <w:szCs w:val="20"/>
          <w:color w:val="auto"/>
        </w:rPr>
      </w:pPr>
    </w:p>
    <w:p>
      <w:pPr>
        <w:jc w:val="both"/>
        <w:ind w:right="140" w:firstLine="349"/>
        <w:spacing w:after="0" w:line="268" w:lineRule="auto"/>
        <w:rPr>
          <w:sz w:val="20"/>
          <w:szCs w:val="20"/>
          <w:color w:val="auto"/>
        </w:rPr>
      </w:pPr>
      <w:r>
        <w:rPr>
          <w:rFonts w:ascii="Times New Roman" w:cs="Times New Roman" w:eastAsia="Times New Roman" w:hAnsi="Times New Roman"/>
          <w:sz w:val="19"/>
          <w:szCs w:val="19"/>
          <w:color w:val="auto"/>
        </w:rPr>
        <w:t>Unless expressly indicated or the context requires otherwise, the terms “Nautilus,” “New Nautilus,” the “Company,” the “Registrant,” “we,” “us” and “our” in this Form 10-K refer to Nautilus Biotechnology, Inc., the parent entity formerly named ARYA Sciences Acquisition Corp III, after giving effect to the Domestication and the Business Combination, and as renamed Nautilus Biotechnology, Inc., and where appropriate, our wholly-owned subsidiaries (including Legacy Nautilus).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41"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w:t>
      </w:r>
    </w:p>
    <w:p>
      <w:pPr>
        <w:sectPr>
          <w:pgSz w:w="11880" w:h="15480" w:orient="portrait"/>
          <w:cols w:equalWidth="0" w:num="1">
            <w:col w:w="9920"/>
          </w:cols>
          <w:pgMar w:left="960" w:top="802" w:right="100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9920"/>
          </w:cols>
          <w:pgMar w:left="960" w:top="802" w:right="1000" w:bottom="0" w:gutter="0" w:footer="0" w:header="0"/>
          <w:type w:val="continuous"/>
        </w:sectPr>
      </w:pPr>
    </w:p>
    <w:bookmarkStart w:id="9" w:name="page10"/>
    <w:bookmarkEnd w:id="9"/>
    <w:p>
      <w:pPr>
        <w:ind w:right="20"/>
        <w:spacing w:after="0" w:line="265" w:lineRule="auto"/>
        <w:rPr>
          <w:sz w:val="20"/>
          <w:szCs w:val="20"/>
          <w:color w:val="auto"/>
        </w:rPr>
      </w:pPr>
      <w:r>
        <w:rPr>
          <w:rFonts w:ascii="Times New Roman" w:cs="Times New Roman" w:eastAsia="Times New Roman" w:hAnsi="Times New Roman"/>
          <w:sz w:val="19"/>
          <w:szCs w:val="19"/>
          <w:color w:val="auto"/>
        </w:rPr>
        <w:t>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33"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By leveraging our novel design coupled with advanced machine learning software, we believe our Nautilus platform, which includes our end-to-end solution comprised of the proteome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33"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complexity of the human proteome were as simple and easy as detecting an entire human genome, we believe a new set of questions could be asked:</w:t>
      </w:r>
    </w:p>
    <w:p>
      <w:pPr>
        <w:spacing w:after="0" w:line="377" w:lineRule="exact"/>
        <w:rPr>
          <w:sz w:val="20"/>
          <w:szCs w:val="20"/>
          <w:color w:val="auto"/>
        </w:rPr>
      </w:pPr>
    </w:p>
    <w:p>
      <w:pPr>
        <w:ind w:left="700" w:hanging="350"/>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Down to the very low frequencies of expressed proteins, how are healthy tissue cells different from diseased cells?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What will a comprehensive map of nearly all proteins by organ tissue type tell us about our biology?</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What specific patterns of protein modifications are present in disease, and why?</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What happens to our proteome when we get sick, and how does it change with treatment?</w:t>
      </w:r>
    </w:p>
    <w:p>
      <w:pPr>
        <w:spacing w:after="0" w:line="189" w:lineRule="exact"/>
        <w:rPr>
          <w:sz w:val="20"/>
          <w:szCs w:val="20"/>
          <w:color w:val="auto"/>
        </w:rPr>
      </w:pPr>
    </w:p>
    <w:p>
      <w:pPr>
        <w:ind w:right="100" w:firstLine="349"/>
        <w:spacing w:after="0" w:line="260" w:lineRule="auto"/>
        <w:rPr>
          <w:sz w:val="20"/>
          <w:szCs w:val="20"/>
          <w:color w:val="auto"/>
        </w:rPr>
      </w:pPr>
      <w:r>
        <w:rPr>
          <w:rFonts w:ascii="Times New Roman" w:cs="Times New Roman" w:eastAsia="Times New Roman" w:hAnsi="Times New Roman"/>
          <w:sz w:val="19"/>
          <w:szCs w:val="19"/>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According to BCC Research, the existing proteomics research market is currently estimated to be approximately $27 billion annual spend as of 2022, made up primarily of mass spectrometry and affinity-based quantification methods. Over the longer-term, the proteomics market is expected to reach approximately $55 billion by 2027, representing a compound annual growth rate, or CAGR, of 15% over the five-year period. Further, we believe there are substantial adjacent opportunities across translational research in drug target discovery, precision medicine development, clinical diagnostics, and other disciplines such as food and environmental science.</w:t>
      </w:r>
    </w:p>
    <w:p>
      <w:pPr>
        <w:spacing w:after="0" w:line="141" w:lineRule="exact"/>
        <w:rPr>
          <w:sz w:val="20"/>
          <w:szCs w:val="20"/>
          <w:color w:val="auto"/>
        </w:rPr>
      </w:pPr>
    </w:p>
    <w:p>
      <w:pPr>
        <w:ind w:right="120" w:firstLine="349"/>
        <w:spacing w:after="0" w:line="259" w:lineRule="auto"/>
        <w:rPr>
          <w:sz w:val="20"/>
          <w:szCs w:val="20"/>
          <w:color w:val="auto"/>
        </w:rPr>
      </w:pPr>
      <w:r>
        <w:rPr>
          <w:rFonts w:ascii="Times New Roman" w:cs="Times New Roman" w:eastAsia="Times New Roman" w:hAnsi="Times New Roman"/>
          <w:sz w:val="19"/>
          <w:szCs w:val="19"/>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As of the date of filing this Annual Report, we have partnerships with Genentech, Amgen, The University of Texas MD Anderson Cancer Research Center, and the Translational Genomics Research Institute, among others.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proteome analysis system, which is an integrated fluidics and optics system for massively parallel single protein molecule detection, accompanied by consumable reagents and analysis software, in direct sales to customers across academia and industry. The launch of our proteome analysis system is expected to be done with a multi-year product roadmap of system enhancements and new applications designed to help our</w:t>
      </w:r>
    </w:p>
    <w:p>
      <w:pPr>
        <w:sectPr>
          <w:pgSz w:w="11880" w:h="15480" w:orient="portrait"/>
          <w:cols w:equalWidth="0" w:num="1">
            <w:col w:w="9960"/>
          </w:cols>
          <w:pgMar w:left="960" w:top="822" w:right="960" w:bottom="0"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9960"/>
          </w:cols>
          <w:pgMar w:left="960" w:top="822" w:right="960" w:bottom="0" w:gutter="0" w:footer="0" w:header="0"/>
          <w:type w:val="continuous"/>
        </w:sectPr>
      </w:pPr>
    </w:p>
    <w:bookmarkStart w:id="10" w:name="page11"/>
    <w:bookmarkEnd w:id="10"/>
    <w:p>
      <w:pPr>
        <w:ind w:right="20"/>
        <w:spacing w:after="0" w:line="263" w:lineRule="auto"/>
        <w:rPr>
          <w:sz w:val="20"/>
          <w:szCs w:val="20"/>
          <w:color w:val="auto"/>
        </w:rPr>
      </w:pPr>
      <w:r>
        <w:rPr>
          <w:rFonts w:ascii="Times New Roman" w:cs="Times New Roman" w:eastAsia="Times New Roman" w:hAnsi="Times New Roman"/>
          <w:sz w:val="19"/>
          <w:szCs w:val="19"/>
          <w:color w:val="auto"/>
        </w:rPr>
        <w:t>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36" w:lineRule="exact"/>
        <w:rPr>
          <w:sz w:val="20"/>
          <w:szCs w:val="20"/>
          <w:color w:val="auto"/>
        </w:rPr>
      </w:pPr>
    </w:p>
    <w:p>
      <w:pPr>
        <w:ind w:right="120" w:firstLine="349"/>
        <w:spacing w:after="0" w:line="263" w:lineRule="auto"/>
        <w:rPr>
          <w:sz w:val="20"/>
          <w:szCs w:val="20"/>
          <w:color w:val="auto"/>
        </w:rPr>
      </w:pPr>
      <w:r>
        <w:rPr>
          <w:rFonts w:ascii="Times New Roman" w:cs="Times New Roman" w:eastAsia="Times New Roman" w:hAnsi="Times New Roman"/>
          <w:sz w:val="19"/>
          <w:szCs w:val="19"/>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December 31, 2022 we were comprised of approximately 134 employees, with 51 of such employees holding a Ph.D. Our organization is driven by the pursuit of deep, hard science, and our Scientific Advisory Board is comprised of world-renowned scientific leaders that support our vision.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STRENGTHS</w:t>
      </w:r>
    </w:p>
    <w:p>
      <w:pPr>
        <w:spacing w:after="0" w:line="192" w:lineRule="exact"/>
        <w:rPr>
          <w:sz w:val="20"/>
          <w:szCs w:val="20"/>
          <w:color w:val="auto"/>
        </w:rPr>
      </w:pPr>
    </w:p>
    <w:p>
      <w:pPr>
        <w:ind w:left="700" w:right="20" w:hanging="350"/>
        <w:spacing w:after="0" w:line="26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Highly disruptive proteomics technology. </w:t>
      </w:r>
      <w:r>
        <w:rPr>
          <w:rFonts w:ascii="Times New Roman" w:cs="Times New Roman" w:eastAsia="Times New Roman" w:hAnsi="Times New Roman"/>
          <w:sz w:val="19"/>
          <w:szCs w:val="19"/>
          <w:color w:val="auto"/>
        </w:rPr>
        <w:t>Our Nautilus proteome analysis platform is designed to be a disruptive,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single protein molecule analysis technology of extreme sensitivity, scale, and ease-of-use. Leveraging a novel system architecture, advanced machine learning and algorithms, we believe our Nautilus platform has the potential to identify substantially all proteins in a sample from almost any organism. We have designed our Nautilus platform technology by substantially reimagining methods of protein analysis, rather than an incremental or evolutionary advancement. We refer to Nautilus’ framework for what we believe to be a fundamentally different approach to protein analysis as Protein Identification by Short-epitope Mapping (PrISM). We believe that the prototype of our Nautilus proteome analysis system has also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137" w:lineRule="exact"/>
        <w:rPr>
          <w:rFonts w:ascii="Times New Roman" w:cs="Times New Roman" w:eastAsia="Times New Roman" w:hAnsi="Times New Roman"/>
          <w:sz w:val="19"/>
          <w:szCs w:val="19"/>
          <w:color w:val="auto"/>
        </w:rPr>
      </w:pPr>
    </w:p>
    <w:p>
      <w:pPr>
        <w:ind w:left="700" w:right="40" w:hanging="350"/>
        <w:spacing w:after="0" w:line="262"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Novel end-to-end proteomics detection platform of extreme sensitivity. </w:t>
      </w:r>
      <w:r>
        <w:rPr>
          <w:rFonts w:ascii="Times New Roman" w:cs="Times New Roman" w:eastAsia="Times New Roman" w:hAnsi="Times New Roman"/>
          <w:sz w:val="19"/>
          <w:szCs w:val="19"/>
          <w:color w:val="auto"/>
        </w:rPr>
        <w:t>We aim to be the first commercially available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proteomics detection platform technology and end-to-end solution to decode and quantify virtually the entire proteome, including the variations and modifications of proteins. Our Nautilus platform consists of instruments, reagent consumables and software that we believe has the potential to deliver broad proteomic profiling to the market and potentially unlock the vast, dynamic, and valuable biological information contained in the proteome. With each instrument sale, there is expected to be accompanying recurring revenue comprised of reagent consumable sales, instrumentation service, support, and software that creates a comprehensive proteomics solution.</w:t>
      </w:r>
    </w:p>
    <w:p>
      <w:pPr>
        <w:spacing w:after="0" w:line="135" w:lineRule="exact"/>
        <w:rPr>
          <w:rFonts w:ascii="Times New Roman" w:cs="Times New Roman" w:eastAsia="Times New Roman" w:hAnsi="Times New Roman"/>
          <w:sz w:val="19"/>
          <w:szCs w:val="19"/>
          <w:color w:val="auto"/>
        </w:rPr>
      </w:pPr>
    </w:p>
    <w:p>
      <w:pPr>
        <w:ind w:left="700" w:right="80" w:hanging="350"/>
        <w:spacing w:after="0" w:line="26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Open, flexible and customizable technology platform. </w:t>
      </w:r>
      <w:r>
        <w:rPr>
          <w:rFonts w:ascii="Times New Roman" w:cs="Times New Roman" w:eastAsia="Times New Roman" w:hAnsi="Times New Roman"/>
          <w:sz w:val="19"/>
          <w:szCs w:val="19"/>
          <w:color w:val="auto"/>
        </w:rPr>
        <w:t>Our Nautilus platform is designed to allow our customers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analyze their samples in a variety of run configurations by utilizing flow cells which each contain 4 discrete and independent lanes, analyzed on an instrument that can be loaded with up to 3 flow cells per run. At launch, our platform is designed to either maximize analysis depth by running all 12 lanes on 1 sample, or maximize analysis throughput by running a single sample per lane. This design is also highly compatible with molecular barcoding, which may be introduced in the future to multiplex increasingly larger sample numbers per run. Further, with the introduction of an affinity binding reagent labeling kit, our platform is also designed to be able to incorporate off-the-shelf affinity binding reagents that have already been created by biopharma, academia, or commercial affinity reagent manufacturers. We believe that the ability to customize the type of analysis performed by adding or combining these affinity binding reagents with our Nautilus provided reagent kits could provide a very powerful and desirable analysis for our customers.</w:t>
      </w:r>
    </w:p>
    <w:p>
      <w:pPr>
        <w:spacing w:after="0" w:line="133" w:lineRule="exact"/>
        <w:rPr>
          <w:rFonts w:ascii="Times New Roman" w:cs="Times New Roman" w:eastAsia="Times New Roman" w:hAnsi="Times New Roman"/>
          <w:sz w:val="19"/>
          <w:szCs w:val="19"/>
          <w:color w:val="auto"/>
        </w:rPr>
      </w:pPr>
    </w:p>
    <w:p>
      <w:pPr>
        <w:ind w:left="700" w:hanging="350"/>
        <w:spacing w:after="0" w:line="261"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Immense data production capacity coupled with machine learning can unlock new proteomic insights. </w:t>
      </w:r>
      <w:r>
        <w:rPr>
          <w:rFonts w:ascii="Times New Roman" w:cs="Times New Roman" w:eastAsia="Times New Roman" w:hAnsi="Times New Roman"/>
          <w:sz w:val="19"/>
          <w:szCs w:val="19"/>
          <w:color w:val="auto"/>
        </w:rPr>
        <w:t>We have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designed the Nautilus platform to 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32" w:lineRule="exact"/>
        <w:rPr>
          <w:rFonts w:ascii="Times New Roman" w:cs="Times New Roman" w:eastAsia="Times New Roman" w:hAnsi="Times New Roman"/>
          <w:sz w:val="19"/>
          <w:szCs w:val="19"/>
          <w:color w:val="auto"/>
        </w:rPr>
      </w:pPr>
    </w:p>
    <w:p>
      <w:pPr>
        <w:ind w:left="700" w:right="60" w:hanging="350"/>
        <w:spacing w:after="0" w:line="298"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Commercial model with clear market entry point, designed to support a wide variety of customers and applications. </w:t>
      </w:r>
      <w:r>
        <w:rPr>
          <w:rFonts w:ascii="Times New Roman" w:cs="Times New Roman" w:eastAsia="Times New Roman" w:hAnsi="Times New Roman"/>
          <w:sz w:val="19"/>
          <w:szCs w:val="19"/>
          <w:color w:val="auto"/>
        </w:rPr>
        <w:t>Many successful life sciences research tools companies with disruptive technology have employed a business model</w:t>
      </w:r>
    </w:p>
    <w:p>
      <w:pPr>
        <w:sectPr>
          <w:pgSz w:w="11880" w:h="15480" w:orient="portrait"/>
          <w:cols w:equalWidth="0" w:num="1">
            <w:col w:w="9920"/>
          </w:cols>
          <w:pgMar w:left="960" w:top="822" w:right="1000" w:bottom="0" w:gutter="0" w:footer="0" w:header="0"/>
        </w:sect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9920"/>
          </w:cols>
          <w:pgMar w:left="960" w:top="822" w:right="1000" w:bottom="0" w:gutter="0" w:footer="0" w:header="0"/>
          <w:type w:val="continuous"/>
        </w:sectPr>
      </w:pPr>
    </w:p>
    <w:bookmarkStart w:id="11" w:name="page12"/>
    <w:bookmarkEnd w:id="11"/>
    <w:p>
      <w:pPr>
        <w:ind w:left="700" w:right="80"/>
        <w:spacing w:after="0" w:line="262" w:lineRule="auto"/>
        <w:rPr>
          <w:sz w:val="20"/>
          <w:szCs w:val="20"/>
          <w:color w:val="auto"/>
        </w:rPr>
      </w:pPr>
      <w:r>
        <w:rPr>
          <w:rFonts w:ascii="Times New Roman" w:cs="Times New Roman" w:eastAsia="Times New Roman" w:hAnsi="Times New Roman"/>
          <w:sz w:val="19"/>
          <w:szCs w:val="19"/>
          <w:color w:val="auto"/>
        </w:rPr>
        <w:t>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w:t>
      </w:r>
    </w:p>
    <w:p>
      <w:pPr>
        <w:spacing w:after="0" w:line="132" w:lineRule="exact"/>
        <w:rPr>
          <w:sz w:val="20"/>
          <w:szCs w:val="20"/>
          <w:color w:val="auto"/>
        </w:rPr>
      </w:pPr>
    </w:p>
    <w:p>
      <w:pPr>
        <w:ind w:left="700" w:hanging="350"/>
        <w:spacing w:after="0" w:line="261"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Our Nautilus platform technology could position us as a leader in a large initial life sciences research market and provide a path to the clinical diagnostics. </w:t>
      </w:r>
      <w:r>
        <w:rPr>
          <w:rFonts w:ascii="Times New Roman" w:cs="Times New Roman" w:eastAsia="Times New Roman" w:hAnsi="Times New Roman"/>
          <w:sz w:val="19"/>
          <w:szCs w:val="19"/>
          <w:color w:val="auto"/>
        </w:rPr>
        <w:t>The global proteomics market is estimated to be approximately $27 billion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annually as of 2022 and is expected to grow at an estimated 15% CAGR from 2022 to 2027 according to BCC Research. Furthermore, we believe our Nautilus platform has the potential to facilitate a broader transformation across life sciences and healthcare, and therefore significantly augment our total addressable market over time. We believe there are multiple high-value research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spacing w:after="0" w:line="132" w:lineRule="exact"/>
        <w:rPr>
          <w:rFonts w:ascii="Times New Roman" w:cs="Times New Roman" w:eastAsia="Times New Roman" w:hAnsi="Times New Roman"/>
          <w:sz w:val="19"/>
          <w:szCs w:val="19"/>
          <w:color w:val="auto"/>
        </w:rPr>
      </w:pPr>
    </w:p>
    <w:p>
      <w:pPr>
        <w:ind w:left="700" w:right="20" w:hanging="350"/>
        <w:spacing w:after="0" w:line="260"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Our experienced, multidisciplinary team brings together a group of individuals with diverse backgrounds to disrupt the field of proteomics. </w:t>
      </w:r>
      <w:r>
        <w:rPr>
          <w:rFonts w:ascii="Times New Roman" w:cs="Times New Roman" w:eastAsia="Times New Roman" w:hAnsi="Times New Roman"/>
          <w:sz w:val="19"/>
          <w:szCs w:val="19"/>
          <w:color w:val="auto"/>
        </w:rPr>
        <w:t>Nautilus’ leadership team represents a unique and valuable hybrid of technology and biotech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experience. Several members of the executive team and board of directors held 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STRATEGY</w:t>
      </w:r>
    </w:p>
    <w:p>
      <w:pPr>
        <w:spacing w:after="0" w:line="192" w:lineRule="exact"/>
        <w:rPr>
          <w:sz w:val="20"/>
          <w:szCs w:val="20"/>
          <w:color w:val="auto"/>
        </w:rPr>
      </w:pPr>
    </w:p>
    <w:p>
      <w:pPr>
        <w:ind w:left="700" w:right="20" w:hanging="350"/>
        <w:spacing w:after="0" w:line="26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Drive adoption of our Nautilus platform by providing the life sciences industry with access to the proteome. </w:t>
      </w:r>
      <w:r>
        <w:rPr>
          <w:rFonts w:ascii="Times New Roman" w:cs="Times New Roman" w:eastAsia="Times New Roman" w:hAnsi="Times New Roman"/>
          <w:sz w:val="19"/>
          <w:szCs w:val="19"/>
          <w:color w:val="auto"/>
        </w:rPr>
        <w:t>We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believe our Nautilus platform has 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ultimately enable clinical diagnostic market segments. We intend to drive adoption of our Nautilus platform through a three-phase commercial strategy that begins with an initial partnership and collaboration phase with biopharma companies (such as our existing relationships with Genentech and Amgen), academic institutions (such as our existing relationship with The University of Texas MD Anderson Cancer Center, the Translational Genomics Research Institute and others) and research organizations where we aim to jointly publish data and validate our Nautilus platform, followed by a pre-sales or early access program to drive awareness and demand, and finally culminating in a full commercial launch.</w:t>
      </w:r>
    </w:p>
    <w:p>
      <w:pPr>
        <w:spacing w:after="0" w:line="137" w:lineRule="exact"/>
        <w:rPr>
          <w:rFonts w:ascii="Times New Roman" w:cs="Times New Roman" w:eastAsia="Times New Roman" w:hAnsi="Times New Roman"/>
          <w:sz w:val="19"/>
          <w:szCs w:val="19"/>
          <w:color w:val="auto"/>
        </w:rPr>
      </w:pPr>
    </w:p>
    <w:p>
      <w:pPr>
        <w:ind w:left="700" w:right="40" w:hanging="350"/>
        <w:spacing w:after="0" w:line="262"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Continuously innovate and scale our Nautilus platform’s capabilities to enable further advancement of proteomic research. </w:t>
      </w:r>
      <w:r>
        <w:rPr>
          <w:rFonts w:ascii="Times New Roman" w:cs="Times New Roman" w:eastAsia="Times New Roman" w:hAnsi="Times New Roman"/>
          <w:sz w:val="19"/>
          <w:szCs w:val="19"/>
          <w:color w:val="auto"/>
        </w:rPr>
        <w:t>Through both internal R&amp;D projects and external collaborations with our customers and partners, we plan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35" w:lineRule="exact"/>
        <w:rPr>
          <w:rFonts w:ascii="Times New Roman" w:cs="Times New Roman" w:eastAsia="Times New Roman" w:hAnsi="Times New Roman"/>
          <w:sz w:val="19"/>
          <w:szCs w:val="19"/>
          <w:color w:val="auto"/>
        </w:rPr>
      </w:pPr>
    </w:p>
    <w:p>
      <w:pPr>
        <w:ind w:left="700" w:right="100" w:hanging="350"/>
        <w:spacing w:after="0" w:line="261"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Multiple pathways to build and expand our manufacturing capacity to support our commercial launch and the sustained growth of our business</w:t>
      </w:r>
      <w:r>
        <w:rPr>
          <w:rFonts w:ascii="Times New Roman" w:cs="Times New Roman" w:eastAsia="Times New Roman" w:hAnsi="Times New Roman"/>
          <w:sz w:val="19"/>
          <w:szCs w:val="19"/>
          <w:color w:val="auto"/>
        </w:rPr>
        <w:t>. Our technology is comprised of many off the shelf component parts that help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create efficient sourcing and manufacturing 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9960"/>
          </w:cols>
          <w:pgMar w:left="960" w:top="822" w:right="960" w:bottom="0" w:gutter="0" w:footer="0" w:header="0"/>
          <w:type w:val="continuous"/>
        </w:sectPr>
      </w:pPr>
    </w:p>
    <w:bookmarkStart w:id="12" w:name="page13"/>
    <w:bookmarkEnd w:id="12"/>
    <w:p>
      <w:pPr>
        <w:ind w:left="700" w:right="20" w:hanging="350"/>
        <w:spacing w:after="0" w:line="261"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Build long-term value by leveraging the open design of our Nautilus platform to create an ecosystem of products and services based on our core technology. </w:t>
      </w:r>
      <w:r>
        <w:rPr>
          <w:rFonts w:ascii="Times New Roman" w:cs="Times New Roman" w:eastAsia="Times New Roman" w:hAnsi="Times New Roman"/>
          <w:sz w:val="19"/>
          <w:szCs w:val="19"/>
          <w:color w:val="auto"/>
        </w:rPr>
        <w:t>Our Nautilus platform is compatible with a wide variety of protein affinity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binding reagents, which we believe will allow us to create a 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137" w:lineRule="exact"/>
        <w:rPr>
          <w:rFonts w:ascii="Times New Roman" w:cs="Times New Roman" w:eastAsia="Times New Roman" w:hAnsi="Times New Roman"/>
          <w:sz w:val="19"/>
          <w:szCs w:val="19"/>
          <w:color w:val="auto"/>
        </w:rPr>
      </w:pPr>
    </w:p>
    <w:p>
      <w:pPr>
        <w:ind w:left="700" w:right="20" w:hanging="350"/>
        <w:spacing w:after="0" w:line="261"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Expand adoption of our Nautilus platform into new markets. </w:t>
      </w:r>
      <w:r>
        <w:rPr>
          <w:rFonts w:ascii="Times New Roman" w:cs="Times New Roman" w:eastAsia="Times New Roman" w:hAnsi="Times New Roman"/>
          <w:sz w:val="19"/>
          <w:szCs w:val="19"/>
          <w:color w:val="auto"/>
        </w:rPr>
        <w:t>Our market entry strategy involves identifying markets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are constrained by their inability to access comprehensive proteomic information, which we believe can be addressed by our Nautilus platform. We recognize that these opportunities extend into ancillary markets across life sciences, including clinical and translational research, and clinical diagnostics, 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PRIMER ON PROTEOMICS</w:t>
      </w:r>
    </w:p>
    <w:p>
      <w:pPr>
        <w:spacing w:after="0" w:line="196"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31"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w:t>
      </w:r>
    </w:p>
    <w:p>
      <w:pPr>
        <w:spacing w:after="0" w:line="131" w:lineRule="exact"/>
        <w:rPr>
          <w:sz w:val="20"/>
          <w:szCs w:val="20"/>
          <w:color w:val="auto"/>
        </w:rPr>
      </w:pPr>
    </w:p>
    <w:p>
      <w:pPr>
        <w:ind w:right="100" w:firstLine="349"/>
        <w:spacing w:after="0" w:line="263" w:lineRule="auto"/>
        <w:rPr>
          <w:sz w:val="20"/>
          <w:szCs w:val="20"/>
          <w:color w:val="auto"/>
        </w:rPr>
      </w:pPr>
      <w:r>
        <w:rPr>
          <w:rFonts w:ascii="Times New Roman" w:cs="Times New Roman" w:eastAsia="Times New Roman" w:hAnsi="Times New Roman"/>
          <w:sz w:val="19"/>
          <w:szCs w:val="19"/>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in research are highlighted below.</w:t>
      </w:r>
    </w:p>
    <w:p>
      <w:pPr>
        <w:spacing w:after="0" w:line="132" w:lineRule="exact"/>
        <w:rPr>
          <w:sz w:val="20"/>
          <w:szCs w:val="20"/>
          <w:color w:val="auto"/>
        </w:rPr>
      </w:pPr>
    </w:p>
    <w:p>
      <w:pPr>
        <w:ind w:left="700" w:right="100" w:hanging="350"/>
        <w:spacing w:after="0" w:line="298"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Better understanding of biology</w:t>
      </w:r>
      <w:r>
        <w:rPr>
          <w:rFonts w:ascii="Times New Roman" w:cs="Times New Roman" w:eastAsia="Times New Roman" w:hAnsi="Times New Roman"/>
          <w:sz w:val="19"/>
          <w:szCs w:val="19"/>
          <w:color w:val="auto"/>
        </w:rPr>
        <w:t>. Protein research contributes to a better understanding of how molecular information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controls and influences an individual’s physiology.</w:t>
      </w:r>
    </w:p>
    <w:p>
      <w:pPr>
        <w:spacing w:after="0" w:line="98" w:lineRule="exact"/>
        <w:rPr>
          <w:rFonts w:ascii="Times New Roman" w:cs="Times New Roman" w:eastAsia="Times New Roman" w:hAnsi="Times New Roman"/>
          <w:sz w:val="19"/>
          <w:szCs w:val="19"/>
          <w:color w:val="auto"/>
        </w:rPr>
      </w:pPr>
    </w:p>
    <w:p>
      <w:pPr>
        <w:ind w:left="700" w:right="60" w:hanging="350"/>
        <w:spacing w:after="0" w:line="277"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Identification of novel drug targets. </w:t>
      </w:r>
      <w:r>
        <w:rPr>
          <w:rFonts w:ascii="Times New Roman" w:cs="Times New Roman" w:eastAsia="Times New Roman" w:hAnsi="Times New Roman"/>
          <w:sz w:val="19"/>
          <w:szCs w:val="19"/>
          <w:color w:val="auto"/>
        </w:rPr>
        <w:t>Cellular function and dysfunction is driven by our proteins; increasing our ability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directly measure even the rarest proteins involved in disease may increase the likelihood of identifying new drug targets.</w:t>
      </w:r>
    </w:p>
    <w:p>
      <w:pPr>
        <w:spacing w:after="0" w:line="117" w:lineRule="exact"/>
        <w:rPr>
          <w:rFonts w:ascii="Times New Roman" w:cs="Times New Roman" w:eastAsia="Times New Roman" w:hAnsi="Times New Roman"/>
          <w:sz w:val="19"/>
          <w:szCs w:val="19"/>
          <w:color w:val="auto"/>
        </w:rPr>
      </w:pPr>
    </w:p>
    <w:p>
      <w:pPr>
        <w:ind w:left="700" w:right="20" w:hanging="350"/>
        <w:spacing w:after="0" w:line="298"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Patient stratification</w:t>
      </w:r>
      <w:r>
        <w:rPr>
          <w:rFonts w:ascii="Times New Roman" w:cs="Times New Roman" w:eastAsia="Times New Roman" w:hAnsi="Times New Roman"/>
          <w:sz w:val="19"/>
          <w:szCs w:val="19"/>
          <w:color w:val="auto"/>
        </w:rPr>
        <w:t>. The separation of patients into groups with similar molecular features that may be more likely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respond to specific therapeutic treatments.</w:t>
      </w:r>
    </w:p>
    <w:p>
      <w:pPr>
        <w:spacing w:after="0" w:line="98" w:lineRule="exact"/>
        <w:rPr>
          <w:rFonts w:ascii="Times New Roman" w:cs="Times New Roman" w:eastAsia="Times New Roman" w:hAnsi="Times New Roman"/>
          <w:sz w:val="19"/>
          <w:szCs w:val="19"/>
          <w:color w:val="auto"/>
        </w:rPr>
      </w:pPr>
    </w:p>
    <w:p>
      <w:pPr>
        <w:ind w:left="700" w:right="60" w:hanging="350"/>
        <w:spacing w:after="0" w:line="298"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Prediction of disease and treatment outcome. </w:t>
      </w:r>
      <w:r>
        <w:rPr>
          <w:rFonts w:ascii="Times New Roman" w:cs="Times New Roman" w:eastAsia="Times New Roman" w:hAnsi="Times New Roman"/>
          <w:sz w:val="19"/>
          <w:szCs w:val="19"/>
          <w:color w:val="auto"/>
        </w:rPr>
        <w:t>The identification of biomarkers that can assist in the early diagnosis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diseases, inform prognosis or monitor the efficacy and safety of ongoing treatments.</w:t>
      </w:r>
    </w:p>
    <w:p>
      <w:pPr>
        <w:spacing w:after="0" w:line="98" w:lineRule="exact"/>
        <w:rPr>
          <w:rFonts w:ascii="Times New Roman" w:cs="Times New Roman" w:eastAsia="Times New Roman" w:hAnsi="Times New Roman"/>
          <w:sz w:val="19"/>
          <w:szCs w:val="19"/>
          <w:color w:val="auto"/>
        </w:rPr>
      </w:pPr>
    </w:p>
    <w:p>
      <w:pPr>
        <w:ind w:left="700" w:hanging="350"/>
        <w:spacing w:after="0" w:line="298"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Wellness: from health to disease. </w:t>
      </w:r>
      <w:r>
        <w:rPr>
          <w:rFonts w:ascii="Times New Roman" w:cs="Times New Roman" w:eastAsia="Times New Roman" w:hAnsi="Times New Roman"/>
          <w:sz w:val="19"/>
          <w:szCs w:val="19"/>
          <w:color w:val="auto"/>
        </w:rPr>
        <w:t>Biomarkers can monitor and guide individuals to tailor lifestyle choices to maximize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health and avoid the onset of diseases before they develop.</w:t>
      </w:r>
    </w:p>
    <w:p>
      <w:pPr>
        <w:spacing w:after="0" w:line="102" w:lineRule="exact"/>
        <w:rPr>
          <w:sz w:val="20"/>
          <w:szCs w:val="20"/>
          <w:color w:val="auto"/>
        </w:rPr>
      </w:pPr>
    </w:p>
    <w:p>
      <w:pPr>
        <w:ind w:right="300" w:firstLine="349"/>
        <w:spacing w:after="0" w:line="274" w:lineRule="auto"/>
        <w:rPr>
          <w:sz w:val="20"/>
          <w:szCs w:val="20"/>
          <w:color w:val="auto"/>
        </w:rPr>
      </w:pPr>
      <w:r>
        <w:rPr>
          <w:rFonts w:ascii="Times New Roman" w:cs="Times New Roman" w:eastAsia="Times New Roman" w:hAnsi="Times New Roman"/>
          <w:sz w:val="19"/>
          <w:szCs w:val="19"/>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880" w:h="15480" w:orient="portrait"/>
          <w:cols w:equalWidth="0" w:num="1">
            <w:col w:w="9960"/>
          </w:cols>
          <w:pgMar w:left="960" w:top="818" w:right="96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9"/>
          <w:szCs w:val="19"/>
          <w:b w:val="1"/>
          <w:bCs w:val="1"/>
          <w:color w:val="auto"/>
        </w:rPr>
        <w:t>OUR MARKET OPPORTUNITY</w:t>
      </w:r>
    </w:p>
    <w:p>
      <w:pPr>
        <w:spacing w:after="0" w:line="196"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We believe that our Nautilus platform has the potential to be uniquely positioned in the proteomics market. In our mission to democratize proteomics, we see initial research applications in precision and personalized medicine, with a natural growth path into clinical diagnostics, as well as in machine-learning powered drug discovery. However, we believe that the opportunity could extend far beyond this.</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Market Environment</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At Nautilus, we recognize the need for a radical breakthrough in proteomics.</w:t>
      </w:r>
    </w:p>
    <w:p>
      <w:pPr>
        <w:spacing w:after="0" w:line="189"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Since 2002, global R&amp;D expenditure has increased close to three-fold and is expected to reach approximately $230 billion by 2026 according to EvaluatePharma’s 2020 report.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2020 report by the Deloitte Center for Health Solutions.</w:t>
      </w:r>
    </w:p>
    <w:p>
      <w:pPr>
        <w:spacing w:after="0" w:line="136" w:lineRule="exact"/>
        <w:rPr>
          <w:sz w:val="20"/>
          <w:szCs w:val="20"/>
          <w:color w:val="auto"/>
        </w:rPr>
      </w:pPr>
    </w:p>
    <w:p>
      <w:pPr>
        <w:jc w:val="both"/>
        <w:ind w:right="220" w:firstLine="349"/>
        <w:spacing w:after="0" w:line="274" w:lineRule="auto"/>
        <w:rPr>
          <w:sz w:val="20"/>
          <w:szCs w:val="20"/>
          <w:color w:val="auto"/>
        </w:rPr>
      </w:pPr>
      <w:r>
        <w:rPr>
          <w:rFonts w:ascii="Times New Roman" w:cs="Times New Roman" w:eastAsia="Times New Roman" w:hAnsi="Times New Roman"/>
          <w:sz w:val="19"/>
          <w:szCs w:val="19"/>
          <w:color w:val="auto"/>
        </w:rPr>
        <w:t>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125" w:lineRule="exact"/>
        <w:rPr>
          <w:sz w:val="20"/>
          <w:szCs w:val="20"/>
          <w:color w:val="auto"/>
        </w:rPr>
      </w:pPr>
    </w:p>
    <w:p>
      <w:pPr>
        <w:ind w:right="60" w:firstLine="349"/>
        <w:spacing w:after="0" w:line="259" w:lineRule="auto"/>
        <w:rPr>
          <w:sz w:val="20"/>
          <w:szCs w:val="20"/>
          <w:color w:val="auto"/>
        </w:rPr>
      </w:pPr>
      <w:r>
        <w:rPr>
          <w:rFonts w:ascii="Times New Roman" w:cs="Times New Roman" w:eastAsia="Times New Roman" w:hAnsi="Times New Roman"/>
          <w:sz w:val="19"/>
          <w:szCs w:val="19"/>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currently only approximately 140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We believe a breakthrough increase in throughput would enable researchers to more deeply measure large cohorts, thereby powering studies at the scale required to quickly and cost-effectively discover new critically important biomarkers.</w:t>
      </w:r>
    </w:p>
    <w:p>
      <w:pPr>
        <w:spacing w:after="0" w:line="141" w:lineRule="exact"/>
        <w:rPr>
          <w:sz w:val="20"/>
          <w:szCs w:val="20"/>
          <w:color w:val="auto"/>
        </w:rPr>
      </w:pPr>
    </w:p>
    <w:p>
      <w:pPr>
        <w:ind w:right="120" w:firstLine="349"/>
        <w:spacing w:after="0" w:line="265" w:lineRule="auto"/>
        <w:rPr>
          <w:sz w:val="20"/>
          <w:szCs w:val="20"/>
          <w:color w:val="auto"/>
        </w:rPr>
      </w:pPr>
      <w:r>
        <w:rPr>
          <w:rFonts w:ascii="Times New Roman" w:cs="Times New Roman" w:eastAsia="Times New Roman" w:hAnsi="Times New Roman"/>
          <w:sz w:val="19"/>
          <w:szCs w:val="19"/>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The Missing Piece: The Proteome</w:t>
      </w:r>
    </w:p>
    <w:p>
      <w:pPr>
        <w:spacing w:after="0" w:line="196"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36"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ectPr>
          <w:pgSz w:w="11880" w:h="15480" w:orient="portrait"/>
          <w:cols w:equalWidth="0" w:num="1">
            <w:col w:w="9920"/>
          </w:cols>
          <w:pgMar w:left="960" w:top="815" w:right="100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ectPr>
          <w:pgSz w:w="11880" w:h="15480" w:orient="portrait"/>
          <w:cols w:equalWidth="0" w:num="1">
            <w:col w:w="9920"/>
          </w:cols>
          <w:pgMar w:left="960" w:top="815" w:right="1000" w:bottom="0" w:gutter="0" w:footer="0" w:header="0"/>
          <w:type w:val="continuous"/>
        </w:sectPr>
      </w:pPr>
    </w:p>
    <w:bookmarkStart w:id="14" w:name="page15"/>
    <w:bookmarkEnd w:id="14"/>
    <w:p>
      <w:pPr>
        <w:ind w:firstLine="349"/>
        <w:spacing w:after="0" w:line="260" w:lineRule="auto"/>
        <w:rPr>
          <w:sz w:val="20"/>
          <w:szCs w:val="20"/>
          <w:color w:val="auto"/>
        </w:rPr>
      </w:pPr>
      <w:r>
        <w:rPr>
          <w:rFonts w:ascii="Times New Roman" w:cs="Times New Roman" w:eastAsia="Times New Roman" w:hAnsi="Times New Roman"/>
          <w:sz w:val="19"/>
          <w:szCs w:val="19"/>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37" w:lineRule="exact"/>
        <w:rPr>
          <w:sz w:val="20"/>
          <w:szCs w:val="20"/>
          <w:color w:val="auto"/>
        </w:rPr>
      </w:pPr>
    </w:p>
    <w:p>
      <w:pPr>
        <w:ind w:right="120" w:firstLine="349"/>
        <w:spacing w:after="0" w:line="293" w:lineRule="auto"/>
        <w:rPr>
          <w:sz w:val="20"/>
          <w:szCs w:val="20"/>
          <w:color w:val="auto"/>
        </w:rPr>
      </w:pPr>
      <w:r>
        <w:rPr>
          <w:rFonts w:ascii="Times New Roman" w:cs="Times New Roman" w:eastAsia="Times New Roman" w:hAnsi="Times New Roman"/>
          <w:sz w:val="19"/>
          <w:szCs w:val="19"/>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106680</wp:posOffset>
            </wp:positionV>
            <wp:extent cx="5768975" cy="306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5768975" cy="306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 significant growth phase. We are of the firm belief that every scientist should have access to the proteome, including proteoforms, in the same way that access to the genome has been made broadly available over recent years.</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880" w:h="15480" w:orient="portrait"/>
          <w:cols w:equalWidth="0" w:num="1">
            <w:col w:w="9940"/>
          </w:cols>
          <w:pgMar w:left="960" w:top="822" w:right="980" w:bottom="0" w:gutter="0" w:footer="0" w:header="0"/>
          <w:type w:val="continuous"/>
        </w:sectPr>
      </w:pPr>
    </w:p>
    <w:bookmarkStart w:id="15" w:name="page16"/>
    <w:bookmarkEnd w:id="15"/>
    <w:p>
      <w:pPr>
        <w:ind w:left="360"/>
        <w:spacing w:after="0"/>
        <w:rPr>
          <w:sz w:val="20"/>
          <w:szCs w:val="20"/>
          <w:color w:val="auto"/>
        </w:rPr>
      </w:pPr>
      <w:r>
        <w:rPr>
          <w:rFonts w:ascii="Times New Roman" w:cs="Times New Roman" w:eastAsia="Times New Roman" w:hAnsi="Times New Roman"/>
          <w:sz w:val="19"/>
          <w:szCs w:val="19"/>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158750</wp:posOffset>
            </wp:positionV>
            <wp:extent cx="6101715" cy="2934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6101715" cy="293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Market Opportunity</w:t>
      </w:r>
    </w:p>
    <w:p>
      <w:pPr>
        <w:spacing w:after="0" w:line="19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Due to the extensive applications and broad potential, we believe that the proteomics market represents one of the largest untapped opportunities in the biological sciences today. According to BCC Research, the global proteomics market was valued at approximately $27 billion as of 2022. This encompasses only the fraction of the proteomics market that is currently available to us via mass spectrometry and other quantification methods and does not include diagnostics. The overall proteomics market is projected to reach approximately $55 billion in 2027, representing a CAGR of 15% for the five-year period.</w:t>
      </w:r>
    </w:p>
    <w:p>
      <w:pPr>
        <w:spacing w:after="0" w:line="133"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124460</wp:posOffset>
            </wp:positionV>
            <wp:extent cx="5462905" cy="3171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5462905" cy="3171190"/>
                    </a:xfrm>
                    <a:prstGeom prst="rect">
                      <a:avLst/>
                    </a:prstGeom>
                    <a:noFill/>
                  </pic:spPr>
                </pic:pic>
              </a:graphicData>
            </a:graphic>
          </wp:anchor>
        </w:drawing>
      </w:r>
    </w:p>
    <w:p>
      <w:pPr>
        <w:sectPr>
          <w:pgSz w:w="11880" w:h="15480" w:orient="portrait"/>
          <w:cols w:equalWidth="0" w:num="1">
            <w:col w:w="9900"/>
          </w:cols>
          <w:pgMar w:left="960" w:top="82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13</w:t>
      </w:r>
    </w:p>
    <w:p>
      <w:pPr>
        <w:sectPr>
          <w:pgSz w:w="11880" w:h="15480" w:orient="portrait"/>
          <w:cols w:equalWidth="0" w:num="1">
            <w:col w:w="9900"/>
          </w:cols>
          <w:pgMar w:left="960" w:top="822" w:right="1020" w:bottom="0" w:gutter="0" w:footer="0" w:header="0"/>
          <w:type w:val="continuous"/>
        </w:sectPr>
      </w:pPr>
    </w:p>
    <w:bookmarkStart w:id="16" w:name="page17"/>
    <w:bookmarkEnd w:id="16"/>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Existing Proteomics Technologies and Shortfalls</w:t>
      </w:r>
    </w:p>
    <w:p>
      <w:pPr>
        <w:spacing w:after="0" w:line="196"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3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Mass Spectrometry-based Approaches</w:t>
      </w:r>
    </w:p>
    <w:p>
      <w:pPr>
        <w:spacing w:after="0" w:line="191"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 its importance in biology and drug development, and the proteomics research marketplace is estimated to have over 16,000 installed mass spectrometry systems.</w:t>
      </w:r>
    </w:p>
    <w:p>
      <w:pPr>
        <w:spacing w:after="0" w:line="3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Limitations with Affinity-based Approaches</w:t>
      </w:r>
    </w:p>
    <w:p>
      <w:pPr>
        <w:spacing w:after="0" w:line="191"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 protein molecule level today.</w:t>
      </w:r>
    </w:p>
    <w:p>
      <w:pPr>
        <w:spacing w:after="0" w:line="130" w:lineRule="exact"/>
        <w:rPr>
          <w:sz w:val="20"/>
          <w:szCs w:val="20"/>
          <w:color w:val="auto"/>
        </w:rPr>
      </w:pPr>
    </w:p>
    <w:p>
      <w:pPr>
        <w:jc w:val="center"/>
        <w:ind w:right="7360"/>
        <w:spacing w:after="0"/>
        <w:rPr>
          <w:sz w:val="20"/>
          <w:szCs w:val="20"/>
          <w:color w:val="auto"/>
        </w:rPr>
      </w:pPr>
      <w:r>
        <w:rPr>
          <w:rFonts w:ascii="Times New Roman" w:cs="Times New Roman" w:eastAsia="Times New Roman" w:hAnsi="Times New Roman"/>
          <w:sz w:val="19"/>
          <w:szCs w:val="19"/>
          <w:b w:val="1"/>
          <w:bCs w:val="1"/>
          <w:color w:val="auto"/>
        </w:rPr>
        <w:t>THE NAUTILUS APPROACH</w:t>
      </w:r>
    </w:p>
    <w:p>
      <w:pPr>
        <w:spacing w:after="0" w:line="189" w:lineRule="exact"/>
        <w:rPr>
          <w:sz w:val="20"/>
          <w:szCs w:val="20"/>
          <w:color w:val="auto"/>
        </w:rPr>
      </w:pPr>
    </w:p>
    <w:p>
      <w:pPr>
        <w:jc w:val="center"/>
        <w:ind w:right="7380"/>
        <w:spacing w:after="0"/>
        <w:rPr>
          <w:sz w:val="20"/>
          <w:szCs w:val="20"/>
          <w:color w:val="auto"/>
        </w:rPr>
      </w:pPr>
      <w:r>
        <w:rPr>
          <w:rFonts w:ascii="Times New Roman" w:cs="Times New Roman" w:eastAsia="Times New Roman" w:hAnsi="Times New Roman"/>
          <w:sz w:val="19"/>
          <w:szCs w:val="19"/>
          <w:b w:val="1"/>
          <w:bCs w:val="1"/>
          <w:i w:val="1"/>
          <w:iCs w:val="1"/>
          <w:color w:val="auto"/>
        </w:rPr>
        <w:t>Our Guiding Principles</w:t>
      </w:r>
    </w:p>
    <w:p>
      <w:pPr>
        <w:spacing w:after="0" w:line="196"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31"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 protein 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880" w:h="15480" w:orient="portrait"/>
          <w:cols w:equalWidth="0" w:num="1">
            <w:col w:w="9960"/>
          </w:cols>
          <w:pgMar w:left="960" w:top="815" w:right="960" w:bottom="0" w:gutter="0" w:footer="0" w:header="0"/>
          <w:type w:val="continuous"/>
        </w:sectPr>
      </w:pPr>
    </w:p>
    <w:bookmarkStart w:id="17" w:name="page18"/>
    <w:bookmarkEnd w:id="17"/>
    <w:p>
      <w:pPr>
        <w:ind w:right="260"/>
        <w:spacing w:after="0" w:line="293" w:lineRule="auto"/>
        <w:rPr>
          <w:sz w:val="20"/>
          <w:szCs w:val="20"/>
          <w:color w:val="auto"/>
        </w:rPr>
      </w:pPr>
      <w:r>
        <w:rPr>
          <w:rFonts w:ascii="Times New Roman" w:cs="Times New Roman" w:eastAsia="Times New Roman" w:hAnsi="Times New Roman"/>
          <w:sz w:val="19"/>
          <w:szCs w:val="19"/>
          <w:color w:val="auto"/>
        </w:rPr>
        <w:t>a unique architecture and advanced machine learning software, we believe our Nautilus platform has the potential to identify substantially all proteins in a sample from almost any organism.</w:t>
      </w:r>
    </w:p>
    <w:p>
      <w:pPr>
        <w:spacing w:after="0" w:line="107"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Our Nautilus Platform Design Criteria</w:t>
      </w:r>
    </w:p>
    <w:p>
      <w:pPr>
        <w:spacing w:after="0" w:line="196"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 proteoforms. As such, we designed the Nautilus platform – from the ground up – to accomplish the following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121285</wp:posOffset>
            </wp:positionV>
            <wp:extent cx="4622165" cy="2734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4622165"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 core design criterion was that the Nautilus platform needed to be comprehensive. One of the largest challenges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existing “shotgun” proteomics technologies is that replicate analyses are likely to sample different subsets of the proteome.</w:t>
      </w:r>
    </w:p>
    <w:p>
      <w:pPr>
        <w:spacing w:after="0" w:line="169"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31" w:lineRule="exact"/>
        <w:rPr>
          <w:sz w:val="20"/>
          <w:szCs w:val="20"/>
          <w:color w:val="auto"/>
        </w:rPr>
      </w:pPr>
    </w:p>
    <w:p>
      <w:pPr>
        <w:ind w:right="140" w:firstLine="349"/>
        <w:spacing w:after="0" w:line="293" w:lineRule="auto"/>
        <w:rPr>
          <w:sz w:val="20"/>
          <w:szCs w:val="20"/>
          <w:color w:val="auto"/>
        </w:rPr>
      </w:pPr>
      <w:r>
        <w:rPr>
          <w:rFonts w:ascii="Times New Roman" w:cs="Times New Roman" w:eastAsia="Times New Roman" w:hAnsi="Times New Roman"/>
          <w:sz w:val="19"/>
          <w:szCs w:val="19"/>
          <w:color w:val="auto"/>
        </w:rPr>
        <w:t>The Nautilus platform was designed to cover a very large dynamic range in a simple workflow in order to scale to the full proteome.</w:t>
      </w:r>
    </w:p>
    <w:p>
      <w:pPr>
        <w:spacing w:after="0" w:line="107" w:lineRule="exact"/>
        <w:rPr>
          <w:sz w:val="20"/>
          <w:szCs w:val="20"/>
          <w:color w:val="auto"/>
        </w:rPr>
      </w:pPr>
    </w:p>
    <w:p>
      <w:pPr>
        <w:ind w:right="620" w:firstLine="349"/>
        <w:spacing w:after="0" w:line="293" w:lineRule="auto"/>
        <w:rPr>
          <w:sz w:val="20"/>
          <w:szCs w:val="20"/>
          <w:color w:val="auto"/>
        </w:rPr>
      </w:pPr>
      <w:r>
        <w:rPr>
          <w:rFonts w:ascii="Times New Roman" w:cs="Times New Roman" w:eastAsia="Times New Roman" w:hAnsi="Times New Roman"/>
          <w:sz w:val="19"/>
          <w:szCs w:val="19"/>
          <w:color w:val="auto"/>
        </w:rPr>
        <w:t>In addition, the process needed to be reproducible and robust, maximizing the chance that the results derived in one experiment are the same as the results derived in subsequent experiments.</w:t>
      </w:r>
    </w:p>
    <w:p>
      <w:pPr>
        <w:spacing w:after="0" w:line="107" w:lineRule="exact"/>
        <w:rPr>
          <w:sz w:val="20"/>
          <w:szCs w:val="20"/>
          <w:color w:val="auto"/>
        </w:rPr>
      </w:pPr>
    </w:p>
    <w:p>
      <w:pPr>
        <w:ind w:right="140" w:firstLine="349"/>
        <w:spacing w:after="0" w:line="293" w:lineRule="auto"/>
        <w:rPr>
          <w:sz w:val="20"/>
          <w:szCs w:val="20"/>
          <w:color w:val="auto"/>
        </w:rPr>
      </w:pPr>
      <w:r>
        <w:rPr>
          <w:rFonts w:ascii="Times New Roman" w:cs="Times New Roman" w:eastAsia="Times New Roman" w:hAnsi="Times New Roman"/>
          <w:sz w:val="19"/>
          <w:szCs w:val="19"/>
          <w:color w:val="auto"/>
        </w:rPr>
        <w:t>Importantly, the Nautilus platform needed to be fast and able to analyze tens of thousands of samples in a reasonable time period.</w:t>
      </w:r>
    </w:p>
    <w:p>
      <w:pPr>
        <w:spacing w:after="0" w:line="107" w:lineRule="exact"/>
        <w:rPr>
          <w:sz w:val="20"/>
          <w:szCs w:val="20"/>
          <w:color w:val="auto"/>
        </w:rPr>
      </w:pPr>
    </w:p>
    <w:p>
      <w:pPr>
        <w:ind w:right="560" w:firstLine="349"/>
        <w:spacing w:after="0" w:line="293" w:lineRule="auto"/>
        <w:rPr>
          <w:sz w:val="20"/>
          <w:szCs w:val="20"/>
          <w:color w:val="auto"/>
        </w:rPr>
      </w:pPr>
      <w:r>
        <w:rPr>
          <w:rFonts w:ascii="Times New Roman" w:cs="Times New Roman" w:eastAsia="Times New Roman" w:hAnsi="Times New Roman"/>
          <w:sz w:val="19"/>
          <w:szCs w:val="19"/>
          <w:color w:val="auto"/>
        </w:rPr>
        <w:t>It also needed to be sufficiently easy-to-use so that virtually any lab could benefit from using it, not just labs that are explicitly focused on proteomics or analytical chemistry.</w:t>
      </w:r>
    </w:p>
    <w:p>
      <w:pPr>
        <w:spacing w:after="0" w:line="107" w:lineRule="exact"/>
        <w:rPr>
          <w:sz w:val="20"/>
          <w:szCs w:val="20"/>
          <w:color w:val="auto"/>
        </w:rPr>
      </w:pPr>
    </w:p>
    <w:p>
      <w:pPr>
        <w:ind w:right="220" w:firstLine="349"/>
        <w:spacing w:after="0" w:line="293" w:lineRule="auto"/>
        <w:rPr>
          <w:sz w:val="20"/>
          <w:szCs w:val="20"/>
          <w:color w:val="auto"/>
        </w:rPr>
      </w:pPr>
      <w:r>
        <w:rPr>
          <w:rFonts w:ascii="Times New Roman" w:cs="Times New Roman" w:eastAsia="Times New Roman" w:hAnsi="Times New Roman"/>
          <w:sz w:val="19"/>
          <w:szCs w:val="19"/>
          <w:color w:val="auto"/>
        </w:rPr>
        <w:t>In order to fully support the wide-ranging needs of our future customers, the platform can also support multiple run configurations. Our design accommodates both low throughput and high throughput run configurations, and will also employ</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880" w:h="15480" w:orient="portrait"/>
          <w:cols w:equalWidth="0" w:num="1">
            <w:col w:w="9940"/>
          </w:cols>
          <w:pgMar w:left="960" w:top="822" w:right="980" w:bottom="0" w:gutter="0" w:footer="0" w:header="0"/>
          <w:type w:val="continuous"/>
        </w:sectPr>
      </w:pPr>
    </w:p>
    <w:bookmarkStart w:id="18" w:name="page19"/>
    <w:bookmarkEnd w:id="18"/>
    <w:p>
      <w:pPr>
        <w:ind w:right="280"/>
        <w:spacing w:after="0" w:line="293" w:lineRule="auto"/>
        <w:rPr>
          <w:sz w:val="20"/>
          <w:szCs w:val="20"/>
          <w:color w:val="auto"/>
        </w:rPr>
      </w:pPr>
      <w:r>
        <w:rPr>
          <w:rFonts w:ascii="Times New Roman" w:cs="Times New Roman" w:eastAsia="Times New Roman" w:hAnsi="Times New Roman"/>
          <w:sz w:val="19"/>
          <w:szCs w:val="19"/>
          <w:color w:val="auto"/>
        </w:rPr>
        <w:t>in-lane sample multiplexing to enable our customers to meet the high-volume data production needs of large-scale studies or core facilities.</w:t>
      </w:r>
    </w:p>
    <w:p>
      <w:pPr>
        <w:spacing w:after="0" w:line="107"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A Single Protein Molecule Flow Cell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The Proteome Analysis System: An Integrated Multi-cycle Optical and Fluidics Instrument</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A Novel Class of Affinity Reagents for Efficient Whole Proteome Analysis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Machine Learning Protein Decoding Analytics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Key Innovations</w:t>
      </w:r>
    </w:p>
    <w:p>
      <w:pPr>
        <w:spacing w:after="0" w:line="189" w:lineRule="exact"/>
        <w:rPr>
          <w:sz w:val="20"/>
          <w:szCs w:val="20"/>
          <w:color w:val="auto"/>
        </w:rPr>
      </w:pPr>
    </w:p>
    <w:p>
      <w:pPr>
        <w:ind w:left="700" w:hanging="350"/>
        <w:spacing w:after="0"/>
        <w:tabs>
          <w:tab w:leader="none" w:pos="700" w:val="left"/>
        </w:tabs>
        <w:numPr>
          <w:ilvl w:val="0"/>
          <w:numId w:val="1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Single Protein Molecule Flow Cell</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37" w:lineRule="exact"/>
        <w:rPr>
          <w:sz w:val="20"/>
          <w:szCs w:val="20"/>
          <w:color w:val="auto"/>
        </w:rPr>
      </w:pPr>
    </w:p>
    <w:p>
      <w:pPr>
        <w:ind w:right="100" w:firstLine="349"/>
        <w:spacing w:after="0" w:line="260" w:lineRule="auto"/>
        <w:rPr>
          <w:sz w:val="20"/>
          <w:szCs w:val="20"/>
          <w:color w:val="auto"/>
        </w:rPr>
      </w:pPr>
      <w:r>
        <w:rPr>
          <w:rFonts w:ascii="Times New Roman" w:cs="Times New Roman" w:eastAsia="Times New Roman" w:hAnsi="Times New Roman"/>
          <w:sz w:val="19"/>
          <w:szCs w:val="19"/>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 protein molecule detection approach would be required to overcome a problem that has long been a barrier to major advancement in the field. Additionally, transitioning from bulk protein measurements to single protein 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 protein molecule counters are by definition the most sensitive detection modalities available.</w:t>
      </w:r>
    </w:p>
    <w:p>
      <w:pPr>
        <w:spacing w:after="0" w:line="141"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To break through these barriers, we have designed our Nautilus platform to measure billions of individual protein molecules at a time, in a massively parallel and efficient workflow. We refer to Nautilus’ framework for what we believe to be a fundamentally different approach to protein analysis as Protein Identification by Short-epitope Mapping (PrISM). Our internal testing has demonstrated that our hyper-dense single-molecule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880" w:h="15480" w:orient="portrait"/>
          <w:cols w:equalWidth="0" w:num="1">
            <w:col w:w="9940"/>
          </w:cols>
          <w:pgMar w:left="960" w:top="822" w:right="980" w:bottom="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560705</wp:posOffset>
            </wp:positionV>
            <wp:extent cx="6323330" cy="2747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323330" cy="274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 protein molecule array (as seen in the above and below illustrations). The attachment between the scaffold and the nanoarray surface is extremely robust, enabling scaffolds to persist through extensive reagent washing across many cycles.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Nautilus Single Protein Molecule Flow Cell Designed to Capture One Individual Scaffold-Protein Complex per Landing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146050</wp:posOffset>
            </wp:positionV>
            <wp:extent cx="5925820" cy="2810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5925820" cy="281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As discussed above, our flow cell is designed with the capability to capture up to tens of billions of individual, intact protein molecules. The single protein 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proteome analysis system for the analysis and quantitation of the captured protein library.</w:t>
      </w:r>
    </w:p>
    <w:p>
      <w:pPr>
        <w:sectPr>
          <w:pgSz w:w="11880" w:h="15480" w:orient="portrait"/>
          <w:cols w:equalWidth="0" w:num="1">
            <w:col w:w="9880"/>
          </w:cols>
          <w:pgMar w:left="960" w:top="14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17</w:t>
      </w:r>
    </w:p>
    <w:p>
      <w:pPr>
        <w:sectPr>
          <w:pgSz w:w="11880" w:h="15480" w:orient="portrait"/>
          <w:cols w:equalWidth="0" w:num="1">
            <w:col w:w="9880"/>
          </w:cols>
          <w:pgMar w:left="960" w:top="1440" w:right="1040" w:bottom="0" w:gutter="0" w:footer="0" w:header="0"/>
          <w:type w:val="continuous"/>
        </w:sectPr>
      </w:pPr>
    </w:p>
    <w:bookmarkStart w:id="20" w:name="page21"/>
    <w:bookmarkEnd w:id="20"/>
    <w:p>
      <w:pPr>
        <w:ind w:right="180" w:firstLine="349"/>
        <w:spacing w:after="0" w:line="293" w:lineRule="auto"/>
        <w:rPr>
          <w:sz w:val="20"/>
          <w:szCs w:val="20"/>
          <w:color w:val="auto"/>
        </w:rPr>
      </w:pPr>
      <w:r>
        <w:rPr>
          <w:rFonts w:ascii="Times New Roman" w:cs="Times New Roman" w:eastAsia="Times New Roman" w:hAnsi="Times New Roman"/>
          <w:sz w:val="19"/>
          <w:szCs w:val="19"/>
          <w:color w:val="auto"/>
        </w:rPr>
        <w:t>Nautilus Single Protein Molecule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106680</wp:posOffset>
            </wp:positionV>
            <wp:extent cx="4159885" cy="3244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4159885" cy="324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0" w:hanging="350"/>
        <w:spacing w:after="0"/>
        <w:tabs>
          <w:tab w:leader="none" w:pos="700" w:val="left"/>
        </w:tabs>
        <w:numPr>
          <w:ilvl w:val="0"/>
          <w:numId w:val="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Our Proteome Analysis System: An Integrated Multi-cycle Optical and Fluidics Instrument</w:t>
      </w:r>
    </w:p>
    <w:p>
      <w:pPr>
        <w:spacing w:after="0" w:line="196"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Nautilus Platform Multi-Cycle Affinity Probe Reagent Binding, Imaging, Washing, and Re-Binding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158750</wp:posOffset>
            </wp:positionV>
            <wp:extent cx="5690235" cy="3300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5690235" cy="3300730"/>
                    </a:xfrm>
                    <a:prstGeom prst="rect">
                      <a:avLst/>
                    </a:prstGeom>
                    <a:noFill/>
                  </pic:spPr>
                </pic:pic>
              </a:graphicData>
            </a:graphic>
          </wp:anchor>
        </w:drawing>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880" w:h="15480" w:orient="portrait"/>
          <w:cols w:equalWidth="0" w:num="1">
            <w:col w:w="9960"/>
          </w:cols>
          <w:pgMar w:left="960" w:top="822" w:right="960" w:bottom="0" w:gutter="0" w:footer="0" w:header="0"/>
          <w:type w:val="continuous"/>
        </w:sectPr>
      </w:pPr>
    </w:p>
    <w:bookmarkStart w:id="21" w:name="page22"/>
    <w:bookmarkEnd w:id="21"/>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To achieve extreme sensitivity and scale, we have designed a novel instrument that integrates reagent fluidics with a sensitive high-resolution optical imaging system to cyclically measure all single protein molecules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3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full scale proteome run will generate approximately 20 terabytes of data, which is then compressed to a digital binding matrix for downstream analysis by our cloud-based software-as-a-service, SaaS, analytics suite.</w:t>
      </w:r>
    </w:p>
    <w:p>
      <w:pPr>
        <w:spacing w:after="0" w:line="126" w:lineRule="exact"/>
        <w:rPr>
          <w:sz w:val="20"/>
          <w:szCs w:val="20"/>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A Novel Class of Multi-Affinity Probe Reagents for Efficient Whole Proteome Analysis</w:t>
      </w:r>
    </w:p>
    <w:p>
      <w:pPr>
        <w:spacing w:after="0" w:line="196"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Our Nautilus platform technology is designed with fundamentally different principles of how to use and exploit the properties of affinity binding reagents compared to prior methods. Historically, affinity binding reagents have 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136"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spacing w:after="0" w:line="136"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In a highly innovative and counterintuitive way, our Nautilus platform has also been designed to exploit low specificity affinity reagents. Identifying the tens-of-thousands of different proteins in a proteome would require a prohibitively large number of traditional highly specific affinity reagents. We therefore explored the possibility of using affinity reagents that bind short, linear epitopes (e.g., target protein sequences of 3-4 amino acids each) with moderate specificity, such that each affinity reagent probes and binds to many different proteins that contain the short linear epitope target, each we describe as a “multi-affinity probe”. While the binding of a single multi-affinity probe is not sufficient to identify a given protein, sequential binding events using a series of multi-affinity probes can create enough information that it is sufficiently powerful to accurately identify an exceptionally broad number of proteins present in a sample. In this approach, each new multi-affinity probe that is introduced in a cycle of binding and imaging provides additional evidence and gradually narrows the list of possible protein identities. Hereafter, we refer to our proposed approach as Protein Identification by Short-epitope Mapping (PrISM). Our Nautilus platform technology is estimated to achieve the detection of the vast majority of proteins in the proteome using a combination of approximately 300 unique multi-affinity probes.</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880" w:h="15480" w:orient="portrait"/>
          <w:cols w:equalWidth="0" w:num="1">
            <w:col w:w="9960"/>
          </w:cols>
          <w:pgMar w:left="960" w:top="822" w:right="960" w:bottom="0" w:gutter="0" w:footer="0" w:header="0"/>
          <w:type w:val="continuous"/>
        </w:sectPr>
      </w:pPr>
    </w:p>
    <w:bookmarkStart w:id="22" w:name="page23"/>
    <w:bookmarkEnd w:id="22"/>
    <w:p>
      <w:pPr>
        <w:ind w:left="360"/>
        <w:spacing w:after="0"/>
        <w:rPr>
          <w:sz w:val="20"/>
          <w:szCs w:val="20"/>
          <w:color w:val="auto"/>
        </w:rPr>
      </w:pPr>
      <w:r>
        <w:rPr>
          <w:rFonts w:ascii="Times New Roman" w:cs="Times New Roman" w:eastAsia="Times New Roman" w:hAnsi="Times New Roman"/>
          <w:sz w:val="19"/>
          <w:szCs w:val="19"/>
          <w:color w:val="auto"/>
        </w:rPr>
        <w:t>Nautilus Platform Technology Protein Identification with Increasing Multi-Affinity Probe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158750</wp:posOffset>
            </wp:positionV>
            <wp:extent cx="6101715" cy="2950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6101715" cy="295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420" w:firstLine="349"/>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Source: A theoretical framework for proteome-scale single-molecule protein identification using multi-affinity protein binding reagents. Jarrett D. Egertson, Dan DiPasquo, Alana Killeen, Vadim Lobanov, Sujal Patel, Parag Mallick bioRxiv 2021.10.11.463967.</w:t>
      </w:r>
    </w:p>
    <w:p>
      <w:pPr>
        <w:spacing w:after="0" w:line="117" w:lineRule="exact"/>
        <w:rPr>
          <w:sz w:val="20"/>
          <w:szCs w:val="20"/>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Machine Learning Protein Identification Software</w:t>
      </w:r>
    </w:p>
    <w:p>
      <w:pPr>
        <w:spacing w:after="0" w:line="196" w:lineRule="exact"/>
        <w:rPr>
          <w:sz w:val="20"/>
          <w:szCs w:val="20"/>
          <w:color w:val="auto"/>
        </w:rPr>
      </w:pPr>
    </w:p>
    <w:p>
      <w:pPr>
        <w:ind w:right="80" w:firstLine="349"/>
        <w:spacing w:after="0" w:line="261" w:lineRule="auto"/>
        <w:rPr>
          <w:sz w:val="20"/>
          <w:szCs w:val="20"/>
          <w:color w:val="auto"/>
        </w:rPr>
      </w:pPr>
      <w:r>
        <w:rPr>
          <w:rFonts w:ascii="Times New Roman" w:cs="Times New Roman" w:eastAsia="Times New Roman" w:hAnsi="Times New Roman"/>
          <w:sz w:val="19"/>
          <w:szCs w:val="19"/>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therefore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375"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Our proprietary algorithm is thereby trained using experimental data from our multi-affinity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binding events to uniquely identify a protein. Prior to 15 cycles, there is a lot of variability in which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ectPr>
          <w:pgSz w:w="11880" w:h="15480" w:orient="portrait"/>
          <w:cols w:equalWidth="0" w:num="1">
            <w:col w:w="9940"/>
          </w:cols>
          <w:pgMar w:left="960" w:top="822" w:right="980" w:bottom="0" w:gutter="0" w:footer="0" w:header="0"/>
          <w:type w:val="continuous"/>
        </w:sectPr>
      </w:pPr>
    </w:p>
    <w:bookmarkStart w:id="23" w:name="page24"/>
    <w:bookmarkEnd w:id="23"/>
    <w:p>
      <w:pPr>
        <w:ind w:right="380" w:firstLine="349"/>
        <w:spacing w:after="0" w:line="293" w:lineRule="auto"/>
        <w:rPr>
          <w:sz w:val="20"/>
          <w:szCs w:val="20"/>
          <w:color w:val="auto"/>
        </w:rPr>
      </w:pPr>
      <w:r>
        <w:rPr>
          <w:rFonts w:ascii="Times New Roman" w:cs="Times New Roman" w:eastAsia="Times New Roman" w:hAnsi="Times New Roman"/>
          <w:sz w:val="19"/>
          <w:szCs w:val="19"/>
          <w:color w:val="auto"/>
        </w:rPr>
        <w:t>Nautilus Platform Technology Can Identify a Protein by Analyzing Data from Multiple Cycles of Multi-Affinity Probe Binding Event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106680</wp:posOffset>
            </wp:positionV>
            <wp:extent cx="6101715" cy="3244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6101715" cy="324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Source: Internal Data</w:t>
      </w:r>
    </w:p>
    <w:p>
      <w:pPr>
        <w:spacing w:after="0" w:line="191"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w:t>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Our Technology Workflow</w:t>
      </w:r>
    </w:p>
    <w:p>
      <w:pPr>
        <w:spacing w:after="0" w:line="19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880" w:h="15480" w:orient="portrait"/>
          <w:cols w:equalWidth="0" w:num="1">
            <w:col w:w="9960"/>
          </w:cols>
          <w:pgMar w:left="960" w:top="822" w:right="960" w:bottom="0" w:gutter="0" w:footer="0" w:header="0"/>
          <w:type w:val="continuous"/>
        </w:sectPr>
      </w:pPr>
    </w:p>
    <w:bookmarkStart w:id="24" w:name="page25"/>
    <w:bookmarkEnd w:id="24"/>
    <w:p>
      <w:pPr>
        <w:ind w:right="120" w:firstLine="349"/>
        <w:spacing w:after="0" w:line="293" w:lineRule="auto"/>
        <w:rPr>
          <w:sz w:val="20"/>
          <w:szCs w:val="20"/>
          <w:color w:val="auto"/>
        </w:rPr>
      </w:pPr>
      <w:r>
        <w:rPr>
          <w:rFonts w:ascii="Times New Roman" w:cs="Times New Roman" w:eastAsia="Times New Roman" w:hAnsi="Times New Roman"/>
          <w:sz w:val="19"/>
          <w:szCs w:val="19"/>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106680</wp:posOffset>
            </wp:positionV>
            <wp:extent cx="6323330" cy="192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632333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0" w:hanging="350"/>
        <w:spacing w:after="0"/>
        <w:tabs>
          <w:tab w:leader="none" w:pos="700" w:val="left"/>
        </w:tabs>
        <w:numPr>
          <w:ilvl w:val="0"/>
          <w:numId w:val="1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Step 1 – Sample Preparation</w:t>
      </w:r>
    </w:p>
    <w:p>
      <w:pPr>
        <w:spacing w:after="0" w:line="196"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The Nautilus sample preparation process attaches a label to extracted proteins and then attaches them to a proprietary scaffold to isolate them individually, thereby creating a library of single protein molecules. This process was designed to be simple, robust, and rapid. Internal tests demonstrate that substantially all of the proteins are attached to the scaffold during the library preparation process, which requires approximately 2-3 hours of hands-on time over a 2-day protocol.</w:t>
      </w:r>
    </w:p>
    <w:p>
      <w:pPr>
        <w:spacing w:after="0" w:line="124" w:lineRule="exact"/>
        <w:rPr>
          <w:sz w:val="20"/>
          <w:szCs w:val="20"/>
          <w:color w:val="auto"/>
        </w:rPr>
      </w:pPr>
    </w:p>
    <w:p>
      <w:pPr>
        <w:ind w:left="700" w:hanging="350"/>
        <w:spacing w:after="0"/>
        <w:tabs>
          <w:tab w:leader="none" w:pos="700" w:val="left"/>
        </w:tabs>
        <w:numPr>
          <w:ilvl w:val="0"/>
          <w:numId w:val="1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Step 2 – Sample Deposition onto the Flow Cell</w:t>
      </w:r>
    </w:p>
    <w:p>
      <w:pPr>
        <w:spacing w:after="0" w:line="196"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124" w:lineRule="exact"/>
        <w:rPr>
          <w:sz w:val="20"/>
          <w:szCs w:val="20"/>
          <w:color w:val="auto"/>
        </w:rPr>
      </w:pPr>
    </w:p>
    <w:p>
      <w:pPr>
        <w:ind w:left="700" w:hanging="350"/>
        <w:spacing w:after="0"/>
        <w:tabs>
          <w:tab w:leader="none" w:pos="700" w:val="left"/>
        </w:tabs>
        <w:numPr>
          <w:ilvl w:val="0"/>
          <w:numId w:val="1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Step 3 – Integrated Imaging and Fluidics System Processing Multiple Cycles of Affinity Reagents</w:t>
      </w:r>
    </w:p>
    <w:p>
      <w:pPr>
        <w:spacing w:after="0" w:line="196"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auto"/>
        </w:rPr>
        <w:t>Following protein library deposition, the proteome analysis system then initiates the multi-cycle interrogation of each single-molecule bound to the surface of the flow cell. This process entails introducing fluorescent dye labeled multi-affinity probes into the flow cell, rinsing out the unbound fraction, imaging the surface area, and then stripping and washing the multi-affinity probe away. This entire process is then repeated sequentially to collect data on the desired number of cycles in the system run, where each cycle is a unique batch of multi-affinity probes intended to identify a set of target epitopes.</w:t>
      </w:r>
    </w:p>
    <w:p>
      <w:pPr>
        <w:spacing w:after="0" w:line="126" w:lineRule="exact"/>
        <w:rPr>
          <w:sz w:val="20"/>
          <w:szCs w:val="20"/>
          <w:color w:val="auto"/>
        </w:rPr>
      </w:pPr>
    </w:p>
    <w:p>
      <w:pPr>
        <w:ind w:left="700" w:hanging="350"/>
        <w:spacing w:after="0"/>
        <w:tabs>
          <w:tab w:leader="none" w:pos="700" w:val="left"/>
        </w:tabs>
        <w:numPr>
          <w:ilvl w:val="0"/>
          <w:numId w:val="1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Step 4 – Processing of Digitalized Proteomic Data</w:t>
      </w:r>
    </w:p>
    <w:p>
      <w:pPr>
        <w:spacing w:after="0" w:line="196" w:lineRule="exact"/>
        <w:rPr>
          <w:sz w:val="20"/>
          <w:szCs w:val="20"/>
          <w:color w:val="auto"/>
        </w:rPr>
      </w:pPr>
    </w:p>
    <w:p>
      <w:pPr>
        <w:jc w:val="both"/>
        <w:ind w:right="260" w:firstLine="349"/>
        <w:spacing w:after="0" w:line="274" w:lineRule="auto"/>
        <w:rPr>
          <w:sz w:val="20"/>
          <w:szCs w:val="20"/>
          <w:color w:val="auto"/>
        </w:rPr>
      </w:pPr>
      <w:r>
        <w:rPr>
          <w:rFonts w:ascii="Times New Roman" w:cs="Times New Roman" w:eastAsia="Times New Roman" w:hAnsi="Times New Roman"/>
          <w:sz w:val="19"/>
          <w:szCs w:val="19"/>
          <w:color w:val="auto"/>
        </w:rPr>
        <w:t>After the proteins on the flow cell have been iteratively imaged over the determined number of cycles, the resulting raw images are converted into a coordinate map with corresponding illumination signals indicating positive multi-affinity probe binding events, effectively digitizing up to approximately 20 terabytes of raw image analyzed proteomic data.</w:t>
      </w:r>
    </w:p>
    <w:p>
      <w:pPr>
        <w:spacing w:after="0" w:line="118" w:lineRule="exact"/>
        <w:rPr>
          <w:sz w:val="20"/>
          <w:szCs w:val="20"/>
          <w:color w:val="auto"/>
        </w:rPr>
      </w:pPr>
    </w:p>
    <w:p>
      <w:pPr>
        <w:ind w:left="700" w:hanging="350"/>
        <w:spacing w:after="0"/>
        <w:tabs>
          <w:tab w:leader="none" w:pos="700" w:val="left"/>
        </w:tabs>
        <w:numPr>
          <w:ilvl w:val="0"/>
          <w:numId w:val="1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Step 5 – Machine Learning Analytics - Decoding, Protein Identification, and Quantity</w:t>
      </w:r>
    </w:p>
    <w:p>
      <w:pPr>
        <w:spacing w:after="0" w:line="196" w:lineRule="exact"/>
        <w:rPr>
          <w:sz w:val="20"/>
          <w:szCs w:val="20"/>
          <w:color w:val="auto"/>
        </w:rPr>
      </w:pPr>
    </w:p>
    <w:p>
      <w:pPr>
        <w:ind w:right="40" w:firstLine="349"/>
        <w:spacing w:after="0" w:line="274" w:lineRule="auto"/>
        <w:rPr>
          <w:sz w:val="20"/>
          <w:szCs w:val="20"/>
          <w:color w:val="auto"/>
        </w:rPr>
      </w:pPr>
      <w:r>
        <w:rPr>
          <w:rFonts w:ascii="Times New Roman" w:cs="Times New Roman" w:eastAsia="Times New Roman" w:hAnsi="Times New Roman"/>
          <w:sz w:val="19"/>
          <w:szCs w:val="19"/>
          <w:color w:val="auto"/>
        </w:rPr>
        <w:t>In the final step of the workflow, the digital proteomic data is analyzed by our cloud-based machine learning protein identification analysis software. The data is converted to protein identities during this analysis, evaluating the characteristics of each multi-affinity probe binding event at each location to determine protein identity and quantity.</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Nautilus Platform Technology Performance</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Simple and Robust Sample Handling</w:t>
      </w:r>
    </w:p>
    <w:p>
      <w:pPr>
        <w:spacing w:after="0" w:line="191"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the protocol is highly compatible with standard lab automation equipment and workflows, which is expected to further minimize the effort required while increasing laboratory processing throughput. Also, unlike existing shotgun proteomics methods, no sample protein digestion is required in our method which in turn makes the workflow very</w:t>
      </w:r>
    </w:p>
    <w:p>
      <w:pPr>
        <w:sectPr>
          <w:pgSz w:w="11880" w:h="15480" w:orient="portrait"/>
          <w:cols w:equalWidth="0" w:num="1">
            <w:col w:w="9900"/>
          </w:cols>
          <w:pgMar w:left="960" w:top="82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22</w:t>
      </w:r>
    </w:p>
    <w:p>
      <w:pPr>
        <w:sectPr>
          <w:pgSz w:w="11880" w:h="15480" w:orient="portrait"/>
          <w:cols w:equalWidth="0" w:num="1">
            <w:col w:w="9900"/>
          </w:cols>
          <w:pgMar w:left="960" w:top="822" w:right="1020" w:bottom="0" w:gutter="0" w:footer="0" w:header="0"/>
          <w:type w:val="continuous"/>
        </w:sectPr>
      </w:pPr>
    </w:p>
    <w:bookmarkStart w:id="25" w:name="page26"/>
    <w:bookmarkEnd w:id="25"/>
    <w:p>
      <w:pPr>
        <w:ind w:right="140"/>
        <w:spacing w:after="0" w:line="293" w:lineRule="auto"/>
        <w:rPr>
          <w:sz w:val="20"/>
          <w:szCs w:val="20"/>
          <w:color w:val="auto"/>
        </w:rPr>
      </w:pPr>
      <w:r>
        <w:rPr>
          <w:rFonts w:ascii="Times New Roman" w:cs="Times New Roman" w:eastAsia="Times New Roman" w:hAnsi="Times New Roman"/>
          <w:sz w:val="19"/>
          <w:szCs w:val="19"/>
          <w:color w:val="auto"/>
        </w:rPr>
        <w:t>simple. The result is a process that is expected to effectively prepare a sample into a library ready to load on the flow cell with approximately 2-3 hours of hands-on time completed over a 2 day period.</w:t>
      </w:r>
    </w:p>
    <w:p>
      <w:pPr>
        <w:spacing w:after="0" w:line="107"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Flow Cell Loading Demonstrates Approximately 97% of Flow Cell is Occupied with Protein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158750</wp:posOffset>
            </wp:positionV>
            <wp:extent cx="5010785" cy="3161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5010785" cy="316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Nautilus Platform Stability in Multi-Cycle Experiments</w:t>
      </w:r>
    </w:p>
    <w:p>
      <w:pPr>
        <w:spacing w:after="0" w:line="196"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proteome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 of the protein on a first cycle (blue). We next demonstrated that our wash buffer successfully eliminated remaining 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880" w:h="15480" w:orient="portrait"/>
          <w:cols w:equalWidth="0" w:num="1">
            <w:col w:w="9940"/>
          </w:cols>
          <w:pgMar w:left="960" w:top="822" w:right="980" w:bottom="0" w:gutter="0" w:footer="0" w:header="0"/>
          <w:type w:val="continuous"/>
        </w:sectPr>
      </w:pPr>
    </w:p>
    <w:bookmarkStart w:id="26" w:name="page27"/>
    <w:bookmarkEnd w:id="26"/>
    <w:p>
      <w:pPr>
        <w:ind w:left="360"/>
        <w:spacing w:after="0"/>
        <w:rPr>
          <w:sz w:val="20"/>
          <w:szCs w:val="20"/>
          <w:color w:val="auto"/>
        </w:rPr>
      </w:pPr>
      <w:r>
        <w:rPr>
          <w:rFonts w:ascii="Times New Roman" w:cs="Times New Roman" w:eastAsia="Times New Roman" w:hAnsi="Times New Roman"/>
          <w:sz w:val="19"/>
          <w:szCs w:val="19"/>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158750</wp:posOffset>
            </wp:positionV>
            <wp:extent cx="5916930" cy="2505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5916930" cy="250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Nautilus Platform Sensitivity</w:t>
      </w:r>
    </w:p>
    <w:p>
      <w:pPr>
        <w:spacing w:after="0" w:line="196" w:lineRule="exact"/>
        <w:rPr>
          <w:sz w:val="20"/>
          <w:szCs w:val="20"/>
          <w:color w:val="auto"/>
        </w:rPr>
      </w:pPr>
    </w:p>
    <w:p>
      <w:pPr>
        <w:ind w:firstLine="349"/>
        <w:spacing w:after="0" w:line="250" w:lineRule="auto"/>
        <w:rPr>
          <w:sz w:val="20"/>
          <w:szCs w:val="20"/>
          <w:color w:val="auto"/>
        </w:rPr>
      </w:pPr>
      <w:r>
        <w:rPr>
          <w:rFonts w:ascii="Times New Roman" w:cs="Times New Roman" w:eastAsia="Times New Roman" w:hAnsi="Times New Roman"/>
          <w:sz w:val="19"/>
          <w:szCs w:val="19"/>
          <w:color w:val="auto"/>
        </w:rPr>
        <w:t>Our Nautilus platform is designed both to be extremely sensitive (by virtue of being a single protein molecule platform) and to have an extremely wide dynamic range of detection (by virtue of measuring a very large number of molecules). In single protein 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The figure below shows a limit of detection experiment performed on the Nautilus platform, approaching attomolar sensitivity (1 out of 10</w:t>
      </w:r>
      <w:r>
        <w:rPr>
          <w:rFonts w:ascii="Times New Roman" w:cs="Times New Roman" w:eastAsia="Times New Roman" w:hAnsi="Times New Roman"/>
          <w:sz w:val="25"/>
          <w:szCs w:val="25"/>
          <w:color w:val="auto"/>
          <w:vertAlign w:val="superscript"/>
        </w:rPr>
        <w:t>16</w:t>
      </w:r>
      <w:r>
        <w:rPr>
          <w:rFonts w:ascii="Times New Roman" w:cs="Times New Roman" w:eastAsia="Times New Roman" w:hAnsi="Times New Roman"/>
          <w:sz w:val="19"/>
          <w:szCs w:val="19"/>
          <w:color w:val="auto"/>
        </w:rPr>
        <w:t>). We are also able to use this sensitivity in flexible way, for example we can perform an extremely deep analysis of a single protein library sample across all lanes of a flow cell, or we can perform a multiplexed analysis by processing a batch of samples together (each sample protein library individually barcoded) during one proteome analysis system run.</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Extreme Sensitivity Quantified by 10</w:t>
      </w:r>
      <w:r>
        <w:rPr>
          <w:rFonts w:ascii="Times New Roman" w:cs="Times New Roman" w:eastAsia="Times New Roman" w:hAnsi="Times New Roman"/>
          <w:sz w:val="25"/>
          <w:szCs w:val="25"/>
          <w:color w:val="auto"/>
          <w:vertAlign w:val="superscript"/>
        </w:rPr>
        <w:t>-16</w:t>
      </w:r>
      <w:r>
        <w:rPr>
          <w:rFonts w:ascii="Times New Roman" w:cs="Times New Roman" w:eastAsia="Times New Roman" w:hAnsi="Times New Roman"/>
          <w:sz w:val="19"/>
          <w:szCs w:val="19"/>
          <w:color w:val="auto"/>
        </w:rPr>
        <w:t xml:space="preserve"> LOD (Limit of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126365</wp:posOffset>
            </wp:positionV>
            <wp:extent cx="2958465" cy="268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2958465" cy="268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Development and Characterization of Multi-Affinity Probes</w:t>
      </w:r>
    </w:p>
    <w:p>
      <w:pPr>
        <w:spacing w:after="0" w:line="196"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Multi-affinity probe discovery and development pipelines have been built that generate multi-affinity probe candidates that target short peptides, typically three amino acids in length. These pipelines employ multiple candidate discovery methods to identify and select antibody, antibody fragment, or nucleic acid based candidate multi-affinity probes. Promising candidates are</w:t>
      </w:r>
    </w:p>
    <w:p>
      <w:pPr>
        <w:sectPr>
          <w:pgSz w:w="11880" w:h="15480" w:orient="portrait"/>
          <w:cols w:equalWidth="0" w:num="1">
            <w:col w:w="9900"/>
          </w:cols>
          <w:pgMar w:left="960" w:top="822" w:right="1020" w:bottom="0" w:gutter="0" w:footer="0" w:header="0"/>
        </w:sect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24</w:t>
      </w:r>
    </w:p>
    <w:p>
      <w:pPr>
        <w:sectPr>
          <w:pgSz w:w="11880" w:h="15480" w:orient="portrait"/>
          <w:cols w:equalWidth="0" w:num="1">
            <w:col w:w="9900"/>
          </w:cols>
          <w:pgMar w:left="960" w:top="822" w:right="1020" w:bottom="0" w:gutter="0" w:footer="0" w:header="0"/>
          <w:type w:val="continuous"/>
        </w:sectPr>
      </w:pPr>
    </w:p>
    <w:bookmarkStart w:id="27" w:name="page28"/>
    <w:bookmarkEnd w:id="27"/>
    <w:p>
      <w:pPr>
        <w:ind w:right="40"/>
        <w:spacing w:after="0" w:line="293" w:lineRule="auto"/>
        <w:rPr>
          <w:sz w:val="20"/>
          <w:szCs w:val="20"/>
          <w:color w:val="auto"/>
        </w:rPr>
      </w:pPr>
      <w:r>
        <w:rPr>
          <w:rFonts w:ascii="Times New Roman" w:cs="Times New Roman" w:eastAsia="Times New Roman" w:hAnsi="Times New Roman"/>
          <w:sz w:val="19"/>
          <w:szCs w:val="19"/>
          <w:color w:val="auto"/>
        </w:rPr>
        <w:t>further screened in assays to determine EC50 values off-platform (example results for two candidate probes shown below), and then leads are evaluated in detail for their performance on the Nautilus proteome analysis platform.</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Multi-Affinity Probe Discovery and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158750</wp:posOffset>
            </wp:positionV>
            <wp:extent cx="6101715" cy="4872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6101715" cy="487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Model Protein Decoding</w:t>
      </w:r>
    </w:p>
    <w:p>
      <w:pPr>
        <w:spacing w:after="0" w:line="196"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Bringing multiple aspects of the platform together, we created a control sample library using model synthetic proteins that were designed to be multi-epitope controls to demonstrate the PrISM decoding method in action on the Nautilus platform. A multi-cycle run was completed using 24 unique multi-affinity probes. Shown below is the detection of Model Protein 1 (MP1) across two replicate datasets. The relative count of MP1 identifications within the library was generated by decoding the pattern of binding events at each location present on the flow cell over the course of the multi-cycle run. In the figure below, the observed binding events (yellow) for each cycle of multi-affinity probes matched the expected binding events unique to the MP1 epitopes present (top orange) vs the MP2 epitopes (bottom orange).</w:t>
      </w:r>
    </w:p>
    <w:p>
      <w:pPr>
        <w:sectPr>
          <w:pgSz w:w="11880" w:h="15480" w:orient="portrait"/>
          <w:cols w:equalWidth="0" w:num="1">
            <w:col w:w="9920"/>
          </w:cols>
          <w:pgMar w:left="960" w:top="82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25</w:t>
      </w:r>
    </w:p>
    <w:p>
      <w:pPr>
        <w:sectPr>
          <w:pgSz w:w="11880" w:h="15480" w:orient="portrait"/>
          <w:cols w:equalWidth="0" w:num="1">
            <w:col w:w="9920"/>
          </w:cols>
          <w:pgMar w:left="960" w:top="822" w:right="1000" w:bottom="0" w:gutter="0" w:footer="0" w:header="0"/>
          <w:type w:val="continuous"/>
        </w:sectPr>
      </w:pPr>
    </w:p>
    <w:bookmarkStart w:id="28" w:name="page29"/>
    <w:bookmarkEnd w:id="28"/>
    <w:p>
      <w:pPr>
        <w:ind w:left="360"/>
        <w:spacing w:after="0"/>
        <w:rPr>
          <w:sz w:val="20"/>
          <w:szCs w:val="20"/>
          <w:color w:val="auto"/>
        </w:rPr>
      </w:pPr>
      <w:r>
        <w:rPr>
          <w:rFonts w:ascii="Times New Roman" w:cs="Times New Roman" w:eastAsia="Times New Roman" w:hAnsi="Times New Roman"/>
          <w:sz w:val="19"/>
          <w:szCs w:val="19"/>
          <w:color w:val="auto"/>
        </w:rPr>
        <w:t>Model Protein 1 Decoded by PrISM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158750</wp:posOffset>
            </wp:positionV>
            <wp:extent cx="6101715" cy="2103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6101715" cy="210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Mapping Proteoforms</w:t>
      </w:r>
    </w:p>
    <w:p>
      <w:pPr>
        <w:spacing w:after="0" w:line="196"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 protein 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158750</wp:posOffset>
            </wp:positionV>
            <wp:extent cx="6323330" cy="25984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632333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On our Nautilus platform, we are able to use existing commercially available affinity reagents to perform detailed mapping of proteoform patterns at the single protein molecule level. We do this by measuring individual proteins at each specific post-translational modification site over multiple cycles, each cycle targeting a different specific site or feature of the protein. Illustrating this concept in the diagram below, during the first cycle we use an anti Tau affinity reagent to identify all of the Tau proteins present on the flow cell. Then over the next 4 cycles we detect each Tau molecule again, only now with a slightly different affinity reagent that targets a different isoform or phosphorylation modification on the Tau protein. Looking at this data together over 5 cycles, our technology is potentially able to distinguish up to 16 different proteoforms (in this case, different isoform and phosphorylated patterns) of the same Tau protein.</w:t>
      </w:r>
    </w:p>
    <w:p>
      <w:pPr>
        <w:sectPr>
          <w:pgSz w:w="11880" w:h="15480" w:orient="portrait"/>
          <w:cols w:equalWidth="0" w:num="1">
            <w:col w:w="9900"/>
          </w:cols>
          <w:pgMar w:left="960" w:top="82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26</w:t>
      </w:r>
    </w:p>
    <w:p>
      <w:pPr>
        <w:sectPr>
          <w:pgSz w:w="11880" w:h="15480" w:orient="portrait"/>
          <w:cols w:equalWidth="0" w:num="1">
            <w:col w:w="9900"/>
          </w:cols>
          <w:pgMar w:left="960" w:top="822" w:right="1020" w:bottom="0" w:gutter="0" w:footer="0" w:header="0"/>
          <w:type w:val="continuous"/>
        </w:sectPr>
      </w:pPr>
    </w:p>
    <w:bookmarkStart w:id="29" w:name="page30"/>
    <w:bookmarkEnd w:id="29"/>
    <w:p>
      <w:pPr>
        <w:ind w:left="360"/>
        <w:spacing w:after="0"/>
        <w:rPr>
          <w:sz w:val="20"/>
          <w:szCs w:val="20"/>
          <w:color w:val="auto"/>
        </w:rPr>
      </w:pPr>
      <w:r>
        <w:rPr>
          <w:rFonts w:ascii="Times New Roman" w:cs="Times New Roman" w:eastAsia="Times New Roman" w:hAnsi="Times New Roman"/>
          <w:sz w:val="19"/>
          <w:szCs w:val="19"/>
          <w:color w:val="auto"/>
        </w:rPr>
        <w:t>Workflow for the Detection of Tau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158750</wp:posOffset>
            </wp:positionV>
            <wp:extent cx="6101715" cy="3449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6101715" cy="344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The protein counts in the image above are for illustration purposes only.</w:t>
      </w:r>
    </w:p>
    <w:p>
      <w:pPr>
        <w:spacing w:after="0" w:line="191" w:lineRule="exact"/>
        <w:rPr>
          <w:sz w:val="20"/>
          <w:szCs w:val="20"/>
          <w:color w:val="auto"/>
        </w:rPr>
      </w:pPr>
    </w:p>
    <w:p>
      <w:pPr>
        <w:ind w:right="40" w:firstLine="349"/>
        <w:spacing w:after="0" w:line="274" w:lineRule="auto"/>
        <w:rPr>
          <w:sz w:val="20"/>
          <w:szCs w:val="20"/>
          <w:color w:val="auto"/>
        </w:rPr>
      </w:pPr>
      <w:r>
        <w:rPr>
          <w:rFonts w:ascii="Times New Roman" w:cs="Times New Roman" w:eastAsia="Times New Roman" w:hAnsi="Times New Roman"/>
          <w:sz w:val="19"/>
          <w:szCs w:val="19"/>
          <w:color w:val="auto"/>
        </w:rPr>
        <w:t>Demonstrating this workflow in action, on a single chip we deposited positive control Tau proteins, a negative control (ubiquitin), and a mixture of four Tau proteoforms. After correcting for non-specific binding and antibody false negative rates, we detected all four proteoforms in the complex mixture. Over 500k molecules were analyzed.</w:t>
      </w:r>
    </w:p>
    <w:p>
      <w:pPr>
        <w:spacing w:after="0" w:line="1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Nautilus Platform Proteoform Pattern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1849755</wp:posOffset>
            </wp:positionH>
            <wp:positionV relativeFrom="paragraph">
              <wp:posOffset>158750</wp:posOffset>
            </wp:positionV>
            <wp:extent cx="2625725" cy="2838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262572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Further demonstrating the ability of this workflow to identify increasingly lower levels of Tau protein in complex mixtures, below recombinant 0N4R Tau (exogenously phosphorylated by the ERK2 kinase) was spiked in to a K562 cell lysate. Tau was added at 0 (no spike control), 5%, 10%, or 20% of total protein. Tau protein was then enriched by immunoprecipitation and detected with the Tau anti-0N antibody.</w:t>
      </w:r>
    </w:p>
    <w:p>
      <w:pPr>
        <w:sectPr>
          <w:pgSz w:w="11880" w:h="15480" w:orient="portrait"/>
          <w:cols w:equalWidth="0" w:num="1">
            <w:col w:w="9860"/>
          </w:cols>
          <w:pgMar w:left="960" w:top="82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27</w:t>
      </w:r>
    </w:p>
    <w:p>
      <w:pPr>
        <w:sectPr>
          <w:pgSz w:w="11880" w:h="15480" w:orient="portrait"/>
          <w:cols w:equalWidth="0" w:num="1">
            <w:col w:w="9860"/>
          </w:cols>
          <w:pgMar w:left="960" w:top="822" w:right="1060" w:bottom="0" w:gutter="0" w:footer="0" w:header="0"/>
          <w:type w:val="continuous"/>
        </w:sectPr>
      </w:pPr>
    </w:p>
    <w:bookmarkStart w:id="30" w:name="page31"/>
    <w:bookmarkEnd w:id="30"/>
    <w:p>
      <w:pPr>
        <w:ind w:left="360"/>
        <w:spacing w:after="0"/>
        <w:rPr>
          <w:sz w:val="20"/>
          <w:szCs w:val="20"/>
          <w:color w:val="auto"/>
        </w:rPr>
      </w:pPr>
      <w:r>
        <w:rPr>
          <w:rFonts w:ascii="Times New Roman" w:cs="Times New Roman" w:eastAsia="Times New Roman" w:hAnsi="Times New Roman"/>
          <w:sz w:val="19"/>
          <w:szCs w:val="19"/>
          <w:color w:val="auto"/>
        </w:rPr>
        <w:t>Detection of Low Tau Levels in a Cell Lysate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158750</wp:posOffset>
            </wp:positionV>
            <wp:extent cx="3281680" cy="257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3281680" cy="257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Nautilus Platform Development Plan Key Areas of Focus</w:t>
      </w:r>
    </w:p>
    <w:p>
      <w:pPr>
        <w:spacing w:after="0" w:line="196"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In order to achieve our goal of broad commercialization by mid-2024, we plan to advance the development of our Nautilus platform across all components including chemistries, reagents, consumables, instrumentation and analysis software. The prototype of our proteome analysis system has generated all of our internal data to date, and we are continuing the development process to optimize, improve upon, and validate the final designs, formulations, protocols, manufacturing processes, and software code comprising our Nautilus platform.</w:t>
      </w:r>
    </w:p>
    <w:p>
      <w:pPr>
        <w:spacing w:after="0" w:line="133"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 protein molecule landing pads, we plan to further optimize the landing pad spacing, density, manufacturing process and chemistries of the first commercially available flow cells. We also intend to focus on the completion of the final engineering design of our proteome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proteome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proteome analysis system performance.</w:t>
      </w:r>
    </w:p>
    <w:p>
      <w:pPr>
        <w:spacing w:after="0" w:line="148" w:lineRule="exact"/>
        <w:rPr>
          <w:sz w:val="20"/>
          <w:szCs w:val="20"/>
          <w:color w:val="auto"/>
        </w:rPr>
      </w:pPr>
    </w:p>
    <w:p>
      <w:pPr>
        <w:ind w:right="140" w:firstLine="349"/>
        <w:spacing w:after="0" w:line="274" w:lineRule="auto"/>
        <w:rPr>
          <w:sz w:val="20"/>
          <w:szCs w:val="20"/>
          <w:color w:val="auto"/>
        </w:rPr>
      </w:pPr>
      <w:r>
        <w:rPr>
          <w:rFonts w:ascii="Times New Roman" w:cs="Times New Roman" w:eastAsia="Times New Roman" w:hAnsi="Times New Roman"/>
          <w:sz w:val="19"/>
          <w:szCs w:val="19"/>
          <w:color w:val="auto"/>
        </w:rPr>
        <w:t>Assuming the completion of our development across these focal areas on our currently anticipated timeline, as well as additional related development activities, we believe we will be in position to achieve our goal of broad commercialization by mid-2024.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APPLICATIONS OF OUR TECHNOLOGY</w:t>
      </w:r>
    </w:p>
    <w:p>
      <w:pPr>
        <w:spacing w:after="0" w:line="189" w:lineRule="exact"/>
        <w:rPr>
          <w:sz w:val="20"/>
          <w:szCs w:val="20"/>
          <w:color w:val="auto"/>
        </w:rPr>
      </w:pPr>
    </w:p>
    <w:p>
      <w:pPr>
        <w:ind w:right="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Nautilus platform technology is an open platform that is designed to leverage a wide variety of reagents to read and quantify the proteome and proteoforms</w:t>
      </w:r>
    </w:p>
    <w:p>
      <w:pPr>
        <w:spacing w:after="0" w:line="105" w:lineRule="exact"/>
        <w:rPr>
          <w:sz w:val="20"/>
          <w:szCs w:val="20"/>
          <w:color w:val="auto"/>
        </w:rPr>
      </w:pPr>
    </w:p>
    <w:p>
      <w:pPr>
        <w:ind w:right="120" w:firstLine="349"/>
        <w:spacing w:after="0" w:line="265" w:lineRule="auto"/>
        <w:rPr>
          <w:sz w:val="20"/>
          <w:szCs w:val="20"/>
          <w:color w:val="auto"/>
        </w:rPr>
      </w:pPr>
      <w:r>
        <w:rPr>
          <w:rFonts w:ascii="Times New Roman" w:cs="Times New Roman" w:eastAsia="Times New Roman" w:hAnsi="Times New Roman"/>
          <w:sz w:val="19"/>
          <w:szCs w:val="19"/>
          <w:color w:val="auto"/>
        </w:rPr>
        <w:t>We believe that our Nautilus platform technology is designed to represent one of the first truly novel technologies for the detection and quantitation of proteins and proteoforms by leveraging the creation of our single protein 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w:t>
      </w:r>
    </w:p>
    <w:p>
      <w:pPr>
        <w:sectPr>
          <w:pgSz w:w="11880" w:h="15480" w:orient="portrait"/>
          <w:cols w:equalWidth="0" w:num="1">
            <w:col w:w="9920"/>
          </w:cols>
          <w:pgMar w:left="960" w:top="82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ectPr>
          <w:pgSz w:w="11880" w:h="15480" w:orient="portrait"/>
          <w:cols w:equalWidth="0" w:num="1">
            <w:col w:w="9920"/>
          </w:cols>
          <w:pgMar w:left="960" w:top="822" w:right="1000" w:bottom="0" w:gutter="0" w:footer="0" w:header="0"/>
          <w:type w:val="continuous"/>
        </w:sectPr>
      </w:pPr>
    </w:p>
    <w:bookmarkStart w:id="31" w:name="page32"/>
    <w:bookmarkEnd w:id="31"/>
    <w:p>
      <w:pPr>
        <w:ind w:right="400"/>
        <w:spacing w:after="0" w:line="293" w:lineRule="auto"/>
        <w:rPr>
          <w:sz w:val="20"/>
          <w:szCs w:val="20"/>
          <w:color w:val="auto"/>
        </w:rPr>
      </w:pPr>
      <w:r>
        <w:rPr>
          <w:rFonts w:ascii="Times New Roman" w:cs="Times New Roman" w:eastAsia="Times New Roman" w:hAnsi="Times New Roman"/>
          <w:sz w:val="19"/>
          <w:szCs w:val="19"/>
          <w:color w:val="auto"/>
        </w:rPr>
        <w:t>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106680</wp:posOffset>
            </wp:positionV>
            <wp:extent cx="6009005" cy="258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6009005" cy="2588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w:t>
      </w:r>
    </w:p>
    <w:p>
      <w:pPr>
        <w:spacing w:after="0" w:line="378" w:lineRule="exact"/>
        <w:rPr>
          <w:sz w:val="20"/>
          <w:szCs w:val="20"/>
          <w:color w:val="auto"/>
        </w:rPr>
      </w:pPr>
    </w:p>
    <w:p>
      <w:pPr>
        <w:ind w:right="500" w:firstLine="349"/>
        <w:spacing w:after="0" w:line="293" w:lineRule="auto"/>
        <w:rPr>
          <w:sz w:val="20"/>
          <w:szCs w:val="20"/>
          <w:color w:val="auto"/>
        </w:rPr>
      </w:pPr>
      <w:r>
        <w:rPr>
          <w:rFonts w:ascii="Times New Roman" w:cs="Times New Roman" w:eastAsia="Times New Roman" w:hAnsi="Times New Roman"/>
          <w:sz w:val="19"/>
          <w:szCs w:val="19"/>
          <w:color w:val="auto"/>
        </w:rPr>
        <w:t>The open nature of the Nautilus platform creates the opportunity to partner with third-parties on the development and supply of affinity reagents for use on our instrument.</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Basic Research and Discovery Applications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The Discovery Potential of Our Nautilus Platform</w:t>
      </w:r>
    </w:p>
    <w:p>
      <w:pPr>
        <w:spacing w:after="0" w:line="191"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133"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Further, we believe speed, scale, and single protein 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41"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w:t>
      </w:r>
    </w:p>
    <w:p>
      <w:pPr>
        <w:sectPr>
          <w:pgSz w:w="11880" w:h="15480" w:orient="portrait"/>
          <w:cols w:equalWidth="0" w:num="1">
            <w:col w:w="9940"/>
          </w:cols>
          <w:pgMar w:left="960" w:top="822" w:right="980" w:bottom="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ectPr>
          <w:pgSz w:w="11880" w:h="15480" w:orient="portrait"/>
          <w:cols w:equalWidth="0" w:num="1">
            <w:col w:w="9940"/>
          </w:cols>
          <w:pgMar w:left="960" w:top="822" w:right="980" w:bottom="0" w:gutter="0" w:footer="0" w:header="0"/>
          <w:type w:val="continuous"/>
        </w:sectPr>
      </w:pPr>
    </w:p>
    <w:bookmarkStart w:id="32" w:name="page33"/>
    <w:bookmarkEnd w:id="32"/>
    <w:p>
      <w:pPr>
        <w:ind w:right="480"/>
        <w:spacing w:after="0" w:line="293" w:lineRule="auto"/>
        <w:rPr>
          <w:sz w:val="20"/>
          <w:szCs w:val="20"/>
          <w:color w:val="auto"/>
        </w:rPr>
      </w:pPr>
      <w:r>
        <w:rPr>
          <w:rFonts w:ascii="Times New Roman" w:cs="Times New Roman" w:eastAsia="Times New Roman" w:hAnsi="Times New Roman"/>
          <w:sz w:val="19"/>
          <w:szCs w:val="19"/>
          <w:color w:val="auto"/>
        </w:rPr>
        <w:t>one analysis workflow. We believe discovery focused proteoform specific reagents could be used in combination with our multi-affinity broad protein detection method to enhance the output of our analyses.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Multi-Omic Systems Biology and Proteogenomics</w:t>
      </w:r>
    </w:p>
    <w:p>
      <w:pPr>
        <w:spacing w:after="0" w:line="191"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136"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 protein 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spacing w:after="0" w:line="3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Translational Research and Discovery Applications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Biomarker Discovery</w:t>
      </w:r>
    </w:p>
    <w:p>
      <w:pPr>
        <w:spacing w:after="0" w:line="191"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It has been published that approximately 95% of FDA-approved drug targets are proteins. The Human Protein Atlas collaborative research project identified that FDA-approved drugs are targeting up to 812 separate human proteins and that there are 4,514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Proteoform Patterns as Biomarkers and Mechanism of Action Studies</w:t>
      </w:r>
    </w:p>
    <w:p>
      <w:pPr>
        <w:spacing w:after="0" w:line="191" w:lineRule="exact"/>
        <w:rPr>
          <w:sz w:val="20"/>
          <w:szCs w:val="20"/>
          <w:color w:val="auto"/>
        </w:rPr>
      </w:pPr>
    </w:p>
    <w:p>
      <w:pPr>
        <w:ind w:right="100" w:firstLine="349"/>
        <w:spacing w:after="0" w:line="260" w:lineRule="auto"/>
        <w:rPr>
          <w:sz w:val="20"/>
          <w:szCs w:val="20"/>
          <w:color w:val="auto"/>
        </w:rPr>
      </w:pPr>
      <w:r>
        <w:rPr>
          <w:rFonts w:ascii="Times New Roman" w:cs="Times New Roman" w:eastAsia="Times New Roman" w:hAnsi="Times New Roman"/>
          <w:sz w:val="19"/>
          <w:szCs w:val="19"/>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Longitudinal Monitoring of Proteome Dynamics</w:t>
      </w:r>
    </w:p>
    <w:p>
      <w:pPr>
        <w:spacing w:after="0" w:line="191"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880" w:h="15480" w:orient="portrait"/>
          <w:cols w:equalWidth="0" w:num="1">
            <w:col w:w="9960"/>
          </w:cols>
          <w:pgMar w:left="960" w:top="822" w:right="960" w:bottom="0" w:gutter="0" w:footer="0" w:header="0"/>
          <w:type w:val="continuous"/>
        </w:sectPr>
      </w:pPr>
    </w:p>
    <w:bookmarkStart w:id="33" w:name="page34"/>
    <w:bookmarkEnd w:id="33"/>
    <w:p>
      <w:pPr>
        <w:spacing w:after="0" w:line="262" w:lineRule="auto"/>
        <w:rPr>
          <w:sz w:val="20"/>
          <w:szCs w:val="20"/>
          <w:color w:val="auto"/>
        </w:rPr>
      </w:pPr>
      <w:r>
        <w:rPr>
          <w:rFonts w:ascii="Times New Roman" w:cs="Times New Roman" w:eastAsia="Times New Roman" w:hAnsi="Times New Roman"/>
          <w:sz w:val="19"/>
          <w:szCs w:val="19"/>
          <w:color w:val="auto"/>
        </w:rPr>
        <w:t>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129" w:lineRule="exact"/>
        <w:rPr>
          <w:sz w:val="20"/>
          <w:szCs w:val="20"/>
          <w:color w:val="auto"/>
        </w:rPr>
      </w:pPr>
    </w:p>
    <w:p>
      <w:pPr>
        <w:ind w:left="360" w:right="4180"/>
        <w:spacing w:after="0" w:line="451" w:lineRule="auto"/>
        <w:rPr>
          <w:sz w:val="20"/>
          <w:szCs w:val="20"/>
          <w:color w:val="auto"/>
        </w:rPr>
      </w:pPr>
      <w:r>
        <w:rPr>
          <w:rFonts w:ascii="Times New Roman" w:cs="Times New Roman" w:eastAsia="Times New Roman" w:hAnsi="Times New Roman"/>
          <w:sz w:val="19"/>
          <w:szCs w:val="19"/>
          <w:b w:val="1"/>
          <w:bCs w:val="1"/>
          <w:i w:val="1"/>
          <w:iCs w:val="1"/>
          <w:color w:val="auto"/>
        </w:rPr>
        <w:t>Diagnostics, Clinical Research and Drug Development Applications Transitioning from Discovery into Clinical Application</w:t>
      </w:r>
    </w:p>
    <w:p>
      <w:pPr>
        <w:spacing w:after="0" w:line="1"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141"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Precision Medicine Development &amp; Clinical Trial Support</w:t>
      </w:r>
    </w:p>
    <w:p>
      <w:pPr>
        <w:spacing w:after="0" w:line="191" w:lineRule="exact"/>
        <w:rPr>
          <w:sz w:val="20"/>
          <w:szCs w:val="20"/>
          <w:color w:val="auto"/>
        </w:rPr>
      </w:pPr>
    </w:p>
    <w:p>
      <w:pPr>
        <w:ind w:right="100" w:firstLine="349"/>
        <w:spacing w:after="0" w:line="263" w:lineRule="auto"/>
        <w:rPr>
          <w:sz w:val="20"/>
          <w:szCs w:val="20"/>
          <w:color w:val="auto"/>
        </w:rPr>
      </w:pPr>
      <w:r>
        <w:rPr>
          <w:rFonts w:ascii="Times New Roman" w:cs="Times New Roman" w:eastAsia="Times New Roman" w:hAnsi="Times New Roman"/>
          <w:sz w:val="19"/>
          <w:szCs w:val="19"/>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36"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41" w:lineRule="exact"/>
        <w:rPr>
          <w:sz w:val="20"/>
          <w:szCs w:val="20"/>
          <w:color w:val="auto"/>
        </w:rPr>
      </w:pPr>
    </w:p>
    <w:p>
      <w:pPr>
        <w:ind w:right="60" w:firstLine="349"/>
        <w:spacing w:after="0" w:line="261" w:lineRule="auto"/>
        <w:rPr>
          <w:sz w:val="20"/>
          <w:szCs w:val="20"/>
          <w:color w:val="auto"/>
        </w:rPr>
      </w:pPr>
      <w:r>
        <w:rPr>
          <w:rFonts w:ascii="Times New Roman" w:cs="Times New Roman" w:eastAsia="Times New Roman" w:hAnsi="Times New Roman"/>
          <w:sz w:val="19"/>
          <w:szCs w:val="19"/>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ectPr>
          <w:pgSz w:w="11880" w:h="15480" w:orient="portrait"/>
          <w:cols w:equalWidth="0" w:num="1">
            <w:col w:w="9960"/>
          </w:cols>
          <w:pgMar w:left="960" w:top="822" w:right="960" w:bottom="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880" w:h="15480" w:orient="portrait"/>
          <w:cols w:equalWidth="0" w:num="1">
            <w:col w:w="9960"/>
          </w:cols>
          <w:pgMar w:left="960" w:top="822" w:right="96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9"/>
          <w:szCs w:val="19"/>
          <w:b w:val="1"/>
          <w:bCs w:val="1"/>
          <w:color w:val="auto"/>
        </w:rPr>
        <w:t>OUR PRODUCTS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pacing w:after="0" w:line="196"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Our primary business model is anticipated to be focused on the commercialization of our Nautilus platform through the sale of instrumentation, reagent consumables, and software. Our proteome analysis system is our detection instrument at the center of our product suite, supported by reagent consumables for the preparation and analysis of proteins, and followed by sophisticated machine learning software architecture for the analysis and reporting of our data in the cloud.</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Proteome Analysis System</w:t>
      </w:r>
    </w:p>
    <w:p>
      <w:pPr>
        <w:spacing w:after="0" w:line="196" w:lineRule="exact"/>
        <w:rPr>
          <w:sz w:val="20"/>
          <w:szCs w:val="20"/>
          <w:color w:val="auto"/>
        </w:rPr>
      </w:pPr>
    </w:p>
    <w:p>
      <w:pPr>
        <w:ind w:right="180" w:firstLine="349"/>
        <w:spacing w:after="0" w:line="265" w:lineRule="auto"/>
        <w:rPr>
          <w:sz w:val="20"/>
          <w:szCs w:val="20"/>
          <w:color w:val="auto"/>
        </w:rPr>
      </w:pPr>
      <w:r>
        <w:rPr>
          <w:rFonts w:ascii="Times New Roman" w:cs="Times New Roman" w:eastAsia="Times New Roman" w:hAnsi="Times New Roman"/>
          <w:sz w:val="19"/>
          <w:szCs w:val="19"/>
          <w:color w:val="auto"/>
        </w:rPr>
        <w:t>Our proteome analysis system is a high-resolution optical imaging system coupled with integrated fluidics and liquid handling sub-systems. The system is designed to deposit protein libraries onto a flow cell and to process labeled multi-affinity probe binding and imaging cycles rapidly in order to decode and quantify the vast majority of proteins present in biological samples. After the reagent kits, samples (protein libraries), and flow cells are loaded onto the system, the remainder of the workflow is automated.</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Reagent Kits</w:t>
      </w:r>
    </w:p>
    <w:p>
      <w:pPr>
        <w:spacing w:after="0" w:line="196" w:lineRule="exact"/>
        <w:rPr>
          <w:sz w:val="20"/>
          <w:szCs w:val="20"/>
          <w:color w:val="auto"/>
        </w:rPr>
      </w:pPr>
    </w:p>
    <w:p>
      <w:pPr>
        <w:ind w:right="440" w:firstLine="349"/>
        <w:spacing w:after="0" w:line="293" w:lineRule="auto"/>
        <w:rPr>
          <w:sz w:val="20"/>
          <w:szCs w:val="20"/>
          <w:color w:val="auto"/>
        </w:rPr>
      </w:pPr>
      <w:r>
        <w:rPr>
          <w:rFonts w:ascii="Times New Roman" w:cs="Times New Roman" w:eastAsia="Times New Roman" w:hAnsi="Times New Roman"/>
          <w:sz w:val="19"/>
          <w:szCs w:val="19"/>
          <w:color w:val="auto"/>
        </w:rPr>
        <w:t>System run reagent kits are comprised of four main components: sample preparation, flow cell(s), multi-affinity probe reagents, and instrument buffers used to perform multi-cycle analysis runs.</w:t>
      </w:r>
    </w:p>
    <w:p>
      <w:pPr>
        <w:spacing w:after="0" w:line="107"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Our proprietary sample preparation kits will be designed for the isolation and preparation of a library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proteome analysis system, it is not expected that additional protein sample enrichment, enhancement or pre-treatments of samples will be required for processing, however we do intend to be compatible with such pre-treated samples. We also expect our customers and partners may wish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41" w:lineRule="exact"/>
        <w:rPr>
          <w:sz w:val="20"/>
          <w:szCs w:val="20"/>
          <w:color w:val="auto"/>
        </w:rPr>
      </w:pPr>
    </w:p>
    <w:p>
      <w:pPr>
        <w:ind w:right="20" w:firstLine="349"/>
        <w:spacing w:after="0" w:line="264" w:lineRule="auto"/>
        <w:rPr>
          <w:sz w:val="20"/>
          <w:szCs w:val="20"/>
          <w:color w:val="auto"/>
        </w:rPr>
      </w:pPr>
      <w:r>
        <w:rPr>
          <w:rFonts w:ascii="Times New Roman" w:cs="Times New Roman" w:eastAsia="Times New Roman" w:hAnsi="Times New Roman"/>
          <w:sz w:val="19"/>
          <w:szCs w:val="19"/>
          <w:color w:val="auto"/>
        </w:rPr>
        <w:t>In an effort to provide maximum flexibility, our initial flow cell design includes four physically separated and independent fluid channels, or “lanes,” such that a customer can introduce a unique biological sample in to each lane for multi-cycle analysis. Our proteome analysis system is designed to hold and concurrently analyze up to three flow cells in a single system run, for a total of 12 lanes. Additional sample throughput may also be achieved by the use of a molecular barcode in our reagent kits that will enable the multiplexing of more than one barcoded sample library together within a single lane for analysis in the future.</w:t>
      </w:r>
    </w:p>
    <w:p>
      <w:pPr>
        <w:spacing w:after="0" w:line="371"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Affinity binding reagents will also be included as a reagent kit. Kits will be offered in configurations that cover a catalog of proteomic content. We intend to supply a standardized set of multi-affinity probe reagents for the broadscale detection of proteins, or “proteome kits,” as well as protein-specific or proteoform-specific kits, or “targeted proteoform kits,” focused on high interest protein targets in key disease areas. Additionally, custom affinity reagent labeling kits are expected to be supplied in the future to enable customers to label their own in-house developed or purchased affinity reagents to be compatible with Nautilus workflows for use on the system.</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Software &amp; Analysis</w:t>
      </w:r>
    </w:p>
    <w:p>
      <w:pPr>
        <w:spacing w:after="0" w:line="196"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Our machine learning analysis software suite also is expected to be utilized as the analysis engine to decode the proteome system raw data into protein identifications and counts. Our software is expected to be a SaaS based service, utilizing Nautilus’ machine learning computational algorithms required to identify and quantify the proteins or proteoforms present in a sample run on the system. Our software is a learning and evolving system, which we are designing to improve in accuracy over time as the multi-affinity probe binding profiles are refined and trained across a growing database. We expect our software enhancements in performance will also be accessible to customers who wish to re-analyze prior run data with later versions to deliver new insight and discovery value.</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880" w:h="15480" w:orient="portrait"/>
          <w:cols w:equalWidth="0" w:num="1">
            <w:col w:w="9960"/>
          </w:cols>
          <w:pgMar w:left="960" w:top="815" w:right="96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9"/>
          <w:szCs w:val="19"/>
          <w:b w:val="1"/>
          <w:bCs w:val="1"/>
          <w:color w:val="auto"/>
        </w:rPr>
        <w:t>SALES &amp; MARKETING</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Commercial Strategy</w:t>
      </w:r>
    </w:p>
    <w:p>
      <w:pPr>
        <w:spacing w:after="0" w:line="196"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The primary business model we intend to implement is to directly commercialize our entire end-to-end Nautilus platform technology solution through the sale and installation of our proteome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 protein molecule quantitation, sensitivity, and reproducibility.</w:t>
      </w:r>
    </w:p>
    <w:p>
      <w:pPr>
        <w:spacing w:after="0" w:line="136"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We believe these customers represent a segment of the greater than 16,000 system install base of mass spectrometry detection systems already in use, many of which are dedicated to proteomic 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374"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Our proteome analysis system is expected to be priced in-line with mass spectrometry peptide detection equipment, or high-throughput NGS equipment, making the capital expense for our system within the budget for our initial customers. Our consumables are expected be priced at a level that provides comparable market value for full proteome analysis. The use of multiplexed run configurations will continue to grow over time, which we believe will help to reduce our costs and the price-per-sample of our reagent kits such that we are able to support customers with very high-throughput applications of our systems. We expect these high-throughput run configurations and economics to accelerate the initiation of large-scale proteomics and multi-omics research projects, and also to be much more compatible with centralized core lab facility operations with requirements for proteomic data generation that can support an entire organization or user base.</w:t>
      </w:r>
    </w:p>
    <w:p>
      <w:pPr>
        <w:spacing w:after="0" w:line="137"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proteome analysis system. We further believe that once our proteome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 and post- proteome analysis system launch.</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Go-To-Market Strategy</w:t>
      </w:r>
    </w:p>
    <w:p>
      <w:pPr>
        <w:spacing w:after="0" w:line="196"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We expect our proteome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Our planned go-to-market strategy is organized into 3 phases:</w:t>
      </w:r>
    </w:p>
    <w:p>
      <w:pPr>
        <w:spacing w:after="0" w:line="189" w:lineRule="exact"/>
        <w:rPr>
          <w:sz w:val="20"/>
          <w:szCs w:val="20"/>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Collaborations &amp; Partnerships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Early Access Program</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Proteome Analysis System Launch &amp; Commercial Scale Up</w:t>
      </w:r>
    </w:p>
    <w:p>
      <w:pPr>
        <w:spacing w:after="0" w:line="189"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w:t>
      </w:r>
    </w:p>
    <w:p>
      <w:pPr>
        <w:sectPr>
          <w:pgSz w:w="11880" w:h="15480" w:orient="portrait"/>
          <w:cols w:equalWidth="0" w:num="1">
            <w:col w:w="9960"/>
          </w:cols>
          <w:pgMar w:left="960" w:top="815" w:right="960" w:bottom="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880" w:h="15480" w:orient="portrait"/>
          <w:cols w:equalWidth="0" w:num="1">
            <w:col w:w="9960"/>
          </w:cols>
          <w:pgMar w:left="960" w:top="815" w:right="960" w:bottom="0" w:gutter="0" w:footer="0" w:header="0"/>
          <w:type w:val="continuous"/>
        </w:sectPr>
      </w:pPr>
    </w:p>
    <w:bookmarkStart w:id="36" w:name="page37"/>
    <w:bookmarkEnd w:id="36"/>
    <w:p>
      <w:pPr>
        <w:ind w:right="500"/>
        <w:spacing w:after="0" w:line="293" w:lineRule="auto"/>
        <w:rPr>
          <w:sz w:val="20"/>
          <w:szCs w:val="20"/>
          <w:color w:val="auto"/>
        </w:rPr>
      </w:pPr>
      <w:r>
        <w:rPr>
          <w:rFonts w:ascii="Times New Roman" w:cs="Times New Roman" w:eastAsia="Times New Roman" w:hAnsi="Times New Roman"/>
          <w:sz w:val="19"/>
          <w:szCs w:val="19"/>
          <w:color w:val="auto"/>
        </w:rPr>
        <w:t>of the milestones on our development plan are potentially new and unprecedented advancements we can leverage to build commercial momentum.</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Aligning Go-to-Market Strategy with Research and Development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158750</wp:posOffset>
            </wp:positionV>
            <wp:extent cx="6101715" cy="3164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6101715" cy="316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Collaborations &amp; Partnerships</w:t>
      </w:r>
    </w:p>
    <w:p>
      <w:pPr>
        <w:spacing w:after="0" w:line="191"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have launched a formal partnering program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Early Access Program</w:t>
      </w:r>
    </w:p>
    <w:p>
      <w:pPr>
        <w:spacing w:after="0" w:line="191"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Following the important Collaboration and Partnership work necessary to lay a foundation of publications describing our technology and the initial product applications, we believe we will have a body of scientific evidence sufficient to start building demand for our technology and the single-molecule proteomic data it generates. We then intend to initiate our pre-sales activities, which include the launch of an Early Access Program comprised of a service offering that will generate data on customer biological samples using our prototype systems run by Nautilus staff in our facilities. Using this Early Access Program, we intend to begin building a pipeline of customer engagements, supporting their evaluations of our technology through proof of concept and pilot studies, and giving them access to our data to begin establishing interest in our proteome analysis system leading up to launch.</w:t>
      </w:r>
    </w:p>
    <w:p>
      <w:pPr>
        <w:spacing w:after="0" w:line="137" w:lineRule="exact"/>
        <w:rPr>
          <w:sz w:val="20"/>
          <w:szCs w:val="20"/>
          <w:color w:val="auto"/>
        </w:rPr>
      </w:pPr>
    </w:p>
    <w:p>
      <w:pPr>
        <w:ind w:right="120" w:firstLine="349"/>
        <w:spacing w:after="0" w:line="265" w:lineRule="auto"/>
        <w:rPr>
          <w:sz w:val="20"/>
          <w:szCs w:val="20"/>
          <w:color w:val="auto"/>
        </w:rPr>
      </w:pPr>
      <w:r>
        <w:rPr>
          <w:rFonts w:ascii="Times New Roman" w:cs="Times New Roman" w:eastAsia="Times New Roman" w:hAnsi="Times New Roman"/>
          <w:sz w:val="19"/>
          <w:szCs w:val="19"/>
          <w:color w:val="auto"/>
        </w:rPr>
        <w:t>We further intend to build on the momentum of our Early Access Program by expanding it to include a small group of target customers for the sales and subsequent testing of our first generation proteome analysis system on site at their facilities. Our goal in the planned proteome analysis system Early Access Program is to establish this influential group of customers as reference sites ahead of our broader commercial launch, and to integrate the learnings from our system performance outside of our own laboratories to improve the performance and robustness of our system and process design.</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ectPr>
          <w:pgSz w:w="11880" w:h="15480" w:orient="portrait"/>
          <w:cols w:equalWidth="0" w:num="1">
            <w:col w:w="9940"/>
          </w:cols>
          <w:pgMar w:left="960" w:top="822" w:right="980" w:bottom="0" w:gutter="0" w:footer="0" w:header="0"/>
          <w:type w:val="continuous"/>
        </w:sectPr>
      </w:pPr>
    </w:p>
    <w:bookmarkStart w:id="37" w:name="page38"/>
    <w:bookmarkEnd w:id="37"/>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Proteome Analysis System Launch and Commercial Scale Up</w:t>
      </w:r>
    </w:p>
    <w:p>
      <w:pPr>
        <w:spacing w:after="0" w:line="191"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At full commercial proteome analysis system launch, we expect to continue offering our Proteomic Data Early Access Program, and to maintain the laboratory services to continue supporting proof of concept and pilot projects for an extended period of time to continue building our sales funnel. Our proteome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proteome analysis system commercial launch, we expect future system upgrades and enhancements periodically over time that will further drive discovery potential and our business with each incremental advancement.</w:t>
      </w:r>
    </w:p>
    <w:p>
      <w:pPr>
        <w:spacing w:after="0" w:line="137" w:lineRule="exact"/>
        <w:rPr>
          <w:sz w:val="20"/>
          <w:szCs w:val="20"/>
          <w:color w:val="auto"/>
        </w:rPr>
      </w:pPr>
    </w:p>
    <w:p>
      <w:pPr>
        <w:ind w:right="160" w:firstLine="349"/>
        <w:spacing w:after="0" w:line="274" w:lineRule="auto"/>
        <w:rPr>
          <w:sz w:val="20"/>
          <w:szCs w:val="20"/>
          <w:color w:val="auto"/>
        </w:rPr>
      </w:pPr>
      <w:r>
        <w:rPr>
          <w:rFonts w:ascii="Times New Roman" w:cs="Times New Roman" w:eastAsia="Times New Roman" w:hAnsi="Times New Roman"/>
          <w:sz w:val="19"/>
          <w:szCs w:val="19"/>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125" w:lineRule="exact"/>
        <w:rPr>
          <w:sz w:val="20"/>
          <w:szCs w:val="20"/>
          <w:color w:val="auto"/>
        </w:rPr>
      </w:pPr>
    </w:p>
    <w:p>
      <w:pPr>
        <w:ind w:left="700" w:hanging="350"/>
        <w:spacing w:after="0"/>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Being first to market with a novel protein and proteoform detection platform;</w:t>
      </w:r>
    </w:p>
    <w:p>
      <w:pPr>
        <w:spacing w:after="0" w:line="189" w:lineRule="exact"/>
        <w:rPr>
          <w:rFonts w:ascii="Times New Roman" w:cs="Times New Roman" w:eastAsia="Times New Roman" w:hAnsi="Times New Roman"/>
          <w:sz w:val="19"/>
          <w:szCs w:val="19"/>
          <w:color w:val="auto"/>
        </w:rPr>
      </w:pPr>
    </w:p>
    <w:p>
      <w:pPr>
        <w:ind w:left="700" w:right="100" w:hanging="350"/>
        <w:spacing w:after="0" w:line="293" w:lineRule="auto"/>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Demonstrating the ability to unlock new sources of primary biological information with proteoform mapping and rare protein detection;</w:t>
      </w:r>
    </w:p>
    <w:p>
      <w:pPr>
        <w:spacing w:after="0" w:line="107" w:lineRule="exact"/>
        <w:rPr>
          <w:rFonts w:ascii="Times New Roman" w:cs="Times New Roman" w:eastAsia="Times New Roman" w:hAnsi="Times New Roman"/>
          <w:sz w:val="19"/>
          <w:szCs w:val="19"/>
          <w:color w:val="auto"/>
        </w:rPr>
      </w:pPr>
    </w:p>
    <w:p>
      <w:pPr>
        <w:ind w:left="700" w:right="560" w:hanging="350"/>
        <w:spacing w:after="0" w:line="293" w:lineRule="auto"/>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immense data production capacity, driving discovery by enabling large scale studies and building our database to become a strategic asset;</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Implementing a proven commercial model with an efficient direct salesforce; and</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Expanding our impact in translational research for clinical applications, precision medicine and diagnostics.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Partnerships</w:t>
      </w:r>
    </w:p>
    <w:p>
      <w:pPr>
        <w:spacing w:after="0" w:line="196"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In December of 2020, we signed a research collaboration agreement with Genentech to engage in a pilot study using our technology. We are collaborating with Genentech using our proteome analysis system to analyze and map the proteoform landscape of a Genentech protein target of interest. In October 2021, we entered into a research collaboration agreement with Amgen in which the Nautilus platform will be used across a number of projects to investigate proteins and proteoforms of interest to the both organizations. In October 2021, we signed a research agreement with The University of Texas MD Anderson Cancer Center. In this research collaboration the Nautilus platform will be applied in measuring the quantity and patterns of post-translational modifications on specific oncology protein targets of interest across different settings, such as pre-and post treatment. And, in January of 2023, we entered into a research collaboration with the Translational Genomics Research Institute, which is a Phoenix, Arizona-based nonprofit organization dedicated to conducting groundbreaking research with life-changing results. Translational Genomics Research Institute is part of City of Hope, a world-renowned independent research and treatment center for cancer, diabetes and other life-threatening diseases. All of the above research collaborations are consistent with our objectives in Phase I of our commercial go-to-market strategy to establish external collaborations and relationships that produce data and publications exploring the utility and strengths of our Nautilus platform technology.</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Commercial Organization</w:t>
      </w:r>
    </w:p>
    <w:p>
      <w:pPr>
        <w:spacing w:after="0" w:line="196"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MANUFACTURING AND SUPPLY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Reagent and Flow Cell Consumables</w:t>
      </w:r>
    </w:p>
    <w:p>
      <w:pPr>
        <w:spacing w:after="0" w:line="196"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w:t>
      </w:r>
    </w:p>
    <w:p>
      <w:pPr>
        <w:sectPr>
          <w:pgSz w:w="11880" w:h="15480" w:orient="portrait"/>
          <w:cols w:equalWidth="0" w:num="1">
            <w:col w:w="9940"/>
          </w:cols>
          <w:pgMar w:left="960" w:top="820" w:right="98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ectPr>
          <w:pgSz w:w="11880" w:h="15480" w:orient="portrait"/>
          <w:cols w:equalWidth="0" w:num="1">
            <w:col w:w="9940"/>
          </w:cols>
          <w:pgMar w:left="960" w:top="820" w:right="980" w:bottom="0" w:gutter="0" w:footer="0" w:header="0"/>
          <w:type w:val="continuous"/>
        </w:sectPr>
      </w:pPr>
    </w:p>
    <w:bookmarkStart w:id="38" w:name="page39"/>
    <w:bookmarkEnd w:id="38"/>
    <w:p>
      <w:pPr>
        <w:ind w:right="160"/>
        <w:spacing w:after="0" w:line="268" w:lineRule="auto"/>
        <w:rPr>
          <w:sz w:val="20"/>
          <w:szCs w:val="20"/>
          <w:color w:val="auto"/>
        </w:rPr>
      </w:pPr>
      <w:r>
        <w:rPr>
          <w:rFonts w:ascii="Times New Roman" w:cs="Times New Roman" w:eastAsia="Times New Roman" w:hAnsi="Times New Roman"/>
          <w:sz w:val="19"/>
          <w:szCs w:val="19"/>
          <w:color w:val="auto"/>
        </w:rPr>
        <w:t>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Times New Roman" w:cs="Times New Roman" w:eastAsia="Times New Roman" w:hAnsi="Times New Roman"/>
          <w:sz w:val="19"/>
          <w:szCs w:val="19"/>
          <w:b w:val="1"/>
          <w:bCs w:val="1"/>
          <w:i w:val="1"/>
          <w:iCs w:val="1"/>
          <w:color w:val="auto"/>
        </w:rPr>
        <w:t>Risk Factors— Risks Related to our Business.</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Instrumentation</w:t>
      </w:r>
    </w:p>
    <w:p>
      <w:pPr>
        <w:spacing w:after="0" w:line="196" w:lineRule="exact"/>
        <w:rPr>
          <w:sz w:val="20"/>
          <w:szCs w:val="20"/>
          <w:color w:val="auto"/>
        </w:rPr>
      </w:pPr>
    </w:p>
    <w:p>
      <w:pPr>
        <w:ind w:right="140" w:firstLine="349"/>
        <w:spacing w:after="0" w:line="263" w:lineRule="auto"/>
        <w:rPr>
          <w:sz w:val="20"/>
          <w:szCs w:val="20"/>
          <w:color w:val="auto"/>
        </w:rPr>
      </w:pPr>
      <w:r>
        <w:rPr>
          <w:rFonts w:ascii="Times New Roman" w:cs="Times New Roman" w:eastAsia="Times New Roman" w:hAnsi="Times New Roman"/>
          <w:sz w:val="19"/>
          <w:szCs w:val="19"/>
          <w:color w:val="auto"/>
        </w:rPr>
        <w:t>Our proteome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or at our manufacturing partner facilities.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374" w:lineRule="exact"/>
        <w:rPr>
          <w:sz w:val="20"/>
          <w:szCs w:val="20"/>
          <w:color w:val="auto"/>
        </w:rPr>
      </w:pPr>
    </w:p>
    <w:p>
      <w:pPr>
        <w:ind w:right="160" w:firstLine="349"/>
        <w:spacing w:after="0" w:line="263" w:lineRule="auto"/>
        <w:rPr>
          <w:sz w:val="20"/>
          <w:szCs w:val="20"/>
          <w:color w:val="auto"/>
        </w:rPr>
      </w:pPr>
      <w:r>
        <w:rPr>
          <w:rFonts w:ascii="Times New Roman" w:cs="Times New Roman" w:eastAsia="Times New Roman" w:hAnsi="Times New Roman"/>
          <w:sz w:val="19"/>
          <w:szCs w:val="19"/>
          <w:color w:val="auto"/>
        </w:rPr>
        <w:t>However, we believe we are substantially differentiated from our competitors for many reasons, including our novel approach to high throughput and massively parallel proteomic technology, the unique and proprietary nature of our technologies, the novel detail of protein modification mapping our platform can achieve,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 REGULATION</w:t>
      </w:r>
    </w:p>
    <w:p>
      <w:pPr>
        <w:spacing w:after="0" w:line="196"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The development, testing, manufacturing, marketing, post-market surveillance, distribution, advertising and labeling of certain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44"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375"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ectPr>
          <w:pgSz w:w="11880" w:h="15480" w:orient="portrait"/>
          <w:cols w:equalWidth="0" w:num="1">
            <w:col w:w="9940"/>
          </w:cols>
          <w:pgMar w:left="960" w:top="822" w:right="980" w:bottom="0" w:gutter="0" w:footer="0" w:header="0"/>
          <w:type w:val="continuous"/>
        </w:sectPr>
      </w:pPr>
    </w:p>
    <w:bookmarkStart w:id="39" w:name="page40"/>
    <w:bookmarkEnd w:id="39"/>
    <w:p>
      <w:pPr>
        <w:ind w:right="180"/>
        <w:spacing w:after="0" w:line="261" w:lineRule="auto"/>
        <w:rPr>
          <w:sz w:val="20"/>
          <w:szCs w:val="20"/>
          <w:color w:val="auto"/>
        </w:rPr>
      </w:pPr>
      <w:r>
        <w:rPr>
          <w:rFonts w:ascii="Times New Roman" w:cs="Times New Roman" w:eastAsia="Times New Roman" w:hAnsi="Times New Roman"/>
          <w:sz w:val="19"/>
          <w:szCs w:val="19"/>
          <w:color w:val="auto"/>
        </w:rPr>
        <w:t>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37"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8"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38" w:lineRule="exact"/>
        <w:rPr>
          <w:sz w:val="20"/>
          <w:szCs w:val="20"/>
          <w:color w:val="auto"/>
        </w:rPr>
      </w:pPr>
    </w:p>
    <w:p>
      <w:pPr>
        <w:ind w:right="120" w:firstLine="349"/>
        <w:spacing w:after="0" w:line="259" w:lineRule="auto"/>
        <w:rPr>
          <w:sz w:val="20"/>
          <w:szCs w:val="20"/>
          <w:color w:val="auto"/>
        </w:rPr>
      </w:pPr>
      <w:r>
        <w:rPr>
          <w:rFonts w:ascii="Times New Roman" w:cs="Times New Roman" w:eastAsia="Times New Roman" w:hAnsi="Times New Roman"/>
          <w:sz w:val="19"/>
          <w:szCs w:val="19"/>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44"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41" w:lineRule="exact"/>
        <w:rPr>
          <w:sz w:val="20"/>
          <w:szCs w:val="20"/>
          <w:color w:val="auto"/>
        </w:rPr>
      </w:pPr>
    </w:p>
    <w:p>
      <w:pPr>
        <w:ind w:right="580" w:firstLine="349"/>
        <w:spacing w:after="0" w:line="265" w:lineRule="auto"/>
        <w:rPr>
          <w:sz w:val="20"/>
          <w:szCs w:val="20"/>
          <w:color w:val="auto"/>
        </w:rPr>
      </w:pPr>
      <w:r>
        <w:rPr>
          <w:rFonts w:ascii="Times New Roman" w:cs="Times New Roman" w:eastAsia="Times New Roman" w:hAnsi="Times New Roman"/>
          <w:sz w:val="19"/>
          <w:szCs w:val="19"/>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880" w:h="15480" w:orient="portrait"/>
          <w:cols w:equalWidth="0" w:num="1">
            <w:col w:w="9960"/>
          </w:cols>
          <w:pgMar w:left="960" w:top="822" w:right="960" w:bottom="0" w:gutter="0" w:footer="0" w:header="0"/>
          <w:type w:val="continuous"/>
        </w:sectPr>
      </w:pPr>
    </w:p>
    <w:bookmarkStart w:id="40" w:name="page41"/>
    <w:bookmarkEnd w:id="40"/>
    <w:p>
      <w:pPr>
        <w:ind w:right="80" w:firstLine="349"/>
        <w:spacing w:after="0" w:line="258" w:lineRule="auto"/>
        <w:rPr>
          <w:sz w:val="20"/>
          <w:szCs w:val="20"/>
          <w:color w:val="auto"/>
        </w:rPr>
      </w:pPr>
      <w:r>
        <w:rPr>
          <w:rFonts w:ascii="Times New Roman" w:cs="Times New Roman" w:eastAsia="Times New Roman" w:hAnsi="Times New Roman"/>
          <w:sz w:val="19"/>
          <w:szCs w:val="19"/>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42"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The EU IVDR was entered into application on May 26, 2022, which replaced the IVD Directive and aims to improve the quality, safety and reliability of in vitro diagnostic medical devices with a new risk-based device classification system, provide for more detailed and stringent rules on the evaluation of device performance, and to enhance vigilance and post-market surveillance, among other changes. Outside of the EU, regulatory authorization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1"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In August 2020, the Department of Health and Human Services, or HHS, announced rescission of guidance and other informal issuances of the FDA regarding premarket review of LDT absent notice-and-comment rulemaking, stating that, absent notice-and-comment rulemaking LDTs are not required to obtain FDA premarket authorization. In November 2021, HHS under the Biden administration issued a statement that withdrew the August 2020 policy announcement stating that HHS does not have a policy on LDTs that is separate from the FDA’s longstanding approach.</w:t>
      </w:r>
    </w:p>
    <w:p>
      <w:pPr>
        <w:spacing w:after="0" w:line="133"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Legislative and administrative proposals to amend the FDA's oversight of LDTs have been introduced in recent years, including the Verifying Accurate Leading-edge IVCT Development Act of 2021 (VALID Act), which aims to create a new category of medical products separate from medical devices called “in vitro clinical tests,” or IVCTs, and bring all such products within the scope of the FDA’s oversight. To date, Congress has not passed the VALID Act, but may revisit the VALID Act or similar policy riders and enact other FDA programmatic reforms in the future. It is unclear how future legislation by federal and state governments and FDA regulation will impact the industry, including our business and that of our customers.</w:t>
      </w:r>
    </w:p>
    <w:p>
      <w:pPr>
        <w:spacing w:after="0" w:line="374"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39" w:lineRule="exact"/>
        <w:rPr>
          <w:sz w:val="20"/>
          <w:szCs w:val="20"/>
          <w:color w:val="auto"/>
        </w:rPr>
      </w:pPr>
    </w:p>
    <w:p>
      <w:pPr>
        <w:ind w:right="160" w:firstLine="349"/>
        <w:spacing w:after="0" w:line="295" w:lineRule="auto"/>
        <w:rPr>
          <w:sz w:val="20"/>
          <w:szCs w:val="20"/>
          <w:color w:val="auto"/>
        </w:rPr>
      </w:pPr>
      <w:r>
        <w:rPr>
          <w:rFonts w:ascii="Times New Roman" w:cs="Times New Roman" w:eastAsia="Times New Roman" w:hAnsi="Times New Roman"/>
          <w:sz w:val="19"/>
          <w:szCs w:val="19"/>
          <w:color w:val="auto"/>
        </w:rPr>
        <w:t>For further discussion of the risks we face relating to regulation, see the section titled “</w:t>
      </w:r>
      <w:r>
        <w:rPr>
          <w:rFonts w:ascii="Times New Roman" w:cs="Times New Roman" w:eastAsia="Times New Roman" w:hAnsi="Times New Roman"/>
          <w:sz w:val="19"/>
          <w:szCs w:val="19"/>
          <w:b w:val="1"/>
          <w:bCs w:val="1"/>
          <w:i w:val="1"/>
          <w:iCs w:val="1"/>
          <w:color w:val="auto"/>
        </w:rPr>
        <w:t>Risk factors— Risks Related to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Business— Risks Related to Regulatory and Legal Compliance Matters.</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880" w:h="15480" w:orient="portrait"/>
          <w:cols w:equalWidth="0" w:num="1">
            <w:col w:w="9960"/>
          </w:cols>
          <w:pgMar w:left="960" w:top="822" w:right="960" w:bottom="0" w:gutter="0" w:footer="0" w:header="0"/>
          <w:type w:val="continuous"/>
        </w:sectPr>
      </w:pPr>
    </w:p>
    <w:bookmarkStart w:id="41" w:name="page42"/>
    <w:bookmarkEnd w:id="41"/>
    <w:p>
      <w:pPr>
        <w:jc w:val="both"/>
        <w:ind w:right="460"/>
        <w:spacing w:after="0" w:line="268" w:lineRule="auto"/>
        <w:rPr>
          <w:sz w:val="20"/>
          <w:szCs w:val="20"/>
          <w:color w:val="auto"/>
        </w:rPr>
      </w:pPr>
      <w:r>
        <w:rPr>
          <w:rFonts w:ascii="Times New Roman" w:cs="Times New Roman" w:eastAsia="Times New Roman" w:hAnsi="Times New Roman"/>
          <w:sz w:val="19"/>
          <w:szCs w:val="19"/>
          <w:color w:val="auto"/>
        </w:rPr>
        <w:t>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31"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41" w:lineRule="exact"/>
        <w:rPr>
          <w:sz w:val="20"/>
          <w:szCs w:val="20"/>
          <w:color w:val="auto"/>
        </w:rPr>
      </w:pPr>
    </w:p>
    <w:p>
      <w:pPr>
        <w:ind w:right="100" w:firstLine="349"/>
        <w:spacing w:after="0" w:line="258" w:lineRule="auto"/>
        <w:rPr>
          <w:sz w:val="20"/>
          <w:szCs w:val="20"/>
          <w:color w:val="auto"/>
        </w:rPr>
      </w:pPr>
      <w:r>
        <w:rPr>
          <w:rFonts w:ascii="Times New Roman" w:cs="Times New Roman" w:eastAsia="Times New Roman" w:hAnsi="Times New Roman"/>
          <w:sz w:val="19"/>
          <w:szCs w:val="19"/>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42" w:lineRule="exact"/>
        <w:rPr>
          <w:sz w:val="20"/>
          <w:szCs w:val="20"/>
          <w:color w:val="auto"/>
        </w:rPr>
      </w:pPr>
    </w:p>
    <w:p>
      <w:pPr>
        <w:ind w:right="160" w:firstLine="349"/>
        <w:spacing w:after="0" w:line="268" w:lineRule="auto"/>
        <w:rPr>
          <w:sz w:val="20"/>
          <w:szCs w:val="20"/>
          <w:color w:val="auto"/>
        </w:rPr>
      </w:pPr>
      <w:r>
        <w:rPr>
          <w:rFonts w:ascii="Times New Roman" w:cs="Times New Roman" w:eastAsia="Times New Roman" w:hAnsi="Times New Roman"/>
          <w:sz w:val="19"/>
          <w:szCs w:val="19"/>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31"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34" w:lineRule="exact"/>
        <w:rPr>
          <w:sz w:val="20"/>
          <w:szCs w:val="20"/>
          <w:color w:val="auto"/>
        </w:rPr>
      </w:pPr>
    </w:p>
    <w:p>
      <w:pPr>
        <w:ind w:right="140" w:firstLine="349"/>
        <w:spacing w:after="0" w:line="295" w:lineRule="auto"/>
        <w:rPr>
          <w:sz w:val="20"/>
          <w:szCs w:val="20"/>
          <w:color w:val="auto"/>
        </w:rPr>
      </w:pPr>
      <w:r>
        <w:rPr>
          <w:rFonts w:ascii="Times New Roman" w:cs="Times New Roman" w:eastAsia="Times New Roman" w:hAnsi="Times New Roman"/>
          <w:sz w:val="19"/>
          <w:szCs w:val="19"/>
          <w:color w:val="auto"/>
        </w:rPr>
        <w:t>For further discussion of the risks we face relating to regulation, see the section titled “</w:t>
      </w:r>
      <w:r>
        <w:rPr>
          <w:rFonts w:ascii="Times New Roman" w:cs="Times New Roman" w:eastAsia="Times New Roman" w:hAnsi="Times New Roman"/>
          <w:sz w:val="19"/>
          <w:szCs w:val="19"/>
          <w:b w:val="1"/>
          <w:bCs w:val="1"/>
          <w:i w:val="1"/>
          <w:iCs w:val="1"/>
          <w:color w:val="auto"/>
        </w:rPr>
        <w:t>Risk factors— Risks Related to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Business— Risks Related to Regulatory and Legal Compliance Matters.</w:t>
      </w:r>
      <w:r>
        <w:rPr>
          <w:rFonts w:ascii="Times New Roman" w:cs="Times New Roman" w:eastAsia="Times New Roman" w:hAnsi="Times New Roman"/>
          <w:sz w:val="19"/>
          <w:szCs w:val="19"/>
          <w:color w:val="auto"/>
        </w:rPr>
        <w: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Patents</w:t>
      </w:r>
    </w:p>
    <w:p>
      <w:pPr>
        <w:spacing w:after="0" w:line="196" w:lineRule="exact"/>
        <w:rPr>
          <w:sz w:val="20"/>
          <w:szCs w:val="20"/>
          <w:color w:val="auto"/>
        </w:rPr>
      </w:pPr>
    </w:p>
    <w:p>
      <w:pPr>
        <w:ind w:right="220" w:firstLine="349"/>
        <w:spacing w:after="0" w:line="293" w:lineRule="auto"/>
        <w:rPr>
          <w:sz w:val="20"/>
          <w:szCs w:val="20"/>
          <w:color w:val="auto"/>
        </w:rPr>
      </w:pPr>
      <w:r>
        <w:rPr>
          <w:rFonts w:ascii="Times New Roman" w:cs="Times New Roman" w:eastAsia="Times New Roman" w:hAnsi="Times New Roman"/>
          <w:sz w:val="19"/>
          <w:szCs w:val="19"/>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07"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As of December 31, 2022, we owned eight issued U.S. patents, approximately twenty-nine pending U.S. non-provisional patent applications, approximately twenty-two pending U.S. provisional patent applications, and approximately fifty-five pending foreign patent applications, including twelve international patent applications filed under the Patent Cooperation Treaty (PCT application). Our owned patents and patent applications, if issued, are expected to expire between 2037 and 2043, in each</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ectPr>
          <w:pgSz w:w="11880" w:h="15480" w:orient="portrait"/>
          <w:cols w:equalWidth="0" w:num="1">
            <w:col w:w="9940"/>
          </w:cols>
          <w:pgMar w:left="960" w:top="822" w:right="980" w:bottom="0" w:gutter="0" w:footer="0" w:header="0"/>
          <w:type w:val="continuous"/>
        </w:sectPr>
      </w:pPr>
    </w:p>
    <w:bookmarkStart w:id="42" w:name="page43"/>
    <w:bookmarkEnd w:id="42"/>
    <w:p>
      <w:pPr>
        <w:ind w:right="100"/>
        <w:spacing w:after="0" w:line="293" w:lineRule="auto"/>
        <w:rPr>
          <w:sz w:val="20"/>
          <w:szCs w:val="20"/>
          <w:color w:val="auto"/>
        </w:rPr>
      </w:pPr>
      <w:r>
        <w:rPr>
          <w:rFonts w:ascii="Times New Roman" w:cs="Times New Roman" w:eastAsia="Times New Roman" w:hAnsi="Times New Roman"/>
          <w:sz w:val="19"/>
          <w:szCs w:val="19"/>
          <w:color w:val="auto"/>
        </w:rPr>
        <w:t>case absent any patent term adjustments or extensions and assuming payment of all appropriate maintenance, renewal, annuity, or other governmental fees.</w:t>
      </w:r>
    </w:p>
    <w:p>
      <w:pPr>
        <w:spacing w:after="0" w:line="107" w:lineRule="exact"/>
        <w:rPr>
          <w:sz w:val="20"/>
          <w:szCs w:val="20"/>
          <w:color w:val="auto"/>
        </w:rPr>
      </w:pPr>
    </w:p>
    <w:p>
      <w:pPr>
        <w:ind w:right="180" w:firstLine="349"/>
        <w:spacing w:after="0" w:line="265" w:lineRule="auto"/>
        <w:rPr>
          <w:sz w:val="20"/>
          <w:szCs w:val="20"/>
          <w:color w:val="auto"/>
        </w:rPr>
      </w:pPr>
      <w:r>
        <w:rPr>
          <w:rFonts w:ascii="Times New Roman" w:cs="Times New Roman" w:eastAsia="Times New Roman" w:hAnsi="Times New Roman"/>
          <w:sz w:val="19"/>
          <w:szCs w:val="19"/>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arrays and other consumables; sample preparation; high throughput decoding algorithms, and algorithms for secondary analysis of proteins and proteomes, amongst other things.</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Trade Secrets</w:t>
      </w:r>
    </w:p>
    <w:p>
      <w:pPr>
        <w:spacing w:after="0" w:line="196"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Trademarks</w:t>
      </w:r>
    </w:p>
    <w:p>
      <w:pPr>
        <w:spacing w:after="0" w:line="196" w:lineRule="exact"/>
        <w:rPr>
          <w:sz w:val="20"/>
          <w:szCs w:val="20"/>
          <w:color w:val="auto"/>
        </w:rPr>
      </w:pPr>
    </w:p>
    <w:p>
      <w:pPr>
        <w:jc w:val="both"/>
        <w:ind w:right="120" w:firstLine="349"/>
        <w:spacing w:after="0" w:line="274" w:lineRule="auto"/>
        <w:rPr>
          <w:sz w:val="20"/>
          <w:szCs w:val="20"/>
          <w:color w:val="auto"/>
        </w:rPr>
      </w:pPr>
      <w:r>
        <w:rPr>
          <w:rFonts w:ascii="Times New Roman" w:cs="Times New Roman" w:eastAsia="Times New Roman" w:hAnsi="Times New Roman"/>
          <w:sz w:val="19"/>
          <w:szCs w:val="19"/>
          <w:color w:val="auto"/>
        </w:rPr>
        <w:t>As of December 31, 2022, we owned approximately six registered trademarks in China, the United Kingdom, and Europe. In addition, we have seven pending trademark applications in the U.S., Australia, Brazil, Canada, China, the European Union, India, Israel, Japan, Korea, Mexico, Singapore, Switzerland, and the United Kingdom.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Collaboration Agreements</w:t>
      </w:r>
    </w:p>
    <w:p>
      <w:pPr>
        <w:spacing w:after="0" w:line="19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We have entered into research collaboration agreements with Genentech in December 2020, with Amgen in October 2021, with The University of Texas MD Anderson Cancer Center in October 2021, and with Translational Genomics Research Institute in January 2023. Under each of these agreements, respective research collaboration teams are using the Nautilus platform to analyze and map proteoforms of interest to the specific collaborator. These agreements are for research only and we will not generate any revenue under the agreements.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Scientific Advisory Board</w:t>
      </w:r>
    </w:p>
    <w:p>
      <w:pPr>
        <w:spacing w:after="0" w:line="196" w:lineRule="exact"/>
        <w:rPr>
          <w:sz w:val="20"/>
          <w:szCs w:val="20"/>
          <w:color w:val="auto"/>
        </w:rPr>
      </w:pPr>
    </w:p>
    <w:p>
      <w:pPr>
        <w:ind w:right="20" w:firstLine="349"/>
        <w:spacing w:after="0" w:line="293" w:lineRule="auto"/>
        <w:rPr>
          <w:sz w:val="20"/>
          <w:szCs w:val="20"/>
          <w:color w:val="auto"/>
        </w:rPr>
      </w:pPr>
      <w:r>
        <w:rPr>
          <w:rFonts w:ascii="Times New Roman" w:cs="Times New Roman" w:eastAsia="Times New Roman" w:hAnsi="Times New Roman"/>
          <w:sz w:val="19"/>
          <w:szCs w:val="19"/>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Ruedi Aebersold, Ph.D.</w:t>
      </w:r>
    </w:p>
    <w:p>
      <w:pPr>
        <w:spacing w:after="0" w:line="191" w:lineRule="exact"/>
        <w:rPr>
          <w:sz w:val="20"/>
          <w:szCs w:val="20"/>
          <w:color w:val="auto"/>
        </w:rPr>
      </w:pPr>
    </w:p>
    <w:p>
      <w:pPr>
        <w:jc w:val="both"/>
        <w:ind w:right="100" w:firstLine="349"/>
        <w:spacing w:after="0" w:line="274" w:lineRule="auto"/>
        <w:rPr>
          <w:sz w:val="20"/>
          <w:szCs w:val="20"/>
          <w:color w:val="auto"/>
        </w:rPr>
      </w:pPr>
      <w:r>
        <w:rPr>
          <w:rFonts w:ascii="Times New Roman" w:cs="Times New Roman" w:eastAsia="Times New Roman" w:hAnsi="Times New Roman"/>
          <w:sz w:val="19"/>
          <w:szCs w:val="19"/>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Lee Hartwell, Ph.D.</w:t>
      </w:r>
    </w:p>
    <w:p>
      <w:pPr>
        <w:spacing w:after="0" w:line="191"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Joshua LaBaer, MD, Ph.D.</w:t>
      </w:r>
    </w:p>
    <w:p>
      <w:pPr>
        <w:spacing w:after="0" w:line="191" w:lineRule="exact"/>
        <w:rPr>
          <w:sz w:val="20"/>
          <w:szCs w:val="20"/>
          <w:color w:val="auto"/>
        </w:rPr>
      </w:pPr>
    </w:p>
    <w:p>
      <w:pPr>
        <w:jc w:val="both"/>
        <w:ind w:right="280" w:firstLine="349"/>
        <w:spacing w:after="0" w:line="274" w:lineRule="auto"/>
        <w:rPr>
          <w:sz w:val="20"/>
          <w:szCs w:val="20"/>
          <w:color w:val="auto"/>
        </w:rPr>
      </w:pPr>
      <w:r>
        <w:rPr>
          <w:rFonts w:ascii="Times New Roman" w:cs="Times New Roman" w:eastAsia="Times New Roman" w:hAnsi="Times New Roman"/>
          <w:sz w:val="19"/>
          <w:szCs w:val="19"/>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Emma Lundberg, Ph.D.</w:t>
      </w:r>
    </w:p>
    <w:p>
      <w:pPr>
        <w:spacing w:after="0" w:line="191"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Dr. Lundberg is a Professor in cell biology proteomics at KTH Royal Institute of Technology, Sweden, and Director of the Cell Atlas of the Human Protein Atlas, an international proteomics and cell mapping project. Dr. Lundberg also holds the positions of Director of the Cell Profiling facility at the Science for Life Laboratory (SciLifeLab) in Sweden.</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880" w:h="15480" w:orient="portrait"/>
          <w:cols w:equalWidth="0" w:num="1">
            <w:col w:w="9960"/>
          </w:cols>
          <w:pgMar w:left="960" w:top="822" w:right="96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9"/>
          <w:szCs w:val="19"/>
          <w:b w:val="1"/>
          <w:bCs w:val="1"/>
          <w:color w:val="auto"/>
        </w:rPr>
        <w:t>Employees and Human Capital</w:t>
      </w:r>
    </w:p>
    <w:p>
      <w:pPr>
        <w:spacing w:after="0" w:line="196" w:lineRule="exact"/>
        <w:rPr>
          <w:sz w:val="20"/>
          <w:szCs w:val="20"/>
          <w:color w:val="auto"/>
        </w:rPr>
      </w:pPr>
    </w:p>
    <w:p>
      <w:pPr>
        <w:jc w:val="both"/>
        <w:ind w:right="140" w:firstLine="349"/>
        <w:spacing w:after="0" w:line="274" w:lineRule="auto"/>
        <w:rPr>
          <w:sz w:val="20"/>
          <w:szCs w:val="20"/>
          <w:color w:val="auto"/>
        </w:rPr>
      </w:pPr>
      <w:r>
        <w:rPr>
          <w:rFonts w:ascii="Times New Roman" w:cs="Times New Roman" w:eastAsia="Times New Roman" w:hAnsi="Times New Roman"/>
          <w:sz w:val="19"/>
          <w:szCs w:val="19"/>
          <w:color w:val="auto"/>
        </w:rPr>
        <w:t>As of December 31, 2022, we had 134 employees, all based in the United States, 51 of whom hold doctorate degrees. Of these employees, 95 were engaged in research and development activities, and 39 were engaged in general and administrative activities. None of our employees are represented by a labor union or covered under a collective bargaining agreement.</w:t>
      </w:r>
    </w:p>
    <w:p>
      <w:pPr>
        <w:spacing w:after="0" w:line="125" w:lineRule="exact"/>
        <w:rPr>
          <w:sz w:val="20"/>
          <w:szCs w:val="20"/>
          <w:color w:val="auto"/>
        </w:rPr>
      </w:pPr>
    </w:p>
    <w:p>
      <w:pPr>
        <w:ind w:right="120" w:firstLine="349"/>
        <w:spacing w:after="0" w:line="265" w:lineRule="auto"/>
        <w:rPr>
          <w:sz w:val="20"/>
          <w:szCs w:val="20"/>
          <w:color w:val="auto"/>
        </w:rPr>
      </w:pPr>
      <w:r>
        <w:rPr>
          <w:rFonts w:ascii="Times New Roman" w:cs="Times New Roman" w:eastAsia="Times New Roman" w:hAnsi="Times New Roman"/>
          <w:sz w:val="19"/>
          <w:szCs w:val="19"/>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and Available Information</w:t>
      </w:r>
    </w:p>
    <w:p>
      <w:pPr>
        <w:spacing w:after="0" w:line="196"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We were incorporated as a Cayman Islands exempted company in March 2020 as a blank check company under the name ARYA Sciences Acquisition Corp III. On June 9, 2021, we consummated the Business Combination pursuant to the terms of the Business Combination Agreement. Pursuant to the terms of the Business Combination Agreement, on the Closing Date,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spacing w:after="0" w:line="136" w:lineRule="exact"/>
        <w:rPr>
          <w:sz w:val="20"/>
          <w:szCs w:val="20"/>
          <w:color w:val="auto"/>
        </w:rPr>
      </w:pPr>
    </w:p>
    <w:p>
      <w:pPr>
        <w:ind w:right="200" w:firstLine="349"/>
        <w:spacing w:after="0" w:line="274" w:lineRule="auto"/>
        <w:rPr>
          <w:sz w:val="20"/>
          <w:szCs w:val="20"/>
          <w:color w:val="auto"/>
        </w:rPr>
      </w:pPr>
      <w:r>
        <w:rPr>
          <w:rFonts w:ascii="Times New Roman" w:cs="Times New Roman" w:eastAsia="Times New Roman" w:hAnsi="Times New Roman"/>
          <w:sz w:val="19"/>
          <w:szCs w:val="19"/>
          <w:color w:val="auto"/>
        </w:rPr>
        <w:t>Our principal executive offices are located at 2701 Eastlake Avenue East Seattle, Washington, 98102, and our telephone number is (206) 333-2001. Our investor relations website is located at http://www.nautilus.bio/investors/. Information contained on the website is not incorporated by reference into this Form 10-K or any other filings we make with the SEC.</w:t>
      </w:r>
    </w:p>
    <w:p>
      <w:pPr>
        <w:spacing w:after="0" w:line="125"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194" w:lineRule="exact"/>
        <w:rPr>
          <w:sz w:val="20"/>
          <w:szCs w:val="20"/>
          <w:color w:val="auto"/>
        </w:rPr>
      </w:pPr>
    </w:p>
    <w:p>
      <w:pPr>
        <w:ind w:right="40" w:firstLine="349"/>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You should consider carefully the following information about the risks described below, together with the other information contained in this Annual Report on Form 10-K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Summary Risk Factors</w:t>
      </w:r>
    </w:p>
    <w:p>
      <w:pPr>
        <w:spacing w:after="0" w:line="196" w:lineRule="exact"/>
        <w:rPr>
          <w:sz w:val="20"/>
          <w:szCs w:val="20"/>
          <w:color w:val="auto"/>
        </w:rPr>
      </w:pPr>
    </w:p>
    <w:p>
      <w:pPr>
        <w:jc w:val="both"/>
        <w:ind w:right="180" w:firstLine="349"/>
        <w:spacing w:after="0" w:line="274" w:lineRule="auto"/>
        <w:rPr>
          <w:sz w:val="20"/>
          <w:szCs w:val="20"/>
          <w:color w:val="auto"/>
        </w:rPr>
      </w:pPr>
      <w:r>
        <w:rPr>
          <w:rFonts w:ascii="Times New Roman" w:cs="Times New Roman" w:eastAsia="Times New Roman" w:hAnsi="Times New Roman"/>
          <w:sz w:val="19"/>
          <w:szCs w:val="19"/>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Risks Related to Our Business</w:t>
      </w:r>
    </w:p>
    <w:p>
      <w:pPr>
        <w:spacing w:after="0" w:line="196" w:lineRule="exact"/>
        <w:rPr>
          <w:sz w:val="20"/>
          <w:szCs w:val="20"/>
          <w:color w:val="auto"/>
        </w:rPr>
      </w:pPr>
    </w:p>
    <w:p>
      <w:pPr>
        <w:ind w:right="100" w:firstLine="350"/>
        <w:spacing w:after="0" w:line="293" w:lineRule="auto"/>
        <w:tabs>
          <w:tab w:leader="none" w:pos="69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a development stage company that has incurred net losses in every period to date, has not yet commercialized any products, and expects to continue to incur significant losses as we develop our business.</w:t>
      </w:r>
    </w:p>
    <w:p>
      <w:pPr>
        <w:spacing w:after="0" w:line="107" w:lineRule="exact"/>
        <w:rPr>
          <w:rFonts w:ascii="Times New Roman" w:cs="Times New Roman" w:eastAsia="Times New Roman" w:hAnsi="Times New Roman"/>
          <w:sz w:val="19"/>
          <w:szCs w:val="19"/>
          <w:color w:val="auto"/>
        </w:rPr>
      </w:pPr>
    </w:p>
    <w:p>
      <w:pPr>
        <w:ind w:right="140" w:firstLine="350"/>
        <w:spacing w:after="0" w:line="274" w:lineRule="auto"/>
        <w:tabs>
          <w:tab w:leader="none" w:pos="69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25"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compete successfully with our initial or future products in the highly competitive life sciences technology</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w:t>
      </w:r>
    </w:p>
    <w:p>
      <w:pPr>
        <w:spacing w:after="0" w:line="169" w:lineRule="exact"/>
        <w:rPr>
          <w:rFonts w:ascii="Times New Roman" w:cs="Times New Roman" w:eastAsia="Times New Roman" w:hAnsi="Times New Roman"/>
          <w:sz w:val="19"/>
          <w:szCs w:val="19"/>
          <w:color w:val="auto"/>
        </w:rPr>
      </w:pPr>
    </w:p>
    <w:p>
      <w:pPr>
        <w:ind w:right="360" w:firstLine="350"/>
        <w:spacing w:after="0" w:line="293" w:lineRule="auto"/>
        <w:tabs>
          <w:tab w:leader="none" w:pos="69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dependent upon third parties for certain aspects of the development and commercialization of the Nautilus platform.</w:t>
      </w:r>
    </w:p>
    <w:p>
      <w:pPr>
        <w:sectPr>
          <w:pgSz w:w="11880" w:h="15480" w:orient="portrait"/>
          <w:cols w:equalWidth="0" w:num="1">
            <w:col w:w="9900"/>
          </w:cols>
          <w:pgMar w:left="960" w:top="815" w:right="102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41</w:t>
      </w:r>
    </w:p>
    <w:p>
      <w:pPr>
        <w:sectPr>
          <w:pgSz w:w="11880" w:h="15480" w:orient="portrait"/>
          <w:cols w:equalWidth="0" w:num="1">
            <w:col w:w="9900"/>
          </w:cols>
          <w:pgMar w:left="960" w:top="815" w:right="1020" w:bottom="0" w:gutter="0" w:footer="0" w:header="0"/>
          <w:type w:val="continuous"/>
        </w:sectPr>
      </w:pPr>
    </w:p>
    <w:bookmarkStart w:id="44" w:name="page45"/>
    <w:bookmarkEnd w:id="44"/>
    <w:p>
      <w:pPr>
        <w:ind w:left="-350" w:right="60" w:firstLine="350"/>
        <w:spacing w:after="0" w:line="293" w:lineRule="auto"/>
        <w:tabs>
          <w:tab w:leader="none" w:pos="34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07" w:lineRule="exact"/>
        <w:rPr>
          <w:rFonts w:ascii="Times New Roman" w:cs="Times New Roman" w:eastAsia="Times New Roman" w:hAnsi="Times New Roman"/>
          <w:sz w:val="19"/>
          <w:szCs w:val="19"/>
          <w:color w:val="auto"/>
        </w:rPr>
      </w:pPr>
    </w:p>
    <w:p>
      <w:pPr>
        <w:ind w:left="-350" w:right="520" w:firstLine="350"/>
        <w:spacing w:after="0" w:line="293" w:lineRule="auto"/>
        <w:tabs>
          <w:tab w:leader="none" w:pos="34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able to launch our Nautilus platform successfully and even if it is successful, we may experience material delays in our commercialization program relative to current expectations.</w:t>
      </w:r>
    </w:p>
    <w:p>
      <w:pPr>
        <w:spacing w:after="0" w:line="107" w:lineRule="exact"/>
        <w:rPr>
          <w:rFonts w:ascii="Times New Roman" w:cs="Times New Roman" w:eastAsia="Times New Roman" w:hAnsi="Times New Roman"/>
          <w:sz w:val="19"/>
          <w:szCs w:val="19"/>
          <w:color w:val="auto"/>
        </w:rPr>
      </w:pPr>
    </w:p>
    <w:p>
      <w:pPr>
        <w:ind w:left="-350" w:right="340" w:firstLine="350"/>
        <w:spacing w:after="0" w:line="293" w:lineRule="auto"/>
        <w:tabs>
          <w:tab w:leader="none" w:pos="34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operating results may fluctuate significantly in the future, which makes our future operating results difficult to predict and could cause our operating results to fall below expectations or our guidance.</w:t>
      </w:r>
    </w:p>
    <w:p>
      <w:pPr>
        <w:spacing w:after="0" w:line="107" w:lineRule="exact"/>
        <w:rPr>
          <w:rFonts w:ascii="Times New Roman" w:cs="Times New Roman" w:eastAsia="Times New Roman" w:hAnsi="Times New Roman"/>
          <w:sz w:val="19"/>
          <w:szCs w:val="19"/>
          <w:color w:val="auto"/>
        </w:rPr>
      </w:pPr>
    </w:p>
    <w:p>
      <w:pPr>
        <w:ind w:left="350" w:hanging="350"/>
        <w:spacing w:after="0"/>
        <w:tabs>
          <w:tab w:leader="none" w:pos="35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need to raise additional capital to fund our development and commercialization plans.</w:t>
      </w:r>
    </w:p>
    <w:p>
      <w:pPr>
        <w:spacing w:after="0" w:line="1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96" w:lineRule="exact"/>
        <w:rPr>
          <w:sz w:val="20"/>
          <w:szCs w:val="20"/>
          <w:color w:val="auto"/>
        </w:rPr>
      </w:pPr>
    </w:p>
    <w:p>
      <w:pPr>
        <w:ind w:left="-350" w:right="180" w:firstLine="350"/>
        <w:spacing w:after="0" w:line="274" w:lineRule="auto"/>
        <w:tabs>
          <w:tab w:leader="none" w:pos="34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25" w:lineRule="exact"/>
        <w:rPr>
          <w:rFonts w:ascii="Times New Roman" w:cs="Times New Roman" w:eastAsia="Times New Roman" w:hAnsi="Times New Roman"/>
          <w:sz w:val="19"/>
          <w:szCs w:val="19"/>
          <w:color w:val="auto"/>
        </w:rPr>
      </w:pPr>
    </w:p>
    <w:p>
      <w:pPr>
        <w:ind w:left="350" w:hanging="350"/>
        <w:spacing w:after="0"/>
        <w:tabs>
          <w:tab w:leader="none" w:pos="35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able to protect our intellectual property and proprietary rights throughout the world.</w:t>
      </w:r>
    </w:p>
    <w:p>
      <w:pPr>
        <w:spacing w:after="0" w:line="1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color w:val="auto"/>
        </w:rPr>
        <w:t>Risks Related to Litigation</w:t>
      </w:r>
    </w:p>
    <w:p>
      <w:pPr>
        <w:spacing w:after="0" w:line="196" w:lineRule="exact"/>
        <w:rPr>
          <w:sz w:val="20"/>
          <w:szCs w:val="20"/>
          <w:color w:val="auto"/>
        </w:rPr>
      </w:pPr>
    </w:p>
    <w:p>
      <w:pPr>
        <w:ind w:left="-350" w:firstLine="350"/>
        <w:spacing w:after="0" w:line="293" w:lineRule="auto"/>
        <w:tabs>
          <w:tab w:leader="none" w:pos="349"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become involved in litigation to enforce or defend our intellectual property rights, or to defend ourselves from claims that we infringe the intellectual property rights of others.</w:t>
      </w:r>
    </w:p>
    <w:p>
      <w:pPr>
        <w:spacing w:after="0" w:line="107" w:lineRule="exact"/>
        <w:rPr>
          <w:rFonts w:ascii="Times New Roman" w:cs="Times New Roman" w:eastAsia="Times New Roman" w:hAnsi="Times New Roman"/>
          <w:sz w:val="19"/>
          <w:szCs w:val="19"/>
          <w:color w:val="auto"/>
        </w:rPr>
      </w:pPr>
    </w:p>
    <w:p>
      <w:pPr>
        <w:ind w:left="350" w:hanging="350"/>
        <w:spacing w:after="0"/>
        <w:tabs>
          <w:tab w:leader="none" w:pos="35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face liability and/or negative publicity for any unknown defects or errors in our products.</w:t>
      </w:r>
    </w:p>
    <w:p>
      <w:pPr>
        <w:spacing w:after="0" w:line="1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color w:val="auto"/>
        </w:rPr>
        <w:t>Risks Related to Regulatory and Legal Compliance Matters</w:t>
      </w:r>
    </w:p>
    <w:p>
      <w:pPr>
        <w:spacing w:after="0" w:line="196" w:lineRule="exact"/>
        <w:rPr>
          <w:sz w:val="20"/>
          <w:szCs w:val="20"/>
          <w:color w:val="auto"/>
        </w:rPr>
      </w:pPr>
    </w:p>
    <w:p>
      <w:pPr>
        <w:ind w:left="350" w:hanging="350"/>
        <w:spacing w:after="0"/>
        <w:tabs>
          <w:tab w:leader="none" w:pos="35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products may, in the future, be subject to regulation by the FDA or other regulatory authorities.</w:t>
      </w:r>
    </w:p>
    <w:p>
      <w:pPr>
        <w:spacing w:after="0" w:line="189" w:lineRule="exact"/>
        <w:rPr>
          <w:rFonts w:ascii="Times New Roman" w:cs="Times New Roman" w:eastAsia="Times New Roman" w:hAnsi="Times New Roman"/>
          <w:sz w:val="19"/>
          <w:szCs w:val="19"/>
          <w:color w:val="auto"/>
        </w:rPr>
      </w:pPr>
    </w:p>
    <w:p>
      <w:pPr>
        <w:jc w:val="both"/>
        <w:ind w:left="-350" w:right="620" w:firstLine="350"/>
        <w:spacing w:after="0" w:line="274" w:lineRule="auto"/>
        <w:tabs>
          <w:tab w:leader="none" w:pos="34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25" w:lineRule="exact"/>
        <w:rPr>
          <w:rFonts w:ascii="Times New Roman" w:cs="Times New Roman" w:eastAsia="Times New Roman" w:hAnsi="Times New Roman"/>
          <w:sz w:val="19"/>
          <w:szCs w:val="19"/>
          <w:color w:val="auto"/>
        </w:rPr>
      </w:pPr>
    </w:p>
    <w:p>
      <w:pPr>
        <w:ind w:left="-350" w:right="120" w:firstLine="350"/>
        <w:spacing w:after="0" w:line="274" w:lineRule="auto"/>
        <w:tabs>
          <w:tab w:leader="none" w:pos="34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25" w:lineRule="exact"/>
        <w:rPr>
          <w:rFonts w:ascii="Times New Roman" w:cs="Times New Roman" w:eastAsia="Times New Roman" w:hAnsi="Times New Roman"/>
          <w:sz w:val="19"/>
          <w:szCs w:val="19"/>
          <w:color w:val="auto"/>
        </w:rPr>
      </w:pPr>
    </w:p>
    <w:p>
      <w:pPr>
        <w:ind w:left="-350" w:right="660" w:firstLine="350"/>
        <w:spacing w:after="0" w:line="293" w:lineRule="auto"/>
        <w:tabs>
          <w:tab w:leader="none" w:pos="34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Environmental and health safety laws, including any failure to comply with such laws, may result in liabilities, expenses and restrictions on our operations.</w:t>
      </w:r>
    </w:p>
    <w:p>
      <w:pPr>
        <w:spacing w:after="0" w:line="107" w:lineRule="exact"/>
        <w:rPr>
          <w:rFonts w:ascii="Times New Roman" w:cs="Times New Roman" w:eastAsia="Times New Roman" w:hAnsi="Times New Roman"/>
          <w:sz w:val="19"/>
          <w:szCs w:val="19"/>
          <w:color w:val="auto"/>
        </w:rPr>
      </w:pPr>
    </w:p>
    <w:p>
      <w:pPr>
        <w:ind w:left="-350" w:right="300" w:firstLine="350"/>
        <w:spacing w:after="0" w:line="293" w:lineRule="auto"/>
        <w:tabs>
          <w:tab w:leader="none" w:pos="34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color w:val="auto"/>
        </w:rPr>
        <w:t>Risks Related to our Operations</w:t>
      </w:r>
    </w:p>
    <w:p>
      <w:pPr>
        <w:spacing w:after="0" w:line="196" w:lineRule="exact"/>
        <w:rPr>
          <w:sz w:val="20"/>
          <w:szCs w:val="20"/>
          <w:color w:val="auto"/>
        </w:rPr>
      </w:pPr>
    </w:p>
    <w:p>
      <w:pPr>
        <w:ind w:left="350" w:hanging="350"/>
        <w:spacing w:after="0"/>
        <w:tabs>
          <w:tab w:leader="none" w:pos="35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experience a significant disruption in our information technology systems or breaches of data security.</w:t>
      </w:r>
    </w:p>
    <w:p>
      <w:pPr>
        <w:spacing w:after="0" w:line="189" w:lineRule="exact"/>
        <w:rPr>
          <w:rFonts w:ascii="Times New Roman" w:cs="Times New Roman" w:eastAsia="Times New Roman" w:hAnsi="Times New Roman"/>
          <w:sz w:val="19"/>
          <w:szCs w:val="19"/>
          <w:color w:val="auto"/>
        </w:rPr>
      </w:pPr>
    </w:p>
    <w:p>
      <w:pPr>
        <w:ind w:left="-350" w:right="40" w:firstLine="350"/>
        <w:spacing w:after="0" w:line="293" w:lineRule="auto"/>
        <w:tabs>
          <w:tab w:leader="none" w:pos="34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highly dependent on our key personnel, and if we are unable to recruit and retain key executives and scientists, we may not be able to achieve our goals.</w:t>
      </w:r>
    </w:p>
    <w:p>
      <w:pPr>
        <w:spacing w:after="0" w:line="107" w:lineRule="exact"/>
        <w:rPr>
          <w:rFonts w:ascii="Times New Roman" w:cs="Times New Roman" w:eastAsia="Times New Roman" w:hAnsi="Times New Roman"/>
          <w:sz w:val="19"/>
          <w:szCs w:val="19"/>
          <w:color w:val="auto"/>
        </w:rPr>
      </w:pPr>
    </w:p>
    <w:p>
      <w:pPr>
        <w:ind w:left="-350" w:right="20" w:firstLine="350"/>
        <w:spacing w:after="0" w:line="293" w:lineRule="auto"/>
        <w:tabs>
          <w:tab w:leader="none" w:pos="34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operations and financial results could be adversely impacted by global and national events, such as the COVID-19 pandemic, conflicts in Eastern Europe, and general economic downturns.</w:t>
      </w:r>
    </w:p>
    <w:p>
      <w:pPr>
        <w:spacing w:after="0" w:line="107" w:lineRule="exact"/>
        <w:rPr>
          <w:rFonts w:ascii="Times New Roman" w:cs="Times New Roman" w:eastAsia="Times New Roman" w:hAnsi="Times New Roman"/>
          <w:sz w:val="19"/>
          <w:szCs w:val="19"/>
          <w:color w:val="auto"/>
        </w:rPr>
      </w:pPr>
    </w:p>
    <w:p>
      <w:pPr>
        <w:ind w:left="350" w:hanging="350"/>
        <w:spacing w:after="0"/>
        <w:tabs>
          <w:tab w:leader="none" w:pos="35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Global supply chain interruptions may negatively impact the development and commercialization of our products.</w:t>
      </w:r>
    </w:p>
    <w:p>
      <w:pPr>
        <w:spacing w:after="0" w:line="1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color w:val="auto"/>
        </w:rPr>
        <w:t>Risks Related to Our Common Stock</w:t>
      </w:r>
    </w:p>
    <w:p>
      <w:pPr>
        <w:spacing w:after="0" w:line="196" w:lineRule="exact"/>
        <w:rPr>
          <w:sz w:val="20"/>
          <w:szCs w:val="20"/>
          <w:color w:val="auto"/>
        </w:rPr>
      </w:pPr>
    </w:p>
    <w:p>
      <w:pPr>
        <w:ind w:left="-350" w:right="140" w:firstLine="350"/>
        <w:spacing w:after="0" w:line="293" w:lineRule="auto"/>
        <w:tabs>
          <w:tab w:leader="none" w:pos="34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 of and market for our Common Stock may be volatile, which could result in substantial losses for investors and/or an inability to readily trade in our Common Stock.</w:t>
      </w:r>
    </w:p>
    <w:p>
      <w:pPr>
        <w:spacing w:after="0" w:line="1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196" w:lineRule="exact"/>
        <w:rPr>
          <w:sz w:val="20"/>
          <w:szCs w:val="20"/>
          <w:color w:val="auto"/>
        </w:rPr>
      </w:pPr>
    </w:p>
    <w:p>
      <w:pPr>
        <w:ind w:left="-350" w:right="340" w:firstLine="350"/>
        <w:spacing w:after="0" w:line="293" w:lineRule="auto"/>
        <w:tabs>
          <w:tab w:leader="none" w:pos="34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will continue to incur significant increased costs and management resources as a result of operating as a public company.</w:t>
      </w:r>
    </w:p>
    <w:p>
      <w:pPr>
        <w:sectPr>
          <w:pgSz w:w="11880" w:h="15480" w:orient="portrait"/>
          <w:cols w:equalWidth="0" w:num="1">
            <w:col w:w="9590"/>
          </w:cols>
          <w:pgMar w:left="1310" w:top="822" w:right="980" w:bottom="0" w:gutter="0" w:footer="0" w:header="0"/>
        </w:sectPr>
      </w:pPr>
    </w:p>
    <w:p>
      <w:pPr>
        <w:spacing w:after="0" w:line="328"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6"/>
          <w:szCs w:val="16"/>
          <w:color w:val="auto"/>
        </w:rPr>
        <w:t>42</w:t>
      </w:r>
    </w:p>
    <w:p>
      <w:pPr>
        <w:sectPr>
          <w:pgSz w:w="11880" w:h="15480" w:orient="portrait"/>
          <w:cols w:equalWidth="0" w:num="1">
            <w:col w:w="9590"/>
          </w:cols>
          <w:pgMar w:left="1310" w:top="822" w:right="980" w:bottom="0" w:gutter="0" w:footer="0" w:header="0"/>
          <w:type w:val="continuous"/>
        </w:sectPr>
      </w:pPr>
    </w:p>
    <w:bookmarkStart w:id="45" w:name="page46"/>
    <w:bookmarkEnd w:id="45"/>
    <w:p>
      <w:pPr>
        <w:ind w:firstLine="350"/>
        <w:spacing w:after="0" w:line="293" w:lineRule="auto"/>
        <w:tabs>
          <w:tab w:leader="none" w:pos="69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Reports published by analysts, including projections in those reports that differ from our actual results, could adversely affect the price and trading volume of our common shares.</w:t>
      </w:r>
    </w:p>
    <w:p>
      <w:pPr>
        <w:spacing w:after="0" w:line="107" w:lineRule="exact"/>
        <w:rPr>
          <w:rFonts w:ascii="Times New Roman" w:cs="Times New Roman" w:eastAsia="Times New Roman" w:hAnsi="Times New Roman"/>
          <w:sz w:val="19"/>
          <w:szCs w:val="19"/>
          <w:color w:val="auto"/>
        </w:rPr>
      </w:pPr>
    </w:p>
    <w:p>
      <w:pPr>
        <w:ind w:right="120" w:firstLine="350"/>
        <w:spacing w:after="0" w:line="293" w:lineRule="auto"/>
        <w:tabs>
          <w:tab w:leader="none" w:pos="69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07"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Risks Related to Our Business</w:t>
      </w:r>
    </w:p>
    <w:p>
      <w:pPr>
        <w:spacing w:after="0" w:line="189" w:lineRule="exact"/>
        <w:rPr>
          <w:sz w:val="20"/>
          <w:szCs w:val="20"/>
          <w:color w:val="auto"/>
        </w:rPr>
      </w:pPr>
    </w:p>
    <w:p>
      <w:pPr>
        <w:ind w:right="30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24"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$57.9 million and $50.3 million during the years ended December 31, 2022 and December 31, 2021, respectively. As of December 31, 2022, we had an accumulated deficit of $138.6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Annual Report on Form 10-K.</w:t>
      </w:r>
    </w:p>
    <w:p>
      <w:pPr>
        <w:spacing w:after="0" w:line="131" w:lineRule="exact"/>
        <w:rPr>
          <w:sz w:val="20"/>
          <w:szCs w:val="20"/>
          <w:color w:val="auto"/>
        </w:rPr>
      </w:pPr>
    </w:p>
    <w:p>
      <w:pPr>
        <w:ind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4"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9" w:lineRule="exact"/>
        <w:rPr>
          <w:sz w:val="20"/>
          <w:szCs w:val="20"/>
          <w:color w:val="auto"/>
        </w:rPr>
      </w:pPr>
    </w:p>
    <w:p>
      <w:pPr>
        <w:jc w:val="both"/>
        <w:ind w:right="32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24" w:lineRule="exact"/>
        <w:rPr>
          <w:sz w:val="20"/>
          <w:szCs w:val="20"/>
          <w:color w:val="auto"/>
        </w:rPr>
      </w:pPr>
    </w:p>
    <w:p>
      <w:pPr>
        <w:ind w:right="120" w:firstLine="349"/>
        <w:spacing w:after="0" w:line="262" w:lineRule="auto"/>
        <w:rPr>
          <w:sz w:val="20"/>
          <w:szCs w:val="20"/>
          <w:color w:val="auto"/>
        </w:rPr>
      </w:pPr>
      <w:r>
        <w:rPr>
          <w:rFonts w:ascii="Times New Roman" w:cs="Times New Roman" w:eastAsia="Times New Roman" w:hAnsi="Times New Roman"/>
          <w:sz w:val="19"/>
          <w:szCs w:val="19"/>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We do not anticipate that these activities will</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ectPr>
          <w:pgSz w:w="11880" w:h="15480" w:orient="portrait"/>
          <w:cols w:equalWidth="0" w:num="1">
            <w:col w:w="9940"/>
          </w:cols>
          <w:pgMar w:left="960" w:top="822" w:right="980" w:bottom="0" w:gutter="0" w:footer="0" w:header="0"/>
          <w:type w:val="continuous"/>
        </w:sectPr>
      </w:pPr>
    </w:p>
    <w:bookmarkStart w:id="46" w:name="page47"/>
    <w:bookmarkEnd w:id="46"/>
    <w:p>
      <w:pPr>
        <w:ind w:right="80"/>
        <w:spacing w:after="0" w:line="265" w:lineRule="auto"/>
        <w:rPr>
          <w:sz w:val="20"/>
          <w:szCs w:val="20"/>
          <w:color w:val="auto"/>
        </w:rPr>
      </w:pPr>
      <w:r>
        <w:rPr>
          <w:rFonts w:ascii="Times New Roman" w:cs="Times New Roman" w:eastAsia="Times New Roman" w:hAnsi="Times New Roman"/>
          <w:sz w:val="19"/>
          <w:szCs w:val="19"/>
          <w:color w:val="auto"/>
        </w:rPr>
        <w:t>result in any material revenue. During the second, early access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w:t>
      </w:r>
    </w:p>
    <w:p>
      <w:pPr>
        <w:spacing w:after="0" w:line="133"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9" w:lineRule="exact"/>
        <w:rPr>
          <w:sz w:val="20"/>
          <w:szCs w:val="20"/>
          <w:color w:val="auto"/>
        </w:rPr>
      </w:pPr>
    </w:p>
    <w:p>
      <w:pPr>
        <w:ind w:right="260" w:firstLine="349"/>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6"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36" w:lineRule="exact"/>
        <w:rPr>
          <w:sz w:val="20"/>
          <w:szCs w:val="20"/>
          <w:color w:val="auto"/>
        </w:rPr>
      </w:pPr>
    </w:p>
    <w:p>
      <w:pPr>
        <w:ind w:right="60" w:firstLine="349"/>
        <w:spacing w:after="0" w:line="261" w:lineRule="auto"/>
        <w:rPr>
          <w:sz w:val="20"/>
          <w:szCs w:val="20"/>
          <w:color w:val="auto"/>
        </w:rPr>
      </w:pPr>
      <w:r>
        <w:rPr>
          <w:rFonts w:ascii="Times New Roman" w:cs="Times New Roman" w:eastAsia="Times New Roman" w:hAnsi="Times New Roman"/>
          <w:sz w:val="19"/>
          <w:szCs w:val="19"/>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7" w:lineRule="exact"/>
        <w:rPr>
          <w:sz w:val="20"/>
          <w:szCs w:val="20"/>
          <w:color w:val="auto"/>
        </w:rPr>
      </w:pPr>
    </w:p>
    <w:p>
      <w:pPr>
        <w:ind w:right="420" w:firstLine="349"/>
        <w:spacing w:after="0" w:line="293" w:lineRule="auto"/>
        <w:rPr>
          <w:sz w:val="20"/>
          <w:szCs w:val="20"/>
          <w:color w:val="auto"/>
        </w:rPr>
      </w:pPr>
      <w:r>
        <w:rPr>
          <w:rFonts w:ascii="Times New Roman" w:cs="Times New Roman" w:eastAsia="Times New Roman" w:hAnsi="Times New Roman"/>
          <w:sz w:val="19"/>
          <w:szCs w:val="19"/>
          <w:color w:val="auto"/>
        </w:rPr>
        <w:t>Even if we are successful in entering into collaborations, the success of such collaborations will depend heavily on the efforts and activities of our collaborators.</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Scientific collaborations of the nature we propose to pursue are subject to numerous risks, including that:</w:t>
      </w:r>
    </w:p>
    <w:p>
      <w:pPr>
        <w:spacing w:after="0" w:line="189" w:lineRule="exact"/>
        <w:rPr>
          <w:sz w:val="20"/>
          <w:szCs w:val="20"/>
          <w:color w:val="auto"/>
        </w:rPr>
      </w:pPr>
    </w:p>
    <w:p>
      <w:pPr>
        <w:ind w:left="700" w:hanging="350"/>
        <w:spacing w:after="0"/>
        <w:tabs>
          <w:tab w:leader="none" w:pos="7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have significant discretion in determining the efforts and resources that they will apply to a specific</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project;</w:t>
      </w:r>
    </w:p>
    <w:p>
      <w:pPr>
        <w:spacing w:after="0" w:line="169" w:lineRule="exact"/>
        <w:rPr>
          <w:rFonts w:ascii="Times New Roman" w:cs="Times New Roman" w:eastAsia="Times New Roman" w:hAnsi="Times New Roman"/>
          <w:sz w:val="19"/>
          <w:szCs w:val="19"/>
          <w:color w:val="auto"/>
        </w:rPr>
      </w:pPr>
    </w:p>
    <w:p>
      <w:pPr>
        <w:ind w:right="80" w:firstLine="350"/>
        <w:spacing w:after="0" w:line="268" w:lineRule="auto"/>
        <w:tabs>
          <w:tab w:leader="none" w:pos="69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0" w:lineRule="exact"/>
        <w:rPr>
          <w:rFonts w:ascii="Times New Roman" w:cs="Times New Roman" w:eastAsia="Times New Roman" w:hAnsi="Times New Roman"/>
          <w:sz w:val="19"/>
          <w:szCs w:val="19"/>
          <w:color w:val="auto"/>
        </w:rPr>
      </w:pPr>
    </w:p>
    <w:p>
      <w:pPr>
        <w:ind w:right="400" w:firstLine="350"/>
        <w:spacing w:after="0" w:line="293" w:lineRule="auto"/>
        <w:tabs>
          <w:tab w:leader="none" w:pos="69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own intellectual property covering products that result from our collaboration with them, and in such cases, we would not have the right to develop or commercialize such intellectual property;</w:t>
      </w:r>
    </w:p>
    <w:p>
      <w:pPr>
        <w:spacing w:after="0" w:line="107" w:lineRule="exact"/>
        <w:rPr>
          <w:rFonts w:ascii="Times New Roman" w:cs="Times New Roman" w:eastAsia="Times New Roman" w:hAnsi="Times New Roman"/>
          <w:sz w:val="19"/>
          <w:szCs w:val="19"/>
          <w:color w:val="auto"/>
        </w:rPr>
      </w:pPr>
    </w:p>
    <w:p>
      <w:pPr>
        <w:ind w:right="140" w:firstLine="350"/>
        <w:spacing w:after="0" w:line="293" w:lineRule="auto"/>
        <w:tabs>
          <w:tab w:leader="none" w:pos="69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07" w:lineRule="exact"/>
        <w:rPr>
          <w:rFonts w:ascii="Times New Roman" w:cs="Times New Roman" w:eastAsia="Times New Roman" w:hAnsi="Times New Roman"/>
          <w:sz w:val="19"/>
          <w:szCs w:val="19"/>
          <w:color w:val="auto"/>
        </w:rPr>
      </w:pPr>
    </w:p>
    <w:p>
      <w:pPr>
        <w:ind w:right="220" w:firstLine="350"/>
        <w:spacing w:after="0" w:line="293" w:lineRule="auto"/>
        <w:tabs>
          <w:tab w:leader="none" w:pos="69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could independently develop, or develop with third parties, products that compete directly or indirectly with product candidates that are being developed under the collaboration with us;</w:t>
      </w:r>
    </w:p>
    <w:p>
      <w:pPr>
        <w:spacing w:after="0" w:line="107" w:lineRule="exact"/>
        <w:rPr>
          <w:rFonts w:ascii="Times New Roman" w:cs="Times New Roman" w:eastAsia="Times New Roman" w:hAnsi="Times New Roman"/>
          <w:sz w:val="19"/>
          <w:szCs w:val="19"/>
          <w:color w:val="auto"/>
        </w:rPr>
      </w:pPr>
    </w:p>
    <w:p>
      <w:pPr>
        <w:ind w:right="700" w:firstLine="350"/>
        <w:spacing w:after="0" w:line="293" w:lineRule="auto"/>
        <w:tabs>
          <w:tab w:leader="none" w:pos="69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collaborator with marketing, manufacturing, and distribution rights to one or more products may not commit sufficient resources to or otherwise not perform satisfactorily in carrying out these activities;</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could grant exclusive rights to our collaborators that would prevent us from collaborating with others;</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880" w:h="15480" w:orient="portrait"/>
          <w:cols w:equalWidth="0" w:num="1">
            <w:col w:w="9960"/>
          </w:cols>
          <w:pgMar w:left="960" w:top="822" w:right="960" w:bottom="0" w:gutter="0" w:footer="0" w:header="0"/>
          <w:type w:val="continuous"/>
        </w:sectPr>
      </w:pPr>
    </w:p>
    <w:bookmarkStart w:id="47" w:name="page48"/>
    <w:bookmarkEnd w:id="47"/>
    <w:p>
      <w:pPr>
        <w:ind w:right="80" w:firstLine="350"/>
        <w:spacing w:after="0" w:line="274" w:lineRule="auto"/>
        <w:tabs>
          <w:tab w:leader="none" w:pos="69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5" w:lineRule="exact"/>
        <w:rPr>
          <w:rFonts w:ascii="Times New Roman" w:cs="Times New Roman" w:eastAsia="Times New Roman" w:hAnsi="Times New Roman"/>
          <w:sz w:val="19"/>
          <w:szCs w:val="19"/>
          <w:color w:val="auto"/>
        </w:rPr>
      </w:pPr>
    </w:p>
    <w:p>
      <w:pPr>
        <w:jc w:val="both"/>
        <w:ind w:right="160" w:firstLine="350"/>
        <w:spacing w:after="0" w:line="293" w:lineRule="auto"/>
        <w:tabs>
          <w:tab w:leader="none" w:pos="69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07" w:lineRule="exact"/>
        <w:rPr>
          <w:rFonts w:ascii="Times New Roman" w:cs="Times New Roman" w:eastAsia="Times New Roman" w:hAnsi="Times New Roman"/>
          <w:sz w:val="19"/>
          <w:szCs w:val="19"/>
          <w:color w:val="auto"/>
        </w:rPr>
      </w:pPr>
    </w:p>
    <w:p>
      <w:pPr>
        <w:ind w:right="380" w:firstLine="350"/>
        <w:spacing w:after="0" w:line="293" w:lineRule="auto"/>
        <w:tabs>
          <w:tab w:leader="none" w:pos="69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07" w:lineRule="exact"/>
        <w:rPr>
          <w:rFonts w:ascii="Times New Roman" w:cs="Times New Roman" w:eastAsia="Times New Roman" w:hAnsi="Times New Roman"/>
          <w:sz w:val="19"/>
          <w:szCs w:val="19"/>
          <w:color w:val="auto"/>
        </w:rPr>
      </w:pPr>
    </w:p>
    <w:p>
      <w:pPr>
        <w:ind w:right="460" w:firstLine="350"/>
        <w:spacing w:after="0" w:line="293" w:lineRule="auto"/>
        <w:tabs>
          <w:tab w:leader="none" w:pos="69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collaborator’s sales and marketing activities or other operations may not be in compliance with applicable laws resulting in civil or criminal proceedings.</w:t>
      </w:r>
    </w:p>
    <w:p>
      <w:pPr>
        <w:spacing w:after="0" w:line="107"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26" w:lineRule="exact"/>
        <w:rPr>
          <w:sz w:val="20"/>
          <w:szCs w:val="20"/>
          <w:color w:val="auto"/>
        </w:rPr>
      </w:pPr>
    </w:p>
    <w:p>
      <w:pPr>
        <w:ind w:right="4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Even if we are able to complete development of our Nautilus platform, we may not achieve or maintain significant commercial market acceptance.</w:t>
      </w:r>
    </w:p>
    <w:p>
      <w:pPr>
        <w:spacing w:after="0" w:line="105" w:lineRule="exact"/>
        <w:rPr>
          <w:sz w:val="20"/>
          <w:szCs w:val="20"/>
          <w:color w:val="auto"/>
        </w:rPr>
      </w:pPr>
    </w:p>
    <w:p>
      <w:pPr>
        <w:ind w:right="220" w:firstLine="349"/>
        <w:spacing w:after="0" w:line="260" w:lineRule="auto"/>
        <w:rPr>
          <w:sz w:val="20"/>
          <w:szCs w:val="20"/>
          <w:color w:val="auto"/>
        </w:rPr>
      </w:pPr>
      <w:r>
        <w:rPr>
          <w:rFonts w:ascii="Times New Roman" w:cs="Times New Roman" w:eastAsia="Times New Roman" w:hAnsi="Times New Roman"/>
          <w:sz w:val="19"/>
          <w:szCs w:val="19"/>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37"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Specific, material factors that will influence our ability to achieve market acceptance include the following:</w:t>
      </w:r>
    </w:p>
    <w:p>
      <w:pPr>
        <w:spacing w:after="0" w:line="189" w:lineRule="exact"/>
        <w:rPr>
          <w:sz w:val="20"/>
          <w:szCs w:val="20"/>
          <w:color w:val="auto"/>
        </w:rPr>
      </w:pPr>
    </w:p>
    <w:p>
      <w:pPr>
        <w:ind w:right="580" w:firstLine="350"/>
        <w:spacing w:after="0" w:line="293" w:lineRule="auto"/>
        <w:tabs>
          <w:tab w:leader="none" w:pos="69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our marketing and engagement initiatives to increase awareness of the capabilities of our Nautilus platform;</w:t>
      </w:r>
    </w:p>
    <w:p>
      <w:pPr>
        <w:spacing w:after="0" w:line="107" w:lineRule="exact"/>
        <w:rPr>
          <w:rFonts w:ascii="Times New Roman" w:cs="Times New Roman" w:eastAsia="Times New Roman" w:hAnsi="Times New Roman"/>
          <w:sz w:val="19"/>
          <w:szCs w:val="19"/>
          <w:color w:val="auto"/>
        </w:rPr>
      </w:pPr>
    </w:p>
    <w:p>
      <w:pPr>
        <w:ind w:right="360" w:firstLine="350"/>
        <w:spacing w:after="0" w:line="293" w:lineRule="auto"/>
        <w:tabs>
          <w:tab w:leader="none" w:pos="69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our Nautilus platform to demonstrate reliable performance in intended use applications, in particular, when the platform is used by customers in their own research;</w:t>
      </w:r>
    </w:p>
    <w:p>
      <w:pPr>
        <w:spacing w:after="0" w:line="107" w:lineRule="exact"/>
        <w:rPr>
          <w:rFonts w:ascii="Times New Roman" w:cs="Times New Roman" w:eastAsia="Times New Roman" w:hAnsi="Times New Roman"/>
          <w:sz w:val="19"/>
          <w:szCs w:val="19"/>
          <w:color w:val="auto"/>
        </w:rPr>
      </w:pPr>
    </w:p>
    <w:p>
      <w:pPr>
        <w:ind w:right="560" w:firstLine="350"/>
        <w:spacing w:after="0" w:line="293" w:lineRule="auto"/>
        <w:tabs>
          <w:tab w:leader="none" w:pos="69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demonstrate that the functionality and performance of our Nautilus platform relative to alternative products and technologies justifies the substantial anticipated cost of the platform;</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willingness of prospective customers to adopt new products and workflows;</w:t>
      </w:r>
    </w:p>
    <w:p>
      <w:pPr>
        <w:spacing w:after="0" w:line="189" w:lineRule="exact"/>
        <w:rPr>
          <w:rFonts w:ascii="Times New Roman" w:cs="Times New Roman" w:eastAsia="Times New Roman" w:hAnsi="Times New Roman"/>
          <w:sz w:val="19"/>
          <w:szCs w:val="19"/>
          <w:color w:val="auto"/>
        </w:rPr>
      </w:pPr>
    </w:p>
    <w:p>
      <w:pPr>
        <w:ind w:right="600" w:firstLine="350"/>
        <w:spacing w:after="0" w:line="293" w:lineRule="auto"/>
        <w:tabs>
          <w:tab w:leader="none" w:pos="69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ease of use of our Nautilus platform and whether it reliably provides significant advantages over alternative products and technologies;</w:t>
      </w:r>
    </w:p>
    <w:p>
      <w:pPr>
        <w:sectPr>
          <w:pgSz w:w="11880" w:h="15480" w:orient="portrait"/>
          <w:cols w:equalWidth="0" w:num="1">
            <w:col w:w="9920"/>
          </w:cols>
          <w:pgMar w:left="960" w:top="822" w:right="1000" w:bottom="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45</w:t>
      </w:r>
    </w:p>
    <w:p>
      <w:pPr>
        <w:sectPr>
          <w:pgSz w:w="11880" w:h="15480" w:orient="portrait"/>
          <w:cols w:equalWidth="0" w:num="1">
            <w:col w:w="9920"/>
          </w:cols>
          <w:pgMar w:left="960" w:top="822" w:right="1000" w:bottom="0" w:gutter="0" w:footer="0" w:header="0"/>
          <w:type w:val="continuous"/>
        </w:sectPr>
      </w:pPr>
    </w:p>
    <w:bookmarkStart w:id="48" w:name="page49"/>
    <w:bookmarkEnd w:id="48"/>
    <w:p>
      <w:pPr>
        <w:ind w:left="700" w:hanging="350"/>
        <w:spacing w:after="0"/>
        <w:tabs>
          <w:tab w:leader="none" w:pos="7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rate of adoption of our Nautilus platform by biopharmaceutical companies, laboratories, academic institutions and</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others;</w:t>
      </w:r>
    </w:p>
    <w:p>
      <w:pPr>
        <w:spacing w:after="0" w:line="16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prices at which we will be able to sell our Nautilus platform instruments and consumables;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develop new products, workflows, and solutions that meet customer requirements;</w:t>
      </w:r>
    </w:p>
    <w:p>
      <w:pPr>
        <w:spacing w:after="0" w:line="189" w:lineRule="exact"/>
        <w:rPr>
          <w:rFonts w:ascii="Times New Roman" w:cs="Times New Roman" w:eastAsia="Times New Roman" w:hAnsi="Times New Roman"/>
          <w:sz w:val="19"/>
          <w:szCs w:val="19"/>
          <w:color w:val="auto"/>
        </w:rPr>
      </w:pPr>
    </w:p>
    <w:p>
      <w:pPr>
        <w:ind w:right="200" w:firstLine="350"/>
        <w:spacing w:after="0" w:line="293" w:lineRule="auto"/>
        <w:tabs>
          <w:tab w:leader="none" w:pos="69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introduction or development and commercialization by competitors of new products or enhancements to existing products with functionality and/or performance similar to our Nautilus platform; and</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our investments in product innovation and commercial growth.</w:t>
      </w:r>
    </w:p>
    <w:p>
      <w:pPr>
        <w:spacing w:after="0" w:line="189" w:lineRule="exact"/>
        <w:rPr>
          <w:sz w:val="20"/>
          <w:szCs w:val="20"/>
          <w:color w:val="auto"/>
        </w:rPr>
      </w:pPr>
    </w:p>
    <w:p>
      <w:pPr>
        <w:jc w:val="both"/>
        <w:ind w:right="360" w:firstLine="349"/>
        <w:spacing w:after="0" w:line="274" w:lineRule="auto"/>
        <w:rPr>
          <w:sz w:val="20"/>
          <w:szCs w:val="20"/>
          <w:color w:val="auto"/>
        </w:rPr>
      </w:pPr>
      <w:r>
        <w:rPr>
          <w:rFonts w:ascii="Times New Roman" w:cs="Times New Roman" w:eastAsia="Times New Roman" w:hAnsi="Times New Roman"/>
          <w:sz w:val="19"/>
          <w:szCs w:val="19"/>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18" w:lineRule="exact"/>
        <w:rPr>
          <w:sz w:val="20"/>
          <w:szCs w:val="20"/>
          <w:color w:val="auto"/>
        </w:rPr>
      </w:pPr>
    </w:p>
    <w:p>
      <w:pPr>
        <w:ind w:right="12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24" w:lineRule="exact"/>
        <w:rPr>
          <w:sz w:val="20"/>
          <w:szCs w:val="20"/>
          <w:color w:val="auto"/>
        </w:rPr>
      </w:pPr>
    </w:p>
    <w:p>
      <w:pPr>
        <w:ind w:firstLine="349"/>
        <w:spacing w:after="0" w:line="257" w:lineRule="auto"/>
        <w:rPr>
          <w:sz w:val="20"/>
          <w:szCs w:val="20"/>
          <w:color w:val="auto"/>
        </w:rPr>
      </w:pPr>
      <w:r>
        <w:rPr>
          <w:rFonts w:ascii="Times New Roman" w:cs="Times New Roman" w:eastAsia="Times New Roman" w:hAnsi="Times New Roman"/>
          <w:sz w:val="19"/>
          <w:szCs w:val="19"/>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platform,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48" w:lineRule="exact"/>
        <w:rPr>
          <w:sz w:val="20"/>
          <w:szCs w:val="20"/>
          <w:color w:val="auto"/>
        </w:rPr>
      </w:pPr>
    </w:p>
    <w:p>
      <w:pPr>
        <w:ind w:right="2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05"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To develop these functions successfully, we will face a number of additional risks, including:</w:t>
      </w:r>
    </w:p>
    <w:p>
      <w:pPr>
        <w:spacing w:after="0" w:line="189" w:lineRule="exact"/>
        <w:rPr>
          <w:sz w:val="20"/>
          <w:szCs w:val="20"/>
          <w:color w:val="auto"/>
        </w:rPr>
      </w:pPr>
    </w:p>
    <w:p>
      <w:pPr>
        <w:ind w:right="120" w:firstLine="350"/>
        <w:spacing w:after="0" w:line="274" w:lineRule="auto"/>
        <w:tabs>
          <w:tab w:leader="none" w:pos="699"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5"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time and cost of establishing a specialized sales, marketing and customer service and support force.</w:t>
      </w:r>
    </w:p>
    <w:p>
      <w:pPr>
        <w:spacing w:after="0" w:line="189"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auto"/>
        </w:rPr>
        <w:t>In addition to our internal organization, we may seek to enlist one or more third parties to assist with sales, distribution, and customer service and support globally or in certain regions of the world. In certain markets, we could seek to establish</w:t>
      </w:r>
    </w:p>
    <w:p>
      <w:pPr>
        <w:sectPr>
          <w:pgSz w:w="11880" w:h="15480" w:orient="portrait"/>
          <w:cols w:equalWidth="0" w:num="1">
            <w:col w:w="9940"/>
          </w:cols>
          <w:pgMar w:left="960" w:top="822" w:right="980" w:bottom="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ectPr>
          <w:pgSz w:w="11880" w:h="15480" w:orient="portrait"/>
          <w:cols w:equalWidth="0" w:num="1">
            <w:col w:w="9940"/>
          </w:cols>
          <w:pgMar w:left="960" w:top="822" w:right="980" w:bottom="0" w:gutter="0" w:footer="0" w:header="0"/>
          <w:type w:val="continuous"/>
        </w:sectPr>
      </w:pPr>
    </w:p>
    <w:bookmarkStart w:id="49" w:name="page50"/>
    <w:bookmarkEnd w:id="49"/>
    <w:p>
      <w:pPr>
        <w:ind w:right="100"/>
        <w:spacing w:after="0" w:line="265" w:lineRule="auto"/>
        <w:rPr>
          <w:sz w:val="20"/>
          <w:szCs w:val="20"/>
          <w:color w:val="auto"/>
        </w:rPr>
      </w:pPr>
      <w:r>
        <w:rPr>
          <w:rFonts w:ascii="Times New Roman" w:cs="Times New Roman" w:eastAsia="Times New Roman" w:hAnsi="Times New Roman"/>
          <w:sz w:val="19"/>
          <w:szCs w:val="19"/>
          <w:color w:val="auto"/>
        </w:rPr>
        <w:t>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6" w:lineRule="exact"/>
        <w:rPr>
          <w:sz w:val="20"/>
          <w:szCs w:val="20"/>
          <w:color w:val="auto"/>
        </w:rPr>
      </w:pPr>
    </w:p>
    <w:p>
      <w:pPr>
        <w:ind w:right="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05" w:lineRule="exact"/>
        <w:rPr>
          <w:sz w:val="20"/>
          <w:szCs w:val="20"/>
          <w:color w:val="auto"/>
        </w:rPr>
      </w:pPr>
    </w:p>
    <w:p>
      <w:pPr>
        <w:ind w:right="20" w:firstLine="349"/>
        <w:spacing w:after="0" w:line="257" w:lineRule="auto"/>
        <w:rPr>
          <w:sz w:val="20"/>
          <w:szCs w:val="20"/>
          <w:color w:val="auto"/>
        </w:rPr>
      </w:pPr>
      <w:r>
        <w:rPr>
          <w:rFonts w:ascii="Times New Roman" w:cs="Times New Roman" w:eastAsia="Times New Roman" w:hAnsi="Times New Roman"/>
          <w:sz w:val="19"/>
          <w:szCs w:val="19"/>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51"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29" w:lineRule="exact"/>
        <w:rPr>
          <w:sz w:val="20"/>
          <w:szCs w:val="20"/>
          <w:color w:val="auto"/>
        </w:rPr>
      </w:pPr>
    </w:p>
    <w:p>
      <w:pPr>
        <w:ind w:right="180" w:firstLine="349"/>
        <w:spacing w:after="0" w:line="294" w:lineRule="auto"/>
        <w:rPr>
          <w:sz w:val="20"/>
          <w:szCs w:val="20"/>
          <w:color w:val="auto"/>
        </w:rPr>
      </w:pPr>
      <w:r>
        <w:rPr>
          <w:rFonts w:ascii="Times New Roman" w:cs="Times New Roman" w:eastAsia="Times New Roman" w:hAnsi="Times New Roman"/>
          <w:sz w:val="19"/>
          <w:szCs w:val="19"/>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09"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37"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880" w:h="15480" w:orient="portrait"/>
          <w:cols w:equalWidth="0" w:num="1">
            <w:col w:w="9960"/>
          </w:cols>
          <w:pgMar w:left="960" w:top="822" w:right="960" w:bottom="0" w:gutter="0" w:footer="0" w:header="0"/>
          <w:type w:val="continuous"/>
        </w:sectPr>
      </w:pPr>
    </w:p>
    <w:bookmarkStart w:id="50" w:name="page51"/>
    <w:bookmarkEnd w:id="50"/>
    <w:p>
      <w:pPr>
        <w:ind w:right="60"/>
        <w:spacing w:after="0" w:line="274" w:lineRule="auto"/>
        <w:rPr>
          <w:sz w:val="20"/>
          <w:szCs w:val="20"/>
          <w:color w:val="auto"/>
        </w:rPr>
      </w:pPr>
      <w:r>
        <w:rPr>
          <w:rFonts w:ascii="Times New Roman" w:cs="Times New Roman" w:eastAsia="Times New Roman" w:hAnsi="Times New Roman"/>
          <w:sz w:val="19"/>
          <w:szCs w:val="19"/>
          <w:color w:val="auto"/>
        </w:rPr>
        <w:t>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18" w:lineRule="exact"/>
        <w:rPr>
          <w:sz w:val="20"/>
          <w:szCs w:val="20"/>
          <w:color w:val="auto"/>
        </w:rPr>
      </w:pPr>
    </w:p>
    <w:p>
      <w:pPr>
        <w:ind w:right="2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life sciences technology market is highly competitive. If we fail to compete effectively, our business and results of operation will suffer.</w:t>
      </w:r>
    </w:p>
    <w:p>
      <w:pPr>
        <w:spacing w:after="0" w:line="105" w:lineRule="exact"/>
        <w:rPr>
          <w:sz w:val="20"/>
          <w:szCs w:val="20"/>
          <w:color w:val="auto"/>
        </w:rPr>
      </w:pPr>
    </w:p>
    <w:p>
      <w:pPr>
        <w:ind w:right="160" w:firstLine="349"/>
        <w:spacing w:after="0" w:line="265" w:lineRule="auto"/>
        <w:rPr>
          <w:sz w:val="20"/>
          <w:szCs w:val="20"/>
          <w:color w:val="auto"/>
        </w:rPr>
      </w:pPr>
      <w:r>
        <w:rPr>
          <w:rFonts w:ascii="Times New Roman" w:cs="Times New Roman" w:eastAsia="Times New Roman" w:hAnsi="Times New Roman"/>
          <w:sz w:val="19"/>
          <w:szCs w:val="19"/>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133" w:lineRule="exact"/>
        <w:rPr>
          <w:sz w:val="20"/>
          <w:szCs w:val="20"/>
          <w:color w:val="auto"/>
        </w:rPr>
      </w:pPr>
    </w:p>
    <w:p>
      <w:pPr>
        <w:ind w:right="120" w:firstLine="349"/>
        <w:spacing w:after="0" w:line="293" w:lineRule="auto"/>
        <w:rPr>
          <w:sz w:val="20"/>
          <w:szCs w:val="20"/>
          <w:color w:val="auto"/>
        </w:rPr>
      </w:pPr>
      <w:r>
        <w:rPr>
          <w:rFonts w:ascii="Times New Roman" w:cs="Times New Roman" w:eastAsia="Times New Roman" w:hAnsi="Times New Roman"/>
          <w:sz w:val="19"/>
          <w:szCs w:val="19"/>
          <w:color w:val="auto"/>
        </w:rPr>
        <w:t>Some of our current competitors are large publicly-traded companies, or are divisions of large publicly-traded companies, and enjoy a number of competitive advantages over us, including:</w:t>
      </w:r>
    </w:p>
    <w:p>
      <w:pPr>
        <w:spacing w:after="0" w:line="107" w:lineRule="exact"/>
        <w:rPr>
          <w:sz w:val="20"/>
          <w:szCs w:val="20"/>
          <w:color w:val="auto"/>
        </w:rPr>
      </w:pPr>
    </w:p>
    <w:p>
      <w:pPr>
        <w:ind w:left="700" w:hanging="350"/>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greater name and brand recognition;</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greater financial and human resources;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broader product lines;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larger sales forces and more established distributor networks;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substantial intellectual property portfolios;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larger and more established customer bases and relationships; and</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better established, larger scale and lower cost manufacturing capabilities.</w:t>
      </w:r>
    </w:p>
    <w:p>
      <w:pPr>
        <w:spacing w:after="0" w:line="189"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29" w:lineRule="exact"/>
        <w:rPr>
          <w:sz w:val="20"/>
          <w:szCs w:val="20"/>
          <w:color w:val="auto"/>
        </w:rPr>
      </w:pPr>
    </w:p>
    <w:p>
      <w:pPr>
        <w:ind w:right="4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05"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37"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ectPr>
          <w:pgSz w:w="11880" w:h="15480" w:orient="portrait"/>
          <w:cols w:equalWidth="0" w:num="1">
            <w:col w:w="9920"/>
          </w:cols>
          <w:pgMar w:left="960" w:top="82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48</w:t>
      </w:r>
    </w:p>
    <w:p>
      <w:pPr>
        <w:sectPr>
          <w:pgSz w:w="11880" w:h="15480" w:orient="portrait"/>
          <w:cols w:equalWidth="0" w:num="1">
            <w:col w:w="9920"/>
          </w:cols>
          <w:pgMar w:left="960" w:top="822" w:right="1000" w:bottom="0" w:gutter="0" w:footer="0" w:header="0"/>
          <w:type w:val="continuous"/>
        </w:sectPr>
      </w:pPr>
    </w:p>
    <w:bookmarkStart w:id="51" w:name="page52"/>
    <w:bookmarkEnd w:id="51"/>
    <w:p>
      <w:pPr>
        <w:jc w:val="both"/>
        <w:ind w:right="50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124"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4" w:lineRule="exact"/>
        <w:rPr>
          <w:sz w:val="20"/>
          <w:szCs w:val="20"/>
          <w:color w:val="auto"/>
        </w:rPr>
      </w:pPr>
    </w:p>
    <w:p>
      <w:pPr>
        <w:jc w:val="both"/>
        <w:ind w:right="12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24"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38" w:lineRule="exact"/>
        <w:rPr>
          <w:sz w:val="20"/>
          <w:szCs w:val="20"/>
          <w:color w:val="auto"/>
        </w:rPr>
      </w:pPr>
    </w:p>
    <w:p>
      <w:pPr>
        <w:ind w:left="700" w:hanging="350"/>
        <w:spacing w:after="0"/>
        <w:tabs>
          <w:tab w:leader="none" w:pos="7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decreases in government funding of research and development;</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economic conditions, including recessionary effects and inflationary pressures;</w:t>
      </w:r>
    </w:p>
    <w:p>
      <w:pPr>
        <w:spacing w:after="0" w:line="189" w:lineRule="exact"/>
        <w:rPr>
          <w:rFonts w:ascii="Times New Roman" w:cs="Times New Roman" w:eastAsia="Times New Roman" w:hAnsi="Times New Roman"/>
          <w:sz w:val="19"/>
          <w:szCs w:val="19"/>
          <w:color w:val="auto"/>
        </w:rPr>
      </w:pPr>
    </w:p>
    <w:p>
      <w:pPr>
        <w:ind w:firstLine="350"/>
        <w:spacing w:after="0" w:line="274" w:lineRule="auto"/>
        <w:tabs>
          <w:tab w:leader="none" w:pos="69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125" w:lineRule="exact"/>
        <w:rPr>
          <w:rFonts w:ascii="Times New Roman" w:cs="Times New Roman" w:eastAsia="Times New Roman" w:hAnsi="Times New Roman"/>
          <w:sz w:val="19"/>
          <w:szCs w:val="19"/>
          <w:color w:val="auto"/>
        </w:rPr>
      </w:pPr>
    </w:p>
    <w:p>
      <w:pPr>
        <w:ind w:right="820" w:firstLine="350"/>
        <w:spacing w:after="0" w:line="293" w:lineRule="auto"/>
        <w:tabs>
          <w:tab w:leader="none" w:pos="69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regulatory environment affecting life science and Ag-Bio companies engaged in research and commercial activities;</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differences in budget cycles across various geographies and industries;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market-driven pressures on companies to consolidate operations and reduce costs;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mergers and acquisitions in the life science and Ag-Bio industries; and</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factors affecting research and development spending.</w:t>
      </w:r>
    </w:p>
    <w:p>
      <w:pPr>
        <w:spacing w:after="0" w:line="189" w:lineRule="exact"/>
        <w:rPr>
          <w:sz w:val="20"/>
          <w:szCs w:val="20"/>
          <w:color w:val="auto"/>
        </w:rPr>
      </w:pPr>
    </w:p>
    <w:p>
      <w:pPr>
        <w:jc w:val="both"/>
        <w:ind w:right="820" w:firstLine="349"/>
        <w:spacing w:after="0" w:line="274" w:lineRule="auto"/>
        <w:rPr>
          <w:sz w:val="20"/>
          <w:szCs w:val="20"/>
          <w:color w:val="auto"/>
        </w:rPr>
      </w:pPr>
      <w:r>
        <w:rPr>
          <w:rFonts w:ascii="Times New Roman" w:cs="Times New Roman" w:eastAsia="Times New Roman" w:hAnsi="Times New Roman"/>
          <w:sz w:val="19"/>
          <w:szCs w:val="19"/>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18" w:lineRule="exact"/>
        <w:rPr>
          <w:sz w:val="20"/>
          <w:szCs w:val="20"/>
          <w:color w:val="auto"/>
        </w:rPr>
      </w:pPr>
    </w:p>
    <w:p>
      <w:pPr>
        <w:ind w:right="3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ectPr>
          <w:pgSz w:w="11880" w:h="15480" w:orient="portrait"/>
          <w:cols w:equalWidth="0" w:num="1">
            <w:col w:w="9920"/>
          </w:cols>
          <w:pgMar w:left="960" w:top="81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49</w:t>
      </w:r>
    </w:p>
    <w:p>
      <w:pPr>
        <w:sectPr>
          <w:pgSz w:w="11880" w:h="15480" w:orient="portrait"/>
          <w:cols w:equalWidth="0" w:num="1">
            <w:col w:w="9920"/>
          </w:cols>
          <w:pgMar w:left="960" w:top="815" w:right="1000" w:bottom="0" w:gutter="0" w:footer="0" w:header="0"/>
          <w:type w:val="continuous"/>
        </w:sectPr>
      </w:pPr>
    </w:p>
    <w:bookmarkStart w:id="52" w:name="page53"/>
    <w:bookmarkEnd w:id="52"/>
    <w:p>
      <w:pPr>
        <w:ind w:right="100" w:firstLine="350"/>
        <w:spacing w:after="0" w:line="293" w:lineRule="auto"/>
        <w:tabs>
          <w:tab w:leader="none" w:pos="69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and cost of, and level of investment in, research and development and commercialization activities relating to our Nautilus platform;</w:t>
      </w:r>
    </w:p>
    <w:p>
      <w:pPr>
        <w:spacing w:after="0" w:line="107" w:lineRule="exact"/>
        <w:rPr>
          <w:rFonts w:ascii="Times New Roman" w:cs="Times New Roman" w:eastAsia="Times New Roman" w:hAnsi="Times New Roman"/>
          <w:sz w:val="19"/>
          <w:szCs w:val="19"/>
          <w:color w:val="auto"/>
        </w:rPr>
      </w:pPr>
    </w:p>
    <w:p>
      <w:pPr>
        <w:ind w:right="440" w:firstLine="350"/>
        <w:spacing w:after="0" w:line="293" w:lineRule="auto"/>
        <w:tabs>
          <w:tab w:leader="none" w:pos="69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establish and successfully maintain appropriate collaborations and derive revenue from those collaborations; and</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develop and commercialize our Nautilus platform on our anticipated timeline.</w:t>
      </w:r>
    </w:p>
    <w:p>
      <w:pPr>
        <w:spacing w:after="0" w:line="189" w:lineRule="exact"/>
        <w:rPr>
          <w:sz w:val="20"/>
          <w:szCs w:val="20"/>
          <w:color w:val="auto"/>
        </w:rPr>
      </w:pPr>
    </w:p>
    <w:p>
      <w:pPr>
        <w:ind w:right="320" w:firstLine="349"/>
        <w:spacing w:after="0" w:line="274" w:lineRule="auto"/>
        <w:rPr>
          <w:sz w:val="20"/>
          <w:szCs w:val="20"/>
          <w:color w:val="auto"/>
        </w:rPr>
      </w:pPr>
      <w:r>
        <w:rPr>
          <w:rFonts w:ascii="Times New Roman" w:cs="Times New Roman" w:eastAsia="Times New Roman" w:hAnsi="Times New Roman"/>
          <w:sz w:val="19"/>
          <w:szCs w:val="19"/>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25" w:lineRule="exact"/>
        <w:rPr>
          <w:sz w:val="20"/>
          <w:szCs w:val="20"/>
          <w:color w:val="auto"/>
        </w:rPr>
      </w:pPr>
    </w:p>
    <w:p>
      <w:pPr>
        <w:ind w:firstLine="350"/>
        <w:spacing w:after="0" w:line="293" w:lineRule="auto"/>
        <w:tabs>
          <w:tab w:leader="none" w:pos="69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 of demand for any products we are able to commercialize, particularly our Nautilus platform, which may vary significantly from period to period;</w:t>
      </w:r>
    </w:p>
    <w:p>
      <w:pPr>
        <w:spacing w:after="0" w:line="107" w:lineRule="exact"/>
        <w:rPr>
          <w:rFonts w:ascii="Times New Roman" w:cs="Times New Roman" w:eastAsia="Times New Roman" w:hAnsi="Times New Roman"/>
          <w:sz w:val="19"/>
          <w:szCs w:val="19"/>
          <w:color w:val="auto"/>
        </w:rPr>
      </w:pPr>
    </w:p>
    <w:p>
      <w:pPr>
        <w:ind w:right="280" w:firstLine="350"/>
        <w:spacing w:after="0" w:line="293" w:lineRule="auto"/>
        <w:tabs>
          <w:tab w:leader="none" w:pos="69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drive adoption of our Nautilus platform in our target markets and our ability to expand into any future target markets;</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that economic inflation may have on our costs for manufacturing our products;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prices at which we will be able to sell our Nautilus platform;</w:t>
      </w:r>
    </w:p>
    <w:p>
      <w:pPr>
        <w:spacing w:after="0" w:line="189" w:lineRule="exact"/>
        <w:rPr>
          <w:rFonts w:ascii="Times New Roman" w:cs="Times New Roman" w:eastAsia="Times New Roman" w:hAnsi="Times New Roman"/>
          <w:sz w:val="19"/>
          <w:szCs w:val="19"/>
          <w:color w:val="auto"/>
        </w:rPr>
      </w:pPr>
    </w:p>
    <w:p>
      <w:pPr>
        <w:ind w:right="160" w:firstLine="350"/>
        <w:spacing w:after="0" w:line="293" w:lineRule="auto"/>
        <w:tabs>
          <w:tab w:leader="none" w:pos="69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volume and mix of our sales between consumables, instruments and software, or changes in the manufacturing or sales costs related to our products;</w:t>
      </w:r>
    </w:p>
    <w:p>
      <w:pPr>
        <w:spacing w:after="0" w:line="107" w:lineRule="exact"/>
        <w:rPr>
          <w:rFonts w:ascii="Times New Roman" w:cs="Times New Roman" w:eastAsia="Times New Roman" w:hAnsi="Times New Roman"/>
          <w:sz w:val="19"/>
          <w:szCs w:val="19"/>
          <w:color w:val="auto"/>
        </w:rPr>
      </w:pPr>
    </w:p>
    <w:p>
      <w:pPr>
        <w:ind w:firstLine="350"/>
        <w:spacing w:after="0" w:line="293" w:lineRule="auto"/>
        <w:tabs>
          <w:tab w:leader="none" w:pos="69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governmental funding of life sciences research and development or changes that impact budgets and budget</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cycles;</w:t>
      </w:r>
    </w:p>
    <w:p>
      <w:pPr>
        <w:spacing w:after="0" w:line="16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seasonal spending patterns of our customers;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of when we recognize any revenue;</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future accounting pronouncements or changes in our accounting policies;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outcome of any future litigation or governmental investigations involving us, our industry or both;</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higher than anticipated service, replacement and warranty costs;</w:t>
      </w:r>
    </w:p>
    <w:p>
      <w:pPr>
        <w:spacing w:after="0" w:line="189" w:lineRule="exact"/>
        <w:rPr>
          <w:rFonts w:ascii="Times New Roman" w:cs="Times New Roman" w:eastAsia="Times New Roman" w:hAnsi="Times New Roman"/>
          <w:sz w:val="19"/>
          <w:szCs w:val="19"/>
          <w:color w:val="auto"/>
        </w:rPr>
      </w:pPr>
    </w:p>
    <w:p>
      <w:pPr>
        <w:ind w:right="280" w:firstLine="350"/>
        <w:spacing w:after="0" w:line="274" w:lineRule="auto"/>
        <w:tabs>
          <w:tab w:leader="none" w:pos="69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the COVID-19 pandemic, the conflicts in Eastern Europe, and other national and global events on the economy, investment in life sciences and research industries, our business operations, and resources and operations of our customers, suppliers, and distributors; and</w:t>
      </w:r>
    </w:p>
    <w:p>
      <w:pPr>
        <w:spacing w:after="0" w:line="125" w:lineRule="exact"/>
        <w:rPr>
          <w:rFonts w:ascii="Times New Roman" w:cs="Times New Roman" w:eastAsia="Times New Roman" w:hAnsi="Times New Roman"/>
          <w:sz w:val="19"/>
          <w:szCs w:val="19"/>
          <w:color w:val="auto"/>
        </w:rPr>
      </w:pPr>
    </w:p>
    <w:p>
      <w:pPr>
        <w:ind w:right="540" w:firstLine="350"/>
        <w:spacing w:after="0" w:line="293" w:lineRule="auto"/>
        <w:tabs>
          <w:tab w:leader="none" w:pos="69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industry, economic and market conditions and other factors, including factors unrelated to our operating performance or the operating performance of our competitors.</w:t>
      </w:r>
    </w:p>
    <w:p>
      <w:pPr>
        <w:spacing w:after="0" w:line="107"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5"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24" w:lineRule="exact"/>
        <w:rPr>
          <w:sz w:val="20"/>
          <w:szCs w:val="20"/>
          <w:color w:val="auto"/>
        </w:rPr>
      </w:pPr>
    </w:p>
    <w:p>
      <w:pPr>
        <w:ind w:right="1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ectPr>
          <w:pgSz w:w="11880" w:h="15480" w:orient="portrait"/>
          <w:cols w:equalWidth="0" w:num="1">
            <w:col w:w="9940"/>
          </w:cols>
          <w:pgMar w:left="960" w:top="822" w:right="980" w:bottom="0" w:gutter="0" w:footer="0" w:header="0"/>
          <w:type w:val="continuous"/>
        </w:sectPr>
      </w:pPr>
    </w:p>
    <w:bookmarkStart w:id="53" w:name="page54"/>
    <w:bookmarkEnd w:id="53"/>
    <w:p>
      <w:pPr>
        <w:ind w:right="80"/>
        <w:spacing w:after="0" w:line="293" w:lineRule="auto"/>
        <w:rPr>
          <w:sz w:val="20"/>
          <w:szCs w:val="20"/>
          <w:color w:val="auto"/>
        </w:rPr>
      </w:pPr>
      <w:r>
        <w:rPr>
          <w:rFonts w:ascii="Times New Roman" w:cs="Times New Roman" w:eastAsia="Times New Roman" w:hAnsi="Times New Roman"/>
          <w:sz w:val="19"/>
          <w:szCs w:val="19"/>
          <w:color w:val="auto"/>
        </w:rPr>
        <w:t>success or viability are highly uncertain and may not be as accurate as they could be if we had a longer operating history or a company history of successfully developing and commercializing products.</w:t>
      </w:r>
    </w:p>
    <w:p>
      <w:pPr>
        <w:spacing w:after="0" w:line="107"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We may need to raise additional capital to fund our development and commercialization plans.</w:t>
      </w:r>
    </w:p>
    <w:p>
      <w:pPr>
        <w:spacing w:after="0" w:line="196" w:lineRule="exact"/>
        <w:rPr>
          <w:sz w:val="20"/>
          <w:szCs w:val="20"/>
          <w:color w:val="auto"/>
        </w:rPr>
      </w:pPr>
    </w:p>
    <w:p>
      <w:pPr>
        <w:ind w:right="180" w:firstLine="349"/>
        <w:spacing w:after="0" w:line="263" w:lineRule="auto"/>
        <w:rPr>
          <w:sz w:val="20"/>
          <w:szCs w:val="20"/>
          <w:color w:val="auto"/>
        </w:rPr>
      </w:pPr>
      <w:r>
        <w:rPr>
          <w:rFonts w:ascii="Times New Roman" w:cs="Times New Roman" w:eastAsia="Times New Roman" w:hAnsi="Times New Roman"/>
          <w:sz w:val="19"/>
          <w:szCs w:val="19"/>
          <w:color w:val="auto"/>
        </w:rPr>
        <w:t>Based on our current plans, we believe that our available resources and existing cash, cash equivalents and short-term investments, will be sufficient to meet our anticipated cash requirements for at least 12 months from the date of this Annual Report on Form 10-K. If our available resources and existing cash and cash equivalents and short-term investments are insufficient to satisfy our liquidity requirements, including because of the realization of other risks described in this Annual Report on Form 10-K, we may be required to raise additional capital prior to such time through issuances of equity or convertible debt securities, enter into a credit facility or another form of third-party funding or seek other debt financing.</w:t>
      </w:r>
    </w:p>
    <w:p>
      <w:pPr>
        <w:spacing w:after="0" w:line="136" w:lineRule="exact"/>
        <w:rPr>
          <w:sz w:val="20"/>
          <w:szCs w:val="20"/>
          <w:color w:val="auto"/>
        </w:rPr>
      </w:pPr>
    </w:p>
    <w:p>
      <w:pPr>
        <w:ind w:right="180" w:firstLine="349"/>
        <w:spacing w:after="0" w:line="293" w:lineRule="auto"/>
        <w:rPr>
          <w:sz w:val="20"/>
          <w:szCs w:val="20"/>
          <w:color w:val="auto"/>
        </w:rPr>
      </w:pPr>
      <w:r>
        <w:rPr>
          <w:rFonts w:ascii="Times New Roman" w:cs="Times New Roman" w:eastAsia="Times New Roman" w:hAnsi="Times New Roman"/>
          <w:sz w:val="19"/>
          <w:szCs w:val="19"/>
          <w:color w:val="auto"/>
        </w:rPr>
        <w:t>We may consider raising additional capital in the future to expand our business, to pursue strategic investments, to take advantage of financing or acquisition opportunities or for other reasons, including:</w:t>
      </w:r>
    </w:p>
    <w:p>
      <w:pPr>
        <w:spacing w:after="0" w:line="107" w:lineRule="exact"/>
        <w:rPr>
          <w:sz w:val="20"/>
          <w:szCs w:val="20"/>
          <w:color w:val="auto"/>
        </w:rPr>
      </w:pPr>
    </w:p>
    <w:p>
      <w:pPr>
        <w:ind w:left="700" w:hanging="350"/>
        <w:spacing w:after="0"/>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funding development and marketing efforts of our Nautilus platform or any other future products;</w:t>
      </w:r>
    </w:p>
    <w:p>
      <w:pPr>
        <w:spacing w:after="0" w:line="189" w:lineRule="exact"/>
        <w:rPr>
          <w:rFonts w:ascii="Times New Roman" w:cs="Times New Roman" w:eastAsia="Times New Roman" w:hAnsi="Times New Roman"/>
          <w:sz w:val="19"/>
          <w:szCs w:val="19"/>
          <w:color w:val="auto"/>
        </w:rPr>
      </w:pPr>
    </w:p>
    <w:p>
      <w:pPr>
        <w:ind w:right="380" w:firstLine="350"/>
        <w:spacing w:after="0" w:line="293" w:lineRule="auto"/>
        <w:tabs>
          <w:tab w:leader="none" w:pos="69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increasing our sales and marketing and other commercialization efforts to drive market adoption of our Nautilus platform, once commercialized;</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expanding our technologies into additional markets;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preparing, filing, prosecuting, defending and enforcing any patent claims and other intellectual property rights;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acquiring, licensing or defending against third party intellectual property rights;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acquiring or investing in complementary technologies, businesses or assets; and</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financing capital expenditures and general and administrative expenses.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Our present and future funding requirements will depend on many factors, including:</w:t>
      </w:r>
    </w:p>
    <w:p>
      <w:pPr>
        <w:spacing w:after="0" w:line="189" w:lineRule="exact"/>
        <w:rPr>
          <w:sz w:val="20"/>
          <w:szCs w:val="20"/>
          <w:color w:val="auto"/>
        </w:rPr>
      </w:pPr>
    </w:p>
    <w:p>
      <w:pPr>
        <w:ind w:left="700" w:hanging="350"/>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in execution of our development plans;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and timing of our investment in our sales, marketing, and distribution capabilities;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we may make to our business that affect ongoing operating expenses;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of filing, prosecuting, defending and enforcing any patent claims and other intellectual property rights;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we may make in our business or commercialization strategy;</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we may make in our research and development spending plans;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 of competing technological and market developments;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need to implement additional infrastructure and internal systems;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the COVID-19 pandemic; and</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items affecting our forecasted level of expenditures and use of cash resources including potential acquisitions.</w:t>
      </w:r>
    </w:p>
    <w:p>
      <w:pPr>
        <w:spacing w:after="0" w:line="189"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w:t>
      </w:r>
    </w:p>
    <w:p>
      <w:pPr>
        <w:sectPr>
          <w:pgSz w:w="11880" w:h="15480" w:orient="portrait"/>
          <w:cols w:equalWidth="0" w:num="1">
            <w:col w:w="9780"/>
          </w:cols>
          <w:pgMar w:left="960" w:top="822" w:right="114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51</w:t>
      </w:r>
    </w:p>
    <w:p>
      <w:pPr>
        <w:sectPr>
          <w:pgSz w:w="11880" w:h="15480" w:orient="portrait"/>
          <w:cols w:equalWidth="0" w:num="1">
            <w:col w:w="9780"/>
          </w:cols>
          <w:pgMar w:left="960" w:top="822" w:right="1140" w:bottom="0" w:gutter="0" w:footer="0" w:header="0"/>
          <w:type w:val="continuous"/>
        </w:sectPr>
      </w:pPr>
    </w:p>
    <w:bookmarkStart w:id="54" w:name="page55"/>
    <w:bookmarkEnd w:id="54"/>
    <w:p>
      <w:pPr>
        <w:ind w:right="20"/>
        <w:spacing w:after="0" w:line="274" w:lineRule="auto"/>
        <w:rPr>
          <w:sz w:val="20"/>
          <w:szCs w:val="20"/>
          <w:color w:val="auto"/>
        </w:rPr>
      </w:pPr>
      <w:r>
        <w:rPr>
          <w:rFonts w:ascii="Times New Roman" w:cs="Times New Roman" w:eastAsia="Times New Roman" w:hAnsi="Times New Roman"/>
          <w:sz w:val="19"/>
          <w:szCs w:val="19"/>
          <w:color w:val="auto"/>
        </w:rPr>
        <w:t>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5"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19 pandemic, the conflicts in Eastern Europe,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89" w:lineRule="exact"/>
        <w:rPr>
          <w:sz w:val="20"/>
          <w:szCs w:val="20"/>
          <w:color w:val="auto"/>
        </w:rPr>
      </w:pPr>
    </w:p>
    <w:p>
      <w:pPr>
        <w:ind w:right="2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4"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6"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33"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8"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ectPr>
          <w:pgSz w:w="11880" w:h="15480" w:orient="portrait"/>
          <w:cols w:equalWidth="0" w:num="1">
            <w:col w:w="9940"/>
          </w:cols>
          <w:pgMar w:left="960" w:top="822" w:right="980" w:bottom="0" w:gutter="0" w:footer="0" w:header="0"/>
          <w:type w:val="continuous"/>
        </w:sectPr>
      </w:pPr>
    </w:p>
    <w:bookmarkStart w:id="55" w:name="page56"/>
    <w:bookmarkEnd w:id="55"/>
    <w:p>
      <w:pPr>
        <w:ind w:right="200"/>
        <w:spacing w:after="0" w:line="268" w:lineRule="auto"/>
        <w:rPr>
          <w:sz w:val="20"/>
          <w:szCs w:val="20"/>
          <w:color w:val="auto"/>
        </w:rPr>
      </w:pPr>
      <w:r>
        <w:rPr>
          <w:rFonts w:ascii="Times New Roman" w:cs="Times New Roman" w:eastAsia="Times New Roman" w:hAnsi="Times New Roman"/>
          <w:sz w:val="19"/>
          <w:szCs w:val="19"/>
          <w:color w:val="auto"/>
        </w:rPr>
        <w:t>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24" w:lineRule="exact"/>
        <w:rPr>
          <w:sz w:val="20"/>
          <w:szCs w:val="20"/>
          <w:color w:val="auto"/>
        </w:rPr>
      </w:pPr>
    </w:p>
    <w:p>
      <w:pPr>
        <w:ind w:right="1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41" w:lineRule="exact"/>
        <w:rPr>
          <w:sz w:val="20"/>
          <w:szCs w:val="20"/>
          <w:color w:val="auto"/>
        </w:rPr>
      </w:pPr>
    </w:p>
    <w:p>
      <w:pPr>
        <w:ind w:right="140" w:firstLine="349"/>
        <w:spacing w:after="0" w:line="262" w:lineRule="auto"/>
        <w:rPr>
          <w:sz w:val="20"/>
          <w:szCs w:val="20"/>
          <w:color w:val="auto"/>
        </w:rPr>
      </w:pPr>
      <w:r>
        <w:rPr>
          <w:rFonts w:ascii="Times New Roman" w:cs="Times New Roman" w:eastAsia="Times New Roman" w:hAnsi="Times New Roman"/>
          <w:sz w:val="19"/>
          <w:szCs w:val="19"/>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36"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6" w:lineRule="exact"/>
        <w:rPr>
          <w:sz w:val="20"/>
          <w:szCs w:val="20"/>
          <w:color w:val="auto"/>
        </w:rPr>
      </w:pPr>
    </w:p>
    <w:p>
      <w:pPr>
        <w:ind w:firstLine="349"/>
        <w:spacing w:after="0" w:line="264" w:lineRule="auto"/>
        <w:rPr>
          <w:sz w:val="20"/>
          <w:szCs w:val="20"/>
          <w:color w:val="auto"/>
        </w:rPr>
      </w:pPr>
      <w:r>
        <w:rPr>
          <w:rFonts w:ascii="Times New Roman" w:cs="Times New Roman" w:eastAsia="Times New Roman" w:hAnsi="Times New Roman"/>
          <w:sz w:val="19"/>
          <w:szCs w:val="19"/>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3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We may not be able to protect our intellectual property rights throughout the world.</w:t>
      </w:r>
    </w:p>
    <w:p>
      <w:pPr>
        <w:spacing w:after="0" w:line="196"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25"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ectPr>
          <w:pgSz w:w="11880" w:h="15480" w:orient="portrait"/>
          <w:cols w:equalWidth="0" w:num="1">
            <w:col w:w="9920"/>
          </w:cols>
          <w:pgMar w:left="960" w:top="82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53</w:t>
      </w:r>
    </w:p>
    <w:p>
      <w:pPr>
        <w:sectPr>
          <w:pgSz w:w="11880" w:h="15480" w:orient="portrait"/>
          <w:cols w:equalWidth="0" w:num="1">
            <w:col w:w="9920"/>
          </w:cols>
          <w:pgMar w:left="960" w:top="822" w:right="1000" w:bottom="0" w:gutter="0" w:footer="0" w:header="0"/>
          <w:type w:val="continuous"/>
        </w:sectPr>
      </w:pPr>
    </w:p>
    <w:bookmarkStart w:id="56" w:name="page57"/>
    <w:bookmarkEnd w:id="56"/>
    <w:p>
      <w:pPr>
        <w:ind w:firstLine="349"/>
        <w:spacing w:after="0" w:line="260" w:lineRule="auto"/>
        <w:rPr>
          <w:sz w:val="20"/>
          <w:szCs w:val="20"/>
          <w:color w:val="auto"/>
        </w:rPr>
      </w:pPr>
      <w:r>
        <w:rPr>
          <w:rFonts w:ascii="Times New Roman" w:cs="Times New Roman" w:eastAsia="Times New Roman" w:hAnsi="Times New Roman"/>
          <w:sz w:val="19"/>
          <w:szCs w:val="19"/>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378"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0" w:lineRule="exact"/>
        <w:rPr>
          <w:sz w:val="20"/>
          <w:szCs w:val="20"/>
          <w:color w:val="auto"/>
        </w:rPr>
      </w:pPr>
    </w:p>
    <w:p>
      <w:pPr>
        <w:jc w:val="both"/>
        <w:ind w:right="32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4" w:lineRule="exact"/>
        <w:rPr>
          <w:sz w:val="20"/>
          <w:szCs w:val="20"/>
          <w:color w:val="auto"/>
        </w:rPr>
      </w:pPr>
    </w:p>
    <w:p>
      <w:pPr>
        <w:ind w:right="80" w:firstLine="349"/>
        <w:spacing w:after="0" w:line="259" w:lineRule="auto"/>
        <w:rPr>
          <w:sz w:val="20"/>
          <w:szCs w:val="20"/>
          <w:color w:val="auto"/>
        </w:rPr>
      </w:pPr>
      <w:r>
        <w:rPr>
          <w:rFonts w:ascii="Times New Roman" w:cs="Times New Roman" w:eastAsia="Times New Roman" w:hAnsi="Times New Roman"/>
          <w:sz w:val="19"/>
          <w:szCs w:val="19"/>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41"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25" w:lineRule="exact"/>
        <w:rPr>
          <w:sz w:val="20"/>
          <w:szCs w:val="20"/>
          <w:color w:val="auto"/>
        </w:rPr>
      </w:pPr>
    </w:p>
    <w:p>
      <w:pPr>
        <w:ind w:right="80" w:firstLine="349"/>
        <w:spacing w:after="0" w:line="261" w:lineRule="auto"/>
        <w:rPr>
          <w:sz w:val="20"/>
          <w:szCs w:val="20"/>
          <w:color w:val="auto"/>
        </w:rPr>
      </w:pPr>
      <w:r>
        <w:rPr>
          <w:rFonts w:ascii="Times New Roman" w:cs="Times New Roman" w:eastAsia="Times New Roman" w:hAnsi="Times New Roman"/>
          <w:sz w:val="19"/>
          <w:szCs w:val="19"/>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37"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Issued patents covering our products could be found invalid or unenforceable if challenged.</w:t>
      </w:r>
    </w:p>
    <w:p>
      <w:pPr>
        <w:spacing w:after="0" w:line="196"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9"/>
          <w:szCs w:val="19"/>
          <w:b w:val="1"/>
          <w:bCs w:val="1"/>
          <w:i w:val="1"/>
          <w:iCs w:val="1"/>
          <w:color w:val="auto"/>
        </w:rPr>
        <w:t>inter partes</w:t>
      </w:r>
      <w:r>
        <w:rPr>
          <w:rFonts w:ascii="Times New Roman" w:cs="Times New Roman" w:eastAsia="Times New Roman" w:hAnsi="Times New Roman"/>
          <w:sz w:val="19"/>
          <w:szCs w:val="19"/>
          <w:color w:val="auto"/>
        </w:rPr>
        <w:t xml:space="preserve"> review,</w:t>
      </w:r>
    </w:p>
    <w:p>
      <w:pPr>
        <w:sectPr>
          <w:pgSz w:w="11880" w:h="15480" w:orient="portrait"/>
          <w:cols w:equalWidth="0" w:num="1">
            <w:col w:w="9960"/>
          </w:cols>
          <w:pgMar w:left="960" w:top="822" w:right="960" w:bottom="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1880" w:h="15480" w:orient="portrait"/>
          <w:cols w:equalWidth="0" w:num="1">
            <w:col w:w="9960"/>
          </w:cols>
          <w:pgMar w:left="960" w:top="822" w:right="960" w:bottom="0" w:gutter="0" w:footer="0" w:header="0"/>
          <w:type w:val="continuous"/>
        </w:sectPr>
      </w:pPr>
    </w:p>
    <w:bookmarkStart w:id="57" w:name="page58"/>
    <w:bookmarkEnd w:id="57"/>
    <w:p>
      <w:pPr>
        <w:ind w:right="40"/>
        <w:spacing w:after="0" w:line="257" w:lineRule="auto"/>
        <w:rPr>
          <w:sz w:val="20"/>
          <w:szCs w:val="20"/>
          <w:color w:val="auto"/>
        </w:rPr>
      </w:pPr>
      <w:r>
        <w:rPr>
          <w:rFonts w:ascii="Times New Roman" w:cs="Times New Roman" w:eastAsia="Times New Roman" w:hAnsi="Times New Roman"/>
          <w:sz w:val="19"/>
          <w:szCs w:val="19"/>
          <w:color w:val="auto"/>
        </w:rPr>
        <w:t xml:space="preserve">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9"/>
          <w:szCs w:val="19"/>
          <w:b w:val="1"/>
          <w:bCs w:val="1"/>
          <w:i w:val="1"/>
          <w:iCs w:val="1"/>
          <w:color w:val="auto"/>
        </w:rPr>
        <w:t>inter partes</w:t>
      </w:r>
      <w:r>
        <w:rPr>
          <w:rFonts w:ascii="Times New Roman" w:cs="Times New Roman" w:eastAsia="Times New Roman" w:hAnsi="Times New Roman"/>
          <w:sz w:val="19"/>
          <w:szCs w:val="19"/>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52"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41" w:lineRule="exact"/>
        <w:rPr>
          <w:sz w:val="20"/>
          <w:szCs w:val="20"/>
          <w:color w:val="auto"/>
        </w:rPr>
      </w:pPr>
    </w:p>
    <w:p>
      <w:pPr>
        <w:ind w:right="5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60" w:firstLine="349"/>
        <w:spacing w:after="0" w:line="264" w:lineRule="auto"/>
        <w:rPr>
          <w:sz w:val="20"/>
          <w:szCs w:val="20"/>
          <w:color w:val="auto"/>
        </w:rPr>
      </w:pPr>
      <w:r>
        <w:rPr>
          <w:rFonts w:ascii="Times New Roman" w:cs="Times New Roman" w:eastAsia="Times New Roman" w:hAnsi="Times New Roman"/>
          <w:sz w:val="19"/>
          <w:szCs w:val="19"/>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371"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ectPr>
          <w:pgSz w:w="11880" w:h="15480" w:orient="portrait"/>
          <w:cols w:equalWidth="0" w:num="1">
            <w:col w:w="9940"/>
          </w:cols>
          <w:pgMar w:left="960" w:top="822" w:right="980" w:bottom="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ectPr>
          <w:pgSz w:w="11880" w:h="15480" w:orient="portrait"/>
          <w:cols w:equalWidth="0" w:num="1">
            <w:col w:w="9940"/>
          </w:cols>
          <w:pgMar w:left="960" w:top="822" w:right="980" w:bottom="0" w:gutter="0" w:footer="0" w:header="0"/>
          <w:type w:val="continuous"/>
        </w:sectPr>
      </w:pPr>
    </w:p>
    <w:bookmarkStart w:id="58" w:name="page59"/>
    <w:bookmarkEnd w:id="58"/>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1"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We may be subject to claims challenging the inventorship of our patents and other intellectual property.</w:t>
      </w:r>
    </w:p>
    <w:p>
      <w:pPr>
        <w:spacing w:after="0" w:line="196"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9" w:lineRule="exact"/>
        <w:rPr>
          <w:sz w:val="20"/>
          <w:szCs w:val="20"/>
          <w:color w:val="auto"/>
        </w:rPr>
      </w:pPr>
    </w:p>
    <w:p>
      <w:pPr>
        <w:ind w:right="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376" w:lineRule="exact"/>
        <w:rPr>
          <w:sz w:val="20"/>
          <w:szCs w:val="20"/>
          <w:color w:val="auto"/>
        </w:rPr>
      </w:pPr>
    </w:p>
    <w:p>
      <w:pPr>
        <w:ind w:right="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Patent terms may be inadequate to protect our competitive position on our Nautilus platform for an adequate amount of time.</w:t>
      </w:r>
    </w:p>
    <w:p>
      <w:pPr>
        <w:spacing w:after="0" w:line="105" w:lineRule="exact"/>
        <w:rPr>
          <w:sz w:val="20"/>
          <w:szCs w:val="20"/>
          <w:color w:val="auto"/>
        </w:rPr>
      </w:pPr>
    </w:p>
    <w:p>
      <w:pPr>
        <w:ind w:right="220" w:firstLine="349"/>
        <w:spacing w:after="0" w:line="265" w:lineRule="auto"/>
        <w:rPr>
          <w:sz w:val="20"/>
          <w:szCs w:val="20"/>
          <w:color w:val="auto"/>
        </w:rPr>
      </w:pPr>
      <w:r>
        <w:rPr>
          <w:rFonts w:ascii="Times New Roman" w:cs="Times New Roman" w:eastAsia="Times New Roman" w:hAnsi="Times New Roman"/>
          <w:sz w:val="19"/>
          <w:szCs w:val="19"/>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1880" w:h="15480" w:orient="portrait"/>
          <w:cols w:equalWidth="0" w:num="1">
            <w:col w:w="9960"/>
          </w:cols>
          <w:pgMar w:left="960" w:top="822" w:right="960" w:bottom="0" w:gutter="0" w:footer="0" w:header="0"/>
          <w:type w:val="continuous"/>
        </w:sectPr>
      </w:pPr>
    </w:p>
    <w:bookmarkStart w:id="59" w:name="page60"/>
    <w:bookmarkEnd w:id="59"/>
    <w:p>
      <w:pPr>
        <w:ind w:right="40"/>
        <w:spacing w:after="0" w:line="263" w:lineRule="auto"/>
        <w:rPr>
          <w:sz w:val="20"/>
          <w:szCs w:val="20"/>
          <w:color w:val="auto"/>
        </w:rPr>
      </w:pPr>
      <w:r>
        <w:rPr>
          <w:rFonts w:ascii="Times New Roman" w:cs="Times New Roman" w:eastAsia="Times New Roman" w:hAnsi="Times New Roman"/>
          <w:sz w:val="19"/>
          <w:szCs w:val="19"/>
          <w:color w:val="auto"/>
        </w:rPr>
        <w:t>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9" w:lineRule="exact"/>
        <w:rPr>
          <w:sz w:val="20"/>
          <w:szCs w:val="20"/>
          <w:color w:val="auto"/>
        </w:rPr>
      </w:pPr>
    </w:p>
    <w:p>
      <w:pPr>
        <w:ind w:right="20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4"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6" w:lineRule="exact"/>
        <w:rPr>
          <w:sz w:val="20"/>
          <w:szCs w:val="20"/>
          <w:color w:val="auto"/>
        </w:rPr>
      </w:pPr>
    </w:p>
    <w:p>
      <w:pPr>
        <w:ind w:right="20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24"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48"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41"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880" w:h="15480" w:orient="portrait"/>
          <w:cols w:equalWidth="0" w:num="1">
            <w:col w:w="9960"/>
          </w:cols>
          <w:pgMar w:left="960" w:top="822" w:right="960" w:bottom="0" w:gutter="0" w:footer="0" w:header="0"/>
          <w:type w:val="continuous"/>
        </w:sectPr>
      </w:pPr>
    </w:p>
    <w:bookmarkStart w:id="60" w:name="page61"/>
    <w:bookmarkEnd w:id="60"/>
    <w:p>
      <w:pPr>
        <w:spacing w:after="0" w:line="265" w:lineRule="auto"/>
        <w:rPr>
          <w:sz w:val="20"/>
          <w:szCs w:val="20"/>
          <w:color w:val="auto"/>
        </w:rPr>
      </w:pPr>
      <w:r>
        <w:rPr>
          <w:rFonts w:ascii="Times New Roman" w:cs="Times New Roman" w:eastAsia="Times New Roman" w:hAnsi="Times New Roman"/>
          <w:sz w:val="19"/>
          <w:szCs w:val="19"/>
          <w:color w:val="auto"/>
        </w:rPr>
        <w:t>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26" w:lineRule="exact"/>
        <w:rPr>
          <w:sz w:val="20"/>
          <w:szCs w:val="20"/>
          <w:color w:val="auto"/>
        </w:rPr>
      </w:pPr>
    </w:p>
    <w:p>
      <w:pPr>
        <w:ind w:right="1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cannot license rights to use technologies on reasonable terms, we may not be able to commercialize new products in the future.</w:t>
      </w:r>
    </w:p>
    <w:p>
      <w:pPr>
        <w:spacing w:after="0" w:line="105" w:lineRule="exact"/>
        <w:rPr>
          <w:sz w:val="20"/>
          <w:szCs w:val="20"/>
          <w:color w:val="auto"/>
        </w:rPr>
      </w:pPr>
    </w:p>
    <w:p>
      <w:pPr>
        <w:ind w:right="120" w:firstLine="349"/>
        <w:spacing w:after="0" w:line="262" w:lineRule="auto"/>
        <w:rPr>
          <w:sz w:val="20"/>
          <w:szCs w:val="20"/>
          <w:color w:val="auto"/>
        </w:rPr>
      </w:pPr>
      <w:r>
        <w:rPr>
          <w:rFonts w:ascii="Times New Roman" w:cs="Times New Roman" w:eastAsia="Times New Roman" w:hAnsi="Times New Roman"/>
          <w:sz w:val="19"/>
          <w:szCs w:val="19"/>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6"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30" w:lineRule="exact"/>
        <w:rPr>
          <w:sz w:val="20"/>
          <w:szCs w:val="20"/>
          <w:color w:val="auto"/>
        </w:rPr>
      </w:pPr>
    </w:p>
    <w:p>
      <w:pPr>
        <w:ind w:right="1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05" w:lineRule="exact"/>
        <w:rPr>
          <w:sz w:val="20"/>
          <w:szCs w:val="20"/>
          <w:color w:val="auto"/>
        </w:rPr>
      </w:pPr>
    </w:p>
    <w:p>
      <w:pPr>
        <w:ind w:right="40" w:firstLine="349"/>
        <w:spacing w:after="0" w:line="258" w:lineRule="auto"/>
        <w:rPr>
          <w:sz w:val="20"/>
          <w:szCs w:val="20"/>
          <w:color w:val="auto"/>
        </w:rPr>
      </w:pPr>
      <w:r>
        <w:rPr>
          <w:rFonts w:ascii="Times New Roman" w:cs="Times New Roman" w:eastAsia="Times New Roman" w:hAnsi="Times New Roman"/>
          <w:sz w:val="19"/>
          <w:szCs w:val="19"/>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42"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1880" w:h="15480" w:orient="portrait"/>
          <w:cols w:equalWidth="0" w:num="1">
            <w:col w:w="9960"/>
          </w:cols>
          <w:pgMar w:left="960" w:top="822" w:right="960" w:bottom="0" w:gutter="0" w:footer="0" w:header="0"/>
          <w:type w:val="continuous"/>
        </w:sectPr>
      </w:pPr>
    </w:p>
    <w:bookmarkStart w:id="61" w:name="page62"/>
    <w:bookmarkEnd w:id="61"/>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Intellectual property rights do not necessarily address all potential threats.</w:t>
      </w:r>
    </w:p>
    <w:p>
      <w:pPr>
        <w:spacing w:after="0" w:line="196" w:lineRule="exact"/>
        <w:rPr>
          <w:sz w:val="20"/>
          <w:szCs w:val="20"/>
          <w:color w:val="auto"/>
        </w:rPr>
      </w:pPr>
    </w:p>
    <w:p>
      <w:pPr>
        <w:jc w:val="both"/>
        <w:ind w:right="80" w:firstLine="349"/>
        <w:spacing w:after="0" w:line="293" w:lineRule="auto"/>
        <w:rPr>
          <w:sz w:val="20"/>
          <w:szCs w:val="20"/>
          <w:color w:val="auto"/>
        </w:rPr>
      </w:pPr>
      <w:r>
        <w:rPr>
          <w:rFonts w:ascii="Times New Roman" w:cs="Times New Roman" w:eastAsia="Times New Roman" w:hAnsi="Times New Roman"/>
          <w:sz w:val="19"/>
          <w:szCs w:val="19"/>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7" w:lineRule="exact"/>
        <w:rPr>
          <w:sz w:val="20"/>
          <w:szCs w:val="20"/>
          <w:color w:val="auto"/>
        </w:rPr>
      </w:pPr>
    </w:p>
    <w:p>
      <w:pPr>
        <w:ind w:right="220" w:firstLine="350"/>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07" w:lineRule="exact"/>
        <w:rPr>
          <w:rFonts w:ascii="Times New Roman" w:cs="Times New Roman" w:eastAsia="Times New Roman" w:hAnsi="Times New Roman"/>
          <w:sz w:val="19"/>
          <w:szCs w:val="19"/>
          <w:color w:val="auto"/>
        </w:rPr>
      </w:pPr>
    </w:p>
    <w:p>
      <w:pPr>
        <w:ind w:right="480" w:firstLine="350"/>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or any future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9"/>
          <w:szCs w:val="19"/>
          <w:color w:val="auto"/>
        </w:rPr>
      </w:pPr>
    </w:p>
    <w:p>
      <w:pPr>
        <w:ind w:right="300" w:firstLine="350"/>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or any future licensor(s), might not have been the first to file patent applications covering certain of our or their inventions;</w:t>
      </w:r>
    </w:p>
    <w:p>
      <w:pPr>
        <w:spacing w:after="0" w:line="107" w:lineRule="exact"/>
        <w:rPr>
          <w:rFonts w:ascii="Times New Roman" w:cs="Times New Roman" w:eastAsia="Times New Roman" w:hAnsi="Times New Roman"/>
          <w:sz w:val="19"/>
          <w:szCs w:val="19"/>
          <w:color w:val="auto"/>
        </w:rPr>
      </w:pPr>
    </w:p>
    <w:p>
      <w:pPr>
        <w:ind w:right="420" w:firstLine="350"/>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07" w:lineRule="exact"/>
        <w:rPr>
          <w:rFonts w:ascii="Times New Roman" w:cs="Times New Roman" w:eastAsia="Times New Roman" w:hAnsi="Times New Roman"/>
          <w:sz w:val="19"/>
          <w:szCs w:val="19"/>
          <w:color w:val="auto"/>
        </w:rPr>
      </w:pPr>
    </w:p>
    <w:p>
      <w:pPr>
        <w:ind w:right="400" w:firstLine="350"/>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possible that our pending patent applications or those that we may license or own in the future will not lead to issued patents;</w:t>
      </w:r>
    </w:p>
    <w:p>
      <w:pPr>
        <w:spacing w:after="0" w:line="107" w:lineRule="exact"/>
        <w:rPr>
          <w:rFonts w:ascii="Times New Roman" w:cs="Times New Roman" w:eastAsia="Times New Roman" w:hAnsi="Times New Roman"/>
          <w:sz w:val="19"/>
          <w:szCs w:val="19"/>
          <w:color w:val="auto"/>
        </w:rPr>
      </w:pPr>
    </w:p>
    <w:p>
      <w:pPr>
        <w:ind w:right="140" w:firstLine="350"/>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issued patents that we hold rights to may be held invalid or unenforceable, including as a result of legal challenges by our competitors;</w:t>
      </w:r>
    </w:p>
    <w:p>
      <w:pPr>
        <w:spacing w:after="0" w:line="107" w:lineRule="exact"/>
        <w:rPr>
          <w:rFonts w:ascii="Times New Roman" w:cs="Times New Roman" w:eastAsia="Times New Roman" w:hAnsi="Times New Roman"/>
          <w:sz w:val="19"/>
          <w:szCs w:val="19"/>
          <w:color w:val="auto"/>
        </w:rPr>
      </w:pPr>
    </w:p>
    <w:p>
      <w:pPr>
        <w:jc w:val="both"/>
        <w:ind w:firstLine="350"/>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develop additional proprietary technologies that are patentable;</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patents of others may harm our business; and</w:t>
      </w:r>
    </w:p>
    <w:p>
      <w:pPr>
        <w:spacing w:after="0" w:line="189" w:lineRule="exact"/>
        <w:rPr>
          <w:rFonts w:ascii="Times New Roman" w:cs="Times New Roman" w:eastAsia="Times New Roman" w:hAnsi="Times New Roman"/>
          <w:sz w:val="19"/>
          <w:szCs w:val="19"/>
          <w:color w:val="auto"/>
        </w:rPr>
      </w:pPr>
    </w:p>
    <w:p>
      <w:pPr>
        <w:ind w:right="160" w:firstLine="350"/>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choose not to file a patent for certain trade secrets or know-how, and a third party may independently derive, use, commercialize, publish or patent such intellectual property.</w:t>
      </w:r>
    </w:p>
    <w:p>
      <w:pPr>
        <w:spacing w:after="0" w:line="107" w:lineRule="exact"/>
        <w:rPr>
          <w:sz w:val="20"/>
          <w:szCs w:val="20"/>
          <w:color w:val="auto"/>
        </w:rPr>
      </w:pPr>
    </w:p>
    <w:p>
      <w:pPr>
        <w:ind w:right="640" w:firstLine="349"/>
        <w:spacing w:after="0" w:line="293" w:lineRule="auto"/>
        <w:rPr>
          <w:sz w:val="20"/>
          <w:szCs w:val="20"/>
          <w:color w:val="auto"/>
        </w:rPr>
      </w:pPr>
      <w:r>
        <w:rPr>
          <w:rFonts w:ascii="Times New Roman" w:cs="Times New Roman" w:eastAsia="Times New Roman" w:hAnsi="Times New Roman"/>
          <w:sz w:val="19"/>
          <w:szCs w:val="19"/>
          <w:color w:val="auto"/>
        </w:rPr>
        <w:t>Should any of these events occur, they could materially adversely affect our business, financial condition, results of operations and prospects.</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Risks Related to Litigation</w:t>
      </w:r>
    </w:p>
    <w:p>
      <w:pPr>
        <w:spacing w:after="0" w:line="189" w:lineRule="exact"/>
        <w:rPr>
          <w:sz w:val="20"/>
          <w:szCs w:val="20"/>
          <w:color w:val="auto"/>
        </w:rPr>
      </w:pPr>
    </w:p>
    <w:p>
      <w:pPr>
        <w:ind w:right="14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34"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1880" w:h="15480" w:orient="portrait"/>
          <w:cols w:equalWidth="0" w:num="1">
            <w:col w:w="9960"/>
          </w:cols>
          <w:pgMar w:left="960" w:top="815" w:right="960" w:bottom="0" w:gutter="0" w:footer="0" w:header="0"/>
          <w:type w:val="continuous"/>
        </w:sectPr>
      </w:pPr>
    </w:p>
    <w:bookmarkStart w:id="62" w:name="page63"/>
    <w:bookmarkEnd w:id="62"/>
    <w:p>
      <w:pPr>
        <w:ind w:right="5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products could have unknown defects or errors, which may give rise to claims against us and adversely affect market adoption of our Nautilus platform.</w:t>
      </w:r>
    </w:p>
    <w:p>
      <w:pPr>
        <w:spacing w:after="0" w:line="105"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36"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If our products contain defects, we may experience:</w:t>
      </w:r>
    </w:p>
    <w:p>
      <w:pPr>
        <w:spacing w:after="0" w:line="189" w:lineRule="exact"/>
        <w:rPr>
          <w:sz w:val="20"/>
          <w:szCs w:val="20"/>
          <w:color w:val="auto"/>
        </w:rPr>
      </w:pPr>
    </w:p>
    <w:p>
      <w:pPr>
        <w:ind w:left="700" w:hanging="350"/>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failure to achieve market acceptance or expansion of our product sales;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 of customer orders and delay in order fulfillment;</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damage to our brand reputation;</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cost of our warranty program due to product repair or replacement;</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product recalls or replacements;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inability to attract new customers;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diversion of resources from our manufacturing and research and development departments into our service department;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w:t>
      </w:r>
    </w:p>
    <w:p>
      <w:pPr>
        <w:spacing w:after="0" w:line="169" w:lineRule="exact"/>
        <w:rPr>
          <w:sz w:val="20"/>
          <w:szCs w:val="20"/>
          <w:color w:val="auto"/>
        </w:rPr>
      </w:pPr>
    </w:p>
    <w:p>
      <w:pPr>
        <w:ind w:right="320" w:firstLine="350"/>
        <w:spacing w:after="0" w:line="293" w:lineRule="auto"/>
        <w:tabs>
          <w:tab w:leader="none" w:pos="69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legal claims against us, including product liability claims, which could be costly and time consuming to defend and result in substantial damages.</w:t>
      </w:r>
    </w:p>
    <w:p>
      <w:pPr>
        <w:spacing w:after="0" w:line="107" w:lineRule="exact"/>
        <w:rPr>
          <w:sz w:val="20"/>
          <w:szCs w:val="20"/>
          <w:color w:val="auto"/>
        </w:rPr>
      </w:pPr>
    </w:p>
    <w:p>
      <w:pPr>
        <w:ind w:right="100" w:firstLine="349"/>
        <w:spacing w:after="0" w:line="293" w:lineRule="auto"/>
        <w:rPr>
          <w:sz w:val="20"/>
          <w:szCs w:val="20"/>
          <w:color w:val="auto"/>
        </w:rPr>
      </w:pPr>
      <w:r>
        <w:rPr>
          <w:rFonts w:ascii="Times New Roman" w:cs="Times New Roman" w:eastAsia="Times New Roman" w:hAnsi="Times New Roman"/>
          <w:sz w:val="19"/>
          <w:szCs w:val="19"/>
          <w:color w:val="auto"/>
        </w:rPr>
        <w:t>The occurrence of any one or more of the foregoing could negatively affect our business, financial condition and results of operations.</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If we are sued for product liability, we could face substantial liabilities that exceed our resources.</w:t>
      </w:r>
    </w:p>
    <w:p>
      <w:pPr>
        <w:spacing w:after="0" w:line="196"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3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Risks Related to Regulatory and Legal Compliance Matters</w:t>
      </w:r>
    </w:p>
    <w:p>
      <w:pPr>
        <w:spacing w:after="0" w:line="189" w:lineRule="exact"/>
        <w:rPr>
          <w:sz w:val="20"/>
          <w:szCs w:val="20"/>
          <w:color w:val="auto"/>
        </w:rPr>
      </w:pPr>
    </w:p>
    <w:p>
      <w:pPr>
        <w:ind w:right="80" w:firstLine="349"/>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36" w:lineRule="exact"/>
        <w:rPr>
          <w:sz w:val="20"/>
          <w:szCs w:val="20"/>
          <w:color w:val="auto"/>
        </w:rPr>
      </w:pPr>
    </w:p>
    <w:p>
      <w:pPr>
        <w:ind w:right="160" w:firstLine="349"/>
        <w:spacing w:after="0" w:line="274" w:lineRule="auto"/>
        <w:rPr>
          <w:sz w:val="20"/>
          <w:szCs w:val="20"/>
          <w:color w:val="auto"/>
        </w:rPr>
      </w:pPr>
      <w:r>
        <w:rPr>
          <w:rFonts w:ascii="Times New Roman" w:cs="Times New Roman" w:eastAsia="Times New Roman" w:hAnsi="Times New Roman"/>
          <w:sz w:val="19"/>
          <w:szCs w:val="19"/>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w:t>
      </w: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1880" w:h="15480" w:orient="portrait"/>
          <w:cols w:equalWidth="0" w:num="1">
            <w:col w:w="9960"/>
          </w:cols>
          <w:pgMar w:left="960" w:top="815" w:right="960" w:bottom="0" w:gutter="0" w:footer="0" w:header="0"/>
          <w:type w:val="continuous"/>
        </w:sectPr>
      </w:pPr>
    </w:p>
    <w:bookmarkStart w:id="63" w:name="page64"/>
    <w:bookmarkEnd w:id="63"/>
    <w:p>
      <w:pPr>
        <w:ind w:right="360"/>
        <w:spacing w:after="0" w:line="293" w:lineRule="auto"/>
        <w:rPr>
          <w:sz w:val="20"/>
          <w:szCs w:val="20"/>
          <w:color w:val="auto"/>
        </w:rPr>
      </w:pPr>
      <w:r>
        <w:rPr>
          <w:rFonts w:ascii="Times New Roman" w:cs="Times New Roman" w:eastAsia="Times New Roman" w:hAnsi="Times New Roman"/>
          <w:sz w:val="19"/>
          <w:szCs w:val="19"/>
          <w:color w:val="auto"/>
        </w:rPr>
        <w:t>performance of, clinical diagnostics in the United States, thereby subjecting them to FDA regulation as medical devices, we would be required to obtain premarket 510(k) clearance or premarket approval from the FDA, unless an exception applies.</w:t>
      </w:r>
    </w:p>
    <w:p>
      <w:pPr>
        <w:spacing w:after="0" w:line="107"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6"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0"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1" w:lineRule="exact"/>
        <w:rPr>
          <w:sz w:val="20"/>
          <w:szCs w:val="20"/>
          <w:color w:val="auto"/>
        </w:rPr>
      </w:pPr>
    </w:p>
    <w:p>
      <w:pPr>
        <w:ind w:right="60" w:firstLine="349"/>
        <w:spacing w:after="0" w:line="259" w:lineRule="auto"/>
        <w:rPr>
          <w:sz w:val="20"/>
          <w:szCs w:val="20"/>
          <w:color w:val="auto"/>
        </w:rPr>
      </w:pPr>
      <w:r>
        <w:rPr>
          <w:rFonts w:ascii="Times New Roman" w:cs="Times New Roman" w:eastAsia="Times New Roman" w:hAnsi="Times New Roman"/>
          <w:sz w:val="19"/>
          <w:szCs w:val="19"/>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 regulatory requirements of the Medicines and Healthcare products Regulatory Agency (the “MHRA”), including the new UK Medical Device Regulations, which are scheduled to go into effect by July 2024.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6" w:lineRule="exact"/>
        <w:rPr>
          <w:sz w:val="20"/>
          <w:szCs w:val="20"/>
          <w:color w:val="auto"/>
        </w:rPr>
      </w:pPr>
    </w:p>
    <w:p>
      <w:pPr>
        <w:ind w:right="200" w:firstLine="349"/>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36"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auto"/>
        </w:rPr>
        <w:t>We do not currently expect our Nautilus platform to be subject to the clearance or approval of the FDA, as it is not intended to be used for the diagnosis, treatment or prevention of disease. However, as we expand our product line and the applications</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880" w:h="15480" w:orient="portrait"/>
          <w:cols w:equalWidth="0" w:num="1">
            <w:col w:w="9960"/>
          </w:cols>
          <w:pgMar w:left="960" w:top="822" w:right="960" w:bottom="0" w:gutter="0" w:footer="0" w:header="0"/>
          <w:type w:val="continuous"/>
        </w:sectPr>
      </w:pPr>
    </w:p>
    <w:bookmarkStart w:id="64" w:name="page65"/>
    <w:bookmarkEnd w:id="64"/>
    <w:p>
      <w:pPr>
        <w:ind w:right="20"/>
        <w:spacing w:after="0" w:line="259" w:lineRule="auto"/>
        <w:rPr>
          <w:sz w:val="20"/>
          <w:szCs w:val="20"/>
          <w:color w:val="auto"/>
        </w:rPr>
      </w:pPr>
      <w:r>
        <w:rPr>
          <w:rFonts w:ascii="Times New Roman" w:cs="Times New Roman" w:eastAsia="Times New Roman" w:hAnsi="Times New Roman"/>
          <w:sz w:val="19"/>
          <w:szCs w:val="19"/>
          <w:color w:val="auto"/>
        </w:rPr>
        <w:t>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8"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the substantive FDA policy riders, including the VALID Act, but Congress may revisit the policy riders and enact other FDA programmatic reforms in the future.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40"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8" w:lineRule="exact"/>
        <w:rPr>
          <w:sz w:val="20"/>
          <w:szCs w:val="20"/>
          <w:color w:val="auto"/>
        </w:rPr>
      </w:pPr>
    </w:p>
    <w:p>
      <w:pPr>
        <w:ind w:right="100" w:firstLine="349"/>
        <w:spacing w:after="0" w:line="260" w:lineRule="auto"/>
        <w:rPr>
          <w:sz w:val="20"/>
          <w:szCs w:val="20"/>
          <w:color w:val="auto"/>
        </w:rPr>
      </w:pPr>
      <w:r>
        <w:rPr>
          <w:rFonts w:ascii="Times New Roman" w:cs="Times New Roman" w:eastAsia="Times New Roman" w:hAnsi="Times New Roman"/>
          <w:sz w:val="19"/>
          <w:szCs w:val="19"/>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378" w:lineRule="exact"/>
        <w:rPr>
          <w:sz w:val="20"/>
          <w:szCs w:val="20"/>
          <w:color w:val="auto"/>
        </w:rPr>
      </w:pPr>
    </w:p>
    <w:p>
      <w:pPr>
        <w:ind w:right="60" w:firstLine="349"/>
        <w:spacing w:after="0" w:line="274" w:lineRule="auto"/>
        <w:rPr>
          <w:sz w:val="20"/>
          <w:szCs w:val="20"/>
          <w:color w:val="auto"/>
        </w:rPr>
      </w:pPr>
      <w:r>
        <w:rPr>
          <w:rFonts w:ascii="Times New Roman" w:cs="Times New Roman" w:eastAsia="Times New Roman" w:hAnsi="Times New Roman"/>
          <w:sz w:val="19"/>
          <w:szCs w:val="19"/>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w:t>
      </w:r>
    </w:p>
    <w:p>
      <w:pPr>
        <w:sectPr>
          <w:pgSz w:w="11880" w:h="15480" w:orient="portrait"/>
          <w:cols w:equalWidth="0" w:num="1">
            <w:col w:w="9960"/>
          </w:cols>
          <w:pgMar w:left="960" w:top="822" w:right="960" w:bottom="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1880" w:h="15480" w:orient="portrait"/>
          <w:cols w:equalWidth="0" w:num="1">
            <w:col w:w="9960"/>
          </w:cols>
          <w:pgMar w:left="960" w:top="822" w:right="960" w:bottom="0" w:gutter="0" w:footer="0" w:header="0"/>
          <w:type w:val="continuous"/>
        </w:sectPr>
      </w:pPr>
    </w:p>
    <w:bookmarkStart w:id="65" w:name="page66"/>
    <w:bookmarkEnd w:id="65"/>
    <w:p>
      <w:pPr>
        <w:jc w:val="both"/>
        <w:ind w:right="40"/>
        <w:spacing w:after="0" w:line="274" w:lineRule="auto"/>
        <w:rPr>
          <w:sz w:val="20"/>
          <w:szCs w:val="20"/>
          <w:color w:val="auto"/>
        </w:rPr>
      </w:pPr>
      <w:r>
        <w:rPr>
          <w:rFonts w:ascii="Times New Roman" w:cs="Times New Roman" w:eastAsia="Times New Roman" w:hAnsi="Times New Roman"/>
          <w:sz w:val="19"/>
          <w:szCs w:val="19"/>
          <w:color w:val="auto"/>
        </w:rPr>
        <w:t>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118" w:lineRule="exact"/>
        <w:rPr>
          <w:sz w:val="20"/>
          <w:szCs w:val="20"/>
          <w:color w:val="auto"/>
        </w:rPr>
      </w:pPr>
    </w:p>
    <w:p>
      <w:pPr>
        <w:ind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4"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7" w:lineRule="exact"/>
        <w:rPr>
          <w:sz w:val="20"/>
          <w:szCs w:val="20"/>
          <w:color w:val="auto"/>
        </w:rPr>
      </w:pPr>
    </w:p>
    <w:p>
      <w:pPr>
        <w:ind w:firstLine="349"/>
        <w:spacing w:after="0" w:line="257" w:lineRule="auto"/>
        <w:rPr>
          <w:sz w:val="20"/>
          <w:szCs w:val="20"/>
          <w:color w:val="auto"/>
        </w:rPr>
      </w:pPr>
      <w:r>
        <w:rPr>
          <w:rFonts w:ascii="Times New Roman" w:cs="Times New Roman" w:eastAsia="Times New Roman" w:hAnsi="Times New Roman"/>
          <w:sz w:val="19"/>
          <w:szCs w:val="19"/>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Most substantive provisions in CPRA are effective as of January 1, 2023.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Utah, Connecticut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54" w:lineRule="exact"/>
        <w:rPr>
          <w:sz w:val="20"/>
          <w:szCs w:val="20"/>
          <w:color w:val="auto"/>
        </w:rPr>
      </w:pPr>
    </w:p>
    <w:p>
      <w:pPr>
        <w:ind w:right="80" w:firstLine="349"/>
        <w:spacing w:after="0" w:line="258" w:lineRule="auto"/>
        <w:rPr>
          <w:sz w:val="20"/>
          <w:szCs w:val="20"/>
          <w:color w:val="auto"/>
        </w:rPr>
      </w:pPr>
      <w:r>
        <w:rPr>
          <w:rFonts w:ascii="Times New Roman" w:cs="Times New Roman" w:eastAsia="Times New Roman" w:hAnsi="Times New Roman"/>
          <w:sz w:val="19"/>
          <w:szCs w:val="19"/>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ectPr>
          <w:pgSz w:w="11880" w:h="15480" w:orient="portrait"/>
          <w:cols w:equalWidth="0" w:num="1">
            <w:col w:w="9940"/>
          </w:cols>
          <w:pgMar w:left="960" w:top="822" w:right="980" w:bottom="0" w:gutter="0" w:footer="0" w:header="0"/>
          <w:type w:val="continuous"/>
        </w:sectPr>
      </w:pPr>
    </w:p>
    <w:bookmarkStart w:id="66" w:name="page67"/>
    <w:bookmarkEnd w:id="66"/>
    <w:p>
      <w:pPr>
        <w:ind w:firstLine="349"/>
        <w:spacing w:after="0" w:line="258" w:lineRule="auto"/>
        <w:rPr>
          <w:sz w:val="20"/>
          <w:szCs w:val="20"/>
          <w:color w:val="auto"/>
        </w:rPr>
      </w:pPr>
      <w:r>
        <w:rPr>
          <w:rFonts w:ascii="Times New Roman" w:cs="Times New Roman" w:eastAsia="Times New Roman" w:hAnsi="Times New Roman"/>
          <w:sz w:val="19"/>
          <w:szCs w:val="19"/>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41" w:lineRule="exact"/>
        <w:rPr>
          <w:sz w:val="20"/>
          <w:szCs w:val="20"/>
          <w:color w:val="auto"/>
        </w:rPr>
      </w:pPr>
    </w:p>
    <w:p>
      <w:pPr>
        <w:jc w:val="both"/>
        <w:ind w:right="16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If we commercialize our Nautilus platform outside of the United States, our international business could expose us to business, tax, regulatory, political, operational, financial, and economic risks associated with doing business outside of the United States.</w:t>
      </w:r>
    </w:p>
    <w:p>
      <w:pPr>
        <w:spacing w:after="0" w:line="124" w:lineRule="exact"/>
        <w:rPr>
          <w:sz w:val="20"/>
          <w:szCs w:val="20"/>
          <w:color w:val="auto"/>
        </w:rPr>
      </w:pPr>
    </w:p>
    <w:p>
      <w:pPr>
        <w:ind w:right="400" w:firstLine="349"/>
        <w:spacing w:after="0" w:line="274" w:lineRule="auto"/>
        <w:rPr>
          <w:sz w:val="20"/>
          <w:szCs w:val="20"/>
          <w:color w:val="auto"/>
        </w:rPr>
      </w:pPr>
      <w:r>
        <w:rPr>
          <w:rFonts w:ascii="Times New Roman" w:cs="Times New Roman" w:eastAsia="Times New Roman" w:hAnsi="Times New Roman"/>
          <w:sz w:val="19"/>
          <w:szCs w:val="19"/>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125" w:lineRule="exact"/>
        <w:rPr>
          <w:sz w:val="20"/>
          <w:szCs w:val="20"/>
          <w:color w:val="auto"/>
        </w:rPr>
      </w:pPr>
    </w:p>
    <w:p>
      <w:pPr>
        <w:ind w:left="700" w:hanging="350"/>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required compliance with existing and changing foreign regulatory requirements and laws;</w:t>
      </w:r>
    </w:p>
    <w:p>
      <w:pPr>
        <w:spacing w:after="0" w:line="189" w:lineRule="exact"/>
        <w:rPr>
          <w:rFonts w:ascii="Times New Roman" w:cs="Times New Roman" w:eastAsia="Times New Roman" w:hAnsi="Times New Roman"/>
          <w:sz w:val="19"/>
          <w:szCs w:val="19"/>
          <w:color w:val="auto"/>
        </w:rPr>
      </w:pPr>
    </w:p>
    <w:p>
      <w:pPr>
        <w:ind w:right="640" w:firstLine="350"/>
        <w:spacing w:after="0" w:line="293" w:lineRule="auto"/>
        <w:tabs>
          <w:tab w:leader="none" w:pos="69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export or import restrictions;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laws and business practices favoring local companies;</w:t>
      </w:r>
    </w:p>
    <w:p>
      <w:pPr>
        <w:spacing w:after="0" w:line="189" w:lineRule="exact"/>
        <w:rPr>
          <w:rFonts w:ascii="Times New Roman" w:cs="Times New Roman" w:eastAsia="Times New Roman" w:hAnsi="Times New Roman"/>
          <w:sz w:val="19"/>
          <w:szCs w:val="19"/>
          <w:color w:val="auto"/>
        </w:rPr>
      </w:pPr>
    </w:p>
    <w:p>
      <w:pPr>
        <w:ind w:right="120" w:firstLine="350"/>
        <w:spacing w:after="0" w:line="293" w:lineRule="auto"/>
        <w:tabs>
          <w:tab w:leader="none" w:pos="69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foreign currency exchange, longer payment cycles and difficulties in enforcing agreements and collecting receivables through certain foreign legal systems;</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political and economic instability;</w:t>
      </w:r>
    </w:p>
    <w:p>
      <w:pPr>
        <w:spacing w:after="0" w:line="189" w:lineRule="exact"/>
        <w:rPr>
          <w:rFonts w:ascii="Times New Roman" w:cs="Times New Roman" w:eastAsia="Times New Roman" w:hAnsi="Times New Roman"/>
          <w:sz w:val="19"/>
          <w:szCs w:val="19"/>
          <w:color w:val="auto"/>
        </w:rPr>
      </w:pPr>
    </w:p>
    <w:p>
      <w:pPr>
        <w:ind w:right="140" w:firstLine="350"/>
        <w:spacing w:after="0" w:line="268" w:lineRule="auto"/>
        <w:tabs>
          <w:tab w:leader="none" w:pos="69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potentially adverse tax consequences, tariffs, customs charges, bureaucratic requirements and other trade barriers;</w:t>
      </w:r>
    </w:p>
    <w:p>
      <w:pPr>
        <w:spacing w:after="0" w:line="189" w:lineRule="exact"/>
        <w:rPr>
          <w:rFonts w:ascii="Times New Roman" w:cs="Times New Roman" w:eastAsia="Times New Roman" w:hAnsi="Times New Roman"/>
          <w:sz w:val="19"/>
          <w:szCs w:val="19"/>
          <w:color w:val="auto"/>
        </w:rPr>
      </w:pPr>
    </w:p>
    <w:p>
      <w:pPr>
        <w:ind w:right="360" w:firstLine="350"/>
        <w:spacing w:after="0" w:line="293" w:lineRule="auto"/>
        <w:tabs>
          <w:tab w:leader="none" w:pos="69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and costs of staffing and managing foreign operations, including compliance with diverse and complex local employment laws and practices; and</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protecting, maintaining, enforcing or procuring intellectual property rights.</w:t>
      </w:r>
    </w:p>
    <w:p>
      <w:pPr>
        <w:spacing w:after="0" w:line="189" w:lineRule="exact"/>
        <w:rPr>
          <w:sz w:val="20"/>
          <w:szCs w:val="20"/>
          <w:color w:val="auto"/>
        </w:rPr>
      </w:pPr>
    </w:p>
    <w:p>
      <w:pPr>
        <w:ind w:right="120" w:firstLine="349"/>
        <w:spacing w:after="0" w:line="293" w:lineRule="auto"/>
        <w:rPr>
          <w:sz w:val="20"/>
          <w:szCs w:val="20"/>
          <w:color w:val="auto"/>
        </w:rPr>
      </w:pPr>
      <w:r>
        <w:rPr>
          <w:rFonts w:ascii="Times New Roman" w:cs="Times New Roman" w:eastAsia="Times New Roman" w:hAnsi="Times New Roman"/>
          <w:sz w:val="19"/>
          <w:szCs w:val="19"/>
          <w:color w:val="auto"/>
        </w:rPr>
        <w:t>If one or more of these risks occurs, it could require us to dedicate significant resources to remedy such occurrence, and if we are unsuccessful in finding a solution, our financial results will suffer.</w:t>
      </w:r>
    </w:p>
    <w:p>
      <w:pPr>
        <w:spacing w:after="0" w:line="107"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ectPr>
          <w:pgSz w:w="11880" w:h="15480" w:orient="portrait"/>
          <w:cols w:equalWidth="0" w:num="1">
            <w:col w:w="9940"/>
          </w:cols>
          <w:pgMar w:left="960" w:top="822" w:right="980" w:bottom="0" w:gutter="0" w:footer="0" w:header="0"/>
          <w:type w:val="continuous"/>
        </w:sectPr>
      </w:pPr>
    </w:p>
    <w:bookmarkStart w:id="67" w:name="page68"/>
    <w:bookmarkEnd w:id="67"/>
    <w:p>
      <w:pPr>
        <w:ind w:right="12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34"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138" w:lineRule="exact"/>
        <w:rPr>
          <w:sz w:val="20"/>
          <w:szCs w:val="20"/>
          <w:color w:val="auto"/>
        </w:rPr>
      </w:pPr>
    </w:p>
    <w:p>
      <w:pPr>
        <w:ind w:right="140" w:firstLine="349"/>
        <w:spacing w:after="0" w:line="260" w:lineRule="auto"/>
        <w:rPr>
          <w:sz w:val="20"/>
          <w:szCs w:val="20"/>
          <w:color w:val="auto"/>
        </w:rPr>
      </w:pPr>
      <w:r>
        <w:rPr>
          <w:rFonts w:ascii="Times New Roman" w:cs="Times New Roman" w:eastAsia="Times New Roman" w:hAnsi="Times New Roman"/>
          <w:sz w:val="19"/>
          <w:szCs w:val="19"/>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41"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36"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30" w:lineRule="exact"/>
        <w:rPr>
          <w:sz w:val="20"/>
          <w:szCs w:val="20"/>
          <w:color w:val="auto"/>
        </w:rPr>
      </w:pPr>
    </w:p>
    <w:p>
      <w:pPr>
        <w:ind w:right="2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05"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w:t>
      </w:r>
    </w:p>
    <w:p>
      <w:pPr>
        <w:sectPr>
          <w:pgSz w:w="11880" w:h="15480" w:orient="portrait"/>
          <w:cols w:equalWidth="0" w:num="1">
            <w:col w:w="9940"/>
          </w:cols>
          <w:pgMar w:left="960" w:top="81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ectPr>
          <w:pgSz w:w="11880" w:h="15480" w:orient="portrait"/>
          <w:cols w:equalWidth="0" w:num="1">
            <w:col w:w="9940"/>
          </w:cols>
          <w:pgMar w:left="960" w:top="815" w:right="980" w:bottom="0" w:gutter="0" w:footer="0" w:header="0"/>
          <w:type w:val="continuous"/>
        </w:sectPr>
      </w:pPr>
    </w:p>
    <w:bookmarkStart w:id="68" w:name="page69"/>
    <w:bookmarkEnd w:id="68"/>
    <w:p>
      <w:pPr>
        <w:ind w:right="480"/>
        <w:spacing w:after="0" w:line="293" w:lineRule="auto"/>
        <w:rPr>
          <w:sz w:val="20"/>
          <w:szCs w:val="20"/>
          <w:color w:val="auto"/>
        </w:rPr>
      </w:pPr>
      <w:r>
        <w:rPr>
          <w:rFonts w:ascii="Times New Roman" w:cs="Times New Roman" w:eastAsia="Times New Roman" w:hAnsi="Times New Roman"/>
          <w:sz w:val="19"/>
          <w:szCs w:val="19"/>
          <w:color w:val="auto"/>
        </w:rPr>
        <w:t>equipment failure or other causes. The expense associated with environmental regulation and remediation could harm our financial condition and operating results.</w:t>
      </w:r>
    </w:p>
    <w:p>
      <w:pPr>
        <w:spacing w:after="0" w:line="100" w:lineRule="exact"/>
        <w:rPr>
          <w:sz w:val="20"/>
          <w:szCs w:val="20"/>
          <w:color w:val="auto"/>
        </w:rPr>
      </w:pPr>
    </w:p>
    <w:p>
      <w:pPr>
        <w:ind w:right="3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5"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35" w:lineRule="exact"/>
        <w:rPr>
          <w:sz w:val="20"/>
          <w:szCs w:val="20"/>
          <w:color w:val="auto"/>
        </w:rPr>
      </w:pPr>
    </w:p>
    <w:p>
      <w:pPr>
        <w:ind w:right="5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Demand for our technology could be reduced by legal, social and ethical concerns surrounding the use of genetic information and biological materials.</w:t>
      </w:r>
    </w:p>
    <w:p>
      <w:pPr>
        <w:spacing w:after="0" w:line="105"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Risks Related to our Operations</w:t>
      </w:r>
    </w:p>
    <w:p>
      <w:pPr>
        <w:spacing w:after="0" w:line="189" w:lineRule="exact"/>
        <w:rPr>
          <w:sz w:val="20"/>
          <w:szCs w:val="20"/>
          <w:color w:val="auto"/>
        </w:rPr>
      </w:pPr>
    </w:p>
    <w:p>
      <w:pPr>
        <w:ind w:right="5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experience a significant disruption in our information technology systems or breaches of data security, our business could be adversely affected.</w:t>
      </w:r>
    </w:p>
    <w:p>
      <w:pPr>
        <w:spacing w:after="0" w:line="105" w:lineRule="exact"/>
        <w:rPr>
          <w:sz w:val="20"/>
          <w:szCs w:val="20"/>
          <w:color w:val="auto"/>
        </w:rPr>
      </w:pPr>
    </w:p>
    <w:p>
      <w:pPr>
        <w:ind w:right="40" w:firstLine="349"/>
        <w:spacing w:after="0" w:line="257" w:lineRule="auto"/>
        <w:rPr>
          <w:sz w:val="20"/>
          <w:szCs w:val="20"/>
          <w:color w:val="auto"/>
        </w:rPr>
      </w:pPr>
      <w:r>
        <w:rPr>
          <w:rFonts w:ascii="Times New Roman" w:cs="Times New Roman" w:eastAsia="Times New Roman" w:hAnsi="Times New Roman"/>
          <w:sz w:val="19"/>
          <w:szCs w:val="19"/>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ransomware or other malicious software, or other disruptive events, including, but not limited to, natural disasters and catastrophes. 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ectPr>
          <w:pgSz w:w="11880" w:h="15480" w:orient="portrait"/>
          <w:cols w:equalWidth="0" w:num="1">
            <w:col w:w="9920"/>
          </w:cols>
          <w:pgMar w:left="960" w:top="82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66</w:t>
      </w:r>
    </w:p>
    <w:p>
      <w:pPr>
        <w:sectPr>
          <w:pgSz w:w="11880" w:h="15480" w:orient="portrait"/>
          <w:cols w:equalWidth="0" w:num="1">
            <w:col w:w="9920"/>
          </w:cols>
          <w:pgMar w:left="960" w:top="822" w:right="1000" w:bottom="0" w:gutter="0" w:footer="0" w:header="0"/>
          <w:type w:val="continuous"/>
        </w:sectPr>
      </w:pPr>
    </w:p>
    <w:bookmarkStart w:id="69" w:name="page70"/>
    <w:bookmarkEnd w:id="69"/>
    <w:p>
      <w:pPr>
        <w:ind w:firstLine="349"/>
        <w:spacing w:after="0" w:line="258" w:lineRule="auto"/>
        <w:rPr>
          <w:sz w:val="20"/>
          <w:szCs w:val="20"/>
          <w:color w:val="auto"/>
        </w:rPr>
      </w:pPr>
      <w:r>
        <w:rPr>
          <w:rFonts w:ascii="Times New Roman" w:cs="Times New Roman" w:eastAsia="Times New Roman" w:hAnsi="Times New Roman"/>
          <w:sz w:val="19"/>
          <w:szCs w:val="19"/>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or if any of these events is perceived to have occurred,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146"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actual or perceived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37"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The cost of protecting against, investigating, mitigating and responding to potential breaches of our information technology systems and data security breaches and incidents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We may be unable to manage our anticipated growth effectively.</w:t>
      </w:r>
    </w:p>
    <w:p>
      <w:pPr>
        <w:spacing w:after="0" w:line="196" w:lineRule="exact"/>
        <w:rPr>
          <w:sz w:val="20"/>
          <w:szCs w:val="20"/>
          <w:color w:val="auto"/>
        </w:rPr>
      </w:pPr>
    </w:p>
    <w:p>
      <w:pPr>
        <w:ind w:right="120" w:firstLine="349"/>
        <w:spacing w:after="0" w:line="260" w:lineRule="auto"/>
        <w:rPr>
          <w:sz w:val="20"/>
          <w:szCs w:val="20"/>
          <w:color w:val="auto"/>
        </w:rPr>
      </w:pPr>
      <w:r>
        <w:rPr>
          <w:rFonts w:ascii="Times New Roman" w:cs="Times New Roman" w:eastAsia="Times New Roman" w:hAnsi="Times New Roman"/>
          <w:sz w:val="19"/>
          <w:szCs w:val="19"/>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2022, we had 134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37"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5"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If we are unable to recruit and retain key executives and scientists, we may be unable to achieve our goals.</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1880" w:h="15480" w:orient="portrait"/>
          <w:cols w:equalWidth="0" w:num="1">
            <w:col w:w="9960"/>
          </w:cols>
          <w:pgMar w:left="960" w:top="822" w:right="960" w:bottom="0" w:gutter="0" w:footer="0" w:header="0"/>
          <w:type w:val="continuous"/>
        </w:sectPr>
      </w:pPr>
    </w:p>
    <w:bookmarkStart w:id="70" w:name="page71"/>
    <w:bookmarkEnd w:id="70"/>
    <w:p>
      <w:pPr>
        <w:jc w:val="both"/>
        <w:ind w:right="20" w:firstLine="349"/>
        <w:spacing w:after="0" w:line="274" w:lineRule="auto"/>
        <w:rPr>
          <w:sz w:val="20"/>
          <w:szCs w:val="20"/>
          <w:color w:val="auto"/>
        </w:rPr>
      </w:pPr>
      <w:r>
        <w:rPr>
          <w:rFonts w:ascii="Times New Roman" w:cs="Times New Roman" w:eastAsia="Times New Roman" w:hAnsi="Times New Roman"/>
          <w:sz w:val="19"/>
          <w:szCs w:val="19"/>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25"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3"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This competition has become exacerbated by the increase in employee resignations in 2022 reported by employers nationwide and continued high rates of employee turnover in 2023.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31" w:lineRule="exact"/>
        <w:rPr>
          <w:sz w:val="20"/>
          <w:szCs w:val="20"/>
          <w:color w:val="auto"/>
        </w:rPr>
      </w:pPr>
    </w:p>
    <w:p>
      <w:pPr>
        <w:ind w:right="1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6"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6" w:lineRule="exact"/>
        <w:rPr>
          <w:sz w:val="20"/>
          <w:szCs w:val="20"/>
          <w:color w:val="auto"/>
        </w:rPr>
      </w:pPr>
    </w:p>
    <w:p>
      <w:pPr>
        <w:ind w:right="5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COVID-19 pandemic and efforts to reduce its spread have adversely impacted and are expected to continue to materially and adversely impact, our business and operations.</w:t>
      </w:r>
    </w:p>
    <w:p>
      <w:pPr>
        <w:spacing w:after="0" w:line="105"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While we have largely resumed normal operations, any resurgence or worsening of the COVID-19 pandemic may cause us to reinstitute certain measures to protect employee safety which may further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46"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auto"/>
        </w:rPr>
        <w:t>To the extent that any governmental authority imposes additional regulatory requirements or changes existing laws, regulations, and policies that apply to our business and operations, such as workplace safety measures, our product development</w:t>
      </w:r>
    </w:p>
    <w:p>
      <w:pPr>
        <w:sectPr>
          <w:pgSz w:w="11880" w:h="15480" w:orient="portrait"/>
          <w:cols w:equalWidth="0" w:num="1">
            <w:col w:w="9960"/>
          </w:cols>
          <w:pgMar w:left="960" w:top="822" w:right="960" w:bottom="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ectPr>
          <w:pgSz w:w="11880" w:h="15480" w:orient="portrait"/>
          <w:cols w:equalWidth="0" w:num="1">
            <w:col w:w="9960"/>
          </w:cols>
          <w:pgMar w:left="960" w:top="822" w:right="960" w:bottom="0" w:gutter="0" w:footer="0" w:header="0"/>
          <w:type w:val="continuous"/>
        </w:sectPr>
      </w:pPr>
    </w:p>
    <w:bookmarkStart w:id="71" w:name="page72"/>
    <w:bookmarkEnd w:id="71"/>
    <w:p>
      <w:pPr>
        <w:ind w:right="100"/>
        <w:spacing w:after="0" w:line="293" w:lineRule="auto"/>
        <w:rPr>
          <w:sz w:val="20"/>
          <w:szCs w:val="20"/>
          <w:color w:val="auto"/>
        </w:rPr>
      </w:pPr>
      <w:r>
        <w:rPr>
          <w:rFonts w:ascii="Times New Roman" w:cs="Times New Roman" w:eastAsia="Times New Roman" w:hAnsi="Times New Roman"/>
          <w:sz w:val="19"/>
          <w:szCs w:val="19"/>
          <w:color w:val="auto"/>
        </w:rPr>
        <w:t>may be delayed, and we may incur further costs in bringing our business and operations into compliance with changing or new laws, regulations, and policies.</w:t>
      </w:r>
    </w:p>
    <w:p>
      <w:pPr>
        <w:spacing w:after="0" w:line="107"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36" w:lineRule="exact"/>
        <w:rPr>
          <w:sz w:val="20"/>
          <w:szCs w:val="20"/>
          <w:color w:val="auto"/>
        </w:rPr>
      </w:pPr>
    </w:p>
    <w:p>
      <w:pPr>
        <w:ind w:left="700" w:hanging="350"/>
        <w:spacing w:after="0"/>
        <w:tabs>
          <w:tab w:leader="none" w:pos="7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disruptions in the supply chains of entities providing important services and products to our Nautilus platform;</w:t>
      </w:r>
    </w:p>
    <w:p>
      <w:pPr>
        <w:spacing w:after="0" w:line="189" w:lineRule="exact"/>
        <w:rPr>
          <w:rFonts w:ascii="Times New Roman" w:cs="Times New Roman" w:eastAsia="Times New Roman" w:hAnsi="Times New Roman"/>
          <w:sz w:val="19"/>
          <w:szCs w:val="19"/>
          <w:color w:val="auto"/>
        </w:rPr>
      </w:pPr>
    </w:p>
    <w:p>
      <w:pPr>
        <w:jc w:val="both"/>
        <w:ind w:right="60" w:firstLine="350"/>
        <w:spacing w:after="0" w:line="268"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decreases in government funding of research and development; and</w:t>
      </w:r>
    </w:p>
    <w:p>
      <w:pPr>
        <w:spacing w:after="0" w:line="189" w:lineRule="exact"/>
        <w:rPr>
          <w:rFonts w:ascii="Times New Roman" w:cs="Times New Roman" w:eastAsia="Times New Roman" w:hAnsi="Times New Roman"/>
          <w:sz w:val="19"/>
          <w:szCs w:val="19"/>
          <w:color w:val="auto"/>
        </w:rPr>
      </w:pPr>
    </w:p>
    <w:p>
      <w:pPr>
        <w:jc w:val="both"/>
        <w:ind w:right="80" w:firstLine="350"/>
        <w:spacing w:after="0" w:line="274"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25"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the emergence or further spread of additional variants, and the risk of waning immunity among persons already vaccinated among others. While we do not yet know the full extent of potential impacts on our business, any of these occurrences could significantly harm our business, results of operations and financial condition.</w:t>
      </w:r>
    </w:p>
    <w:p>
      <w:pPr>
        <w:spacing w:after="0" w:line="130" w:lineRule="exact"/>
        <w:rPr>
          <w:sz w:val="20"/>
          <w:szCs w:val="20"/>
          <w:color w:val="auto"/>
        </w:rPr>
      </w:pPr>
    </w:p>
    <w:p>
      <w:pPr>
        <w:ind w:right="8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Unfavorable U.S. or global economic conditions as a result of multiple global events, including the COVID-19 pandemic, the conflict in Eastern Europe, increasing interest rates and general economic downturns, could adversely affect our ability to raise capital and our business, results of operations and financial condition.</w:t>
      </w:r>
    </w:p>
    <w:p>
      <w:pPr>
        <w:spacing w:after="0" w:line="124"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While the potential economic impact brought by multiple adverse global circumstances, such as the COVID-19 pandemic, conflicts in Eastern Europe, potential uncertainty related to Taiwan and its relationship with China, increasing interest rates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w:t>
      </w:r>
    </w:p>
    <w:p>
      <w:pPr>
        <w:spacing w:after="0" w:line="148"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December 31, 2022, we had cash, cash equivalents and long-term investments of $313.6 million, consisting of U.S. treasury securities, mutual funds, commercial paper, corporate debt securities, and agency bonds. Any default by the U.S. government or credit downgrade of the securities we hold could impact the liquidity or valuation of our investments.</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ectPr>
          <w:pgSz w:w="11880" w:h="15480" w:orient="portrait"/>
          <w:cols w:equalWidth="0" w:num="1">
            <w:col w:w="9940"/>
          </w:cols>
          <w:pgMar w:left="960" w:top="822" w:right="980" w:bottom="0" w:gutter="0" w:footer="0" w:header="0"/>
          <w:type w:val="continuous"/>
        </w:sectPr>
      </w:pPr>
    </w:p>
    <w:bookmarkStart w:id="72" w:name="page73"/>
    <w:bookmarkEnd w:id="72"/>
    <w:p>
      <w:pPr>
        <w:ind w:right="60" w:firstLine="349"/>
        <w:spacing w:after="0" w:line="274" w:lineRule="auto"/>
        <w:rPr>
          <w:sz w:val="20"/>
          <w:szCs w:val="20"/>
          <w:color w:val="auto"/>
        </w:rPr>
      </w:pPr>
      <w:r>
        <w:rPr>
          <w:rFonts w:ascii="Times New Roman" w:cs="Times New Roman" w:eastAsia="Times New Roman" w:hAnsi="Times New Roman"/>
          <w:sz w:val="19"/>
          <w:szCs w:val="19"/>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Global supply chain interruptions could adversely affect our ability to develop and commercialize our products</w:t>
      </w:r>
      <w:r>
        <w:rPr>
          <w:rFonts w:ascii="Times New Roman" w:cs="Times New Roman" w:eastAsia="Times New Roman" w:hAnsi="Times New Roman"/>
          <w:sz w:val="19"/>
          <w:szCs w:val="19"/>
          <w:b w:val="1"/>
          <w:bCs w:val="1"/>
          <w:color w:val="auto"/>
        </w:rPr>
        <w:t>.</w:t>
      </w:r>
    </w:p>
    <w:p>
      <w:pPr>
        <w:spacing w:after="0" w:line="196" w:lineRule="exact"/>
        <w:rPr>
          <w:sz w:val="20"/>
          <w:szCs w:val="20"/>
          <w:color w:val="auto"/>
        </w:rPr>
      </w:pPr>
    </w:p>
    <w:p>
      <w:pPr>
        <w:ind w:right="100" w:firstLine="349"/>
        <w:spacing w:after="0" w:line="260" w:lineRule="auto"/>
        <w:rPr>
          <w:sz w:val="20"/>
          <w:szCs w:val="20"/>
          <w:color w:val="auto"/>
        </w:rPr>
      </w:pPr>
      <w:r>
        <w:rPr>
          <w:rFonts w:ascii="Times New Roman" w:cs="Times New Roman" w:eastAsia="Times New Roman" w:hAnsi="Times New Roman"/>
          <w:sz w:val="19"/>
          <w:szCs w:val="19"/>
          <w:color w:val="auto"/>
        </w:rPr>
        <w:t>We may be subject to supply chain interruptions. Current or future supply chain interruptions that could be exacerbated by global political tensions, such as the situation in Eastern Europe and uncertainty related to Taiwan and its relationship with China, could negatively impact our ability to further develop our products or to manufacture and deliver our products or services, which could negatively impact our timelines and business results. For example, as discussed in the risk factor above entitled “</w:t>
      </w:r>
      <w:r>
        <w:rPr>
          <w:rFonts w:ascii="Times New Roman" w:cs="Times New Roman" w:eastAsia="Times New Roman" w:hAnsi="Times New Roman"/>
          <w:sz w:val="19"/>
          <w:szCs w:val="19"/>
          <w:b w:val="1"/>
          <w:bCs w:val="1"/>
          <w:i w:val="1"/>
          <w:iCs w:val="1"/>
          <w:color w:val="auto"/>
        </w:rPr>
        <w:t>The COVID-19 pandemic and efforts to reduce its spread have adversely impacted and are expected to continue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materially and adversely impact, our business and operations</w:t>
      </w:r>
      <w:r>
        <w:rPr>
          <w:rFonts w:ascii="Times New Roman" w:cs="Times New Roman" w:eastAsia="Times New Roman" w:hAnsi="Times New Roman"/>
          <w:sz w:val="19"/>
          <w:szCs w:val="19"/>
          <w:color w:val="auto"/>
        </w:rPr>
        <w:t>,” we have experienced some supply disruptions due to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 in Eastern Europe.</w:t>
      </w:r>
    </w:p>
    <w:p>
      <w:pPr>
        <w:spacing w:after="0" w:line="130" w:lineRule="exact"/>
        <w:rPr>
          <w:sz w:val="20"/>
          <w:szCs w:val="20"/>
          <w:color w:val="auto"/>
        </w:rPr>
      </w:pPr>
    </w:p>
    <w:p>
      <w:pPr>
        <w:ind w:right="4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05" w:lineRule="exact"/>
        <w:rPr>
          <w:sz w:val="20"/>
          <w:szCs w:val="20"/>
          <w:color w:val="auto"/>
        </w:rPr>
      </w:pPr>
    </w:p>
    <w:p>
      <w:pPr>
        <w:ind w:right="80" w:firstLine="349"/>
        <w:spacing w:after="0" w:line="293" w:lineRule="auto"/>
        <w:rPr>
          <w:sz w:val="20"/>
          <w:szCs w:val="20"/>
          <w:color w:val="auto"/>
        </w:rPr>
      </w:pPr>
      <w:r>
        <w:rPr>
          <w:rFonts w:ascii="Times New Roman" w:cs="Times New Roman" w:eastAsia="Times New Roman" w:hAnsi="Times New Roman"/>
          <w:sz w:val="19"/>
          <w:szCs w:val="19"/>
          <w:color w:val="auto"/>
        </w:rPr>
        <w:t>Our Seattle, Washington, facility houses our corporate executive team and our software development operations, while our San Carlos, California facility houses our research and development team.</w:t>
      </w:r>
    </w:p>
    <w:p>
      <w:pPr>
        <w:spacing w:after="0" w:line="107"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Our facilities in Seattle and San Carlos are vulnerable to natural disasters, public health crises, including the impact of the COVID-19 pandemic, and other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37"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367" w:lineRule="exact"/>
        <w:rPr>
          <w:sz w:val="20"/>
          <w:szCs w:val="20"/>
          <w:color w:val="auto"/>
        </w:rPr>
      </w:pPr>
    </w:p>
    <w:p>
      <w:pPr>
        <w:ind w:right="6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05"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3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Risks Related to Our Common Stock</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An active trading market for our Common Stock may never develop or be sustained.</w:t>
      </w:r>
    </w:p>
    <w:p>
      <w:pPr>
        <w:spacing w:after="0" w:line="196"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ectPr>
          <w:pgSz w:w="11880" w:h="15480" w:orient="portrait"/>
          <w:cols w:equalWidth="0" w:num="1">
            <w:col w:w="9960"/>
          </w:cols>
          <w:pgMar w:left="960" w:top="822" w:right="960" w:bottom="0" w:gutter="0" w:footer="0" w:header="0"/>
          <w:type w:val="continuous"/>
        </w:sectPr>
      </w:pPr>
    </w:p>
    <w:bookmarkStart w:id="73" w:name="page74"/>
    <w:bookmarkEnd w:id="73"/>
    <w:p>
      <w:pPr>
        <w:ind w:right="40"/>
        <w:spacing w:after="0" w:line="268" w:lineRule="auto"/>
        <w:rPr>
          <w:sz w:val="20"/>
          <w:szCs w:val="20"/>
          <w:color w:val="auto"/>
        </w:rPr>
      </w:pPr>
      <w:r>
        <w:rPr>
          <w:rFonts w:ascii="Times New Roman" w:cs="Times New Roman" w:eastAsia="Times New Roman" w:hAnsi="Times New Roman"/>
          <w:sz w:val="19"/>
          <w:szCs w:val="19"/>
          <w:color w:val="auto"/>
        </w:rPr>
        <w:t>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24" w:lineRule="exact"/>
        <w:rPr>
          <w:sz w:val="20"/>
          <w:szCs w:val="20"/>
          <w:color w:val="auto"/>
        </w:rPr>
      </w:pPr>
    </w:p>
    <w:p>
      <w:pPr>
        <w:ind w:right="3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market price of our Common Stock has been and may continue to be volatile, which could result in substantial losses for investors.</w:t>
      </w:r>
    </w:p>
    <w:p>
      <w:pPr>
        <w:spacing w:after="0" w:line="105" w:lineRule="exact"/>
        <w:rPr>
          <w:sz w:val="20"/>
          <w:szCs w:val="20"/>
          <w:color w:val="auto"/>
        </w:rPr>
      </w:pPr>
    </w:p>
    <w:p>
      <w:pPr>
        <w:ind w:right="400" w:firstLine="349"/>
        <w:spacing w:after="0" w:line="293" w:lineRule="auto"/>
        <w:rPr>
          <w:sz w:val="20"/>
          <w:szCs w:val="20"/>
          <w:color w:val="auto"/>
        </w:rPr>
      </w:pPr>
      <w:r>
        <w:rPr>
          <w:rFonts w:ascii="Times New Roman" w:cs="Times New Roman" w:eastAsia="Times New Roman" w:hAnsi="Times New Roman"/>
          <w:sz w:val="19"/>
          <w:szCs w:val="19"/>
          <w:color w:val="auto"/>
        </w:rPr>
        <w:t>The market price of our Common Stock has been and may continue to be highly volatile and could be subject to wide fluctuations in response to various factors, some of which are beyond our control.</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market price of our Common Stock may fluctuate due to a variety of factors, including:</w:t>
      </w:r>
    </w:p>
    <w:p>
      <w:pPr>
        <w:spacing w:after="0" w:line="189" w:lineRule="exact"/>
        <w:rPr>
          <w:sz w:val="20"/>
          <w:szCs w:val="20"/>
          <w:color w:val="auto"/>
        </w:rPr>
      </w:pPr>
    </w:p>
    <w:p>
      <w:pPr>
        <w:ind w:right="1340" w:firstLine="350"/>
        <w:spacing w:after="0" w:line="293" w:lineRule="auto"/>
        <w:tabs>
          <w:tab w:leader="none" w:pos="69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of the launch and commercialization of our products and degree to which such launch and commercialization meets the expectations of securities analysts and investors;</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fluctuations in our operating results, including fluctuations in our quarterly and annual results;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expenses being more than anticipated;</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or discontinuation of any of our product development and research programs;</w:t>
      </w:r>
    </w:p>
    <w:p>
      <w:pPr>
        <w:spacing w:after="0" w:line="189" w:lineRule="exact"/>
        <w:rPr>
          <w:rFonts w:ascii="Times New Roman" w:cs="Times New Roman" w:eastAsia="Times New Roman" w:hAnsi="Times New Roman"/>
          <w:sz w:val="19"/>
          <w:szCs w:val="19"/>
          <w:color w:val="auto"/>
        </w:rPr>
      </w:pPr>
    </w:p>
    <w:p>
      <w:pPr>
        <w:ind w:right="540" w:firstLine="350"/>
        <w:spacing w:after="0" w:line="293" w:lineRule="auto"/>
        <w:tabs>
          <w:tab w:leader="none" w:pos="69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 of existing or new competitive businesses or technologies;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announcements about new research programs or products of our competitors;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developments or disputes concerning patent applications, issued patents or other proprietary rights;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recruitment or departure of key personnel;</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litigation and governmental investigations involving us, our industry or both;</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or legal developments in the United States and other countries;</w:t>
      </w:r>
    </w:p>
    <w:p>
      <w:pPr>
        <w:spacing w:after="0" w:line="189" w:lineRule="exact"/>
        <w:rPr>
          <w:rFonts w:ascii="Times New Roman" w:cs="Times New Roman" w:eastAsia="Times New Roman" w:hAnsi="Times New Roman"/>
          <w:sz w:val="19"/>
          <w:szCs w:val="19"/>
          <w:color w:val="auto"/>
        </w:rPr>
      </w:pPr>
    </w:p>
    <w:p>
      <w:pPr>
        <w:ind w:right="340" w:firstLine="350"/>
        <w:spacing w:after="0" w:line="293" w:lineRule="auto"/>
        <w:tabs>
          <w:tab w:leader="none" w:pos="69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volatility and variations in market conditions in the life sciences technology sector generally, or the proteomics or genomics sectors specifically;</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investor perceptions of us or our industry;</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 of expenses related to any of our research and development programs or products;</w:t>
      </w:r>
    </w:p>
    <w:p>
      <w:pPr>
        <w:spacing w:after="0" w:line="189" w:lineRule="exact"/>
        <w:rPr>
          <w:rFonts w:ascii="Times New Roman" w:cs="Times New Roman" w:eastAsia="Times New Roman" w:hAnsi="Times New Roman"/>
          <w:sz w:val="19"/>
          <w:szCs w:val="19"/>
          <w:color w:val="auto"/>
        </w:rPr>
      </w:pPr>
    </w:p>
    <w:p>
      <w:pPr>
        <w:jc w:val="both"/>
        <w:ind w:right="260" w:firstLine="350"/>
        <w:spacing w:after="0" w:line="274" w:lineRule="auto"/>
        <w:tabs>
          <w:tab w:leader="none" w:pos="69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5"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our financial results meet the expectations of securities analysts or investors;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announcement or expectation of additional financing efforts;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of our Common Stock by us or by our insiders or other stockholders;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economic, industry and market conditions; and</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COVID-19 pandemic, natural disasters or major catastrophic events.</w:t>
      </w:r>
    </w:p>
    <w:p>
      <w:pPr>
        <w:spacing w:after="0" w:line="189"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w:t>
      </w:r>
    </w:p>
    <w:p>
      <w:pPr>
        <w:sectPr>
          <w:pgSz w:w="11880" w:h="15480" w:orient="portrait"/>
          <w:cols w:equalWidth="0" w:num="1">
            <w:col w:w="9860"/>
          </w:cols>
          <w:pgMar w:left="960" w:top="822" w:right="1060" w:bottom="0" w:gutter="0" w:footer="0" w:header="0"/>
        </w:sectPr>
      </w:pPr>
    </w:p>
    <w:p>
      <w:pPr>
        <w:spacing w:after="0" w:line="3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71</w:t>
      </w:r>
    </w:p>
    <w:p>
      <w:pPr>
        <w:sectPr>
          <w:pgSz w:w="11880" w:h="15480" w:orient="portrait"/>
          <w:cols w:equalWidth="0" w:num="1">
            <w:col w:w="9860"/>
          </w:cols>
          <w:pgMar w:left="960" w:top="822" w:right="1060" w:bottom="0" w:gutter="0" w:footer="0" w:header="0"/>
          <w:type w:val="continuous"/>
        </w:sectPr>
      </w:pPr>
    </w:p>
    <w:bookmarkStart w:id="74" w:name="page75"/>
    <w:bookmarkEnd w:id="74"/>
    <w:p>
      <w:pPr>
        <w:ind w:right="920"/>
        <w:spacing w:after="0" w:line="293" w:lineRule="auto"/>
        <w:rPr>
          <w:sz w:val="20"/>
          <w:szCs w:val="20"/>
          <w:color w:val="auto"/>
        </w:rPr>
      </w:pPr>
      <w:r>
        <w:rPr>
          <w:rFonts w:ascii="Times New Roman" w:cs="Times New Roman" w:eastAsia="Times New Roman" w:hAnsi="Times New Roman"/>
          <w:sz w:val="19"/>
          <w:szCs w:val="19"/>
          <w:color w:val="auto"/>
        </w:rPr>
        <w:t>become the target of securities litigation in the future. Securities litigation could result in substantial costs and divert management’s attention and resources from our business.</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There can be no assurance that we will be able to comply with the continued listing standards of Nasdaq.</w:t>
      </w:r>
    </w:p>
    <w:p>
      <w:pPr>
        <w:spacing w:after="0" w:line="196" w:lineRule="exact"/>
        <w:rPr>
          <w:sz w:val="20"/>
          <w:szCs w:val="20"/>
          <w:color w:val="auto"/>
        </w:rPr>
      </w:pPr>
    </w:p>
    <w:p>
      <w:pPr>
        <w:ind w:right="100" w:firstLine="349"/>
        <w:spacing w:after="0" w:line="293" w:lineRule="auto"/>
        <w:rPr>
          <w:sz w:val="20"/>
          <w:szCs w:val="20"/>
          <w:color w:val="auto"/>
        </w:rPr>
      </w:pPr>
      <w:r>
        <w:rPr>
          <w:rFonts w:ascii="Times New Roman" w:cs="Times New Roman" w:eastAsia="Times New Roman" w:hAnsi="Times New Roman"/>
          <w:sz w:val="19"/>
          <w:szCs w:val="19"/>
          <w:color w:val="auto"/>
        </w:rPr>
        <w:t>If Nasdaq delists our shares of Common Stock from trading on its exchange for failure to meet Nasdaq’s listing standards, we and our stockholders could face significant material adverse consequences including:</w:t>
      </w:r>
    </w:p>
    <w:p>
      <w:pPr>
        <w:spacing w:after="0" w:line="107" w:lineRule="exact"/>
        <w:rPr>
          <w:sz w:val="20"/>
          <w:szCs w:val="20"/>
          <w:color w:val="auto"/>
        </w:rPr>
      </w:pPr>
    </w:p>
    <w:p>
      <w:pPr>
        <w:ind w:left="700" w:hanging="350"/>
        <w:spacing w:after="0"/>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limited availability of market quotations for our securities;</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reduced liquidity for our securities;</w:t>
      </w:r>
    </w:p>
    <w:p>
      <w:pPr>
        <w:spacing w:after="0" w:line="189" w:lineRule="exact"/>
        <w:rPr>
          <w:rFonts w:ascii="Times New Roman" w:cs="Times New Roman" w:eastAsia="Times New Roman" w:hAnsi="Times New Roman"/>
          <w:sz w:val="19"/>
          <w:szCs w:val="19"/>
          <w:color w:val="auto"/>
        </w:rPr>
      </w:pPr>
    </w:p>
    <w:p>
      <w:pPr>
        <w:ind w:firstLine="350"/>
        <w:spacing w:after="0" w:line="274" w:lineRule="auto"/>
        <w:tabs>
          <w:tab w:leader="none" w:pos="69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25"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limited amount of new and analyst coverage; and</w:t>
      </w:r>
    </w:p>
    <w:p>
      <w:pPr>
        <w:spacing w:after="0" w:line="189"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decreased ability to issue additional securities or obtain additional financing in the future.</w:t>
      </w:r>
    </w:p>
    <w:p>
      <w:pPr>
        <w:spacing w:after="0" w:line="182" w:lineRule="exact"/>
        <w:rPr>
          <w:sz w:val="20"/>
          <w:szCs w:val="20"/>
          <w:color w:val="auto"/>
        </w:rPr>
      </w:pPr>
    </w:p>
    <w:p>
      <w:pPr>
        <w:ind w:right="3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05"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As of December 31, 2022, our directors, executive officers, holders of more than 5% of our outstanding shares of Common Stock and their respective affiliates beneficially owned, collectively, approximately 68.7%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29" w:lineRule="exact"/>
        <w:rPr>
          <w:sz w:val="20"/>
          <w:szCs w:val="20"/>
          <w:color w:val="auto"/>
        </w:rPr>
      </w:pPr>
    </w:p>
    <w:p>
      <w:pPr>
        <w:ind w:right="5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05" w:lineRule="exact"/>
        <w:rPr>
          <w:sz w:val="20"/>
          <w:szCs w:val="20"/>
          <w:color w:val="auto"/>
        </w:rPr>
      </w:pPr>
    </w:p>
    <w:p>
      <w:pPr>
        <w:jc w:val="both"/>
        <w:ind w:right="80" w:firstLine="349"/>
        <w:spacing w:after="0" w:line="274" w:lineRule="auto"/>
        <w:rPr>
          <w:sz w:val="20"/>
          <w:szCs w:val="20"/>
          <w:color w:val="auto"/>
        </w:rPr>
      </w:pPr>
      <w:r>
        <w:rPr>
          <w:rFonts w:ascii="Times New Roman" w:cs="Times New Roman" w:eastAsia="Times New Roman" w:hAnsi="Times New Roman"/>
          <w:sz w:val="19"/>
          <w:szCs w:val="19"/>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25"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29" w:lineRule="exact"/>
        <w:rPr>
          <w:sz w:val="20"/>
          <w:szCs w:val="20"/>
          <w:color w:val="auto"/>
        </w:rPr>
      </w:pPr>
    </w:p>
    <w:p>
      <w:pPr>
        <w:ind w:right="8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do not expect to pay any dividends for the foreseeable future. Investors may never obtain a return on their investment.</w:t>
      </w:r>
    </w:p>
    <w:p>
      <w:pPr>
        <w:spacing w:after="0" w:line="105"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29" w:lineRule="exact"/>
        <w:rPr>
          <w:sz w:val="20"/>
          <w:szCs w:val="20"/>
          <w:color w:val="auto"/>
        </w:rPr>
      </w:pPr>
    </w:p>
    <w:p>
      <w:pPr>
        <w:ind w:right="640" w:firstLine="349"/>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ectPr>
          <w:pgSz w:w="11880" w:h="15480" w:orient="portrait"/>
          <w:cols w:equalWidth="0" w:num="1">
            <w:col w:w="9940"/>
          </w:cols>
          <w:pgMar w:left="960" w:top="822" w:right="980" w:bottom="0" w:gutter="0" w:footer="0" w:header="0"/>
          <w:type w:val="continuous"/>
        </w:sectPr>
      </w:pPr>
    </w:p>
    <w:bookmarkStart w:id="75" w:name="page76"/>
    <w:bookmarkEnd w:id="75"/>
    <w:p>
      <w:pPr>
        <w:ind w:firstLine="349"/>
        <w:spacing w:after="0" w:line="259" w:lineRule="auto"/>
        <w:rPr>
          <w:sz w:val="20"/>
          <w:szCs w:val="20"/>
          <w:color w:val="auto"/>
        </w:rPr>
      </w:pPr>
      <w:r>
        <w:rPr>
          <w:rFonts w:ascii="Times New Roman" w:cs="Times New Roman" w:eastAsia="Times New Roman" w:hAnsi="Times New Roman"/>
          <w:sz w:val="19"/>
          <w:szCs w:val="19"/>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374" w:lineRule="exact"/>
        <w:rPr>
          <w:sz w:val="20"/>
          <w:szCs w:val="20"/>
          <w:color w:val="auto"/>
        </w:rPr>
      </w:pPr>
    </w:p>
    <w:p>
      <w:pPr>
        <w:ind w:right="240" w:firstLine="349"/>
        <w:spacing w:after="0" w:line="263" w:lineRule="auto"/>
        <w:rPr>
          <w:sz w:val="20"/>
          <w:szCs w:val="20"/>
          <w:color w:val="auto"/>
        </w:rPr>
      </w:pPr>
      <w:r>
        <w:rPr>
          <w:rFonts w:ascii="Times New Roman" w:cs="Times New Roman" w:eastAsia="Times New Roman" w:hAnsi="Times New Roman"/>
          <w:sz w:val="19"/>
          <w:szCs w:val="19"/>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6"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34" w:lineRule="exact"/>
        <w:rPr>
          <w:sz w:val="20"/>
          <w:szCs w:val="20"/>
          <w:color w:val="auto"/>
        </w:rPr>
      </w:pPr>
    </w:p>
    <w:p>
      <w:pPr>
        <w:ind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05"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36" w:lineRule="exact"/>
        <w:rPr>
          <w:sz w:val="20"/>
          <w:szCs w:val="20"/>
          <w:color w:val="auto"/>
        </w:rPr>
      </w:pPr>
    </w:p>
    <w:p>
      <w:pPr>
        <w:jc w:val="both"/>
        <w:ind w:firstLine="350"/>
        <w:spacing w:after="0" w:line="274" w:lineRule="auto"/>
        <w:tabs>
          <w:tab w:leader="none" w:pos="69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25" w:lineRule="exact"/>
        <w:rPr>
          <w:rFonts w:ascii="Times New Roman" w:cs="Times New Roman" w:eastAsia="Times New Roman" w:hAnsi="Times New Roman"/>
          <w:sz w:val="19"/>
          <w:szCs w:val="19"/>
          <w:color w:val="auto"/>
        </w:rPr>
      </w:pPr>
    </w:p>
    <w:p>
      <w:pPr>
        <w:ind w:right="220" w:firstLine="350"/>
        <w:spacing w:after="0" w:line="293" w:lineRule="auto"/>
        <w:tabs>
          <w:tab w:leader="none" w:pos="69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amendments to our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9"/>
          <w:szCs w:val="19"/>
          <w:color w:val="auto"/>
        </w:rPr>
      </w:pPr>
    </w:p>
    <w:p>
      <w:pPr>
        <w:ind w:right="40" w:firstLine="350"/>
        <w:spacing w:after="0" w:line="293" w:lineRule="auto"/>
        <w:tabs>
          <w:tab w:leader="none" w:pos="69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stockholder-proposed amendment to certain provisions of our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9"/>
          <w:szCs w:val="19"/>
          <w:color w:val="auto"/>
        </w:rPr>
      </w:pPr>
    </w:p>
    <w:p>
      <w:pPr>
        <w:ind w:right="360" w:firstLine="350"/>
        <w:spacing w:after="0" w:line="293" w:lineRule="auto"/>
        <w:tabs>
          <w:tab w:leader="none" w:pos="69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stockholders are only able to take action at a meeting of stockholders and are not able to take action by written consent for any matter;</w:t>
      </w:r>
    </w:p>
    <w:p>
      <w:pPr>
        <w:spacing w:after="0" w:line="10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vacancies on our board of directors are able to be filled only by our board of directors and not by stockholders;</w:t>
      </w:r>
    </w:p>
    <w:p>
      <w:pPr>
        <w:spacing w:after="0" w:line="189" w:lineRule="exact"/>
        <w:rPr>
          <w:rFonts w:ascii="Times New Roman" w:cs="Times New Roman" w:eastAsia="Times New Roman" w:hAnsi="Times New Roman"/>
          <w:sz w:val="19"/>
          <w:szCs w:val="19"/>
          <w:color w:val="auto"/>
        </w:rPr>
      </w:pPr>
    </w:p>
    <w:p>
      <w:pPr>
        <w:ind w:right="700" w:firstLine="350"/>
        <w:spacing w:after="0" w:line="293" w:lineRule="auto"/>
        <w:tabs>
          <w:tab w:leader="none" w:pos="69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only the chair of our board of directors, our chief executive officer, our president or a majority of our board of directors are authorized to call a special meeting of stockholders;</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ectPr>
          <w:pgSz w:w="11880" w:h="15480" w:orient="portrait"/>
          <w:cols w:equalWidth="0" w:num="1">
            <w:col w:w="9940"/>
          </w:cols>
          <w:pgMar w:left="960" w:top="822" w:right="980" w:bottom="0" w:gutter="0" w:footer="0" w:header="0"/>
          <w:type w:val="continuous"/>
        </w:sectPr>
      </w:pPr>
    </w:p>
    <w:bookmarkStart w:id="76" w:name="page77"/>
    <w:bookmarkEnd w:id="76"/>
    <w:p>
      <w:pPr>
        <w:ind w:left="700" w:hanging="350"/>
        <w:spacing w:after="0"/>
        <w:tabs>
          <w:tab w:leader="none" w:pos="7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litigation against us can only be brought in Delaware;</w:t>
      </w:r>
    </w:p>
    <w:p>
      <w:pPr>
        <w:spacing w:after="0" w:line="189" w:lineRule="exact"/>
        <w:rPr>
          <w:rFonts w:ascii="Times New Roman" w:cs="Times New Roman" w:eastAsia="Times New Roman" w:hAnsi="Times New Roman"/>
          <w:sz w:val="19"/>
          <w:szCs w:val="19"/>
          <w:color w:val="auto"/>
        </w:rPr>
      </w:pPr>
    </w:p>
    <w:p>
      <w:pPr>
        <w:ind w:right="100" w:firstLine="350"/>
        <w:spacing w:after="0" w:line="293" w:lineRule="auto"/>
        <w:tabs>
          <w:tab w:leader="none" w:pos="69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07" w:lineRule="exact"/>
        <w:rPr>
          <w:rFonts w:ascii="Times New Roman" w:cs="Times New Roman" w:eastAsia="Times New Roman" w:hAnsi="Times New Roman"/>
          <w:sz w:val="19"/>
          <w:szCs w:val="19"/>
          <w:color w:val="auto"/>
        </w:rPr>
      </w:pPr>
    </w:p>
    <w:p>
      <w:pPr>
        <w:ind w:right="200" w:firstLine="350"/>
        <w:spacing w:after="0" w:line="293" w:lineRule="auto"/>
        <w:tabs>
          <w:tab w:leader="none" w:pos="69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advance notice procedures apply for stockholders to nominate candidates for election as directors or to bring matters before an annual meeting of stockholders.</w:t>
      </w:r>
    </w:p>
    <w:p>
      <w:pPr>
        <w:spacing w:after="0" w:line="107"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189" w:lineRule="exact"/>
        <w:rPr>
          <w:sz w:val="20"/>
          <w:szCs w:val="20"/>
          <w:color w:val="auto"/>
        </w:rPr>
      </w:pPr>
    </w:p>
    <w:p>
      <w:pPr>
        <w:ind w:right="3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will continue to incur significant increased costs and management resources as a result of operating as a public company.</w:t>
      </w:r>
    </w:p>
    <w:p>
      <w:pPr>
        <w:spacing w:after="0" w:line="105"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133"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6" w:lineRule="exact"/>
        <w:rPr>
          <w:sz w:val="20"/>
          <w:szCs w:val="20"/>
          <w:color w:val="auto"/>
        </w:rPr>
      </w:pPr>
    </w:p>
    <w:p>
      <w:pPr>
        <w:ind w:right="2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have broad discretion in the use of the net proceeds from the Business Combination and the PIPE Financing and may not use them effectively.</w:t>
      </w:r>
    </w:p>
    <w:p>
      <w:pPr>
        <w:spacing w:after="0" w:line="105" w:lineRule="exact"/>
        <w:rPr>
          <w:sz w:val="20"/>
          <w:szCs w:val="20"/>
          <w:color w:val="auto"/>
        </w:rPr>
      </w:pPr>
    </w:p>
    <w:p>
      <w:pPr>
        <w:ind w:right="120" w:firstLine="349"/>
        <w:spacing w:after="0" w:line="263" w:lineRule="auto"/>
        <w:rPr>
          <w:sz w:val="20"/>
          <w:szCs w:val="20"/>
          <w:color w:val="auto"/>
        </w:rPr>
      </w:pPr>
      <w:r>
        <w:rPr>
          <w:rFonts w:ascii="Times New Roman" w:cs="Times New Roman" w:eastAsia="Times New Roman" w:hAnsi="Times New Roman"/>
          <w:sz w:val="19"/>
          <w:szCs w:val="19"/>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Our ability to use net operating losses to offset future taxable income may be subject to certain limitations.</w:t>
      </w:r>
    </w:p>
    <w:p>
      <w:pPr>
        <w:spacing w:after="0" w:line="196"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As of December 31, 2022, we had U.S. federal and state net operating loss carryforwards, or NOLs, of $0.5 million for federal purposes and $21.1 million for state purposes, which if not utilized will expire in 2037. Federal NOLs of $51.5 million that arose after the 2017 tax year will carry forward indefinitely and will be subject to the 80% of taxable income limitation.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w:t>
      </w:r>
    </w:p>
    <w:p>
      <w:pPr>
        <w:sectPr>
          <w:pgSz w:w="11880" w:h="15480" w:orient="portrait"/>
          <w:cols w:equalWidth="0" w:num="1">
            <w:col w:w="9940"/>
          </w:cols>
          <w:pgMar w:left="960" w:top="822" w:right="98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ectPr>
          <w:pgSz w:w="11880" w:h="15480" w:orient="portrait"/>
          <w:cols w:equalWidth="0" w:num="1">
            <w:col w:w="9940"/>
          </w:cols>
          <w:pgMar w:left="960" w:top="822" w:right="980" w:bottom="0" w:gutter="0" w:footer="0" w:header="0"/>
          <w:type w:val="continuous"/>
        </w:sectPr>
      </w:pPr>
    </w:p>
    <w:bookmarkStart w:id="77" w:name="page78"/>
    <w:bookmarkEnd w:id="77"/>
    <w:p>
      <w:pPr>
        <w:ind w:right="40"/>
        <w:spacing w:after="0" w:line="264" w:lineRule="auto"/>
        <w:rPr>
          <w:sz w:val="20"/>
          <w:szCs w:val="20"/>
          <w:color w:val="auto"/>
        </w:rPr>
      </w:pPr>
      <w:r>
        <w:rPr>
          <w:rFonts w:ascii="Times New Roman" w:cs="Times New Roman" w:eastAsia="Times New Roman" w:hAnsi="Times New Roman"/>
          <w:sz w:val="19"/>
          <w:szCs w:val="19"/>
          <w:color w:val="auto"/>
        </w:rPr>
        <w:t>accelerating our liability for income taxes, and also potentially causing those tax attributes to expire unused. States may impose other limitations on the use of our NOLs.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364" w:lineRule="exact"/>
        <w:rPr>
          <w:sz w:val="20"/>
          <w:szCs w:val="20"/>
          <w:color w:val="auto"/>
        </w:rPr>
      </w:pPr>
    </w:p>
    <w:p>
      <w:pPr>
        <w:ind w:right="3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Changes in tax laws could have a material adverse effect on our future business, cash flows, results of operations or financial condition.</w:t>
      </w:r>
    </w:p>
    <w:p>
      <w:pPr>
        <w:spacing w:after="0" w:line="105"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excise tax on certain stock buybacks effective January 1, 2023. Further, on January 1, 2022, a provision of the Tax Cuts and Jobs Act of 2017 went into effect that eliminates the option to deduct domestic research and development costs in the year incurred and instead requires taxpayers to amortize such costs over five years. Such changes, among others, may adversely affect our future effective tax rate, business, cash flows, results of operations and financial condition.</w:t>
      </w:r>
    </w:p>
    <w:p>
      <w:pPr>
        <w:spacing w:after="0" w:line="134" w:lineRule="exact"/>
        <w:rPr>
          <w:sz w:val="20"/>
          <w:szCs w:val="20"/>
          <w:color w:val="auto"/>
        </w:rPr>
      </w:pPr>
    </w:p>
    <w:p>
      <w:pPr>
        <w:ind w:right="2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374"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36"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6" w:lineRule="exact"/>
        <w:rPr>
          <w:sz w:val="20"/>
          <w:szCs w:val="20"/>
          <w:color w:val="auto"/>
        </w:rPr>
      </w:pPr>
    </w:p>
    <w:p>
      <w:pPr>
        <w:ind w:right="500" w:firstLine="349"/>
        <w:spacing w:after="0" w:line="274" w:lineRule="auto"/>
        <w:rPr>
          <w:sz w:val="20"/>
          <w:szCs w:val="20"/>
          <w:color w:val="auto"/>
        </w:rPr>
      </w:pPr>
      <w:r>
        <w:rPr>
          <w:rFonts w:ascii="Times New Roman" w:cs="Times New Roman" w:eastAsia="Times New Roman" w:hAnsi="Times New Roman"/>
          <w:sz w:val="19"/>
          <w:szCs w:val="19"/>
          <w:color w:val="auto"/>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18" w:lineRule="exact"/>
        <w:rPr>
          <w:sz w:val="20"/>
          <w:szCs w:val="20"/>
          <w:color w:val="auto"/>
        </w:rPr>
      </w:pPr>
    </w:p>
    <w:p>
      <w:pPr>
        <w:ind w:right="6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ectPr>
          <w:pgSz w:w="11880" w:h="15480" w:orient="portrait"/>
          <w:cols w:equalWidth="0" w:num="1">
            <w:col w:w="9960"/>
          </w:cols>
          <w:pgMar w:left="960" w:top="822" w:right="960" w:bottom="0" w:gutter="0" w:footer="0" w:header="0"/>
          <w:type w:val="continuous"/>
        </w:sectPr>
      </w:pPr>
    </w:p>
    <w:bookmarkStart w:id="78" w:name="page79"/>
    <w:bookmarkEnd w:id="78"/>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4" w:lineRule="exact"/>
        <w:rPr>
          <w:sz w:val="20"/>
          <w:szCs w:val="20"/>
          <w:color w:val="auto"/>
        </w:rPr>
      </w:pPr>
    </w:p>
    <w:p>
      <w:pPr>
        <w:jc w:val="both"/>
        <w:ind w:right="16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24"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379"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ind w:right="1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5"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196" w:lineRule="exact"/>
        <w:rPr>
          <w:sz w:val="20"/>
          <w:szCs w:val="20"/>
          <w:color w:val="auto"/>
        </w:rPr>
      </w:pPr>
    </w:p>
    <w:p>
      <w:pPr>
        <w:ind w:right="220" w:firstLine="349"/>
        <w:spacing w:after="0" w:line="274" w:lineRule="auto"/>
        <w:rPr>
          <w:sz w:val="20"/>
          <w:szCs w:val="20"/>
          <w:color w:val="auto"/>
        </w:rPr>
      </w:pPr>
      <w:r>
        <w:rPr>
          <w:rFonts w:ascii="Times New Roman" w:cs="Times New Roman" w:eastAsia="Times New Roman" w:hAnsi="Times New Roman"/>
          <w:sz w:val="19"/>
          <w:szCs w:val="19"/>
          <w:color w:val="auto"/>
        </w:rPr>
        <w:t>Our current corporate headquarter is located at 2701 Eastlake Avenue East, Seattle, Washington and our current research and development facilities, and manufacturing centers are located at 835 Industrial Rd, San Carlos, California. The Seattle facility is approximately 14,800 square feet. Our lease on this facility runs through June 2028. The 835 Industrial Rd, San</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ectPr>
          <w:pgSz w:w="11880" w:h="15480" w:orient="portrait"/>
          <w:cols w:equalWidth="0" w:num="1">
            <w:col w:w="9960"/>
          </w:cols>
          <w:pgMar w:left="960" w:top="822" w:right="960" w:bottom="0" w:gutter="0" w:footer="0" w:header="0"/>
          <w:type w:val="continuous"/>
        </w:sectPr>
      </w:pPr>
    </w:p>
    <w:bookmarkStart w:id="79" w:name="page80"/>
    <w:bookmarkEnd w:id="79"/>
    <w:p>
      <w:pPr>
        <w:ind w:right="60"/>
        <w:spacing w:after="0" w:line="262" w:lineRule="auto"/>
        <w:rPr>
          <w:sz w:val="20"/>
          <w:szCs w:val="20"/>
          <w:color w:val="auto"/>
        </w:rPr>
      </w:pPr>
      <w:r>
        <w:rPr>
          <w:rFonts w:ascii="Times New Roman" w:cs="Times New Roman" w:eastAsia="Times New Roman" w:hAnsi="Times New Roman"/>
          <w:sz w:val="19"/>
          <w:szCs w:val="19"/>
          <w:color w:val="auto"/>
        </w:rPr>
        <w:t>Carlos, California lease is for approximately 45,338 square feet of office and research space. In addition, we signed a lease in December 2021 for approximately 19,957 square feet of additional office and research space at 1561 Industrial Rd, San Carlos, California. This space is currently under construction and has a target commencement date in the first quarter of 2023. In addition, we commenced a lease of office and research space located at 4475 Executive Drive, San Diego, California in December 2022. The San Diego facility is approximately 7,064 square feet. Our lease on this facility runs through March 2026. We do not own real property and believe that our current facilities are sufficient to meet our ongoing needs and that, if we require additional space, we will be able to obtain additional facilities on commercially reasonable terms.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19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ectPr>
          <w:pgSz w:w="11880" w:h="15480" w:orient="portrait"/>
          <w:cols w:equalWidth="0" w:num="1">
            <w:col w:w="9960"/>
          </w:cols>
          <w:pgMar w:left="960" w:top="822" w:right="960" w:bottom="0" w:gutter="0" w:footer="0" w:header="0"/>
          <w:type w:val="continuous"/>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Part II</w:t>
      </w:r>
    </w:p>
    <w:p>
      <w:pPr>
        <w:spacing w:after="0" w:line="218" w:lineRule="exact"/>
        <w:rPr>
          <w:sz w:val="20"/>
          <w:szCs w:val="20"/>
          <w:color w:val="auto"/>
        </w:rPr>
      </w:pPr>
    </w:p>
    <w:p>
      <w:pPr>
        <w:ind w:right="800"/>
        <w:spacing w:after="0" w:line="298"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information for common stock</w:t>
      </w:r>
    </w:p>
    <w:p>
      <w:pPr>
        <w:spacing w:after="0" w:line="196"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Our common stock has traded on the Nasdaq Global Select Market under the symbol “NAUT” since June 10, 2021. Prior to June 10, 2021 and before completion of the Business Combination, the Class A ordinary shares of ARYA Sciences Acquisition Corp III traded on The Nasdaq Capital Market under the symbol “ARYA” and there was no public trading market for Legacy Nautilus’ equity.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Holders</w:t>
      </w:r>
    </w:p>
    <w:p>
      <w:pPr>
        <w:spacing w:after="0" w:line="196"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As of January 31, 2023, there were 36 registered stockholders of record of our common stock. Because most of our shares are held by brokers and other institutions on behalf of stockholders, we are unable to estimate the total number of beneficial stockholders represented by these holders of record.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 Policy</w:t>
      </w:r>
    </w:p>
    <w:p>
      <w:pPr>
        <w:spacing w:after="0" w:line="19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We have never declared or paid cash dividends on our capital stock. We intend to retain any future earnings and do not expect to pay any dividends in the foreseeable future. In addition,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our board of directors deems relevant.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Equity Compensation Plan</w:t>
      </w:r>
    </w:p>
    <w:p>
      <w:pPr>
        <w:spacing w:after="0" w:line="196"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auto"/>
        </w:rPr>
        <w:t>Our equity plan information required by this Item is incorporated by reference to the information in Part III, Item 12 of this Annual Report on Form 10-K.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Sales of Unregistered Securities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Issuer Purchases of Equity Securities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 Reserved ]</w:t>
      </w:r>
    </w:p>
    <w:p>
      <w:pPr>
        <w:sectPr>
          <w:pgSz w:w="11880" w:h="15480" w:orient="portrait"/>
          <w:cols w:equalWidth="0" w:num="1">
            <w:col w:w="9940"/>
          </w:cols>
          <w:pgMar w:left="960" w:top="80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ectPr>
          <w:pgSz w:w="11880" w:h="15480" w:orient="portrait"/>
          <w:cols w:equalWidth="0" w:num="1">
            <w:col w:w="9940"/>
          </w:cols>
          <w:pgMar w:left="960" w:top="802" w:right="9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Operations</w:t>
      </w:r>
    </w:p>
    <w:p>
      <w:pPr>
        <w:spacing w:after="0" w:line="194" w:lineRule="exact"/>
        <w:rPr>
          <w:sz w:val="20"/>
          <w:szCs w:val="20"/>
          <w:color w:val="auto"/>
        </w:rPr>
      </w:pPr>
    </w:p>
    <w:p>
      <w:pPr>
        <w:ind w:right="100" w:firstLine="349"/>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41" w:lineRule="exact"/>
        <w:rPr>
          <w:sz w:val="20"/>
          <w:szCs w:val="20"/>
          <w:color w:val="auto"/>
        </w:rPr>
      </w:pPr>
    </w:p>
    <w:p>
      <w:pPr>
        <w:ind w:right="4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7"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41"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ectPr>
          <w:pgSz w:w="11880" w:h="15480" w:orient="portrait"/>
          <w:cols w:equalWidth="0" w:num="1">
            <w:col w:w="9080"/>
          </w:cols>
          <w:pgMar w:left="1400" w:top="1383"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1880" w:h="15480" w:orient="portrait"/>
          <w:cols w:equalWidth="0" w:num="1">
            <w:col w:w="9080"/>
          </w:cols>
          <w:pgMar w:left="1400" w:top="1383" w:right="1400" w:bottom="0" w:gutter="0" w:footer="0" w:header="0"/>
          <w:type w:val="continuous"/>
        </w:sectPr>
      </w:pPr>
    </w:p>
    <w:bookmarkStart w:id="82" w:name="page83"/>
    <w:bookmarkEnd w:id="82"/>
    <w:p>
      <w:pPr>
        <w:ind w:right="40" w:firstLine="349"/>
        <w:spacing w:after="0" w:line="257" w:lineRule="auto"/>
        <w:rPr>
          <w:sz w:val="20"/>
          <w:szCs w:val="20"/>
          <w:color w:val="auto"/>
        </w:rPr>
      </w:pPr>
      <w:r>
        <w:rPr>
          <w:rFonts w:ascii="Times New Roman" w:cs="Times New Roman" w:eastAsia="Times New Roman" w:hAnsi="Times New Roman"/>
          <w:sz w:val="19"/>
          <w:szCs w:val="19"/>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We do not anticipate that these activities will result in any material revenue. During the second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w:t>
      </w:r>
    </w:p>
    <w:p>
      <w:pPr>
        <w:spacing w:after="0" w:line="155"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36"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December 31, 2022, we had cash, cash equivalents and short-term investments of $184.5 million. Based on this, we believe that our existing cash, cash equivalents, and short-term investments will enable us to fund our planned operating expenses and capital expenditures through at least the next 12 months.</w:t>
      </w:r>
    </w:p>
    <w:p>
      <w:pPr>
        <w:spacing w:after="0" w:line="137" w:lineRule="exact"/>
        <w:rPr>
          <w:sz w:val="20"/>
          <w:szCs w:val="20"/>
          <w:color w:val="auto"/>
        </w:rPr>
      </w:pPr>
    </w:p>
    <w:p>
      <w:pPr>
        <w:ind w:right="120" w:firstLine="349"/>
        <w:spacing w:after="0" w:line="260" w:lineRule="auto"/>
        <w:rPr>
          <w:sz w:val="20"/>
          <w:szCs w:val="20"/>
          <w:color w:val="auto"/>
        </w:rPr>
      </w:pPr>
      <w:r>
        <w:rPr>
          <w:rFonts w:ascii="Times New Roman" w:cs="Times New Roman" w:eastAsia="Times New Roman" w:hAnsi="Times New Roman"/>
          <w:sz w:val="19"/>
          <w:szCs w:val="19"/>
          <w:color w:val="auto"/>
        </w:rPr>
        <w:t>We have incurred significant losses since the commencement of our operations. Our net loss was $57.9 million during the year ended December 31, 2022, and we expect to continue to incur significant losses for the foreseeable future as we continue our research and development activities and planned commercialization of our proteomics platform. As of December 31, 2022, we had an accumulated deficit of $138.6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41" w:lineRule="exact"/>
        <w:rPr>
          <w:sz w:val="20"/>
          <w:szCs w:val="20"/>
          <w:color w:val="auto"/>
        </w:rPr>
      </w:pPr>
    </w:p>
    <w:p>
      <w:pPr>
        <w:ind w:right="360" w:firstLine="349"/>
        <w:spacing w:after="0" w:line="293" w:lineRule="auto"/>
        <w:rPr>
          <w:sz w:val="20"/>
          <w:szCs w:val="20"/>
          <w:color w:val="auto"/>
        </w:rPr>
      </w:pPr>
      <w:r>
        <w:rPr>
          <w:rFonts w:ascii="Times New Roman" w:cs="Times New Roman" w:eastAsia="Times New Roman" w:hAnsi="Times New Roman"/>
          <w:sz w:val="19"/>
          <w:szCs w:val="19"/>
          <w:color w:val="auto"/>
        </w:rPr>
        <w:t>We expect our expenses and capital requirements will increase substantially in connection with our ongoing activities as we:</w:t>
      </w:r>
    </w:p>
    <w:p>
      <w:pPr>
        <w:spacing w:after="0" w:line="107" w:lineRule="exact"/>
        <w:rPr>
          <w:sz w:val="20"/>
          <w:szCs w:val="20"/>
          <w:color w:val="auto"/>
        </w:rPr>
      </w:pPr>
    </w:p>
    <w:p>
      <w:pPr>
        <w:ind w:left="700" w:hanging="353"/>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our research and development activities, including with respect to our Nautilus platform;</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undertake activities to establish sales, marketing and distribution capabilities for our Nautilus platform;</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setup costs related to production tooling and required testing;</w:t>
      </w:r>
    </w:p>
    <w:p>
      <w:pPr>
        <w:sectPr>
          <w:pgSz w:w="11880" w:h="15480" w:orient="portrait"/>
          <w:cols w:equalWidth="0" w:num="1">
            <w:col w:w="9080"/>
          </w:cols>
          <w:pgMar w:left="1400" w:top="139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1880" w:h="15480" w:orient="portrait"/>
          <w:cols w:equalWidth="0" w:num="1">
            <w:col w:w="9080"/>
          </w:cols>
          <w:pgMar w:left="1400" w:top="1390" w:right="1400" w:bottom="0" w:gutter="0" w:footer="0" w:header="0"/>
          <w:type w:val="continuous"/>
        </w:sectPr>
      </w:pPr>
    </w:p>
    <w:bookmarkStart w:id="83" w:name="page84"/>
    <w:bookmarkEnd w:id="83"/>
    <w:p>
      <w:pPr>
        <w:ind w:left="700" w:right="180" w:hanging="353"/>
        <w:spacing w:after="0" w:line="293" w:lineRule="auto"/>
        <w:tabs>
          <w:tab w:leader="none" w:pos="7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protect and expand our intellectual property portfolio, including patents, trade secrets and know how;</w:t>
      </w:r>
    </w:p>
    <w:p>
      <w:pPr>
        <w:spacing w:after="0" w:line="107"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 operational, financial and management information systems;</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attract, hire and retain additional management, scientific and administrative personnel; and</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to operate as a public company.</w:t>
      </w:r>
    </w:p>
    <w:p>
      <w:pPr>
        <w:spacing w:after="0" w:line="189"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19 pandemic, the conflicts in Eastern Europe,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Impact of Negative Global or National Events</w:t>
      </w:r>
    </w:p>
    <w:p>
      <w:pPr>
        <w:spacing w:after="0" w:line="196" w:lineRule="exact"/>
        <w:rPr>
          <w:sz w:val="20"/>
          <w:szCs w:val="20"/>
          <w:color w:val="auto"/>
        </w:rPr>
      </w:pPr>
    </w:p>
    <w:p>
      <w:pPr>
        <w:ind w:right="40" w:firstLine="349"/>
        <w:spacing w:after="0" w:line="258" w:lineRule="auto"/>
        <w:rPr>
          <w:sz w:val="20"/>
          <w:szCs w:val="20"/>
          <w:color w:val="auto"/>
        </w:rPr>
      </w:pPr>
      <w:r>
        <w:rPr>
          <w:rFonts w:ascii="Times New Roman" w:cs="Times New Roman" w:eastAsia="Times New Roman" w:hAnsi="Times New Roman"/>
          <w:sz w:val="19"/>
          <w:szCs w:val="19"/>
          <w:color w:val="auto"/>
        </w:rPr>
        <w:t>Businesses have been and will continue to be impacted by a number of challenging global and national events and circumstances that continue to evolve, including the COVID-19 pandemic, extreme weather conditions, increased economic uncertainty, inflation, rising interest rates, and conflicts in Eastern Europe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has developed, we have taken numerous steps to help ensure the health and safety of our employees. We continue to employ hygiene protocols; controls for social distancing; enhanced cleaning, disinfecting, decontamination, and ventilation protocols; health policies; and usage of personal protective equipment, in all cases where appropriate. While we have largely resumed normal operations, any resurgence or worsening of the COVID-19 pandemic may cause us to reinstitute certain measures to protect employee safety, including staggered work hours or reduced in-person staffing, that could result in additional disruption and/or delays in our ability to conduct development activities.</w:t>
      </w:r>
    </w:p>
    <w:p>
      <w:pPr>
        <w:spacing w:after="0" w:line="377" w:lineRule="exact"/>
        <w:rPr>
          <w:sz w:val="20"/>
          <w:szCs w:val="20"/>
          <w:color w:val="auto"/>
        </w:rPr>
      </w:pPr>
    </w:p>
    <w:p>
      <w:pPr>
        <w:ind w:right="60" w:firstLine="349"/>
        <w:spacing w:after="0" w:line="261" w:lineRule="auto"/>
        <w:rPr>
          <w:sz w:val="20"/>
          <w:szCs w:val="20"/>
          <w:color w:val="auto"/>
        </w:rPr>
      </w:pPr>
      <w:r>
        <w:rPr>
          <w:rFonts w:ascii="Times New Roman" w:cs="Times New Roman" w:eastAsia="Times New Roman" w:hAnsi="Times New Roman"/>
          <w:sz w:val="19"/>
          <w:szCs w:val="19"/>
          <w:color w:val="auto"/>
        </w:rPr>
        <w:t>We have been and continue to actively monitor our supply chain in light of these challenging global and national events and circumstances, including our third-party materials suppliers. To date, 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375" w:lineRule="exact"/>
        <w:rPr>
          <w:sz w:val="20"/>
          <w:szCs w:val="20"/>
          <w:color w:val="auto"/>
        </w:rPr>
      </w:pPr>
    </w:p>
    <w:p>
      <w:pPr>
        <w:ind w:right="320" w:firstLine="349"/>
        <w:spacing w:after="0" w:line="274" w:lineRule="auto"/>
        <w:rPr>
          <w:sz w:val="20"/>
          <w:szCs w:val="20"/>
          <w:color w:val="auto"/>
        </w:rPr>
      </w:pPr>
      <w:r>
        <w:rPr>
          <w:rFonts w:ascii="Times New Roman" w:cs="Times New Roman" w:eastAsia="Times New Roman" w:hAnsi="Times New Roman"/>
          <w:sz w:val="19"/>
          <w:szCs w:val="19"/>
          <w:color w:val="auto"/>
        </w:rPr>
        <w:t>The ultimate impact of the these global and national events and circumstances, either individually or in aggregate, is highly uncertain and subject to change. To the extent possible, we are conducting business as usual, with necessary or advisable modifications to mitigate potentially negative impacts to our business. For example,</w:t>
      </w:r>
    </w:p>
    <w:p>
      <w:pPr>
        <w:sectPr>
          <w:pgSz w:w="11880" w:h="15480" w:orient="portrait"/>
          <w:cols w:equalWidth="0" w:num="1">
            <w:col w:w="9080"/>
          </w:cols>
          <w:pgMar w:left="1400" w:top="139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1880" w:h="15480" w:orient="portrait"/>
          <w:cols w:equalWidth="0" w:num="1">
            <w:col w:w="9080"/>
          </w:cols>
          <w:pgMar w:left="1400" w:top="1390" w:right="1400" w:bottom="0" w:gutter="0" w:footer="0" w:header="0"/>
          <w:type w:val="continuous"/>
        </w:sectPr>
      </w:pPr>
    </w:p>
    <w:bookmarkStart w:id="84" w:name="page85"/>
    <w:bookmarkEnd w:id="84"/>
    <w:p>
      <w:pPr>
        <w:spacing w:after="0" w:line="260" w:lineRule="auto"/>
        <w:rPr>
          <w:sz w:val="20"/>
          <w:szCs w:val="20"/>
          <w:color w:val="auto"/>
        </w:rPr>
      </w:pPr>
      <w:r>
        <w:rPr>
          <w:rFonts w:ascii="Times New Roman" w:cs="Times New Roman" w:eastAsia="Times New Roman" w:hAnsi="Times New Roman"/>
          <w:sz w:val="19"/>
          <w:szCs w:val="19"/>
          <w:color w:val="auto"/>
        </w:rPr>
        <w:t>during the COVID-19 pandemic, we made certain modifications to employee travel, with masking and vaccination requirements in our offices, and with our employees working remotely fully or intermittently as able from March 2020 until August 2022.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Reverse Recapitalization Transaction</w:t>
      </w:r>
    </w:p>
    <w:p>
      <w:pPr>
        <w:spacing w:after="0" w:line="196"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On June 9, 2021 (the “Closing Date”), Nautilus Biotechnology, Inc., a Delaware corporation (f/k/a ARYA Sciences Acquisition Corp III, a Cayman Islands exempted company and our predecessor company (“ARYA”)) (the “Company”), consummated the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36" w:lineRule="exact"/>
        <w:rPr>
          <w:sz w:val="20"/>
          <w:szCs w:val="20"/>
          <w:color w:val="auto"/>
        </w:rPr>
      </w:pPr>
    </w:p>
    <w:p>
      <w:pPr>
        <w:ind w:right="160" w:firstLine="349"/>
        <w:spacing w:after="0" w:line="262" w:lineRule="auto"/>
        <w:rPr>
          <w:sz w:val="20"/>
          <w:szCs w:val="20"/>
          <w:color w:val="auto"/>
        </w:rPr>
      </w:pPr>
      <w:r>
        <w:rPr>
          <w:rFonts w:ascii="Times New Roman" w:cs="Times New Roman" w:eastAsia="Times New Roman" w:hAnsi="Times New Roman"/>
          <w:sz w:val="19"/>
          <w:szCs w:val="19"/>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36"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136" w:lineRule="exact"/>
        <w:rPr>
          <w:sz w:val="20"/>
          <w:szCs w:val="20"/>
          <w:color w:val="auto"/>
        </w:rPr>
      </w:pPr>
    </w:p>
    <w:p>
      <w:pPr>
        <w:ind w:right="420" w:firstLine="349"/>
        <w:spacing w:after="0" w:line="293" w:lineRule="auto"/>
        <w:rPr>
          <w:sz w:val="20"/>
          <w:szCs w:val="20"/>
          <w:color w:val="auto"/>
        </w:rPr>
      </w:pPr>
      <w:r>
        <w:rPr>
          <w:rFonts w:ascii="Times New Roman" w:cs="Times New Roman" w:eastAsia="Times New Roman" w:hAnsi="Times New Roman"/>
          <w:sz w:val="19"/>
          <w:szCs w:val="19"/>
          <w:color w:val="auto"/>
        </w:rPr>
        <w:t>As of the open of trading on June 10, 2021, the Common Stock of the Company, formerly those of ARYA, began trading on the Nasdaq Global Select Market (“Nasdaq”) under the symbol “NAUT.”</w:t>
      </w:r>
    </w:p>
    <w:p>
      <w:pPr>
        <w:spacing w:after="0" w:line="107"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Our 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Revenue</w:t>
      </w:r>
    </w:p>
    <w:p>
      <w:pPr>
        <w:spacing w:after="0" w:line="196" w:lineRule="exact"/>
        <w:rPr>
          <w:sz w:val="20"/>
          <w:szCs w:val="20"/>
          <w:color w:val="auto"/>
        </w:rPr>
      </w:pPr>
    </w:p>
    <w:p>
      <w:pPr>
        <w:ind w:right="140" w:firstLine="349"/>
        <w:spacing w:after="0" w:line="293" w:lineRule="auto"/>
        <w:rPr>
          <w:sz w:val="20"/>
          <w:szCs w:val="20"/>
          <w:color w:val="auto"/>
        </w:rPr>
      </w:pPr>
      <w:r>
        <w:rPr>
          <w:rFonts w:ascii="Times New Roman" w:cs="Times New Roman" w:eastAsia="Times New Roman" w:hAnsi="Times New Roman"/>
          <w:sz w:val="19"/>
          <w:szCs w:val="19"/>
          <w:color w:val="auto"/>
        </w:rPr>
        <w:t>To date, we have not generated any revenue and we may not generate any revenue from the sale of products or from other sources in the near future.</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w:t>
      </w:r>
    </w:p>
    <w:p>
      <w:pPr>
        <w:spacing w:after="0" w:line="191" w:lineRule="exact"/>
        <w:rPr>
          <w:sz w:val="20"/>
          <w:szCs w:val="20"/>
          <w:color w:val="auto"/>
        </w:rPr>
      </w:pPr>
    </w:p>
    <w:p>
      <w:pPr>
        <w:jc w:val="both"/>
        <w:ind w:right="380" w:firstLine="349"/>
        <w:spacing w:after="0" w:line="274" w:lineRule="auto"/>
        <w:rPr>
          <w:sz w:val="20"/>
          <w:szCs w:val="20"/>
          <w:color w:val="auto"/>
        </w:rPr>
      </w:pPr>
      <w:r>
        <w:rPr>
          <w:rFonts w:ascii="Times New Roman" w:cs="Times New Roman" w:eastAsia="Times New Roman" w:hAnsi="Times New Roman"/>
          <w:sz w:val="19"/>
          <w:szCs w:val="19"/>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w:t>
      </w:r>
    </w:p>
    <w:p>
      <w:pPr>
        <w:sectPr>
          <w:pgSz w:w="11880" w:h="15480" w:orient="portrait"/>
          <w:cols w:equalWidth="0" w:num="1">
            <w:col w:w="9080"/>
          </w:cols>
          <w:pgMar w:left="1400" w:top="139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ectPr>
          <w:pgSz w:w="11880" w:h="15480" w:orient="portrait"/>
          <w:cols w:equalWidth="0" w:num="1">
            <w:col w:w="9080"/>
          </w:cols>
          <w:pgMar w:left="1400" w:top="1390" w:right="1400" w:bottom="0" w:gutter="0" w:footer="0" w:header="0"/>
          <w:type w:val="continuous"/>
        </w:sectPr>
      </w:pPr>
    </w:p>
    <w:bookmarkStart w:id="85" w:name="page86"/>
    <w:bookmarkEnd w:id="85"/>
    <w:p>
      <w:pPr>
        <w:ind w:right="140"/>
        <w:spacing w:after="0" w:line="293" w:lineRule="auto"/>
        <w:rPr>
          <w:sz w:val="20"/>
          <w:szCs w:val="20"/>
          <w:color w:val="auto"/>
        </w:rPr>
      </w:pPr>
      <w:r>
        <w:rPr>
          <w:rFonts w:ascii="Times New Roman" w:cs="Times New Roman" w:eastAsia="Times New Roman" w:hAnsi="Times New Roman"/>
          <w:sz w:val="19"/>
          <w:szCs w:val="19"/>
          <w:color w:val="auto"/>
        </w:rPr>
        <w:t>research and development activities, and allocated expenses for technology and facilities. We expense research and development expenses in the periods in which they are incurred.</w:t>
      </w:r>
    </w:p>
    <w:p>
      <w:pPr>
        <w:spacing w:after="0" w:line="107"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 Expenses</w:t>
      </w:r>
    </w:p>
    <w:p>
      <w:pPr>
        <w:spacing w:after="0" w:line="191" w:lineRule="exact"/>
        <w:rPr>
          <w:sz w:val="20"/>
          <w:szCs w:val="20"/>
          <w:color w:val="auto"/>
        </w:rPr>
      </w:pPr>
    </w:p>
    <w:p>
      <w:pPr>
        <w:ind w:right="60" w:firstLine="349"/>
        <w:spacing w:after="0" w:line="265" w:lineRule="auto"/>
        <w:rPr>
          <w:sz w:val="20"/>
          <w:szCs w:val="20"/>
          <w:color w:val="auto"/>
        </w:rPr>
      </w:pPr>
      <w:r>
        <w:rPr>
          <w:rFonts w:ascii="Times New Roman" w:cs="Times New Roman" w:eastAsia="Times New Roman" w:hAnsi="Times New Roman"/>
          <w:sz w:val="19"/>
          <w:szCs w:val="19"/>
          <w:color w:val="auto"/>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133"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Other Income (Expense)</w:t>
      </w:r>
    </w:p>
    <w:p>
      <w:pPr>
        <w:spacing w:after="0" w:line="196"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Other income (expense) consists primarily of interest income on our cash, cash equivalents and investments (including accretion and amortization of discounts and premiums on marketable debt securities), gains and losses on foreign currency transactions, and other miscellaneous nonrecurring expenses such as gains or losses on disposal of property and equipment.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Comparison of Fiscal Years Ended December 31, 2022 to December 31, 2021</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following table shows our consolidated statements of operations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 to 2021</w:t>
            </w:r>
          </w:p>
        </w:tc>
      </w:tr>
      <w:tr>
        <w:trPr>
          <w:trHeight w:val="213"/>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2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8"/>
                <w:szCs w:val="18"/>
                <w:color w:val="auto"/>
              </w:rPr>
            </w:pPr>
          </w:p>
        </w:tc>
        <w:tc>
          <w:tcPr>
            <w:tcW w:w="116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3"/>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62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4"/>
        </w:trPr>
        <w:tc>
          <w:tcPr>
            <w:tcW w:w="4200" w:type="dxa"/>
            <w:vAlign w:val="bottom"/>
          </w:tcPr>
          <w:p>
            <w:pPr>
              <w:jc w:val="right"/>
              <w:ind w:right="2523"/>
              <w:spacing w:after="0"/>
              <w:rPr>
                <w:sz w:val="20"/>
                <w:szCs w:val="20"/>
                <w:color w:val="auto"/>
              </w:rPr>
            </w:pPr>
            <w:r>
              <w:rPr>
                <w:rFonts w:ascii="Times New Roman" w:cs="Times New Roman" w:eastAsia="Times New Roman" w:hAnsi="Times New Roman"/>
                <w:sz w:val="19"/>
                <w:szCs w:val="19"/>
                <w:color w:val="auto"/>
              </w:rPr>
              <w:t>Operating expenses:</w:t>
            </w: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7"/>
        </w:trPr>
        <w:tc>
          <w:tcPr>
            <w:tcW w:w="4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Research and development </w:t>
            </w:r>
            <w:r>
              <w:rPr>
                <w:rFonts w:ascii="Times New Roman" w:cs="Times New Roman" w:eastAsia="Times New Roman" w:hAnsi="Times New Roman"/>
                <w:sz w:val="19"/>
                <w:szCs w:val="19"/>
                <w:color w:val="B4B4B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37,672</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29,352</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8,320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28 %</w:t>
            </w:r>
          </w:p>
        </w:tc>
      </w:tr>
      <w:tr>
        <w:trPr>
          <w:trHeight w:val="279"/>
        </w:trPr>
        <w:tc>
          <w:tcPr>
            <w:tcW w:w="4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General and administrative </w:t>
            </w:r>
            <w:r>
              <w:rPr>
                <w:rFonts w:ascii="Times New Roman" w:cs="Times New Roman" w:eastAsia="Times New Roman" w:hAnsi="Times New Roman"/>
                <w:sz w:val="19"/>
                <w:szCs w:val="19"/>
                <w:color w:val="B4B4B4"/>
              </w:rPr>
              <w:t>......................................</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25,946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21,146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23 %</w:t>
            </w:r>
          </w:p>
        </w:tc>
      </w:tr>
      <w:tr>
        <w:trPr>
          <w:trHeight w:val="254"/>
        </w:trPr>
        <w:tc>
          <w:tcPr>
            <w:tcW w:w="4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operating expenses </w:t>
            </w:r>
            <w:r>
              <w:rPr>
                <w:rFonts w:ascii="Times New Roman" w:cs="Times New Roman" w:eastAsia="Times New Roman" w:hAnsi="Times New Roman"/>
                <w:sz w:val="19"/>
                <w:szCs w:val="19"/>
                <w:color w:val="B4B4B4"/>
              </w:rPr>
              <w:t>......................................</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63,618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50,498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13,120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26 %</w:t>
            </w:r>
          </w:p>
        </w:tc>
      </w:tr>
      <w:tr>
        <w:trPr>
          <w:trHeight w:val="277"/>
        </w:trPr>
        <w:tc>
          <w:tcPr>
            <w:tcW w:w="4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income (expense): </w:t>
            </w:r>
            <w:r>
              <w:rPr>
                <w:rFonts w:ascii="Times New Roman" w:cs="Times New Roman" w:eastAsia="Times New Roman" w:hAnsi="Times New Roman"/>
                <w:sz w:val="19"/>
                <w:szCs w:val="19"/>
                <w:color w:val="B4B4B4"/>
              </w:rPr>
              <w:t>.............................................</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7"/>
        </w:trPr>
        <w:tc>
          <w:tcPr>
            <w:tcW w:w="4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Interest income </w:t>
            </w:r>
            <w:r>
              <w:rPr>
                <w:rFonts w:ascii="Times New Roman" w:cs="Times New Roman" w:eastAsia="Times New Roman" w:hAnsi="Times New Roman"/>
                <w:sz w:val="19"/>
                <w:szCs w:val="19"/>
                <w:color w:val="B4B4B4"/>
              </w:rPr>
              <w: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5,487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1668 %</w:t>
            </w:r>
          </w:p>
        </w:tc>
      </w:tr>
      <w:tr>
        <w:trPr>
          <w:trHeight w:val="279"/>
        </w:trPr>
        <w:tc>
          <w:tcPr>
            <w:tcW w:w="4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expense </w:t>
            </w:r>
            <w:r>
              <w:rPr>
                <w:rFonts w:ascii="Times New Roman" w:cs="Times New Roman" w:eastAsia="Times New Roman" w:hAnsi="Times New Roman"/>
                <w:sz w:val="19"/>
                <w:szCs w:val="19"/>
                <w:color w:val="B4B4B4"/>
              </w:rPr>
              <w:t>..........................................................</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w:t>
            </w:r>
          </w:p>
        </w:tc>
      </w:tr>
      <w:tr>
        <w:trPr>
          <w:trHeight w:val="257"/>
        </w:trPr>
        <w:tc>
          <w:tcPr>
            <w:tcW w:w="4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other income (expense) </w:t>
            </w:r>
            <w:r>
              <w:rPr>
                <w:rFonts w:ascii="Times New Roman" w:cs="Times New Roman" w:eastAsia="Times New Roman" w:hAnsi="Times New Roman"/>
                <w:sz w:val="19"/>
                <w:szCs w:val="19"/>
                <w:color w:val="B4B4B4"/>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5,694</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3011 %</w:t>
            </w:r>
          </w:p>
        </w:tc>
      </w:tr>
      <w:tr>
        <w:trPr>
          <w:trHeight w:val="237"/>
        </w:trPr>
        <w:tc>
          <w:tcPr>
            <w:tcW w:w="4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loss </w:t>
            </w:r>
            <w:r>
              <w:rPr>
                <w:rFonts w:ascii="Times New Roman" w:cs="Times New Roman" w:eastAsia="Times New Roman" w:hAnsi="Times New Roman"/>
                <w:sz w:val="19"/>
                <w:szCs w:val="19"/>
                <w:color w:val="B4B4B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57,924</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50,315</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15 %</w:t>
            </w:r>
          </w:p>
        </w:tc>
      </w:tr>
      <w:tr>
        <w:trPr>
          <w:trHeight w:val="20"/>
        </w:trPr>
        <w:tc>
          <w:tcPr>
            <w:tcW w:w="4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-1611630</wp:posOffset>
            </wp:positionV>
            <wp:extent cx="5794375" cy="1618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5794375" cy="1618615"/>
                    </a:xfrm>
                    <a:prstGeom prst="rect">
                      <a:avLst/>
                    </a:prstGeom>
                    <a:noFill/>
                  </pic:spPr>
                </pic:pic>
              </a:graphicData>
            </a:graphic>
          </wp:anchor>
        </w:drawing>
      </w:r>
    </w:p>
    <w:p>
      <w:pPr>
        <w:sectPr>
          <w:pgSz w:w="11880" w:h="15480" w:orient="portrait"/>
          <w:cols w:equalWidth="0" w:num="1">
            <w:col w:w="9080"/>
          </w:cols>
          <w:pgMar w:left="1400" w:top="139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ectPr>
          <w:pgSz w:w="11880" w:h="15480" w:orient="portrait"/>
          <w:cols w:equalWidth="0" w:num="1">
            <w:col w:w="9080"/>
          </w:cols>
          <w:pgMar w:left="1400" w:top="1390" w:right="1400" w:bottom="0" w:gutter="0" w:footer="0" w:header="0"/>
          <w:type w:val="continuous"/>
        </w:sectPr>
      </w:pPr>
    </w:p>
    <w:bookmarkStart w:id="86" w:name="page87"/>
    <w:bookmarkEnd w:id="86"/>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196"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Research and development expenses were $37.7 million for the year ended December 31, 2022, compared to $29.4 million for the year ended December 31, 2021, an increase of $8.3 million, or 28%. The increase was primarily due to a $5.9 million increase in salaries, related benefits, and stock-based compensation due to an increase in headcount to support on-going development of our products, a $1.6 million increase in facilities cost, and a $1.4 million increase in costs for development services. These increases were partially offset by a $0.7 million decrease in laboratory supplies and equipment expense.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 Expenses</w:t>
      </w:r>
    </w:p>
    <w:p>
      <w:pPr>
        <w:spacing w:after="0" w:line="196" w:lineRule="exact"/>
        <w:rPr>
          <w:sz w:val="20"/>
          <w:szCs w:val="20"/>
          <w:color w:val="auto"/>
        </w:rPr>
      </w:pPr>
    </w:p>
    <w:p>
      <w:pPr>
        <w:ind w:right="240" w:firstLine="349"/>
        <w:spacing w:after="0" w:line="262" w:lineRule="auto"/>
        <w:rPr>
          <w:sz w:val="20"/>
          <w:szCs w:val="20"/>
          <w:color w:val="auto"/>
        </w:rPr>
      </w:pPr>
      <w:r>
        <w:rPr>
          <w:rFonts w:ascii="Times New Roman" w:cs="Times New Roman" w:eastAsia="Times New Roman" w:hAnsi="Times New Roman"/>
          <w:sz w:val="19"/>
          <w:szCs w:val="19"/>
          <w:color w:val="auto"/>
        </w:rPr>
        <w:t>General and administrative expenses were $25.9 million for the year ended December 31, 2022, compared to $21.1 million for the year ended December 31, 2021, an increase of $4.8 million, or 23%. The increase was primarily due to a $3.8 million increase in salaries, related benefits, and stock-based compensation due to an increase in headcount to support general and administrative activities required to operate as a public company and supply chain and manufacturing readiness, a $0.8 million increase in facilities costs and a $0.4 million increase in insurance costs. These increases were partially offset by a $0.8 million decrease in professional services including audit, accounting, and legal services.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Other Income (Expense)</w:t>
      </w:r>
    </w:p>
    <w:p>
      <w:pPr>
        <w:spacing w:after="0" w:line="196"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auto"/>
        </w:rPr>
        <w:t>Other income (expense) for the year ended December 31, 2022 as compared to the year ended December 31, 2021 changed primarily due to higher interest income from marketable debt securities driven by higher interest rates.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Sources of Liquidity</w:t>
      </w:r>
    </w:p>
    <w:p>
      <w:pPr>
        <w:spacing w:after="0" w:line="196"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Since our inception, we have not generated any revenue from product sales and have incurred significant operating losses and negative cash flows from our operations. Our net loss was $57.9 million for the year ended December 31, 2022. As of December 31, 2022, we had an accumulated deficit of $138.6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December 31, 2022, we had cash, cash equivalents, and investments of $313.6 million.</w:t>
      </w:r>
    </w:p>
    <w:p>
      <w:pPr>
        <w:spacing w:after="0" w:line="137"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Funding Requirements</w:t>
      </w:r>
    </w:p>
    <w:p>
      <w:pPr>
        <w:spacing w:after="0" w:line="196" w:lineRule="exact"/>
        <w:rPr>
          <w:sz w:val="20"/>
          <w:szCs w:val="20"/>
          <w:color w:val="auto"/>
        </w:rPr>
      </w:pPr>
    </w:p>
    <w:p>
      <w:pPr>
        <w:jc w:val="both"/>
        <w:ind w:right="60" w:firstLine="349"/>
        <w:spacing w:after="0" w:line="274" w:lineRule="auto"/>
        <w:rPr>
          <w:sz w:val="20"/>
          <w:szCs w:val="20"/>
          <w:color w:val="auto"/>
        </w:rPr>
      </w:pPr>
      <w:r>
        <w:rPr>
          <w:rFonts w:ascii="Times New Roman" w:cs="Times New Roman" w:eastAsia="Times New Roman" w:hAnsi="Times New Roman"/>
          <w:sz w:val="19"/>
          <w:szCs w:val="19"/>
          <w:color w:val="auto"/>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spacing w:after="0" w:line="125" w:lineRule="exact"/>
        <w:rPr>
          <w:sz w:val="20"/>
          <w:szCs w:val="20"/>
          <w:color w:val="auto"/>
        </w:rPr>
      </w:pPr>
    </w:p>
    <w:p>
      <w:pPr>
        <w:ind w:left="700" w:hanging="353"/>
        <w:spacing w:after="0"/>
        <w:tabs>
          <w:tab w:leader="none" w:pos="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our research and development activities, including with respect to our proteomics platform;</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undertake activities to establish sales, marketing and distribution capabilities for our proteomics platform;</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setup costs related to production tooling and required testing;</w:t>
      </w:r>
    </w:p>
    <w:p>
      <w:pPr>
        <w:spacing w:after="0" w:line="189" w:lineRule="exact"/>
        <w:rPr>
          <w:rFonts w:ascii="Times New Roman" w:cs="Times New Roman" w:eastAsia="Times New Roman" w:hAnsi="Times New Roman"/>
          <w:sz w:val="19"/>
          <w:szCs w:val="19"/>
          <w:color w:val="auto"/>
        </w:rPr>
      </w:pPr>
    </w:p>
    <w:p>
      <w:pPr>
        <w:ind w:left="700" w:right="180" w:hanging="353"/>
        <w:spacing w:after="0" w:line="293" w:lineRule="auto"/>
        <w:tabs>
          <w:tab w:leader="none" w:pos="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protect and expand our intellectual property portfolio, including patents, trade secrets and know how;</w:t>
      </w:r>
    </w:p>
    <w:p>
      <w:pPr>
        <w:sectPr>
          <w:pgSz w:w="11880" w:h="15480" w:orient="portrait"/>
          <w:cols w:equalWidth="0" w:num="1">
            <w:col w:w="9080"/>
          </w:cols>
          <w:pgMar w:left="1400" w:top="1383"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ectPr>
          <w:pgSz w:w="11880" w:h="15480" w:orient="portrait"/>
          <w:cols w:equalWidth="0" w:num="1">
            <w:col w:w="9080"/>
          </w:cols>
          <w:pgMar w:left="1400" w:top="1383" w:right="1400" w:bottom="0" w:gutter="0" w:footer="0" w:header="0"/>
          <w:type w:val="continuous"/>
        </w:sectPr>
      </w:pPr>
    </w:p>
    <w:bookmarkStart w:id="87" w:name="page88"/>
    <w:bookmarkEnd w:id="87"/>
    <w:p>
      <w:pPr>
        <w:ind w:left="700" w:hanging="353"/>
        <w:spacing w:after="0"/>
        <w:tabs>
          <w:tab w:leader="none" w:pos="70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 operational, financial and management information systems;</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attract, hire and retain additional management, scientific and administrative personnel; and</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operate as a public company.</w:t>
      </w:r>
    </w:p>
    <w:p>
      <w:pPr>
        <w:spacing w:after="0" w:line="189"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Based on our planned operations, we expect our current cash, cash equivalents, and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37" w:lineRule="exact"/>
        <w:rPr>
          <w:sz w:val="20"/>
          <w:szCs w:val="20"/>
          <w:color w:val="auto"/>
        </w:rPr>
      </w:pPr>
    </w:p>
    <w:p>
      <w:pPr>
        <w:ind w:right="80" w:firstLine="349"/>
        <w:spacing w:after="0" w:line="259" w:lineRule="auto"/>
        <w:rPr>
          <w:sz w:val="20"/>
          <w:szCs w:val="20"/>
          <w:color w:val="auto"/>
        </w:rPr>
      </w:pPr>
      <w:r>
        <w:rPr>
          <w:rFonts w:ascii="Times New Roman" w:cs="Times New Roman" w:eastAsia="Times New Roman" w:hAnsi="Times New Roman"/>
          <w:sz w:val="19"/>
          <w:szCs w:val="19"/>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19 pandemic, the conflicts in Eastern Europe, potential uncertainty related to Taiwan and its relationship with China, and otherwise. Our failure to raise additional capital, if needed, would have a negative impact on our financial condition and our ability to execute our business plan.</w:t>
      </w:r>
    </w:p>
    <w:p>
      <w:pPr>
        <w:spacing w:after="0" w:line="145" w:lineRule="exact"/>
        <w:rPr>
          <w:sz w:val="20"/>
          <w:szCs w:val="20"/>
          <w:color w:val="auto"/>
        </w:rPr>
      </w:pPr>
    </w:p>
    <w:p>
      <w:pPr>
        <w:ind w:right="120" w:firstLine="349"/>
        <w:spacing w:after="0" w:line="262" w:lineRule="auto"/>
        <w:rPr>
          <w:sz w:val="20"/>
          <w:szCs w:val="20"/>
          <w:color w:val="auto"/>
        </w:rPr>
      </w:pPr>
      <w:r>
        <w:rPr>
          <w:rFonts w:ascii="Times New Roman" w:cs="Times New Roman" w:eastAsia="Times New Roman" w:hAnsi="Times New Roman"/>
          <w:sz w:val="19"/>
          <w:szCs w:val="19"/>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Historical Cash Flows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For the Fiscal Years Ended December 31, 2022 and 2021</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following table summarizes our cash flows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187"/>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r>
      <w:tr>
        <w:trPr>
          <w:trHeight w:val="213"/>
        </w:trPr>
        <w:tc>
          <w:tcPr>
            <w:tcW w:w="6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13"/>
        </w:trPr>
        <w:tc>
          <w:tcPr>
            <w:tcW w:w="6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31"/>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800" w:type="dxa"/>
            <w:vAlign w:val="bottom"/>
            <w:tcBorders>
              <w:bottom w:val="single" w:sz="8" w:color="auto"/>
            </w:tcBorders>
          </w:tcPr>
          <w:p>
            <w:pPr>
              <w:spacing w:after="0"/>
              <w:rPr>
                <w:sz w:val="18"/>
                <w:szCs w:val="18"/>
                <w:color w:val="auto"/>
              </w:rPr>
            </w:pPr>
          </w:p>
        </w:tc>
      </w:tr>
      <w:tr>
        <w:trPr>
          <w:trHeight w:val="254"/>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cash used in operating activities </w:t>
            </w:r>
            <w:r>
              <w:rPr>
                <w:rFonts w:ascii="Times New Roman" w:cs="Times New Roman" w:eastAsia="Times New Roman" w:hAnsi="Times New Roman"/>
                <w:sz w:val="19"/>
                <w:szCs w:val="19"/>
                <w:color w:val="B4B4B4"/>
              </w:rPr>
              <w: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(45,806)</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(39,241)</w:t>
            </w: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cash used in investing activities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(25,740)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(138,964)</w:t>
            </w:r>
          </w:p>
        </w:tc>
      </w:tr>
      <w:tr>
        <w:trPr>
          <w:trHeight w:val="279"/>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cash provided by financing activities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327,447</w:t>
            </w:r>
          </w:p>
        </w:tc>
      </w:tr>
      <w:tr>
        <w:trPr>
          <w:trHeight w:val="23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increase in cash, cash equivalents and restricted cash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(70,984)</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149,242</w:t>
            </w:r>
          </w:p>
        </w:tc>
      </w:tr>
      <w:tr>
        <w:trPr>
          <w:trHeight w:val="20"/>
        </w:trPr>
        <w:tc>
          <w:tcPr>
            <w:tcW w:w="6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-733425</wp:posOffset>
            </wp:positionV>
            <wp:extent cx="5794375" cy="740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extLst>
                    </a:blip>
                    <a:srcRect/>
                    <a:stretch>
                      <a:fillRect/>
                    </a:stretch>
                  </pic:blipFill>
                  <pic:spPr bwMode="auto">
                    <a:xfrm>
                      <a:off x="0" y="0"/>
                      <a:ext cx="5794375" cy="740410"/>
                    </a:xfrm>
                    <a:prstGeom prst="rect">
                      <a:avLst/>
                    </a:prstGeom>
                    <a:noFill/>
                  </pic:spPr>
                </pic:pic>
              </a:graphicData>
            </a:graphic>
          </wp:anchor>
        </w:drawing>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Operating Activities</w:t>
      </w:r>
    </w:p>
    <w:p>
      <w:pPr>
        <w:spacing w:after="0" w:line="191"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During the year ended December 31, 2022, net cash used in operating activities was $45.8 million, primarily resulting from our operating loss of $57.9 million, a decrease in the net changes in assets and liabilities aggregating $0.8 million. The net loss and decrease in net changes in assets and liabilities was partially offset by $12.9 million of</w:t>
      </w:r>
    </w:p>
    <w:p>
      <w:pPr>
        <w:sectPr>
          <w:pgSz w:w="11880" w:h="15480" w:orient="portrait"/>
          <w:cols w:equalWidth="0" w:num="1">
            <w:col w:w="9080"/>
          </w:cols>
          <w:pgMar w:left="1400" w:top="139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ectPr>
          <w:pgSz w:w="11880" w:h="15480" w:orient="portrait"/>
          <w:cols w:equalWidth="0" w:num="1">
            <w:col w:w="9080"/>
          </w:cols>
          <w:pgMar w:left="1400" w:top="1390" w:right="1400" w:bottom="0" w:gutter="0" w:footer="0" w:header="0"/>
          <w:type w:val="continuous"/>
        </w:sectPr>
      </w:pPr>
    </w:p>
    <w:bookmarkStart w:id="88" w:name="page89"/>
    <w:bookmarkEnd w:id="88"/>
    <w:p>
      <w:pPr>
        <w:ind w:right="260"/>
        <w:spacing w:after="0" w:line="274" w:lineRule="auto"/>
        <w:rPr>
          <w:sz w:val="20"/>
          <w:szCs w:val="20"/>
          <w:color w:val="auto"/>
        </w:rPr>
      </w:pPr>
      <w:r>
        <w:rPr>
          <w:rFonts w:ascii="Times New Roman" w:cs="Times New Roman" w:eastAsia="Times New Roman" w:hAnsi="Times New Roman"/>
          <w:sz w:val="19"/>
          <w:szCs w:val="19"/>
          <w:color w:val="auto"/>
        </w:rPr>
        <w:t>non-cash expenses. The non-cash expenses included $10.4 million of stock-based compensation, $2.2 million amortization of operating lease right-of-use assets, $1.2 million in depreciation, partially offset by $0.9 million in accretion of discounts of investments.</w:t>
      </w:r>
    </w:p>
    <w:p>
      <w:pPr>
        <w:spacing w:after="0" w:line="125"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auto"/>
        </w:rPr>
        <w:t>During the year ended December 31, 2021, net cash used in operating activities was $39.2 million, primarily resulting from our operating loss of $50.3 million and a $2.8 million increase in prepaid expenses and other assets, partially offset by $7.9 million of stock-based compensation, a $2.3 million increase in accrued expenses and other liabilities, $1.8 million amortization of operating lease right-of-use assets, a $1.3 million increase in accounts payable and $1.0 million in depreciation.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Investing Activities</w:t>
      </w:r>
    </w:p>
    <w:p>
      <w:pPr>
        <w:spacing w:after="0" w:line="191" w:lineRule="exact"/>
        <w:rPr>
          <w:sz w:val="20"/>
          <w:szCs w:val="20"/>
          <w:color w:val="auto"/>
        </w:rPr>
      </w:pPr>
    </w:p>
    <w:p>
      <w:pPr>
        <w:jc w:val="both"/>
        <w:ind w:right="360" w:firstLine="349"/>
        <w:spacing w:after="0" w:line="274" w:lineRule="auto"/>
        <w:rPr>
          <w:sz w:val="20"/>
          <w:szCs w:val="20"/>
          <w:color w:val="auto"/>
        </w:rPr>
      </w:pPr>
      <w:r>
        <w:rPr>
          <w:rFonts w:ascii="Times New Roman" w:cs="Times New Roman" w:eastAsia="Times New Roman" w:hAnsi="Times New Roman"/>
          <w:sz w:val="19"/>
          <w:szCs w:val="19"/>
          <w:color w:val="auto"/>
        </w:rPr>
        <w:t>During the year ended December 31, 2022, net cash used in investing activities was $25.7 million, resulting from $186.6 million million in purchases of securities and $2.3 million in purchases of property and equipment, partially offset by $163.2 million in proceeds from sale and maturities of securities.</w:t>
      </w:r>
    </w:p>
    <w:p>
      <w:pPr>
        <w:spacing w:after="0" w:line="125" w:lineRule="exact"/>
        <w:rPr>
          <w:sz w:val="20"/>
          <w:szCs w:val="20"/>
          <w:color w:val="auto"/>
        </w:rPr>
      </w:pPr>
    </w:p>
    <w:p>
      <w:pPr>
        <w:jc w:val="both"/>
        <w:ind w:right="260" w:firstLine="349"/>
        <w:spacing w:after="0" w:line="274" w:lineRule="auto"/>
        <w:rPr>
          <w:sz w:val="20"/>
          <w:szCs w:val="20"/>
          <w:color w:val="auto"/>
        </w:rPr>
      </w:pPr>
      <w:r>
        <w:rPr>
          <w:rFonts w:ascii="Times New Roman" w:cs="Times New Roman" w:eastAsia="Times New Roman" w:hAnsi="Times New Roman"/>
          <w:sz w:val="19"/>
          <w:szCs w:val="19"/>
          <w:color w:val="auto"/>
        </w:rPr>
        <w:t>During the year ended December 31, 2021, net cash used in investing activities was $139.0 million, resulting from $221.8 million in purchases of securities and $2.3 million in purchases of property and equipment, partially offset by $85.1 million in proceeds from the sale and maturities of securities.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Financing Activities</w:t>
      </w:r>
    </w:p>
    <w:p>
      <w:pPr>
        <w:spacing w:after="0" w:line="191" w:lineRule="exact"/>
        <w:rPr>
          <w:sz w:val="20"/>
          <w:szCs w:val="20"/>
          <w:color w:val="auto"/>
        </w:rPr>
      </w:pPr>
    </w:p>
    <w:p>
      <w:pPr>
        <w:jc w:val="both"/>
        <w:ind w:firstLine="349"/>
        <w:spacing w:after="0" w:line="274" w:lineRule="auto"/>
        <w:rPr>
          <w:sz w:val="20"/>
          <w:szCs w:val="20"/>
          <w:color w:val="auto"/>
        </w:rPr>
      </w:pPr>
      <w:r>
        <w:rPr>
          <w:rFonts w:ascii="Times New Roman" w:cs="Times New Roman" w:eastAsia="Times New Roman" w:hAnsi="Times New Roman"/>
          <w:sz w:val="19"/>
          <w:szCs w:val="19"/>
          <w:color w:val="auto"/>
        </w:rPr>
        <w:t>During the year ended December 31, 2022, net cash provided by financing activities was $0.6 million, primarily from proceeds from the exercise of stock options and issuance of common stock under the employee stock purchase plan.</w:t>
      </w:r>
    </w:p>
    <w:p>
      <w:pPr>
        <w:spacing w:after="0" w:line="125" w:lineRule="exact"/>
        <w:rPr>
          <w:sz w:val="20"/>
          <w:szCs w:val="20"/>
          <w:color w:val="auto"/>
        </w:rPr>
      </w:pPr>
    </w:p>
    <w:p>
      <w:pPr>
        <w:ind w:right="200" w:firstLine="349"/>
        <w:spacing w:after="0" w:line="274" w:lineRule="auto"/>
        <w:rPr>
          <w:sz w:val="20"/>
          <w:szCs w:val="20"/>
          <w:color w:val="auto"/>
        </w:rPr>
      </w:pPr>
      <w:r>
        <w:rPr>
          <w:rFonts w:ascii="Times New Roman" w:cs="Times New Roman" w:eastAsia="Times New Roman" w:hAnsi="Times New Roman"/>
          <w:sz w:val="19"/>
          <w:szCs w:val="19"/>
          <w:color w:val="auto"/>
        </w:rPr>
        <w:t>During the year ended December 31, 2021, net cash provided by financing activities was $327.4 million, primarily from $335.4 million in proceeds from the reverse recapitalization and PIPE financing, partially offset by $8.1 million in payments of offering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Contractual Obligations and Commitments</w:t>
      </w:r>
    </w:p>
    <w:p>
      <w:pPr>
        <w:spacing w:after="0" w:line="196" w:lineRule="exact"/>
        <w:rPr>
          <w:sz w:val="20"/>
          <w:szCs w:val="20"/>
          <w:color w:val="auto"/>
        </w:rPr>
      </w:pPr>
    </w:p>
    <w:p>
      <w:pPr>
        <w:ind w:right="260" w:firstLine="349"/>
        <w:spacing w:after="0" w:line="293" w:lineRule="auto"/>
        <w:rPr>
          <w:sz w:val="20"/>
          <w:szCs w:val="20"/>
          <w:color w:val="auto"/>
        </w:rPr>
      </w:pPr>
      <w:r>
        <w:rPr>
          <w:rFonts w:ascii="Times New Roman" w:cs="Times New Roman" w:eastAsia="Times New Roman" w:hAnsi="Times New Roman"/>
          <w:sz w:val="19"/>
          <w:szCs w:val="19"/>
          <w:color w:val="auto"/>
        </w:rPr>
        <w:t>For a discussion of our contractual obligations and commitments, refer to Part II, Item 8, Note 10, “Commitments and Contingencies” to the consolidated financial statements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Estimates</w:t>
      </w:r>
    </w:p>
    <w:p>
      <w:pPr>
        <w:spacing w:after="0" w:line="196"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auto"/>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w:t>
      </w:r>
    </w:p>
    <w:p>
      <w:pPr>
        <w:spacing w:after="0" w:line="125" w:lineRule="exact"/>
        <w:rPr>
          <w:sz w:val="20"/>
          <w:szCs w:val="20"/>
          <w:color w:val="auto"/>
        </w:rPr>
      </w:pPr>
    </w:p>
    <w:p>
      <w:pPr>
        <w:ind w:right="80" w:firstLine="349"/>
        <w:spacing w:after="0" w:line="293" w:lineRule="auto"/>
        <w:rPr>
          <w:sz w:val="20"/>
          <w:szCs w:val="20"/>
          <w:color w:val="auto"/>
        </w:rPr>
      </w:pPr>
      <w:r>
        <w:rPr>
          <w:rFonts w:ascii="Times New Roman" w:cs="Times New Roman" w:eastAsia="Times New Roman" w:hAnsi="Times New Roman"/>
          <w:sz w:val="19"/>
          <w:szCs w:val="19"/>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07"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196"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ectPr>
          <w:pgSz w:w="11880" w:h="15480" w:orient="portrait"/>
          <w:cols w:equalWidth="0" w:num="1">
            <w:col w:w="9060"/>
          </w:cols>
          <w:pgMar w:left="1400" w:top="1390"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ectPr>
          <w:pgSz w:w="11880" w:h="15480" w:orient="portrait"/>
          <w:cols w:equalWidth="0" w:num="1">
            <w:col w:w="9060"/>
          </w:cols>
          <w:pgMar w:left="1400" w:top="1390" w:right="1420" w:bottom="0" w:gutter="0" w:footer="0" w:header="0"/>
          <w:type w:val="continuous"/>
        </w:sectPr>
      </w:pPr>
    </w:p>
    <w:bookmarkStart w:id="89" w:name="page90"/>
    <w:bookmarkEnd w:id="89"/>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3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Stock Based Compensation</w:t>
      </w:r>
    </w:p>
    <w:p>
      <w:pPr>
        <w:spacing w:after="0" w:line="196" w:lineRule="exact"/>
        <w:rPr>
          <w:sz w:val="20"/>
          <w:szCs w:val="20"/>
          <w:color w:val="auto"/>
        </w:rPr>
      </w:pPr>
    </w:p>
    <w:p>
      <w:pPr>
        <w:jc w:val="both"/>
        <w:ind w:right="120" w:firstLine="349"/>
        <w:spacing w:after="0" w:line="268" w:lineRule="auto"/>
        <w:rPr>
          <w:sz w:val="20"/>
          <w:szCs w:val="20"/>
          <w:color w:val="auto"/>
        </w:rPr>
      </w:pPr>
      <w:r>
        <w:rPr>
          <w:rFonts w:ascii="Times New Roman" w:cs="Times New Roman" w:eastAsia="Times New Roman" w:hAnsi="Times New Roman"/>
          <w:sz w:val="19"/>
          <w:szCs w:val="19"/>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 Our stock-based compensation programs include shares issued under our 2021 Equity Incentive Plan and 2021 Employee Stock Purchase Plan.</w:t>
      </w:r>
    </w:p>
    <w:p>
      <w:pPr>
        <w:spacing w:after="0" w:line="131" w:lineRule="exact"/>
        <w:rPr>
          <w:sz w:val="20"/>
          <w:szCs w:val="20"/>
          <w:color w:val="auto"/>
        </w:rPr>
      </w:pPr>
    </w:p>
    <w:p>
      <w:pPr>
        <w:ind w:right="200" w:firstLine="349"/>
        <w:spacing w:after="0" w:line="263" w:lineRule="auto"/>
        <w:rPr>
          <w:sz w:val="20"/>
          <w:szCs w:val="20"/>
          <w:color w:val="auto"/>
        </w:rPr>
      </w:pPr>
      <w:r>
        <w:rPr>
          <w:rFonts w:ascii="Times New Roman" w:cs="Times New Roman" w:eastAsia="Times New Roman" w:hAnsi="Times New Roman"/>
          <w:sz w:val="19"/>
          <w:szCs w:val="19"/>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36" w:lineRule="exact"/>
        <w:rPr>
          <w:sz w:val="20"/>
          <w:szCs w:val="20"/>
          <w:color w:val="auto"/>
        </w:rPr>
      </w:pPr>
    </w:p>
    <w:p>
      <w:pPr>
        <w:ind w:right="160" w:firstLine="349"/>
        <w:spacing w:after="0" w:line="293" w:lineRule="auto"/>
        <w:rPr>
          <w:sz w:val="20"/>
          <w:szCs w:val="20"/>
          <w:color w:val="auto"/>
        </w:rPr>
      </w:pPr>
      <w:r>
        <w:rPr>
          <w:rFonts w:ascii="Times New Roman" w:cs="Times New Roman" w:eastAsia="Times New Roman" w:hAnsi="Times New Roman"/>
          <w:sz w:val="19"/>
          <w:szCs w:val="19"/>
          <w:color w:val="auto"/>
        </w:rPr>
        <w:t>The Black-Scholes option pricing model utilizes inputs which are highly subjective assumptions and generally require significant judgment. These assumptions include:</w:t>
      </w:r>
    </w:p>
    <w:p>
      <w:pPr>
        <w:spacing w:after="0" w:line="105" w:lineRule="exact"/>
        <w:rPr>
          <w:sz w:val="20"/>
          <w:szCs w:val="20"/>
          <w:color w:val="auto"/>
        </w:rPr>
      </w:pPr>
    </w:p>
    <w:p>
      <w:pPr>
        <w:ind w:left="700" w:hanging="353"/>
        <w:spacing w:after="0"/>
        <w:tabs>
          <w:tab w:leader="none" w:pos="7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Fair Value of Common Stock. </w:t>
      </w:r>
      <w:r>
        <w:rPr>
          <w:rFonts w:ascii="Times New Roman" w:cs="Times New Roman" w:eastAsia="Times New Roman" w:hAnsi="Times New Roman"/>
          <w:sz w:val="19"/>
          <w:szCs w:val="19"/>
          <w:color w:val="auto"/>
        </w:rPr>
        <w:t>See the subsection titled “Common Stock Valuations” below.</w:t>
      </w:r>
    </w:p>
    <w:p>
      <w:pPr>
        <w:spacing w:after="0" w:line="189" w:lineRule="exact"/>
        <w:rPr>
          <w:rFonts w:ascii="Times New Roman" w:cs="Times New Roman" w:eastAsia="Times New Roman" w:hAnsi="Times New Roman"/>
          <w:sz w:val="19"/>
          <w:szCs w:val="19"/>
          <w:color w:val="auto"/>
        </w:rPr>
      </w:pPr>
    </w:p>
    <w:p>
      <w:pPr>
        <w:ind w:left="700" w:hanging="353"/>
        <w:spacing w:after="0" w:line="275" w:lineRule="auto"/>
        <w:tabs>
          <w:tab w:leader="none" w:pos="7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Risk-Free Interest Rate. </w:t>
      </w:r>
      <w:r>
        <w:rPr>
          <w:rFonts w:ascii="Times New Roman" w:cs="Times New Roman" w:eastAsia="Times New Roman" w:hAnsi="Times New Roman"/>
          <w:sz w:val="19"/>
          <w:szCs w:val="19"/>
          <w:color w:val="auto"/>
        </w:rPr>
        <w:t>The risk-free interest rate is based on the U.S. Treasury yield curve in effect at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time of grant for zero-coupon U.S. Treasury notes with maturities corresponding to the expected term of the awards.</w:t>
      </w:r>
    </w:p>
    <w:p>
      <w:pPr>
        <w:spacing w:after="0" w:line="122" w:lineRule="exact"/>
        <w:rPr>
          <w:rFonts w:ascii="Times New Roman" w:cs="Times New Roman" w:eastAsia="Times New Roman" w:hAnsi="Times New Roman"/>
          <w:sz w:val="19"/>
          <w:szCs w:val="19"/>
          <w:color w:val="auto"/>
        </w:rPr>
      </w:pPr>
    </w:p>
    <w:p>
      <w:pPr>
        <w:ind w:left="700" w:right="60" w:hanging="353"/>
        <w:spacing w:after="0" w:line="263" w:lineRule="auto"/>
        <w:tabs>
          <w:tab w:leader="none" w:pos="7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Expected Volatility. </w:t>
      </w:r>
      <w:r>
        <w:rPr>
          <w:rFonts w:ascii="Times New Roman" w:cs="Times New Roman" w:eastAsia="Times New Roman" w:hAnsi="Times New Roman"/>
          <w:sz w:val="19"/>
          <w:szCs w:val="19"/>
          <w:color w:val="auto"/>
        </w:rPr>
        <w:t>Historically, we have been a private company and lacked company-specific historical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implied volatility information for our common stock. Therefore, the expected volatility of our common stock was determined by using an average of historical volatilities of selected industry peers deemed to be comparable to our business corresponding to the expected term of the awards and we expect to continue to do so until such time we have adequate historical data regarding the volatility of our traded common stock price.</w:t>
      </w:r>
    </w:p>
    <w:p>
      <w:pPr>
        <w:spacing w:after="0" w:line="135" w:lineRule="exact"/>
        <w:rPr>
          <w:rFonts w:ascii="Times New Roman" w:cs="Times New Roman" w:eastAsia="Times New Roman" w:hAnsi="Times New Roman"/>
          <w:sz w:val="19"/>
          <w:szCs w:val="19"/>
          <w:color w:val="auto"/>
        </w:rPr>
      </w:pPr>
    </w:p>
    <w:p>
      <w:pPr>
        <w:ind w:left="700" w:right="140" w:hanging="353"/>
        <w:spacing w:after="0" w:line="265" w:lineRule="auto"/>
        <w:tabs>
          <w:tab w:leader="none" w:pos="7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Expected Term. </w:t>
      </w:r>
      <w:r>
        <w:rPr>
          <w:rFonts w:ascii="Times New Roman" w:cs="Times New Roman" w:eastAsia="Times New Roman" w:hAnsi="Times New Roman"/>
          <w:sz w:val="19"/>
          <w:szCs w:val="19"/>
          <w:color w:val="auto"/>
        </w:rPr>
        <w:t>The expected term of stock options represents the weighted-average period that the stock-based awards are expected to remain outstanding. We do not have sufficient historical exercise and post-vesting termination activity to provide accurate data for estimating the expected term of options and have opted to use the “simplified method,” whereby the expected term equals the arithmetic average of the vesting term and the original contractual term of the option.</w:t>
      </w:r>
    </w:p>
    <w:p>
      <w:pPr>
        <w:spacing w:after="0" w:line="133" w:lineRule="exact"/>
        <w:rPr>
          <w:rFonts w:ascii="Times New Roman" w:cs="Times New Roman" w:eastAsia="Times New Roman" w:hAnsi="Times New Roman"/>
          <w:sz w:val="19"/>
          <w:szCs w:val="19"/>
          <w:color w:val="auto"/>
        </w:rPr>
      </w:pPr>
    </w:p>
    <w:p>
      <w:pPr>
        <w:ind w:left="700" w:right="560" w:hanging="353"/>
        <w:spacing w:after="0" w:line="295" w:lineRule="auto"/>
        <w:tabs>
          <w:tab w:leader="none" w:pos="7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Expected Dividend Yield</w:t>
      </w:r>
      <w:r>
        <w:rPr>
          <w:rFonts w:ascii="Times New Roman" w:cs="Times New Roman" w:eastAsia="Times New Roman" w:hAnsi="Times New Roman"/>
          <w:sz w:val="19"/>
          <w:szCs w:val="19"/>
          <w:color w:val="auto"/>
        </w:rPr>
        <w:t>. The expected dividend rate is zero as we have no history or expectation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declaring dividends on our common stock.</w:t>
      </w:r>
    </w:p>
    <w:p>
      <w:pPr>
        <w:spacing w:after="0" w:line="105"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ectPr>
          <w:pgSz w:w="11880" w:h="15480" w:orient="portrait"/>
          <w:cols w:equalWidth="0" w:num="1">
            <w:col w:w="9080"/>
          </w:cols>
          <w:pgMar w:left="1400" w:top="139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ectPr>
          <w:pgSz w:w="11880" w:h="15480" w:orient="portrait"/>
          <w:cols w:equalWidth="0" w:num="1">
            <w:col w:w="9080"/>
          </w:cols>
          <w:pgMar w:left="1400" w:top="1390" w:right="1400" w:bottom="0" w:gutter="0" w:footer="0" w:header="0"/>
          <w:type w:val="continuous"/>
        </w:sectPr>
      </w:pPr>
    </w:p>
    <w:bookmarkStart w:id="90" w:name="page91"/>
    <w:bookmarkEnd w:id="90"/>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Common Stock Valuations</w:t>
      </w:r>
    </w:p>
    <w:p>
      <w:pPr>
        <w:spacing w:after="0" w:line="196"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 xml:space="preserve">Prior to the closing of the Business Combination, there had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Times New Roman" w:cs="Times New Roman" w:eastAsia="Times New Roman" w:hAnsi="Times New Roman"/>
          <w:sz w:val="19"/>
          <w:szCs w:val="19"/>
          <w:b w:val="1"/>
          <w:bCs w:val="1"/>
          <w:i w:val="1"/>
          <w:iCs w:val="1"/>
          <w:color w:val="auto"/>
        </w:rPr>
        <w:t>Valuation of Privately-Held-Company Equity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Securities Issued as Compensation, </w:t>
      </w:r>
      <w:r>
        <w:rPr>
          <w:rFonts w:ascii="Times New Roman" w:cs="Times New Roman" w:eastAsia="Times New Roman" w:hAnsi="Times New Roman"/>
          <w:sz w:val="19"/>
          <w:szCs w:val="19"/>
          <w:color w:val="auto"/>
        </w:rPr>
        <w:t>and our board of directors’ assessment of additional objective and subjective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factors that it believed were relevant, and factors that may have changed from the date of the most recent valuation through the date of the grant. These factors included, but were not limited to:</w:t>
      </w:r>
    </w:p>
    <w:p>
      <w:pPr>
        <w:spacing w:after="0" w:line="141" w:lineRule="exact"/>
        <w:rPr>
          <w:sz w:val="20"/>
          <w:szCs w:val="20"/>
          <w:color w:val="auto"/>
        </w:rPr>
      </w:pPr>
    </w:p>
    <w:p>
      <w:pPr>
        <w:ind w:left="700" w:hanging="353"/>
        <w:spacing w:after="0"/>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results of operations and financial position, including our levels of available capital resources;</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stage of development and material risks related to our business;</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progress of our research and development activities;</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conditions and projections;</w:t>
      </w:r>
    </w:p>
    <w:p>
      <w:pPr>
        <w:spacing w:after="0" w:line="189" w:lineRule="exact"/>
        <w:rPr>
          <w:rFonts w:ascii="Times New Roman" w:cs="Times New Roman" w:eastAsia="Times New Roman" w:hAnsi="Times New Roman"/>
          <w:sz w:val="19"/>
          <w:szCs w:val="19"/>
          <w:color w:val="auto"/>
        </w:rPr>
      </w:pPr>
    </w:p>
    <w:p>
      <w:pPr>
        <w:ind w:left="700" w:right="40" w:hanging="353"/>
        <w:spacing w:after="0" w:line="265" w:lineRule="auto"/>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market value of stock or equity interests in similar corporations and other entities engaged in trades or businesses substantially similar to ours, the value of which could be readily determined through nondiscretionary, objective means (such as through trading prices on an established securities market or an amount paid in an arm’s length transaction), as well as recently completed mergers and acquisitions of peer companies;</w:t>
      </w:r>
    </w:p>
    <w:p>
      <w:pPr>
        <w:spacing w:after="0" w:line="133"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lack of marketability of our common stock as a private company;</w:t>
      </w:r>
    </w:p>
    <w:p>
      <w:pPr>
        <w:spacing w:after="0" w:line="189" w:lineRule="exact"/>
        <w:rPr>
          <w:rFonts w:ascii="Times New Roman" w:cs="Times New Roman" w:eastAsia="Times New Roman" w:hAnsi="Times New Roman"/>
          <w:sz w:val="19"/>
          <w:szCs w:val="19"/>
          <w:color w:val="auto"/>
        </w:rPr>
      </w:pPr>
    </w:p>
    <w:p>
      <w:pPr>
        <w:ind w:left="700" w:right="60" w:hanging="353"/>
        <w:spacing w:after="0" w:line="274" w:lineRule="auto"/>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prices at which we sold shares of our convertible preferred stock to outside investors in arms-length transactions and the terms and prices of other arm’s length transactions involving the sale or transfer of our securities;</w:t>
      </w:r>
    </w:p>
    <w:p>
      <w:pPr>
        <w:spacing w:after="0" w:line="125" w:lineRule="exact"/>
        <w:rPr>
          <w:rFonts w:ascii="Times New Roman" w:cs="Times New Roman" w:eastAsia="Times New Roman" w:hAnsi="Times New Roman"/>
          <w:sz w:val="19"/>
          <w:szCs w:val="19"/>
          <w:color w:val="auto"/>
        </w:rPr>
      </w:pPr>
    </w:p>
    <w:p>
      <w:pPr>
        <w:ind w:left="700" w:right="260" w:hanging="353"/>
        <w:spacing w:after="0" w:line="293" w:lineRule="auto"/>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preferences, and privileges of our convertible preferred stock relative to those of our common stock;</w:t>
      </w:r>
    </w:p>
    <w:p>
      <w:pPr>
        <w:spacing w:after="0" w:line="107" w:lineRule="exact"/>
        <w:rPr>
          <w:rFonts w:ascii="Times New Roman" w:cs="Times New Roman" w:eastAsia="Times New Roman" w:hAnsi="Times New Roman"/>
          <w:sz w:val="19"/>
          <w:szCs w:val="19"/>
          <w:color w:val="auto"/>
        </w:rPr>
      </w:pPr>
    </w:p>
    <w:p>
      <w:pPr>
        <w:ind w:left="700" w:right="200" w:hanging="353"/>
        <w:spacing w:after="0" w:line="293" w:lineRule="auto"/>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likelihood of achieving a liquidity event for our securityholders, such as an initial public offering or a sale of our company, given prevailing market conditions;</w:t>
      </w:r>
    </w:p>
    <w:p>
      <w:pPr>
        <w:spacing w:after="0" w:line="107"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hiring of key personnel and the experience of management;</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trends and developments in our industry;</w:t>
      </w:r>
    </w:p>
    <w:p>
      <w:pPr>
        <w:spacing w:after="0" w:line="189" w:lineRule="exact"/>
        <w:rPr>
          <w:rFonts w:ascii="Times New Roman" w:cs="Times New Roman" w:eastAsia="Times New Roman" w:hAnsi="Times New Roman"/>
          <w:sz w:val="19"/>
          <w:szCs w:val="19"/>
          <w:color w:val="auto"/>
        </w:rPr>
      </w:pPr>
    </w:p>
    <w:p>
      <w:pPr>
        <w:ind w:left="700" w:hanging="353"/>
        <w:spacing w:after="0"/>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external market conditions affecting the life sciences and biotechnology industry sectors; and</w:t>
      </w:r>
    </w:p>
    <w:p>
      <w:pPr>
        <w:spacing w:after="0" w:line="189" w:lineRule="exact"/>
        <w:rPr>
          <w:rFonts w:ascii="Times New Roman" w:cs="Times New Roman" w:eastAsia="Times New Roman" w:hAnsi="Times New Roman"/>
          <w:sz w:val="19"/>
          <w:szCs w:val="19"/>
          <w:color w:val="auto"/>
        </w:rPr>
      </w:pPr>
    </w:p>
    <w:p>
      <w:pPr>
        <w:ind w:left="700" w:right="220" w:hanging="353"/>
        <w:spacing w:after="0" w:line="293" w:lineRule="auto"/>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applicable, the implied equity value of Legacy Nautilus as contemplated by the Business Combination Agreement.</w:t>
      </w:r>
    </w:p>
    <w:p>
      <w:pPr>
        <w:spacing w:after="0" w:line="107" w:lineRule="exact"/>
        <w:rPr>
          <w:sz w:val="20"/>
          <w:szCs w:val="20"/>
          <w:color w:val="auto"/>
        </w:rPr>
      </w:pPr>
    </w:p>
    <w:p>
      <w:pPr>
        <w:ind w:firstLine="349"/>
        <w:spacing w:after="0" w:line="272" w:lineRule="auto"/>
        <w:rPr>
          <w:sz w:val="20"/>
          <w:szCs w:val="20"/>
          <w:color w:val="auto"/>
        </w:rPr>
      </w:pPr>
      <w:r>
        <w:rPr>
          <w:rFonts w:ascii="Times New Roman" w:cs="Times New Roman" w:eastAsia="Times New Roman" w:hAnsi="Times New Roman"/>
          <w:sz w:val="19"/>
          <w:szCs w:val="19"/>
          <w:color w:val="auto"/>
        </w:rPr>
        <w:t>For awards granted in late January 2021, these were granted at the grant date fair value on the date of grant. Our board of directors made a determination of the fair market value of our common stock which contemplated the implied equity value of the Legacy Nautilus per the Business Combination agreement that was executed on February 7, 2021.</w:t>
      </w:r>
    </w:p>
    <w:p>
      <w:pPr>
        <w:spacing w:after="0" w:line="364"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ectPr>
          <w:pgSz w:w="11880" w:h="15480" w:orient="portrait"/>
          <w:cols w:equalWidth="0" w:num="1">
            <w:col w:w="9060"/>
          </w:cols>
          <w:pgMar w:left="1400" w:top="1383"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ectPr>
          <w:pgSz w:w="11880" w:h="15480" w:orient="portrait"/>
          <w:cols w:equalWidth="0" w:num="1">
            <w:col w:w="9060"/>
          </w:cols>
          <w:pgMar w:left="1400" w:top="1383" w:right="1420" w:bottom="0" w:gutter="0" w:footer="0" w:header="0"/>
          <w:type w:val="continuous"/>
        </w:sectPr>
      </w:pPr>
    </w:p>
    <w:bookmarkStart w:id="91" w:name="page92"/>
    <w:bookmarkEnd w:id="91"/>
    <w:p>
      <w:pPr>
        <w:ind w:right="260" w:firstLine="349"/>
        <w:spacing w:after="0" w:line="293" w:lineRule="auto"/>
        <w:rPr>
          <w:sz w:val="20"/>
          <w:szCs w:val="20"/>
          <w:color w:val="auto"/>
        </w:rPr>
      </w:pPr>
      <w:r>
        <w:rPr>
          <w:rFonts w:ascii="Times New Roman" w:cs="Times New Roman" w:eastAsia="Times New Roman" w:hAnsi="Times New Roman"/>
          <w:sz w:val="19"/>
          <w:szCs w:val="19"/>
          <w:color w:val="auto"/>
        </w:rPr>
        <w:t>Following the closing of the Business Combination, our board of directors determine the fair market value of our common stock based on its closing price as reported on the date of grant on Nasdaq.</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Accounting Pronouncements</w:t>
      </w:r>
    </w:p>
    <w:p>
      <w:pPr>
        <w:spacing w:after="0" w:line="196"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For a description of recent accounting pronouncements, including the expected dates of adoption and estimated effects, if any, on our consolidated financial statements, see Part II, Item 8, Note 2, “Significant Accounting Policies” to the consolidated financial statements in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Emerging Growth Company Accounting Election</w:t>
      </w:r>
    </w:p>
    <w:p>
      <w:pPr>
        <w:spacing w:after="0" w:line="196"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37" w:lineRule="exact"/>
        <w:rPr>
          <w:sz w:val="20"/>
          <w:szCs w:val="20"/>
          <w:color w:val="auto"/>
        </w:rPr>
      </w:pPr>
    </w:p>
    <w:p>
      <w:pPr>
        <w:ind w:right="180" w:firstLine="349"/>
        <w:spacing w:after="0" w:line="265" w:lineRule="auto"/>
        <w:rPr>
          <w:sz w:val="20"/>
          <w:szCs w:val="20"/>
          <w:color w:val="auto"/>
        </w:rPr>
      </w:pPr>
      <w:r>
        <w:rPr>
          <w:rFonts w:ascii="Times New Roman" w:cs="Times New Roman" w:eastAsia="Times New Roman" w:hAnsi="Times New Roman"/>
          <w:sz w:val="19"/>
          <w:szCs w:val="19"/>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33"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ectPr>
          <w:pgSz w:w="11880" w:h="15480" w:orient="portrait"/>
          <w:cols w:equalWidth="0" w:num="1">
            <w:col w:w="9060"/>
          </w:cols>
          <w:pgMar w:left="1400" w:top="1390"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ectPr>
          <w:pgSz w:w="11880" w:h="15480" w:orient="portrait"/>
          <w:cols w:equalWidth="0" w:num="1">
            <w:col w:w="9060"/>
          </w:cols>
          <w:pgMar w:left="1400" w:top="1390" w:right="142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Interest Rate Risk</w:t>
      </w:r>
    </w:p>
    <w:p>
      <w:pPr>
        <w:spacing w:after="0" w:line="196" w:lineRule="exact"/>
        <w:rPr>
          <w:sz w:val="20"/>
          <w:szCs w:val="20"/>
          <w:color w:val="auto"/>
        </w:rPr>
      </w:pPr>
    </w:p>
    <w:p>
      <w:pPr>
        <w:ind w:right="140" w:firstLine="349"/>
        <w:spacing w:after="0" w:line="262" w:lineRule="auto"/>
        <w:rPr>
          <w:sz w:val="20"/>
          <w:szCs w:val="20"/>
          <w:color w:val="auto"/>
        </w:rPr>
      </w:pPr>
      <w:r>
        <w:rPr>
          <w:rFonts w:ascii="Times New Roman" w:cs="Times New Roman" w:eastAsia="Times New Roman" w:hAnsi="Times New Roman"/>
          <w:sz w:val="19"/>
          <w:szCs w:val="19"/>
          <w:color w:val="auto"/>
        </w:rPr>
        <w:t>We had cash, cash equivalents and investments of $313.6 million as of December 31, 2022.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December 31, 2022, the effect of a hypothetical 1.00% (100 basis point) change in interest rates would have changed the fair value of our marketable securities by $2.4 million. Such change would only be realized if we sold the marketable securities prior to maturity.</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Inflation Risk</w:t>
      </w:r>
    </w:p>
    <w:p>
      <w:pPr>
        <w:spacing w:after="0" w:line="19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ectPr>
          <w:pgSz w:w="11880" w:h="15480" w:orient="portrait"/>
          <w:cols w:equalWidth="0" w:num="1">
            <w:col w:w="9940"/>
          </w:cols>
          <w:pgMar w:left="960" w:top="81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ectPr>
          <w:pgSz w:w="11880" w:h="15480" w:orient="portrait"/>
          <w:cols w:equalWidth="0" w:num="1">
            <w:col w:w="9940"/>
          </w:cols>
          <w:pgMar w:left="960" w:top="815" w:right="98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18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b w:val="1"/>
          <w:bCs w:val="1"/>
          <w:color w:val="auto"/>
        </w:rPr>
        <w:t>INDEX TO CONSOLIDATED FINANCIAL STATEMENTS</w:t>
      </w:r>
    </w:p>
    <w:p>
      <w:pPr>
        <w:spacing w:after="0" w:line="293"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149" w:lineRule="exact"/>
        <w:rPr>
          <w:sz w:val="20"/>
          <w:szCs w:val="20"/>
          <w:color w:val="auto"/>
        </w:rPr>
      </w:pPr>
    </w:p>
    <w:p>
      <w:pPr>
        <w:ind w:left="60"/>
        <w:spacing w:after="0"/>
        <w:tabs>
          <w:tab w:leader="dot" w:pos="8680" w:val="left"/>
        </w:tabs>
        <w:rPr>
          <w:sz w:val="20"/>
          <w:szCs w:val="20"/>
          <w:color w:val="auto"/>
        </w:rPr>
      </w:pPr>
      <w:r>
        <w:rPr>
          <w:rFonts w:ascii="Times New Roman" w:cs="Times New Roman" w:eastAsia="Times New Roman" w:hAnsi="Times New Roman"/>
          <w:sz w:val="19"/>
          <w:szCs w:val="19"/>
          <w:u w:val="single" w:color="auto"/>
          <w:color w:val="4A4A4A"/>
        </w:rPr>
        <w:t>Report of Independent Registered Public Accounting Firm (PCAOB ID</w:t>
      </w:r>
      <w:r>
        <w:rPr>
          <w:rFonts w:ascii="Times New Roman" w:cs="Times New Roman" w:eastAsia="Times New Roman" w:hAnsi="Times New Roman"/>
          <w:sz w:val="19"/>
          <w:szCs w:val="19"/>
          <w:color w:val="4A4A4A"/>
        </w:rPr>
        <w:t xml:space="preserve"> </w:t>
      </w:r>
      <w:r>
        <w:rPr>
          <w:rFonts w:ascii="Times New Roman" w:cs="Times New Roman" w:eastAsia="Times New Roman" w:hAnsi="Times New Roman"/>
          <w:sz w:val="19"/>
          <w:szCs w:val="19"/>
          <w:u w:val="single" w:color="auto"/>
          <w:color w:val="4B4B4B"/>
        </w:rPr>
        <w:t>238</w:t>
      </w:r>
      <w:r>
        <w:rPr>
          <w:rFonts w:ascii="Times New Roman" w:cs="Times New Roman" w:eastAsia="Times New Roman" w:hAnsi="Times New Roman"/>
          <w:sz w:val="19"/>
          <w:szCs w:val="19"/>
          <w:u w:val="single" w:color="auto"/>
          <w:color w:val="5B5B5B"/>
        </w:rPr>
        <w:t>)</w:t>
      </w:r>
      <w:r>
        <w:rPr>
          <w:sz w:val="20"/>
          <w:szCs w:val="20"/>
          <w:color w:val="auto"/>
        </w:rPr>
        <w:tab/>
      </w:r>
      <w:r>
        <w:rPr>
          <w:rFonts w:ascii="Times New Roman" w:cs="Times New Roman" w:eastAsia="Times New Roman" w:hAnsi="Times New Roman"/>
          <w:sz w:val="19"/>
          <w:szCs w:val="19"/>
          <w:u w:val="single" w:color="auto"/>
          <w:color w:val="4A4A4A"/>
        </w:rPr>
        <w:t>92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3562985</wp:posOffset>
                </wp:positionH>
                <wp:positionV relativeFrom="paragraph">
                  <wp:posOffset>-1270</wp:posOffset>
                </wp:positionV>
                <wp:extent cx="3111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115" cy="4763"/>
                        </a:xfrm>
                        <a:prstGeom prst="line">
                          <a:avLst/>
                        </a:prstGeom>
                        <a:solidFill>
                          <a:srgbClr val="FFFFFF"/>
                        </a:solidFill>
                        <a:ln w="6163">
                          <a:solidFill>
                            <a:srgbClr val="5B5B5B"/>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55pt,-0.0999pt" to="283pt,-0.0999pt" o:allowincell="f" strokecolor="#5B5B5B" strokeweight="0.4853pt"/>
            </w:pict>
          </mc:Fallback>
        </mc:AlternateContent>
      </w:r>
    </w:p>
    <w:p>
      <w:pPr>
        <w:spacing w:after="0" w:line="125" w:lineRule="exact"/>
        <w:rPr>
          <w:sz w:val="20"/>
          <w:szCs w:val="20"/>
          <w:color w:val="auto"/>
        </w:rPr>
      </w:pPr>
    </w:p>
    <w:p>
      <w:pPr>
        <w:ind w:left="60"/>
        <w:spacing w:after="0"/>
        <w:tabs>
          <w:tab w:leader="dot" w:pos="8680" w:val="left"/>
        </w:tabs>
        <w:rPr>
          <w:sz w:val="20"/>
          <w:szCs w:val="20"/>
          <w:color w:val="auto"/>
        </w:rPr>
      </w:pPr>
      <w:r>
        <w:rPr>
          <w:rFonts w:ascii="Times New Roman" w:cs="Times New Roman" w:eastAsia="Times New Roman" w:hAnsi="Times New Roman"/>
          <w:sz w:val="19"/>
          <w:szCs w:val="19"/>
          <w:u w:val="single" w:color="auto"/>
          <w:color w:val="4A4A4A"/>
        </w:rPr>
        <w:t>Consolidated Balance Sheets</w:t>
      </w:r>
      <w:r>
        <w:rPr>
          <w:sz w:val="20"/>
          <w:szCs w:val="20"/>
          <w:color w:val="auto"/>
        </w:rPr>
        <w:tab/>
      </w:r>
      <w:r>
        <w:rPr>
          <w:rFonts w:ascii="Times New Roman" w:cs="Times New Roman" w:eastAsia="Times New Roman" w:hAnsi="Times New Roman"/>
          <w:sz w:val="19"/>
          <w:szCs w:val="19"/>
          <w:u w:val="single" w:color="auto"/>
          <w:color w:val="4A4A4A"/>
        </w:rPr>
        <w:t>93</w:t>
      </w:r>
    </w:p>
    <w:p>
      <w:pPr>
        <w:spacing w:after="0" w:line="145" w:lineRule="exact"/>
        <w:rPr>
          <w:sz w:val="20"/>
          <w:szCs w:val="20"/>
          <w:color w:val="auto"/>
        </w:rPr>
      </w:pPr>
    </w:p>
    <w:p>
      <w:pPr>
        <w:ind w:left="60"/>
        <w:spacing w:after="0"/>
        <w:tabs>
          <w:tab w:leader="dot" w:pos="8680" w:val="left"/>
        </w:tabs>
        <w:rPr>
          <w:sz w:val="20"/>
          <w:szCs w:val="20"/>
          <w:color w:val="auto"/>
        </w:rPr>
      </w:pPr>
      <w:r>
        <w:rPr>
          <w:rFonts w:ascii="Times New Roman" w:cs="Times New Roman" w:eastAsia="Times New Roman" w:hAnsi="Times New Roman"/>
          <w:sz w:val="19"/>
          <w:szCs w:val="19"/>
          <w:u w:val="single" w:color="auto"/>
          <w:color w:val="4A4A4A"/>
        </w:rPr>
        <w:t>Consolidated Statements of Operations</w:t>
      </w:r>
      <w:r>
        <w:rPr>
          <w:sz w:val="20"/>
          <w:szCs w:val="20"/>
          <w:color w:val="auto"/>
        </w:rPr>
        <w:tab/>
      </w:r>
      <w:r>
        <w:rPr>
          <w:rFonts w:ascii="Times New Roman" w:cs="Times New Roman" w:eastAsia="Times New Roman" w:hAnsi="Times New Roman"/>
          <w:sz w:val="19"/>
          <w:szCs w:val="19"/>
          <w:u w:val="single" w:color="auto"/>
          <w:color w:val="4A4A4A"/>
        </w:rPr>
        <w:t>94</w:t>
      </w:r>
    </w:p>
    <w:p>
      <w:pPr>
        <w:spacing w:after="0" w:line="145" w:lineRule="exact"/>
        <w:rPr>
          <w:sz w:val="20"/>
          <w:szCs w:val="20"/>
          <w:color w:val="auto"/>
        </w:rPr>
      </w:pPr>
    </w:p>
    <w:p>
      <w:pPr>
        <w:ind w:left="60"/>
        <w:spacing w:after="0"/>
        <w:tabs>
          <w:tab w:leader="dot" w:pos="8680" w:val="left"/>
        </w:tabs>
        <w:rPr>
          <w:sz w:val="20"/>
          <w:szCs w:val="20"/>
          <w:color w:val="auto"/>
        </w:rPr>
      </w:pPr>
      <w:r>
        <w:rPr>
          <w:rFonts w:ascii="Times New Roman" w:cs="Times New Roman" w:eastAsia="Times New Roman" w:hAnsi="Times New Roman"/>
          <w:sz w:val="19"/>
          <w:szCs w:val="19"/>
          <w:u w:val="single" w:color="auto"/>
          <w:color w:val="4A4A4A"/>
        </w:rPr>
        <w:t>Consolidated Statements of Comprehensive Loss</w:t>
      </w:r>
      <w:r>
        <w:rPr>
          <w:sz w:val="20"/>
          <w:szCs w:val="20"/>
          <w:color w:val="auto"/>
        </w:rPr>
        <w:tab/>
      </w:r>
      <w:r>
        <w:rPr>
          <w:rFonts w:ascii="Times New Roman" w:cs="Times New Roman" w:eastAsia="Times New Roman" w:hAnsi="Times New Roman"/>
          <w:sz w:val="19"/>
          <w:szCs w:val="19"/>
          <w:u w:val="single" w:color="auto"/>
          <w:color w:val="4A4A4A"/>
        </w:rPr>
        <w:t>95</w:t>
      </w:r>
    </w:p>
    <w:p>
      <w:pPr>
        <w:spacing w:after="0" w:line="145" w:lineRule="exact"/>
        <w:rPr>
          <w:sz w:val="20"/>
          <w:szCs w:val="20"/>
          <w:color w:val="auto"/>
        </w:rPr>
      </w:pPr>
    </w:p>
    <w:p>
      <w:pPr>
        <w:ind w:left="60"/>
        <w:spacing w:after="0"/>
        <w:tabs>
          <w:tab w:leader="dot" w:pos="8680" w:val="left"/>
        </w:tabs>
        <w:rPr>
          <w:sz w:val="20"/>
          <w:szCs w:val="20"/>
          <w:color w:val="auto"/>
        </w:rPr>
      </w:pPr>
      <w:r>
        <w:rPr>
          <w:rFonts w:ascii="Times New Roman" w:cs="Times New Roman" w:eastAsia="Times New Roman" w:hAnsi="Times New Roman"/>
          <w:sz w:val="19"/>
          <w:szCs w:val="19"/>
          <w:u w:val="single" w:color="auto"/>
          <w:color w:val="4A4A4A"/>
        </w:rPr>
        <w:t>Consolidated Statements of Redeemable Convertible Preferred Stock and Stockholders’ Equity (Deficit)</w:t>
      </w:r>
      <w:r>
        <w:rPr>
          <w:sz w:val="20"/>
          <w:szCs w:val="20"/>
          <w:color w:val="auto"/>
        </w:rPr>
        <w:tab/>
      </w:r>
      <w:r>
        <w:rPr>
          <w:rFonts w:ascii="Times New Roman" w:cs="Times New Roman" w:eastAsia="Times New Roman" w:hAnsi="Times New Roman"/>
          <w:sz w:val="19"/>
          <w:szCs w:val="19"/>
          <w:u w:val="single" w:color="auto"/>
          <w:color w:val="4A4A4A"/>
        </w:rPr>
        <w:t>96</w:t>
      </w:r>
    </w:p>
    <w:p>
      <w:pPr>
        <w:spacing w:after="0" w:line="145" w:lineRule="exact"/>
        <w:rPr>
          <w:sz w:val="20"/>
          <w:szCs w:val="20"/>
          <w:color w:val="auto"/>
        </w:rPr>
      </w:pPr>
    </w:p>
    <w:p>
      <w:pPr>
        <w:ind w:left="60"/>
        <w:spacing w:after="0"/>
        <w:tabs>
          <w:tab w:leader="dot" w:pos="8680" w:val="left"/>
        </w:tabs>
        <w:rPr>
          <w:sz w:val="20"/>
          <w:szCs w:val="20"/>
          <w:color w:val="auto"/>
        </w:rPr>
      </w:pPr>
      <w:r>
        <w:rPr>
          <w:rFonts w:ascii="Times New Roman" w:cs="Times New Roman" w:eastAsia="Times New Roman" w:hAnsi="Times New Roman"/>
          <w:sz w:val="19"/>
          <w:szCs w:val="19"/>
          <w:u w:val="single" w:color="auto"/>
          <w:color w:val="4A4A4A"/>
        </w:rPr>
        <w:t>Consolidated Statements of Cash Flows</w:t>
      </w:r>
      <w:r>
        <w:rPr>
          <w:sz w:val="20"/>
          <w:szCs w:val="20"/>
          <w:color w:val="auto"/>
        </w:rPr>
        <w:tab/>
      </w:r>
      <w:r>
        <w:rPr>
          <w:rFonts w:ascii="Times New Roman" w:cs="Times New Roman" w:eastAsia="Times New Roman" w:hAnsi="Times New Roman"/>
          <w:sz w:val="19"/>
          <w:szCs w:val="19"/>
          <w:u w:val="single" w:color="auto"/>
          <w:color w:val="4A4A4A"/>
        </w:rPr>
        <w:t>97</w:t>
      </w:r>
    </w:p>
    <w:p>
      <w:pPr>
        <w:spacing w:after="0" w:line="145" w:lineRule="exact"/>
        <w:rPr>
          <w:sz w:val="20"/>
          <w:szCs w:val="20"/>
          <w:color w:val="auto"/>
        </w:rPr>
      </w:pPr>
    </w:p>
    <w:p>
      <w:pPr>
        <w:ind w:left="60"/>
        <w:spacing w:after="0"/>
        <w:tabs>
          <w:tab w:leader="dot" w:pos="8680" w:val="left"/>
        </w:tabs>
        <w:rPr>
          <w:sz w:val="20"/>
          <w:szCs w:val="20"/>
          <w:color w:val="auto"/>
        </w:rPr>
      </w:pPr>
      <w:r>
        <w:rPr>
          <w:rFonts w:ascii="Times New Roman" w:cs="Times New Roman" w:eastAsia="Times New Roman" w:hAnsi="Times New Roman"/>
          <w:sz w:val="19"/>
          <w:szCs w:val="19"/>
          <w:u w:val="single" w:color="auto"/>
          <w:color w:val="4A4A4A"/>
        </w:rPr>
        <w:t>Notes to Consolidated Financial Statements</w:t>
      </w:r>
      <w:r>
        <w:rPr>
          <w:sz w:val="20"/>
          <w:szCs w:val="20"/>
          <w:color w:val="auto"/>
        </w:rPr>
        <w:tab/>
      </w:r>
      <w:r>
        <w:rPr>
          <w:rFonts w:ascii="Times New Roman" w:cs="Times New Roman" w:eastAsia="Times New Roman" w:hAnsi="Times New Roman"/>
          <w:sz w:val="19"/>
          <w:szCs w:val="19"/>
          <w:u w:val="single" w:color="auto"/>
          <w:color w:val="4A4A4A"/>
        </w:rPr>
        <w:t>98</w:t>
      </w:r>
    </w:p>
    <w:p>
      <w:pPr>
        <w:sectPr>
          <w:pgSz w:w="11880" w:h="15480" w:orient="portrait"/>
          <w:cols w:equalWidth="0" w:num="1">
            <w:col w:w="9480"/>
          </w:cols>
          <w:pgMar w:left="960" w:top="8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91</w:t>
      </w:r>
    </w:p>
    <w:p>
      <w:pPr>
        <w:sectPr>
          <w:pgSz w:w="11880" w:h="15480" w:orient="portrait"/>
          <w:cols w:equalWidth="0" w:num="1">
            <w:col w:w="9480"/>
          </w:cols>
          <w:pgMar w:left="960" w:top="815" w:right="1440" w:bottom="0" w:gutter="0" w:footer="0" w:header="0"/>
          <w:type w:val="continuous"/>
        </w:sectPr>
      </w:pPr>
    </w:p>
    <w:bookmarkStart w:id="94" w:name="page95"/>
    <w:bookmarkEnd w:id="94"/>
    <w:p>
      <w:pPr>
        <w:ind w:right="2080" w:firstLine="2113"/>
        <w:spacing w:after="0" w:line="450"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Board of Directors and Stockholders of Nautilus Biotechnology, Inc. </w:t>
      </w:r>
      <w:r>
        <w:rPr>
          <w:rFonts w:ascii="Times New Roman" w:cs="Times New Roman" w:eastAsia="Times New Roman" w:hAnsi="Times New Roman"/>
          <w:sz w:val="19"/>
          <w:szCs w:val="19"/>
          <w:b w:val="1"/>
          <w:bCs w:val="1"/>
          <w:i w:val="1"/>
          <w:iCs w:val="1"/>
          <w:color w:val="auto"/>
        </w:rPr>
        <w:t>Opinion on the Financial Statements</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Nautilus Biotechnology, Inc. and its subsidiary (the “Company”) as of December 31, 2022 and 2021, and the related consolidated statements of operations, of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w:t>
      </w:r>
    </w:p>
    <w:p>
      <w:pPr>
        <w:spacing w:after="0" w:line="19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Seattle, Washington</w:t>
      </w:r>
    </w:p>
    <w:p>
      <w:pPr>
        <w:spacing w:after="0"/>
        <w:rPr>
          <w:sz w:val="20"/>
          <w:szCs w:val="20"/>
          <w:color w:val="auto"/>
        </w:rPr>
      </w:pPr>
      <w:r>
        <w:rPr>
          <w:rFonts w:ascii="Times New Roman" w:cs="Times New Roman" w:eastAsia="Times New Roman" w:hAnsi="Times New Roman"/>
          <w:sz w:val="19"/>
          <w:szCs w:val="19"/>
          <w:color w:val="auto"/>
        </w:rPr>
        <w:t>February 23,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2020.</w:t>
      </w:r>
    </w:p>
    <w:p>
      <w:pPr>
        <w:sectPr>
          <w:pgSz w:w="11880" w:h="15480" w:orient="portrait"/>
          <w:cols w:equalWidth="0" w:num="1">
            <w:col w:w="9040"/>
          </w:cols>
          <w:pgMar w:left="1400" w:top="138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92</w:t>
      </w:r>
    </w:p>
    <w:p>
      <w:pPr>
        <w:sectPr>
          <w:pgSz w:w="11880" w:h="15480" w:orient="portrait"/>
          <w:cols w:equalWidth="0" w:num="1">
            <w:col w:w="9040"/>
          </w:cols>
          <w:pgMar w:left="1400" w:top="1383" w:right="144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Balance Sheets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At December 31, 2022 and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15240</wp:posOffset>
                </wp:positionV>
                <wp:extent cx="576834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1.2pt" to="452.1pt,1.2pt" o:allowincell="f" strokecolor="#000000" strokeweight="1pt"/>
            </w:pict>
          </mc:Fallback>
        </mc:AlternateConten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amounts)</w:t>
            </w:r>
          </w:p>
        </w:tc>
        <w:tc>
          <w:tcPr>
            <w:tcW w:w="160" w:type="dxa"/>
            <w:vAlign w:val="bottom"/>
          </w:tcPr>
          <w:p>
            <w:pPr>
              <w:spacing w:after="0"/>
              <w:rPr>
                <w:sz w:val="16"/>
                <w:szCs w:val="16"/>
                <w:color w:val="auto"/>
              </w:rPr>
            </w:pPr>
          </w:p>
        </w:tc>
        <w:tc>
          <w:tcPr>
            <w:tcW w:w="110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181"/>
        </w:trPr>
        <w:tc>
          <w:tcPr>
            <w:tcW w:w="6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85"/>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85"/>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Current 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 xml:space="preserve">Cash and cash equivalents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114,523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185,619</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 xml:space="preserve">Short-term investments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69,948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160,110</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Prepaid expenses and other current assets</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2,738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3,493</w:t>
            </w:r>
          </w:p>
        </w:tc>
        <w:tc>
          <w:tcPr>
            <w:tcW w:w="0" w:type="dxa"/>
            <w:vAlign w:val="bottom"/>
          </w:tcPr>
          <w:p>
            <w:pPr>
              <w:spacing w:after="0"/>
              <w:rPr>
                <w:sz w:val="1"/>
                <w:szCs w:val="1"/>
                <w:color w:val="auto"/>
              </w:rPr>
            </w:pPr>
          </w:p>
        </w:tc>
      </w:tr>
      <w:tr>
        <w:trPr>
          <w:trHeight w:val="254"/>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Total current assets </w:t>
            </w:r>
            <w:r>
              <w:rPr>
                <w:rFonts w:ascii="Times New Roman" w:cs="Times New Roman" w:eastAsia="Times New Roman" w:hAnsi="Times New Roman"/>
                <w:sz w:val="19"/>
                <w:szCs w:val="19"/>
                <w:color w:val="B4B4B4"/>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187,209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349,222</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2,483</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28,866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29,377</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Long-term investments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129,169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16,371</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Other long-term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997</w:t>
            </w:r>
          </w:p>
        </w:tc>
        <w:tc>
          <w:tcPr>
            <w:tcW w:w="0" w:type="dxa"/>
            <w:vAlign w:val="bottom"/>
          </w:tcPr>
          <w:p>
            <w:pPr>
              <w:spacing w:after="0"/>
              <w:rPr>
                <w:sz w:val="1"/>
                <w:szCs w:val="1"/>
                <w:color w:val="auto"/>
              </w:rPr>
            </w:pPr>
          </w:p>
        </w:tc>
      </w:tr>
      <w:tr>
        <w:trPr>
          <w:trHeight w:val="25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350,052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398,450</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Liabilities and Stockholders’ Equity</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Current liabilities: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1,723</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Accrued expenses and other liabilities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3,119</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Current portion of operating lease liability</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1,991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970</w:t>
            </w:r>
          </w:p>
        </w:tc>
        <w:tc>
          <w:tcPr>
            <w:tcW w:w="0" w:type="dxa"/>
            <w:vAlign w:val="bottom"/>
          </w:tcPr>
          <w:p>
            <w:pPr>
              <w:spacing w:after="0"/>
              <w:rPr>
                <w:sz w:val="1"/>
                <w:szCs w:val="1"/>
                <w:color w:val="auto"/>
              </w:rPr>
            </w:pPr>
          </w:p>
        </w:tc>
      </w:tr>
      <w:tr>
        <w:trPr>
          <w:trHeight w:val="254"/>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current liabilities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6,791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5,812</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 xml:space="preserve">Operating lease liability, net of current portion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28,337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29,062</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Total liabilities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35,128</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34,874</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Commitments and contingencies (Note 10)</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6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Stockholders’ equity:</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46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Preferred stock, $0.0001 par value, 200,000,000 authorized as of December 31,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460" w:type="dxa"/>
            <w:vAlign w:val="bottom"/>
          </w:tcPr>
          <w:p>
            <w:pPr>
              <w:ind w:left="180"/>
              <w:spacing w:after="0" w:line="194" w:lineRule="exact"/>
              <w:rPr>
                <w:sz w:val="20"/>
                <w:szCs w:val="20"/>
                <w:color w:val="auto"/>
              </w:rPr>
            </w:pPr>
            <w:r>
              <w:rPr>
                <w:rFonts w:ascii="Times New Roman" w:cs="Times New Roman" w:eastAsia="Times New Roman" w:hAnsi="Times New Roman"/>
                <w:sz w:val="19"/>
                <w:szCs w:val="19"/>
                <w:color w:val="auto"/>
              </w:rPr>
              <w:t>2022 and December 31, 2021, respectively; 0 shares issued and outstanding as</w:t>
            </w: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7"/>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 xml:space="preserve">of December 31, 2022 and December 31, 2021, respectively </w:t>
            </w:r>
            <w:r>
              <w:rPr>
                <w:rFonts w:ascii="Times New Roman" w:cs="Times New Roman" w:eastAsia="Times New Roman" w:hAnsi="Times New Roman"/>
                <w:sz w:val="19"/>
                <w:szCs w:val="19"/>
                <w:color w:val="B4B4B4"/>
              </w:rPr>
              <w:t>...............................</w:t>
            </w: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46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Common stock, $0.0001 par value, 1,000,000,000 shares authorized as of</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60" w:type="dxa"/>
            <w:vAlign w:val="bottom"/>
          </w:tcPr>
          <w:p>
            <w:pPr>
              <w:ind w:left="180"/>
              <w:spacing w:after="0" w:line="194" w:lineRule="exact"/>
              <w:rPr>
                <w:sz w:val="20"/>
                <w:szCs w:val="20"/>
                <w:color w:val="auto"/>
              </w:rPr>
            </w:pPr>
            <w:r>
              <w:rPr>
                <w:rFonts w:ascii="Times New Roman" w:cs="Times New Roman" w:eastAsia="Times New Roman" w:hAnsi="Times New Roman"/>
                <w:sz w:val="19"/>
                <w:szCs w:val="19"/>
                <w:color w:val="auto"/>
              </w:rPr>
              <w:t>December 31, 2022 and 2021, respectively; 124,865,485 and 124,303,083</w:t>
            </w: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253"/>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 xml:space="preserve">shares issued and outstanding as of December 31, 2022 and 2021, respectively </w:t>
            </w:r>
            <w:r>
              <w:rPr>
                <w:rFonts w:ascii="Times New Roman" w:cs="Times New Roman" w:eastAsia="Times New Roman" w:hAnsi="Times New Roman"/>
                <w:sz w:val="19"/>
                <w:szCs w:val="19"/>
                <w:color w:val="B4B4B4"/>
              </w:rPr>
              <w:t>..</w:t>
            </w: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 xml:space="preserve">Additional paid-in capital </w:t>
            </w:r>
            <w:r>
              <w:rPr>
                <w:rFonts w:ascii="Times New Roman" w:cs="Times New Roman" w:eastAsia="Times New Roman" w:hAnsi="Times New Roman"/>
                <w:sz w:val="19"/>
                <w:szCs w:val="19"/>
                <w:color w:val="B4B4B4"/>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455,330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444,388</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 xml:space="preserve">Accumulated other comprehensive loss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 xml:space="preserve">Accumulated deficit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(138,564)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(80,640)</w:t>
            </w:r>
          </w:p>
        </w:tc>
        <w:tc>
          <w:tcPr>
            <w:tcW w:w="0" w:type="dxa"/>
            <w:vAlign w:val="bottom"/>
          </w:tcPr>
          <w:p>
            <w:pPr>
              <w:spacing w:after="0"/>
              <w:rPr>
                <w:sz w:val="1"/>
                <w:szCs w:val="1"/>
                <w:color w:val="auto"/>
              </w:rPr>
            </w:pPr>
          </w:p>
        </w:tc>
      </w:tr>
      <w:tr>
        <w:trPr>
          <w:trHeight w:val="25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Total stockholders’ equity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314,924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363,576</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Total liabilities and stockholders’ equity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350,052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398,450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-5725795</wp:posOffset>
            </wp:positionV>
            <wp:extent cx="5794375" cy="5732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5794375" cy="5732780"/>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93</w:t>
      </w:r>
    </w:p>
    <w:p>
      <w:pPr>
        <w:sectPr>
          <w:pgSz w:w="11880" w:h="15480" w:orient="portrait"/>
          <w:cols w:equalWidth="0" w:num="1">
            <w:col w:w="9040"/>
          </w:cols>
          <w:pgMar w:left="1440" w:top="298" w:right="140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Statements of Operations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8890</wp:posOffset>
            </wp:positionV>
            <wp:extent cx="5794375" cy="2592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5794375" cy="259207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amounts)</w:t>
            </w:r>
          </w:p>
        </w:tc>
        <w:tc>
          <w:tcPr>
            <w:tcW w:w="160" w:type="dxa"/>
            <w:vAlign w:val="bottom"/>
          </w:tcPr>
          <w:p>
            <w:pPr>
              <w:spacing w:after="0"/>
              <w:rPr>
                <w:sz w:val="13"/>
                <w:szCs w:val="13"/>
                <w:color w:val="auto"/>
              </w:rPr>
            </w:pPr>
          </w:p>
        </w:tc>
        <w:tc>
          <w:tcPr>
            <w:tcW w:w="112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8"/>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Research and development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37,672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29,352</w:t>
            </w:r>
          </w:p>
        </w:tc>
        <w:tc>
          <w:tcPr>
            <w:tcW w:w="0" w:type="dxa"/>
            <w:vAlign w:val="bottom"/>
          </w:tcPr>
          <w:p>
            <w:pPr>
              <w:spacing w:after="0"/>
              <w:rPr>
                <w:sz w:val="1"/>
                <w:szCs w:val="1"/>
                <w:color w:val="auto"/>
              </w:rPr>
            </w:pPr>
          </w:p>
        </w:tc>
      </w:tr>
      <w:tr>
        <w:trPr>
          <w:trHeight w:val="279"/>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General and administrative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25,946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21,146</w:t>
            </w:r>
          </w:p>
        </w:tc>
        <w:tc>
          <w:tcPr>
            <w:tcW w:w="0" w:type="dxa"/>
            <w:vAlign w:val="bottom"/>
          </w:tcPr>
          <w:p>
            <w:pPr>
              <w:spacing w:after="0"/>
              <w:rPr>
                <w:sz w:val="1"/>
                <w:szCs w:val="1"/>
                <w:color w:val="auto"/>
              </w:rPr>
            </w:pPr>
          </w:p>
        </w:tc>
      </w:tr>
      <w:tr>
        <w:trPr>
          <w:trHeight w:val="254"/>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operating expenses </w:t>
            </w:r>
            <w:r>
              <w:rPr>
                <w:rFonts w:ascii="Times New Roman" w:cs="Times New Roman" w:eastAsia="Times New Roman" w:hAnsi="Times New Roman"/>
                <w:sz w:val="19"/>
                <w:szCs w:val="19"/>
                <w:color w:val="B4B4B4"/>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63,618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50,498</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income (expense):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Interest income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329</w:t>
            </w:r>
          </w:p>
        </w:tc>
        <w:tc>
          <w:tcPr>
            <w:tcW w:w="0" w:type="dxa"/>
            <w:vAlign w:val="bottom"/>
          </w:tcPr>
          <w:p>
            <w:pPr>
              <w:spacing w:after="0"/>
              <w:rPr>
                <w:sz w:val="1"/>
                <w:szCs w:val="1"/>
                <w:color w:val="auto"/>
              </w:rPr>
            </w:pPr>
          </w:p>
        </w:tc>
      </w:tr>
      <w:tr>
        <w:trPr>
          <w:trHeight w:val="279"/>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expense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(146)</w:t>
            </w:r>
          </w:p>
        </w:tc>
        <w:tc>
          <w:tcPr>
            <w:tcW w:w="0" w:type="dxa"/>
            <w:vAlign w:val="bottom"/>
          </w:tcPr>
          <w:p>
            <w:pPr>
              <w:spacing w:after="0"/>
              <w:rPr>
                <w:sz w:val="1"/>
                <w:szCs w:val="1"/>
                <w:color w:val="auto"/>
              </w:rPr>
            </w:pPr>
          </w:p>
        </w:tc>
      </w:tr>
      <w:tr>
        <w:trPr>
          <w:trHeight w:val="25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other income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5,694</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w:t>
            </w:r>
          </w:p>
        </w:tc>
        <w:tc>
          <w:tcPr>
            <w:tcW w:w="0" w:type="dxa"/>
            <w:vAlign w:val="bottom"/>
          </w:tcPr>
          <w:p>
            <w:pPr>
              <w:spacing w:after="0"/>
              <w:rPr>
                <w:sz w:val="1"/>
                <w:szCs w:val="1"/>
                <w:color w:val="auto"/>
              </w:rPr>
            </w:pPr>
          </w:p>
        </w:tc>
      </w:tr>
      <w:tr>
        <w:trPr>
          <w:trHeight w:val="23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 loss</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(57,924)</w:t>
            </w: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(50,315)</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loss per share attributable to common stockholders, basic and diluted</w:t>
            </w: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jc w:val="right"/>
              <w:spacing w:after="0" w:line="175" w:lineRule="exact"/>
              <w:rPr>
                <w:sz w:val="20"/>
                <w:szCs w:val="20"/>
                <w:color w:val="auto"/>
              </w:rPr>
            </w:pPr>
            <w:r>
              <w:rPr>
                <w:rFonts w:ascii="Times New Roman" w:cs="Times New Roman" w:eastAsia="Times New Roman" w:hAnsi="Times New Roman"/>
                <w:sz w:val="19"/>
                <w:szCs w:val="19"/>
                <w:color w:val="B4B4B4"/>
              </w:rPr>
              <w:t>..............</w:t>
            </w:r>
          </w:p>
        </w:tc>
        <w:tc>
          <w:tcPr>
            <w:tcW w:w="1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(0.46)</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(0.60)</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line="196" w:lineRule="exact"/>
              <w:rPr>
                <w:sz w:val="20"/>
                <w:szCs w:val="20"/>
                <w:color w:val="auto"/>
              </w:rPr>
            </w:pPr>
            <w:r>
              <w:rPr>
                <w:rFonts w:ascii="Times New Roman" w:cs="Times New Roman" w:eastAsia="Times New Roman" w:hAnsi="Times New Roman"/>
                <w:sz w:val="19"/>
                <w:szCs w:val="19"/>
                <w:color w:val="auto"/>
              </w:rPr>
              <w:t>Weighted-average shares used in computing net loss per share attributable to</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124,589,555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84,464,081</w:t>
            </w:r>
          </w:p>
        </w:tc>
        <w:tc>
          <w:tcPr>
            <w:tcW w:w="0" w:type="dxa"/>
            <w:vAlign w:val="bottom"/>
          </w:tcPr>
          <w:p>
            <w:pPr>
              <w:spacing w:after="0"/>
              <w:rPr>
                <w:sz w:val="1"/>
                <w:szCs w:val="1"/>
                <w:color w:val="auto"/>
              </w:rPr>
            </w:pPr>
          </w:p>
        </w:tc>
      </w:tr>
      <w:tr>
        <w:trPr>
          <w:trHeight w:val="236"/>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common stockholders, basic and diluted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94</w:t>
      </w:r>
    </w:p>
    <w:p>
      <w:pPr>
        <w:sectPr>
          <w:pgSz w:w="11880" w:h="15480" w:orient="portrait"/>
          <w:cols w:equalWidth="0" w:num="1">
            <w:col w:w="9040"/>
          </w:cols>
          <w:pgMar w:left="1440" w:top="298" w:right="140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Statements of Comprehensive Loss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Years Ended December 31, 2022 and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15240</wp:posOffset>
                </wp:positionV>
                <wp:extent cx="576834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1.2pt" to="452.1pt,1.2pt" o:allowincell="f" strokecolor="#000000" strokeweight="1pt"/>
            </w:pict>
          </mc:Fallback>
        </mc:AlternateConten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jc w:val="right"/>
              <w:ind w:right="5466"/>
              <w:spacing w:after="0"/>
              <w:rPr>
                <w:sz w:val="20"/>
                <w:szCs w:val="20"/>
                <w:color w:val="auto"/>
              </w:rPr>
            </w:pPr>
            <w:r>
              <w:rPr>
                <w:rFonts w:ascii="Times New Roman" w:cs="Times New Roman" w:eastAsia="Times New Roman" w:hAnsi="Times New Roman"/>
                <w:sz w:val="16"/>
                <w:szCs w:val="16"/>
                <w:b w:val="1"/>
                <w:bCs w:val="1"/>
                <w:i w:val="1"/>
                <w:iCs w:val="1"/>
                <w:color w:val="auto"/>
                <w:w w:val="92"/>
              </w:rPr>
              <w:t>(in thousands)</w:t>
            </w:r>
          </w:p>
        </w:tc>
        <w:tc>
          <w:tcPr>
            <w:tcW w:w="160" w:type="dxa"/>
            <w:vAlign w:val="bottom"/>
          </w:tcPr>
          <w:p>
            <w:pPr>
              <w:spacing w:after="0"/>
              <w:rPr>
                <w:sz w:val="13"/>
                <w:szCs w:val="13"/>
                <w:color w:val="auto"/>
              </w:rPr>
            </w:pPr>
          </w:p>
        </w:tc>
        <w:tc>
          <w:tcPr>
            <w:tcW w:w="112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91"/>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54"/>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 loss</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(57,924)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(50,315)</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comprehensive loss: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Unrealized loss on securities available-for-sale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(1,670)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(187)</w:t>
            </w:r>
          </w:p>
        </w:tc>
        <w:tc>
          <w:tcPr>
            <w:tcW w:w="0" w:type="dxa"/>
            <w:vAlign w:val="bottom"/>
          </w:tcPr>
          <w:p>
            <w:pPr>
              <w:spacing w:after="0"/>
              <w:rPr>
                <w:sz w:val="1"/>
                <w:szCs w:val="1"/>
                <w:color w:val="auto"/>
              </w:rPr>
            </w:pPr>
          </w:p>
        </w:tc>
      </w:tr>
      <w:tr>
        <w:trPr>
          <w:trHeight w:val="25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other comprehensive loss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(1,670)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(187)</w:t>
            </w:r>
          </w:p>
        </w:tc>
        <w:tc>
          <w:tcPr>
            <w:tcW w:w="0" w:type="dxa"/>
            <w:vAlign w:val="bottom"/>
          </w:tcPr>
          <w:p>
            <w:pPr>
              <w:spacing w:after="0"/>
              <w:rPr>
                <w:sz w:val="1"/>
                <w:szCs w:val="1"/>
                <w:color w:val="auto"/>
              </w:rPr>
            </w:pPr>
          </w:p>
        </w:tc>
      </w:tr>
      <w:tr>
        <w:trPr>
          <w:trHeight w:val="23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Comprehensive loss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(59,594)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(50,502)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-909320</wp:posOffset>
            </wp:positionV>
            <wp:extent cx="5794375" cy="916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extLst>
                    </a:blip>
                    <a:srcRect/>
                    <a:stretch>
                      <a:fillRect/>
                    </a:stretch>
                  </pic:blipFill>
                  <pic:spPr bwMode="auto">
                    <a:xfrm>
                      <a:off x="0" y="0"/>
                      <a:ext cx="5794375" cy="916305"/>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95</w:t>
      </w:r>
    </w:p>
    <w:p>
      <w:pPr>
        <w:sectPr>
          <w:pgSz w:w="11880" w:h="15480" w:orient="portrait"/>
          <w:cols w:equalWidth="0" w:num="1">
            <w:col w:w="9040"/>
          </w:cols>
          <w:pgMar w:left="1440" w:top="298" w:right="1400" w:bottom="0" w:gutter="0" w:footer="0" w:header="0"/>
          <w:type w:val="continuous"/>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Years Ended December 31, 2022 and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3907155</wp:posOffset>
                </wp:positionH>
                <wp:positionV relativeFrom="paragraph">
                  <wp:posOffset>145415</wp:posOffset>
                </wp:positionV>
                <wp:extent cx="0" cy="269367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93670"/>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65pt,11.45pt" to="307.65pt,223.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10160</wp:posOffset>
                </wp:positionV>
                <wp:extent cx="61722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8pt" to="486pt,0.8pt" o:allowincell="f" strokecolor="#000000" strokeweight="1pt"/>
            </w:pict>
          </mc:Fallback>
        </mc:AlternateConten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8"/>
          </w:tcPr>
          <w:p>
            <w:pPr>
              <w:jc w:val="right"/>
              <w:ind w:right="408"/>
              <w:spacing w:after="0"/>
              <w:rPr>
                <w:sz w:val="20"/>
                <w:szCs w:val="20"/>
                <w:color w:val="auto"/>
              </w:rPr>
            </w:pPr>
            <w:r>
              <w:rPr>
                <w:rFonts w:ascii="Times New Roman" w:cs="Times New Roman" w:eastAsia="Times New Roman" w:hAnsi="Times New Roman"/>
                <w:sz w:val="11"/>
                <w:szCs w:val="11"/>
                <w:b w:val="1"/>
                <w:bCs w:val="1"/>
                <w:color w:val="auto"/>
              </w:rPr>
              <w:t>Redeemable Convertible Preferred Stock</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restart"/>
          </w:tcPr>
          <w:p>
            <w:pPr>
              <w:jc w:val="center"/>
              <w:ind w:right="8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58"/>
        </w:trPr>
        <w:tc>
          <w:tcPr>
            <w:tcW w:w="1800" w:type="dxa"/>
            <w:vAlign w:val="bottom"/>
          </w:tcPr>
          <w:p>
            <w:pPr>
              <w:spacing w:after="0"/>
              <w:rPr>
                <w:sz w:val="5"/>
                <w:szCs w:val="5"/>
                <w:color w:val="auto"/>
              </w:rPr>
            </w:pPr>
          </w:p>
        </w:tc>
        <w:tc>
          <w:tcPr>
            <w:tcW w:w="1340" w:type="dxa"/>
            <w:vAlign w:val="bottom"/>
            <w:gridSpan w:val="4"/>
            <w:vMerge w:val="restart"/>
          </w:tcPr>
          <w:p>
            <w:pPr>
              <w:jc w:val="right"/>
              <w:ind w:right="368"/>
              <w:spacing w:after="0" w:line="114" w:lineRule="exact"/>
              <w:rPr>
                <w:sz w:val="20"/>
                <w:szCs w:val="20"/>
                <w:color w:val="auto"/>
              </w:rPr>
            </w:pPr>
            <w:r>
              <w:rPr>
                <w:rFonts w:ascii="Times New Roman" w:cs="Times New Roman" w:eastAsia="Times New Roman" w:hAnsi="Times New Roman"/>
                <w:sz w:val="11"/>
                <w:szCs w:val="11"/>
                <w:b w:val="1"/>
                <w:bCs w:val="1"/>
                <w:color w:val="auto"/>
              </w:rPr>
              <w:t>Series Seed</w:t>
            </w:r>
          </w:p>
        </w:tc>
        <w:tc>
          <w:tcPr>
            <w:tcW w:w="40" w:type="dxa"/>
            <w:vAlign w:val="bottom"/>
          </w:tcPr>
          <w:p>
            <w:pPr>
              <w:spacing w:after="0"/>
              <w:rPr>
                <w:sz w:val="5"/>
                <w:szCs w:val="5"/>
                <w:color w:val="auto"/>
              </w:rPr>
            </w:pPr>
          </w:p>
        </w:tc>
        <w:tc>
          <w:tcPr>
            <w:tcW w:w="1420" w:type="dxa"/>
            <w:vAlign w:val="bottom"/>
            <w:gridSpan w:val="4"/>
            <w:vMerge w:val="restart"/>
          </w:tcPr>
          <w:p>
            <w:pPr>
              <w:jc w:val="right"/>
              <w:ind w:right="468"/>
              <w:spacing w:after="0" w:line="114"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60" w:type="dxa"/>
            <w:vAlign w:val="bottom"/>
          </w:tcPr>
          <w:p>
            <w:pPr>
              <w:spacing w:after="0"/>
              <w:rPr>
                <w:sz w:val="5"/>
                <w:szCs w:val="5"/>
                <w:color w:val="auto"/>
              </w:rPr>
            </w:pPr>
          </w:p>
        </w:tc>
        <w:tc>
          <w:tcPr>
            <w:tcW w:w="1460" w:type="dxa"/>
            <w:vAlign w:val="bottom"/>
            <w:tcBorders>
              <w:right w:val="single" w:sz="8" w:color="auto"/>
            </w:tcBorders>
            <w:gridSpan w:val="5"/>
            <w:vMerge w:val="restart"/>
          </w:tcPr>
          <w:p>
            <w:pPr>
              <w:ind w:left="520"/>
              <w:spacing w:after="0" w:line="114" w:lineRule="exact"/>
              <w:rPr>
                <w:sz w:val="20"/>
                <w:szCs w:val="20"/>
                <w:color w:val="auto"/>
              </w:rPr>
            </w:pPr>
            <w:r>
              <w:rPr>
                <w:rFonts w:ascii="Times New Roman" w:cs="Times New Roman" w:eastAsia="Times New Roman" w:hAnsi="Times New Roman"/>
                <w:sz w:val="11"/>
                <w:szCs w:val="11"/>
                <w:b w:val="1"/>
                <w:bCs w:val="1"/>
                <w:color w:val="auto"/>
              </w:rPr>
              <w:t>Series B</w:t>
            </w:r>
          </w:p>
        </w:tc>
        <w:tc>
          <w:tcPr>
            <w:tcW w:w="40" w:type="dxa"/>
            <w:vAlign w:val="bottom"/>
          </w:tcPr>
          <w:p>
            <w:pPr>
              <w:spacing w:after="0"/>
              <w:rPr>
                <w:sz w:val="5"/>
                <w:szCs w:val="5"/>
                <w:color w:val="auto"/>
              </w:rPr>
            </w:pPr>
          </w:p>
        </w:tc>
        <w:tc>
          <w:tcPr>
            <w:tcW w:w="1000" w:type="dxa"/>
            <w:vAlign w:val="bottom"/>
            <w:gridSpan w:val="3"/>
            <w:vMerge w:val="restart"/>
          </w:tcPr>
          <w:p>
            <w:pPr>
              <w:jc w:val="right"/>
              <w:ind w:right="8"/>
              <w:spacing w:after="0" w:line="114"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restart"/>
          </w:tcPr>
          <w:p>
            <w:pPr>
              <w:jc w:val="center"/>
              <w:ind w:right="48"/>
              <w:spacing w:after="0" w:line="114"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180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1460" w:type="dxa"/>
            <w:vAlign w:val="bottom"/>
            <w:tcBorders>
              <w:right w:val="single" w:sz="8" w:color="auto"/>
            </w:tcBorders>
            <w:gridSpan w:val="5"/>
            <w:vMerge w:val="continue"/>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restart"/>
          </w:tcPr>
          <w:p>
            <w:pPr>
              <w:ind w:left="40"/>
              <w:spacing w:after="0" w:line="91"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gridSpan w:val="2"/>
            <w:vMerge w:val="restart"/>
          </w:tcPr>
          <w:p>
            <w:pPr>
              <w:ind w:left="60"/>
              <w:spacing w:after="0" w:line="94"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restart"/>
          </w:tcPr>
          <w:p>
            <w:pPr>
              <w:jc w:val="center"/>
              <w:ind w:right="28"/>
              <w:spacing w:after="0" w:line="94" w:lineRule="exact"/>
              <w:rPr>
                <w:sz w:val="20"/>
                <w:szCs w:val="20"/>
                <w:color w:val="auto"/>
              </w:rPr>
            </w:pPr>
            <w:r>
              <w:rPr>
                <w:rFonts w:ascii="Times New Roman" w:cs="Times New Roman" w:eastAsia="Times New Roman" w:hAnsi="Times New Roman"/>
                <w:sz w:val="9"/>
                <w:szCs w:val="9"/>
                <w:b w:val="1"/>
                <w:bCs w:val="1"/>
                <w:color w:val="auto"/>
              </w:rPr>
              <w:t>Other</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1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restart"/>
          </w:tcPr>
          <w:p>
            <w:pPr>
              <w:jc w:val="center"/>
              <w:ind w:right="68"/>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line="20" w:lineRule="exact"/>
              <w:rPr>
                <w:sz w:val="1"/>
                <w:szCs w:val="1"/>
                <w:color w:val="auto"/>
              </w:rPr>
            </w:pPr>
          </w:p>
        </w:tc>
      </w:tr>
      <w:tr>
        <w:trPr>
          <w:trHeight w:val="105"/>
        </w:trPr>
        <w:tc>
          <w:tcPr>
            <w:tcW w:w="18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 except share amounts)</w:t>
            </w: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13"/>
                <w:szCs w:val="13"/>
                <w:b w:val="1"/>
                <w:bCs w:val="1"/>
                <w:color w:val="auto"/>
                <w:vertAlign w:val="superscript"/>
              </w:rPr>
              <w:t>(1)</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40" w:type="dxa"/>
            <w:vAlign w:val="bottom"/>
          </w:tcPr>
          <w:p>
            <w:pPr>
              <w:spacing w:after="0"/>
              <w:rPr>
                <w:sz w:val="9"/>
                <w:szCs w:val="9"/>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13"/>
                <w:szCs w:val="13"/>
                <w:b w:val="1"/>
                <w:bCs w:val="1"/>
                <w:color w:val="auto"/>
                <w:vertAlign w:val="superscript"/>
              </w:rPr>
              <w:t>(1)</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9"/>
                <w:szCs w:val="9"/>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13"/>
                <w:szCs w:val="13"/>
                <w:b w:val="1"/>
                <w:bCs w:val="1"/>
                <w:color w:val="auto"/>
                <w:vertAlign w:val="superscript"/>
              </w:rPr>
              <w:t>(1)</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Borders>
              <w:right w:val="single" w:sz="8" w:color="auto"/>
            </w:tcBorders>
            <w:vMerge w:val="restart"/>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13"/>
                <w:szCs w:val="13"/>
                <w:b w:val="1"/>
                <w:bCs w:val="1"/>
                <w:color w:val="auto"/>
                <w:vertAlign w:val="superscript"/>
              </w:rPr>
              <w:t>(1)</w:t>
            </w:r>
          </w:p>
        </w:tc>
        <w:tc>
          <w:tcPr>
            <w:tcW w:w="40" w:type="dxa"/>
            <w:vAlign w:val="bottom"/>
          </w:tcPr>
          <w:p>
            <w:pPr>
              <w:spacing w:after="0"/>
              <w:rPr>
                <w:sz w:val="9"/>
                <w:szCs w:val="9"/>
                <w:color w:val="auto"/>
              </w:rPr>
            </w:pPr>
          </w:p>
        </w:tc>
        <w:tc>
          <w:tcPr>
            <w:tcW w:w="5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68"/>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40" w:type="dxa"/>
            <w:vAlign w:val="bottom"/>
          </w:tcPr>
          <w:p>
            <w:pPr>
              <w:spacing w:after="0"/>
              <w:rPr>
                <w:sz w:val="9"/>
                <w:szCs w:val="9"/>
                <w:color w:val="auto"/>
              </w:rPr>
            </w:pPr>
          </w:p>
        </w:tc>
        <w:tc>
          <w:tcPr>
            <w:tcW w:w="8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0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6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4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57"/>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6"/>
              </w:rPr>
              <w:t>Balances at December 31, 2020</w:t>
            </w:r>
            <w:r>
              <w:rPr>
                <w:rFonts w:ascii="Times New Roman" w:cs="Times New Roman" w:eastAsia="Times New Roman" w:hAnsi="Times New Roman"/>
                <w:sz w:val="11"/>
                <w:szCs w:val="11"/>
                <w:color w:val="B4B4B4"/>
                <w:w w:val="9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13,174,805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5,494</w:t>
            </w: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16,836,436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27,067</w:t>
            </w: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22,164,724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75,857</w:t>
            </w:r>
          </w:p>
        </w:tc>
        <w:tc>
          <w:tcPr>
            <w:tcW w:w="60" w:type="dxa"/>
            <w:vAlign w:val="bottom"/>
            <w:tcBorders>
              <w:right w:val="single" w:sz="8" w:color="auto"/>
            </w:tcBorders>
          </w:tcPr>
          <w:p>
            <w:pPr>
              <w:spacing w:after="0"/>
              <w:rPr>
                <w:sz w:val="13"/>
                <w:szCs w:val="13"/>
                <w:color w:val="auto"/>
              </w:rPr>
            </w:pP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33,069,513</w:t>
            </w: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(30,325)</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(29,721)</w:t>
            </w:r>
          </w:p>
        </w:tc>
        <w:tc>
          <w:tcPr>
            <w:tcW w:w="0" w:type="dxa"/>
            <w:vAlign w:val="bottom"/>
          </w:tcPr>
          <w:p>
            <w:pPr>
              <w:spacing w:after="0"/>
              <w:rPr>
                <w:sz w:val="1"/>
                <w:szCs w:val="1"/>
                <w:color w:val="auto"/>
              </w:rPr>
            </w:pPr>
          </w:p>
        </w:tc>
      </w:tr>
      <w:tr>
        <w:trPr>
          <w:trHeight w:val="133"/>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8"/>
              </w:rPr>
              <w:t>Issuance of common stock upon exercise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273,696</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167</w:t>
            </w:r>
          </w:p>
        </w:tc>
        <w:tc>
          <w:tcPr>
            <w:tcW w:w="0" w:type="dxa"/>
            <w:vAlign w:val="bottom"/>
          </w:tcPr>
          <w:p>
            <w:pPr>
              <w:spacing w:after="0"/>
              <w:rPr>
                <w:sz w:val="1"/>
                <w:szCs w:val="1"/>
                <w:color w:val="auto"/>
              </w:rPr>
            </w:pPr>
          </w:p>
        </w:tc>
      </w:tr>
      <w:tr>
        <w:trPr>
          <w:trHeight w:val="138"/>
        </w:trPr>
        <w:tc>
          <w:tcPr>
            <w:tcW w:w="180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 xml:space="preserve">of vested stock options </w:t>
            </w:r>
            <w:r>
              <w:rPr>
                <w:rFonts w:ascii="Times New Roman" w:cs="Times New Roman" w:eastAsia="Times New Roman" w:hAnsi="Times New Roman"/>
                <w:sz w:val="11"/>
                <w:szCs w:val="11"/>
                <w:color w:val="B4B4B4"/>
                <w:w w:val="96"/>
              </w:rPr>
              <w:t>........................</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8"/>
              </w:rPr>
              <w:t>Issuance of common stock upon exercise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62,772</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8"/>
        </w:trPr>
        <w:tc>
          <w:tcPr>
            <w:tcW w:w="180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5"/>
              </w:rPr>
              <w:t xml:space="preserve">of warrants </w:t>
            </w:r>
            <w:r>
              <w:rPr>
                <w:rFonts w:ascii="Times New Roman" w:cs="Times New Roman" w:eastAsia="Times New Roman" w:hAnsi="Times New Roman"/>
                <w:sz w:val="11"/>
                <w:szCs w:val="11"/>
                <w:color w:val="B4B4B4"/>
                <w:w w:val="95"/>
              </w:rPr>
              <w:t>...........................................</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redeemable convertible</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80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preferred stock into common stock in</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connection with the reverse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(13,174,805)</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(5,494)</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(16,836,436)</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(27,067)</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(22,164,724)</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(75,857)</w:t>
            </w:r>
          </w:p>
        </w:tc>
        <w:tc>
          <w:tcPr>
            <w:tcW w:w="60" w:type="dxa"/>
            <w:vAlign w:val="bottom"/>
            <w:tcBorders>
              <w:right w:val="single" w:sz="8" w:color="auto"/>
            </w:tcBorders>
          </w:tcPr>
          <w:p>
            <w:pPr>
              <w:spacing w:after="0"/>
              <w:rPr>
                <w:sz w:val="9"/>
                <w:szCs w:val="9"/>
                <w:color w:val="auto"/>
              </w:rPr>
            </w:pPr>
          </w:p>
        </w:tc>
        <w:tc>
          <w:tcPr>
            <w:tcW w:w="7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52,175,965</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108,411</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108,418</w:t>
            </w:r>
          </w:p>
        </w:tc>
        <w:tc>
          <w:tcPr>
            <w:tcW w:w="0" w:type="dxa"/>
            <w:vAlign w:val="bottom"/>
          </w:tcPr>
          <w:p>
            <w:pPr>
              <w:spacing w:after="0"/>
              <w:rPr>
                <w:sz w:val="1"/>
                <w:szCs w:val="1"/>
                <w:color w:val="auto"/>
              </w:rPr>
            </w:pPr>
          </w:p>
        </w:tc>
      </w:tr>
      <w:tr>
        <w:trPr>
          <w:trHeight w:val="138"/>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7"/>
              </w:rPr>
              <w:t>recapitalization</w:t>
            </w:r>
            <w:r>
              <w:rPr>
                <w:rFonts w:ascii="Times New Roman" w:cs="Times New Roman" w:eastAsia="Times New Roman" w:hAnsi="Times New Roman"/>
                <w:sz w:val="11"/>
                <w:szCs w:val="11"/>
                <w:color w:val="B4B4B4"/>
                <w:w w:val="97"/>
              </w:rPr>
              <w:t>..........................................</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upon the</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80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reverse recapitalization, net of issuance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38,721,137</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327,276</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327,280</w:t>
            </w:r>
          </w:p>
        </w:tc>
        <w:tc>
          <w:tcPr>
            <w:tcW w:w="0" w:type="dxa"/>
            <w:vAlign w:val="bottom"/>
          </w:tcPr>
          <w:p>
            <w:pPr>
              <w:spacing w:after="0"/>
              <w:rPr>
                <w:sz w:val="1"/>
                <w:szCs w:val="1"/>
                <w:color w:val="auto"/>
              </w:rPr>
            </w:pPr>
          </w:p>
        </w:tc>
      </w:tr>
      <w:tr>
        <w:trPr>
          <w:trHeight w:val="138"/>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6"/>
              </w:rPr>
              <w:t xml:space="preserve">costs </w:t>
            </w:r>
            <w:r>
              <w:rPr>
                <w:rFonts w:ascii="Times New Roman" w:cs="Times New Roman" w:eastAsia="Times New Roman" w:hAnsi="Times New Roman"/>
                <w:sz w:val="11"/>
                <w:szCs w:val="11"/>
                <w:color w:val="B4B4B4"/>
                <w:w w:val="96"/>
              </w:rPr>
              <w:t>..........................................................</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7"/>
              </w:rPr>
              <w:t>Stock-based compensation expense</w:t>
            </w:r>
            <w:r>
              <w:rPr>
                <w:rFonts w:ascii="Times New Roman" w:cs="Times New Roman" w:eastAsia="Times New Roman" w:hAnsi="Times New Roman"/>
                <w:sz w:val="11"/>
                <w:szCs w:val="11"/>
                <w:color w:val="B4B4B4"/>
                <w:w w:val="97"/>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7,934</w:t>
            </w:r>
          </w:p>
        </w:tc>
        <w:tc>
          <w:tcPr>
            <w:tcW w:w="0" w:type="dxa"/>
            <w:vAlign w:val="bottom"/>
          </w:tcPr>
          <w:p>
            <w:pPr>
              <w:spacing w:after="0"/>
              <w:rPr>
                <w:sz w:val="1"/>
                <w:szCs w:val="1"/>
                <w:color w:val="auto"/>
              </w:rPr>
            </w:pP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7"/>
              </w:rPr>
              <w:t>Other comprehensive loss</w:t>
            </w:r>
            <w:r>
              <w:rPr>
                <w:rFonts w:ascii="Times New Roman" w:cs="Times New Roman" w:eastAsia="Times New Roman" w:hAnsi="Times New Roman"/>
                <w:sz w:val="11"/>
                <w:szCs w:val="11"/>
                <w:color w:val="B4B4B4"/>
                <w:w w:val="97"/>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6"/>
              </w:rPr>
              <w:t xml:space="preserve">Net loss </w:t>
            </w:r>
            <w:r>
              <w:rPr>
                <w:rFonts w:ascii="Times New Roman" w:cs="Times New Roman" w:eastAsia="Times New Roman" w:hAnsi="Times New Roman"/>
                <w:sz w:val="11"/>
                <w:szCs w:val="11"/>
                <w:color w:val="B4B4B4"/>
                <w:w w:val="96"/>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(50,315)</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(50,315)</w:t>
            </w:r>
          </w:p>
        </w:tc>
        <w:tc>
          <w:tcPr>
            <w:tcW w:w="0" w:type="dxa"/>
            <w:vAlign w:val="bottom"/>
          </w:tcPr>
          <w:p>
            <w:pPr>
              <w:spacing w:after="0"/>
              <w:rPr>
                <w:sz w:val="1"/>
                <w:szCs w:val="1"/>
                <w:color w:val="auto"/>
              </w:rPr>
            </w:pPr>
          </w:p>
        </w:tc>
      </w:tr>
      <w:tr>
        <w:trPr>
          <w:trHeight w:val="157"/>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6"/>
              </w:rPr>
              <w:t>Balances at December 31, 2021</w:t>
            </w:r>
            <w:r>
              <w:rPr>
                <w:rFonts w:ascii="Times New Roman" w:cs="Times New Roman" w:eastAsia="Times New Roman" w:hAnsi="Times New Roman"/>
                <w:sz w:val="11"/>
                <w:szCs w:val="11"/>
                <w:color w:val="B4B4B4"/>
                <w:w w:val="9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color w:val="auto"/>
              </w:rPr>
              <w:t>124,303,083</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444,388</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(80,640)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363,576</w:t>
            </w:r>
          </w:p>
        </w:tc>
        <w:tc>
          <w:tcPr>
            <w:tcW w:w="0" w:type="dxa"/>
            <w:vAlign w:val="bottom"/>
          </w:tcPr>
          <w:p>
            <w:pPr>
              <w:spacing w:after="0"/>
              <w:rPr>
                <w:sz w:val="1"/>
                <w:szCs w:val="1"/>
                <w:color w:val="auto"/>
              </w:rPr>
            </w:pPr>
          </w:p>
        </w:tc>
      </w:tr>
      <w:tr>
        <w:trPr>
          <w:trHeight w:val="133"/>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8"/>
              </w:rPr>
              <w:t>Issuance of common stock upon exercise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463,207</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330</w:t>
            </w:r>
          </w:p>
        </w:tc>
        <w:tc>
          <w:tcPr>
            <w:tcW w:w="0" w:type="dxa"/>
            <w:vAlign w:val="bottom"/>
          </w:tcPr>
          <w:p>
            <w:pPr>
              <w:spacing w:after="0"/>
              <w:rPr>
                <w:sz w:val="1"/>
                <w:szCs w:val="1"/>
                <w:color w:val="auto"/>
              </w:rPr>
            </w:pPr>
          </w:p>
        </w:tc>
      </w:tr>
      <w:tr>
        <w:trPr>
          <w:trHeight w:val="138"/>
        </w:trPr>
        <w:tc>
          <w:tcPr>
            <w:tcW w:w="180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 xml:space="preserve">of vested stock options </w:t>
            </w:r>
            <w:r>
              <w:rPr>
                <w:rFonts w:ascii="Times New Roman" w:cs="Times New Roman" w:eastAsia="Times New Roman" w:hAnsi="Times New Roman"/>
                <w:sz w:val="11"/>
                <w:szCs w:val="11"/>
                <w:color w:val="B4B4B4"/>
                <w:w w:val="96"/>
              </w:rPr>
              <w:t>........................</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under</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99,195</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232</w:t>
            </w:r>
          </w:p>
        </w:tc>
        <w:tc>
          <w:tcPr>
            <w:tcW w:w="0" w:type="dxa"/>
            <w:vAlign w:val="bottom"/>
          </w:tcPr>
          <w:p>
            <w:pPr>
              <w:spacing w:after="0"/>
              <w:rPr>
                <w:sz w:val="1"/>
                <w:szCs w:val="1"/>
                <w:color w:val="auto"/>
              </w:rPr>
            </w:pPr>
          </w:p>
        </w:tc>
      </w:tr>
      <w:tr>
        <w:trPr>
          <w:trHeight w:val="138"/>
        </w:trPr>
        <w:tc>
          <w:tcPr>
            <w:tcW w:w="180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 xml:space="preserve">employee stock purchase plan </w:t>
            </w:r>
            <w:r>
              <w:rPr>
                <w:rFonts w:ascii="Times New Roman" w:cs="Times New Roman" w:eastAsia="Times New Roman" w:hAnsi="Times New Roman"/>
                <w:sz w:val="11"/>
                <w:szCs w:val="11"/>
                <w:color w:val="B4B4B4"/>
                <w:w w:val="96"/>
              </w:rPr>
              <w:t>.............</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7"/>
              </w:rPr>
              <w:t>Stock-based compensation expense</w:t>
            </w:r>
            <w:r>
              <w:rPr>
                <w:rFonts w:ascii="Times New Roman" w:cs="Times New Roman" w:eastAsia="Times New Roman" w:hAnsi="Times New Roman"/>
                <w:sz w:val="11"/>
                <w:szCs w:val="11"/>
                <w:color w:val="B4B4B4"/>
                <w:w w:val="97"/>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10,380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10,380</w:t>
            </w:r>
          </w:p>
        </w:tc>
        <w:tc>
          <w:tcPr>
            <w:tcW w:w="0" w:type="dxa"/>
            <w:vAlign w:val="bottom"/>
          </w:tcPr>
          <w:p>
            <w:pPr>
              <w:spacing w:after="0"/>
              <w:rPr>
                <w:sz w:val="1"/>
                <w:szCs w:val="1"/>
                <w:color w:val="auto"/>
              </w:rPr>
            </w:pP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7"/>
              </w:rPr>
              <w:t>Other comprehensive loss</w:t>
            </w:r>
            <w:r>
              <w:rPr>
                <w:rFonts w:ascii="Times New Roman" w:cs="Times New Roman" w:eastAsia="Times New Roman" w:hAnsi="Times New Roman"/>
                <w:sz w:val="11"/>
                <w:szCs w:val="11"/>
                <w:color w:val="B4B4B4"/>
                <w:w w:val="97"/>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(1,670)</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6"/>
              </w:rPr>
              <w:t xml:space="preserve">Net loss </w:t>
            </w:r>
            <w:r>
              <w:rPr>
                <w:rFonts w:ascii="Times New Roman" w:cs="Times New Roman" w:eastAsia="Times New Roman" w:hAnsi="Times New Roman"/>
                <w:sz w:val="11"/>
                <w:szCs w:val="11"/>
                <w:color w:val="B4B4B4"/>
                <w:w w:val="96"/>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(57,924)</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(57,924)</w:t>
            </w:r>
          </w:p>
        </w:tc>
        <w:tc>
          <w:tcPr>
            <w:tcW w:w="0" w:type="dxa"/>
            <w:vAlign w:val="bottom"/>
          </w:tcPr>
          <w:p>
            <w:pPr>
              <w:spacing w:after="0"/>
              <w:rPr>
                <w:sz w:val="1"/>
                <w:szCs w:val="1"/>
                <w:color w:val="auto"/>
              </w:rPr>
            </w:pP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6"/>
              </w:rPr>
              <w:t>Balances at December 31, 2022</w:t>
            </w:r>
            <w:r>
              <w:rPr>
                <w:rFonts w:ascii="Times New Roman" w:cs="Times New Roman" w:eastAsia="Times New Roman" w:hAnsi="Times New Roman"/>
                <w:sz w:val="11"/>
                <w:szCs w:val="11"/>
                <w:color w:val="B4B4B4"/>
                <w:w w:val="96"/>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124,865,485</w:t>
            </w: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40" w:type="dxa"/>
            <w:vAlign w:val="bottom"/>
          </w:tcPr>
          <w:p>
            <w:pPr>
              <w:spacing w:after="0"/>
              <w:rPr>
                <w:sz w:val="15"/>
                <w:szCs w:val="15"/>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455,330</w:t>
            </w:r>
          </w:p>
        </w:tc>
        <w:tc>
          <w:tcPr>
            <w:tcW w:w="40" w:type="dxa"/>
            <w:vAlign w:val="bottom"/>
          </w:tcPr>
          <w:p>
            <w:pPr>
              <w:spacing w:after="0"/>
              <w:rPr>
                <w:sz w:val="15"/>
                <w:szCs w:val="15"/>
                <w:color w:val="auto"/>
              </w:rPr>
            </w:pP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(1,854)</w:t>
            </w:r>
          </w:p>
        </w:tc>
        <w:tc>
          <w:tcPr>
            <w:tcW w:w="6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(138,564)</w:t>
            </w:r>
          </w:p>
        </w:tc>
        <w:tc>
          <w:tcPr>
            <w:tcW w:w="40" w:type="dxa"/>
            <w:vAlign w:val="bottom"/>
          </w:tcPr>
          <w:p>
            <w:pPr>
              <w:spacing w:after="0"/>
              <w:rPr>
                <w:sz w:val="15"/>
                <w:szCs w:val="15"/>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314,924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-2285365</wp:posOffset>
            </wp:positionV>
            <wp:extent cx="6597650" cy="2292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6597650" cy="2292350"/>
                    </a:xfrm>
                    <a:prstGeom prst="rect">
                      <a:avLst/>
                    </a:prstGeom>
                    <a:noFill/>
                  </pic:spPr>
                </pic:pic>
              </a:graphicData>
            </a:graphic>
          </wp:anchor>
        </w:drawing>
      </w:r>
    </w:p>
    <w:p>
      <w:pPr>
        <w:spacing w:after="0" w:line="129" w:lineRule="exact"/>
        <w:rPr>
          <w:sz w:val="20"/>
          <w:szCs w:val="20"/>
          <w:color w:val="auto"/>
        </w:rPr>
      </w:pPr>
    </w:p>
    <w:p>
      <w:pPr>
        <w:ind w:left="280" w:right="640" w:hanging="280"/>
        <w:spacing w:after="0" w:line="279" w:lineRule="auto"/>
        <w:tabs>
          <w:tab w:leader="none" w:pos="30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9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96</w:t>
      </w:r>
    </w:p>
    <w:p>
      <w:pPr>
        <w:sectPr>
          <w:pgSz w:w="11880" w:h="15480" w:orient="portrait"/>
          <w:cols w:equalWidth="0" w:num="1">
            <w:col w:w="10360"/>
          </w:cols>
          <w:pgMar w:left="1080" w:top="1440" w:right="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Statements of Cash Flows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Years Ended December 31, 2022 and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15240</wp:posOffset>
                </wp:positionV>
                <wp:extent cx="576834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1.2pt" to="452.1pt,1.2pt" o:allowincell="f" strokecolor="#000000" strokeweight="1pt"/>
            </w:pict>
          </mc:Fallback>
        </mc:AlternateConten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20" w:type="dxa"/>
            <w:vAlign w:val="bottom"/>
          </w:tcPr>
          <w:p>
            <w:pPr>
              <w:jc w:val="center"/>
              <w:ind w:right="65"/>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5"/>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(57,924)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(50,315)</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Adjustments to reconcile net loss to net cash used in operating activities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Stock-based compensation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7,934</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Amortization of operating lease right-of-use assets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1,823</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Depreciation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1,019</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Amortization (accretion) of premiums (discount) on securities, net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Loss on disposal of property and equipment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Changes in operating assets and liabilities: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Prepaid expenses and other assets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(2,750)</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Accounts payable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1,261</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Accrued expenses and other liabilities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2,255</w:t>
            </w:r>
          </w:p>
        </w:tc>
        <w:tc>
          <w:tcPr>
            <w:tcW w:w="0" w:type="dxa"/>
            <w:vAlign w:val="bottom"/>
          </w:tcPr>
          <w:p>
            <w:pPr>
              <w:spacing w:after="0"/>
              <w:rPr>
                <w:sz w:val="1"/>
                <w:szCs w:val="1"/>
                <w:color w:val="auto"/>
              </w:rPr>
            </w:pPr>
          </w:p>
        </w:tc>
      </w:tr>
      <w:tr>
        <w:trPr>
          <w:trHeight w:val="279"/>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Operating lease liabilities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(1,392)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(788)</w:t>
            </w:r>
          </w:p>
        </w:tc>
        <w:tc>
          <w:tcPr>
            <w:tcW w:w="0" w:type="dxa"/>
            <w:vAlign w:val="bottom"/>
          </w:tcPr>
          <w:p>
            <w:pPr>
              <w:spacing w:after="0"/>
              <w:rPr>
                <w:sz w:val="1"/>
                <w:szCs w:val="1"/>
                <w:color w:val="auto"/>
              </w:rPr>
            </w:pPr>
          </w:p>
        </w:tc>
      </w:tr>
      <w:tr>
        <w:trPr>
          <w:trHeight w:val="25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cash used in operating activities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(45,806)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(39,241)</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Purchases of securities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(186,591)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(221,795)</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Purchases of property and equipment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(2,269)</w:t>
            </w:r>
          </w:p>
        </w:tc>
        <w:tc>
          <w:tcPr>
            <w:tcW w:w="0" w:type="dxa"/>
            <w:vAlign w:val="bottom"/>
          </w:tcPr>
          <w:p>
            <w:pPr>
              <w:spacing w:after="0"/>
              <w:rPr>
                <w:sz w:val="1"/>
                <w:szCs w:val="1"/>
                <w:color w:val="auto"/>
              </w:rPr>
            </w:pPr>
          </w:p>
        </w:tc>
      </w:tr>
      <w:tr>
        <w:trPr>
          <w:trHeight w:val="279"/>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Proceeds from maturities of securities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163,175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85,100</w:t>
            </w:r>
          </w:p>
        </w:tc>
        <w:tc>
          <w:tcPr>
            <w:tcW w:w="0" w:type="dxa"/>
            <w:vAlign w:val="bottom"/>
          </w:tcPr>
          <w:p>
            <w:pPr>
              <w:spacing w:after="0"/>
              <w:rPr>
                <w:sz w:val="1"/>
                <w:szCs w:val="1"/>
                <w:color w:val="auto"/>
              </w:rPr>
            </w:pPr>
          </w:p>
        </w:tc>
      </w:tr>
      <w:tr>
        <w:trPr>
          <w:trHeight w:val="25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cash used in investing activities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(25,740)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(138,964)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Proceeds from exercise of stock options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167</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Proceeds from issuance of common stock under employee stock purchase plan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 proceeds from reverse recapitalization and PIPE financing</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335,409</w:t>
            </w:r>
          </w:p>
        </w:tc>
        <w:tc>
          <w:tcPr>
            <w:tcW w:w="0" w:type="dxa"/>
            <w:vAlign w:val="bottom"/>
          </w:tcPr>
          <w:p>
            <w:pPr>
              <w:spacing w:after="0"/>
              <w:rPr>
                <w:sz w:val="1"/>
                <w:szCs w:val="1"/>
                <w:color w:val="auto"/>
              </w:rPr>
            </w:pPr>
          </w:p>
        </w:tc>
      </w:tr>
      <w:tr>
        <w:trPr>
          <w:trHeight w:val="279"/>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Payments of offering costs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(8,129)</w:t>
            </w:r>
          </w:p>
        </w:tc>
        <w:tc>
          <w:tcPr>
            <w:tcW w:w="0" w:type="dxa"/>
            <w:vAlign w:val="bottom"/>
          </w:tcPr>
          <w:p>
            <w:pPr>
              <w:spacing w:after="0"/>
              <w:rPr>
                <w:sz w:val="1"/>
                <w:szCs w:val="1"/>
                <w:color w:val="auto"/>
              </w:rPr>
            </w:pPr>
          </w:p>
        </w:tc>
      </w:tr>
      <w:tr>
        <w:trPr>
          <w:trHeight w:val="25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cash provided by financing activities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327,447</w:t>
            </w:r>
          </w:p>
        </w:tc>
        <w:tc>
          <w:tcPr>
            <w:tcW w:w="0" w:type="dxa"/>
            <w:vAlign w:val="bottom"/>
          </w:tcPr>
          <w:p>
            <w:pPr>
              <w:spacing w:after="0"/>
              <w:rPr>
                <w:sz w:val="1"/>
                <w:szCs w:val="1"/>
                <w:color w:val="auto"/>
              </w:rPr>
            </w:pPr>
          </w:p>
        </w:tc>
      </w:tr>
      <w:tr>
        <w:trPr>
          <w:trHeight w:val="254"/>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(decrease) increase in cash, cash equivalents and restricted cash </w:t>
            </w:r>
            <w:r>
              <w:rPr>
                <w:rFonts w:ascii="Times New Roman" w:cs="Times New Roman" w:eastAsia="Times New Roman" w:hAnsi="Times New Roman"/>
                <w:sz w:val="19"/>
                <w:szCs w:val="19"/>
                <w:color w:val="B4B4B4"/>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(70,984)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149,242</w:t>
            </w:r>
          </w:p>
        </w:tc>
        <w:tc>
          <w:tcPr>
            <w:tcW w:w="0" w:type="dxa"/>
            <w:vAlign w:val="bottom"/>
          </w:tcPr>
          <w:p>
            <w:pPr>
              <w:spacing w:after="0"/>
              <w:rPr>
                <w:sz w:val="1"/>
                <w:szCs w:val="1"/>
                <w:color w:val="auto"/>
              </w:rPr>
            </w:pPr>
          </w:p>
        </w:tc>
      </w:tr>
      <w:tr>
        <w:trPr>
          <w:trHeight w:val="556"/>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Cash, cash equivalents and restricted cash at beginning of period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186,461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37,219</w:t>
            </w:r>
          </w:p>
        </w:tc>
        <w:tc>
          <w:tcPr>
            <w:tcW w:w="0" w:type="dxa"/>
            <w:vAlign w:val="bottom"/>
          </w:tcPr>
          <w:p>
            <w:pPr>
              <w:spacing w:after="0"/>
              <w:rPr>
                <w:sz w:val="1"/>
                <w:szCs w:val="1"/>
                <w:color w:val="auto"/>
              </w:rPr>
            </w:pPr>
          </w:p>
        </w:tc>
      </w:tr>
      <w:tr>
        <w:trPr>
          <w:trHeight w:val="23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Cash, cash equivalents and restricted cash at end of period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115,477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186,461</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Supplementary cash flow information on non-cash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6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Right-of-use assets obtained in exchange for operating lease liability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29,893</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Acquisitions of property and equipment included in accounts payable</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0" w:type="dxa"/>
            <w:vAlign w:val="bottom"/>
          </w:tcPr>
          <w:p>
            <w:pPr>
              <w:spacing w:after="0"/>
              <w:rPr>
                <w:sz w:val="1"/>
                <w:szCs w:val="1"/>
                <w:color w:val="auto"/>
              </w:rPr>
            </w:pPr>
          </w:p>
        </w:tc>
      </w:tr>
      <w:tr>
        <w:trPr>
          <w:trHeight w:val="199"/>
        </w:trPr>
        <w:tc>
          <w:tcPr>
            <w:tcW w:w="64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Conversion of redeemable convertible preferred stock into common stock in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108,418</w:t>
            </w:r>
          </w:p>
        </w:tc>
        <w:tc>
          <w:tcPr>
            <w:tcW w:w="0" w:type="dxa"/>
            <w:vAlign w:val="bottom"/>
          </w:tcPr>
          <w:p>
            <w:pPr>
              <w:spacing w:after="0"/>
              <w:rPr>
                <w:sz w:val="1"/>
                <w:szCs w:val="1"/>
                <w:color w:val="auto"/>
              </w:rPr>
            </w:pPr>
          </w:p>
        </w:tc>
      </w:tr>
      <w:tr>
        <w:trPr>
          <w:trHeight w:val="253"/>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connection with the reverse recapitalization </w:t>
            </w:r>
            <w:r>
              <w:rPr>
                <w:rFonts w:ascii="Times New Roman" w:cs="Times New Roman" w:eastAsia="Times New Roman" w:hAnsi="Times New Roman"/>
                <w:sz w:val="19"/>
                <w:szCs w:val="19"/>
                <w:color w:val="B4B4B4"/>
              </w:rPr>
              <w:t>..........................................................</w:t>
            </w:r>
          </w:p>
        </w:tc>
        <w:tc>
          <w:tcPr>
            <w:tcW w:w="1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Deferred offering costs reclassified to equity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8,129</w:t>
            </w:r>
          </w:p>
        </w:tc>
        <w:tc>
          <w:tcPr>
            <w:tcW w:w="0" w:type="dxa"/>
            <w:vAlign w:val="bottom"/>
          </w:tcPr>
          <w:p>
            <w:pPr>
              <w:spacing w:after="0"/>
              <w:rPr>
                <w:sz w:val="1"/>
                <w:szCs w:val="1"/>
                <w:color w:val="auto"/>
              </w:rPr>
            </w:pPr>
          </w:p>
        </w:tc>
      </w:tr>
      <w:tr>
        <w:trPr>
          <w:trHeight w:val="306"/>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Modification to reduce right-of-use assets and lease liability</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-6299835</wp:posOffset>
            </wp:positionV>
            <wp:extent cx="5794375" cy="63214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a:extLst>
                        <a:ext uri="{28A0092B-C50C-407E-A947-70E740481C1C}"/>
                      </a:extLst>
                    </a:blip>
                    <a:srcRect/>
                    <a:stretch>
                      <a:fillRect/>
                    </a:stretch>
                  </pic:blipFill>
                  <pic:spPr bwMode="auto">
                    <a:xfrm>
                      <a:off x="0" y="0"/>
                      <a:ext cx="5794375" cy="632142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97</w:t>
      </w:r>
    </w:p>
    <w:p>
      <w:pPr>
        <w:sectPr>
          <w:pgSz w:w="11880" w:h="15480" w:orient="portrait"/>
          <w:cols w:equalWidth="0" w:num="1">
            <w:col w:w="9040"/>
          </w:cols>
          <w:pgMar w:left="1440" w:top="298" w:right="1400" w:bottom="0" w:gutter="0" w:footer="0" w:header="0"/>
          <w:type w:val="continuous"/>
        </w:sectPr>
      </w:pPr>
    </w:p>
    <w:bookmarkStart w:id="100" w:name="page101"/>
    <w:bookmarkEnd w:id="100"/>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00" w:lineRule="exact"/>
        <w:rPr>
          <w:sz w:val="20"/>
          <w:szCs w:val="20"/>
          <w:color w:val="auto"/>
        </w:rPr>
      </w:pPr>
    </w:p>
    <w:p>
      <w:pPr>
        <w:spacing w:after="0" w:line="246" w:lineRule="exact"/>
        <w:rPr>
          <w:sz w:val="20"/>
          <w:szCs w:val="20"/>
          <w:color w:val="auto"/>
        </w:rPr>
      </w:pPr>
    </w:p>
    <w:p>
      <w:pPr>
        <w:ind w:left="702" w:hanging="702"/>
        <w:spacing w:after="0"/>
        <w:tabs>
          <w:tab w:leader="none" w:pos="702"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Description of Business and Basis of Presentation</w:t>
      </w:r>
    </w:p>
    <w:p>
      <w:pPr>
        <w:spacing w:after="0" w:line="196" w:lineRule="exact"/>
        <w:rPr>
          <w:sz w:val="20"/>
          <w:szCs w:val="20"/>
          <w:color w:val="auto"/>
        </w:rPr>
      </w:pPr>
    </w:p>
    <w:p>
      <w:pPr>
        <w:ind w:left="2" w:right="160" w:firstLine="349"/>
        <w:spacing w:after="0" w:line="265" w:lineRule="auto"/>
        <w:rPr>
          <w:sz w:val="20"/>
          <w:szCs w:val="20"/>
          <w:color w:val="auto"/>
        </w:rPr>
      </w:pPr>
      <w:r>
        <w:rPr>
          <w:rFonts w:ascii="Times New Roman" w:cs="Times New Roman" w:eastAsia="Times New Roman" w:hAnsi="Times New Roman"/>
          <w:sz w:val="19"/>
          <w:szCs w:val="19"/>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33" w:lineRule="exact"/>
        <w:rPr>
          <w:sz w:val="20"/>
          <w:szCs w:val="20"/>
          <w:color w:val="auto"/>
        </w:rPr>
      </w:pPr>
    </w:p>
    <w:p>
      <w:pPr>
        <w:ind w:left="2" w:firstLine="349"/>
        <w:spacing w:after="0" w:line="260" w:lineRule="auto"/>
        <w:rPr>
          <w:sz w:val="20"/>
          <w:szCs w:val="20"/>
          <w:color w:val="auto"/>
        </w:rPr>
      </w:pPr>
      <w:r>
        <w:rPr>
          <w:rFonts w:ascii="Times New Roman" w:cs="Times New Roman" w:eastAsia="Times New Roman" w:hAnsi="Times New Roman"/>
          <w:sz w:val="19"/>
          <w:szCs w:val="19"/>
          <w:color w:val="auto"/>
        </w:rPr>
        <w:t>On June 9, 2021 (the “Closing Date”), Nautilus Biotechnology, Inc. a Delaware corporate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7" w:lineRule="exact"/>
        <w:rPr>
          <w:sz w:val="20"/>
          <w:szCs w:val="20"/>
          <w:color w:val="auto"/>
        </w:rPr>
      </w:pPr>
    </w:p>
    <w:p>
      <w:pPr>
        <w:ind w:left="2" w:right="420" w:firstLine="349"/>
        <w:spacing w:after="0" w:line="268" w:lineRule="auto"/>
        <w:rPr>
          <w:sz w:val="20"/>
          <w:szCs w:val="20"/>
          <w:color w:val="auto"/>
        </w:rPr>
      </w:pPr>
      <w:r>
        <w:rPr>
          <w:rFonts w:ascii="Times New Roman" w:cs="Times New Roman" w:eastAsia="Times New Roman" w:hAnsi="Times New Roman"/>
          <w:sz w:val="19"/>
          <w:szCs w:val="19"/>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1" w:lineRule="exact"/>
        <w:rPr>
          <w:sz w:val="20"/>
          <w:szCs w:val="20"/>
          <w:color w:val="auto"/>
        </w:rPr>
      </w:pPr>
    </w:p>
    <w:p>
      <w:pPr>
        <w:ind w:left="342" w:right="1140"/>
        <w:spacing w:after="0" w:line="447" w:lineRule="auto"/>
        <w:rPr>
          <w:sz w:val="20"/>
          <w:szCs w:val="20"/>
          <w:color w:val="auto"/>
        </w:rPr>
      </w:pPr>
      <w:r>
        <w:rPr>
          <w:rFonts w:ascii="Times New Roman" w:cs="Times New Roman" w:eastAsia="Times New Roman" w:hAnsi="Times New Roman"/>
          <w:sz w:val="19"/>
          <w:szCs w:val="19"/>
          <w:color w:val="auto"/>
        </w:rPr>
        <w:t xml:space="preserve">Please refer to Note 3 “Reverse Recapitalization” for further details of the Business Combination. </w:t>
      </w:r>
      <w:r>
        <w:rPr>
          <w:rFonts w:ascii="Times New Roman" w:cs="Times New Roman" w:eastAsia="Times New Roman" w:hAnsi="Times New Roman"/>
          <w:sz w:val="19"/>
          <w:szCs w:val="19"/>
          <w:b w:val="1"/>
          <w:bCs w:val="1"/>
          <w:i w:val="1"/>
          <w:iCs w:val="1"/>
          <w:color w:val="auto"/>
        </w:rPr>
        <w:t>Basis of Presentation</w:t>
      </w:r>
    </w:p>
    <w:p>
      <w:pPr>
        <w:spacing w:after="0" w:line="1" w:lineRule="exact"/>
        <w:rPr>
          <w:sz w:val="20"/>
          <w:szCs w:val="20"/>
          <w:color w:val="auto"/>
        </w:rPr>
      </w:pPr>
    </w:p>
    <w:p>
      <w:pPr>
        <w:ind w:left="2" w:right="80" w:firstLine="349"/>
        <w:spacing w:after="0" w:line="261" w:lineRule="auto"/>
        <w:rPr>
          <w:sz w:val="20"/>
          <w:szCs w:val="20"/>
          <w:color w:val="auto"/>
        </w:rPr>
      </w:pPr>
      <w:r>
        <w:rPr>
          <w:rFonts w:ascii="Times New Roman" w:cs="Times New Roman" w:eastAsia="Times New Roman" w:hAnsi="Times New Roman"/>
          <w:sz w:val="19"/>
          <w:szCs w:val="19"/>
          <w:color w:val="auto"/>
        </w:rPr>
        <w:t>The consolidated financial statements and accompanying notes were prepared in accordance with accounting principles generally accepted in the United States of America (“U.S. GAAP”) and regulations of the U.S. Securities and Exchange Commission. The accompanying financial statements are consolidated for the years ended December 31, 2022 and 2021 and include the accounts of Nautilus Biotechnology, Inc. (i.e. former ARYA) and its wholly-owned subsidiary, Legacy Nautilus, following the Reverse Recapitalization as further discussed in Note 3 “Reverse Recapitalization.” All intercompany transactions and balances have been eliminated upon consolidation. The Company’s reporting currency is the U.S. dollar. Certain prior period amounts were reclassified to conform to the current year presentation of other income (expense).</w:t>
      </w:r>
    </w:p>
    <w:p>
      <w:pPr>
        <w:spacing w:after="0" w:line="130"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Going Concern</w:t>
      </w:r>
    </w:p>
    <w:p>
      <w:pPr>
        <w:spacing w:after="0" w:line="196" w:lineRule="exact"/>
        <w:rPr>
          <w:sz w:val="20"/>
          <w:szCs w:val="20"/>
          <w:color w:val="auto"/>
        </w:rPr>
      </w:pPr>
    </w:p>
    <w:p>
      <w:pPr>
        <w:ind w:left="2" w:right="80" w:firstLine="349"/>
        <w:spacing w:after="0" w:line="259" w:lineRule="auto"/>
        <w:rPr>
          <w:sz w:val="20"/>
          <w:szCs w:val="20"/>
          <w:color w:val="auto"/>
        </w:rPr>
      </w:pPr>
      <w:r>
        <w:rPr>
          <w:rFonts w:ascii="Times New Roman" w:cs="Times New Roman" w:eastAsia="Times New Roman" w:hAnsi="Times New Roman"/>
          <w:sz w:val="19"/>
          <w:szCs w:val="19"/>
          <w:color w:val="auto"/>
        </w:rPr>
        <w:t>The Company’s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2022, the Company had an accumulated deficit of $138.6 million.</w:t>
      </w:r>
    </w:p>
    <w:p>
      <w:pPr>
        <w:spacing w:after="0" w:line="144" w:lineRule="exact"/>
        <w:rPr>
          <w:sz w:val="20"/>
          <w:szCs w:val="20"/>
          <w:color w:val="auto"/>
        </w:rPr>
      </w:pPr>
    </w:p>
    <w:p>
      <w:pPr>
        <w:ind w:left="2" w:right="240" w:firstLine="349"/>
        <w:spacing w:after="0" w:line="268" w:lineRule="auto"/>
        <w:rPr>
          <w:sz w:val="20"/>
          <w:szCs w:val="20"/>
          <w:color w:val="auto"/>
        </w:rPr>
      </w:pPr>
      <w:r>
        <w:rPr>
          <w:rFonts w:ascii="Times New Roman" w:cs="Times New Roman" w:eastAsia="Times New Roman" w:hAnsi="Times New Roman"/>
          <w:sz w:val="19"/>
          <w:szCs w:val="19"/>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w:t>
      </w:r>
    </w:p>
    <w:p>
      <w:pPr>
        <w:sectPr>
          <w:pgSz w:w="11880" w:h="15480" w:orient="portrait"/>
          <w:cols w:equalWidth="0" w:num="1">
            <w:col w:w="9062"/>
          </w:cols>
          <w:pgMar w:left="1398" w:top="57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98</w:t>
      </w:r>
    </w:p>
    <w:p>
      <w:pPr>
        <w:sectPr>
          <w:pgSz w:w="11880" w:h="15480" w:orient="portrait"/>
          <w:cols w:equalWidth="0" w:num="1">
            <w:col w:w="9062"/>
          </w:cols>
          <w:pgMar w:left="1398" w:top="577" w:right="1420" w:bottom="0" w:gutter="0" w:footer="0" w:header="0"/>
          <w:type w:val="continuous"/>
        </w:sectPr>
      </w:pPr>
    </w:p>
    <w:bookmarkStart w:id="101" w:name="page102"/>
    <w:bookmarkEnd w:id="101"/>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spacing w:after="0" w:line="259" w:lineRule="auto"/>
        <w:rPr>
          <w:sz w:val="20"/>
          <w:szCs w:val="20"/>
          <w:color w:val="auto"/>
        </w:rPr>
      </w:pPr>
      <w:r>
        <w:rPr>
          <w:rFonts w:ascii="Times New Roman" w:cs="Times New Roman" w:eastAsia="Times New Roman" w:hAnsi="Times New Roman"/>
          <w:sz w:val="19"/>
          <w:szCs w:val="19"/>
          <w:color w:val="auto"/>
        </w:rPr>
        <w:t>equivalents, and short-term investments of $184.5 million as of December 31, 2022. As of the date on which these consolidated financial statements were available to be issued, the Company believes that its cash, cash equivalents, and short-term investments will be sufficient to fund its operations for at least the next twelve months following the issuance of the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34"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Impact of the COVID-19 Coronavirus</w:t>
      </w:r>
    </w:p>
    <w:p>
      <w:pPr>
        <w:spacing w:after="0" w:line="196" w:lineRule="exact"/>
        <w:rPr>
          <w:sz w:val="20"/>
          <w:szCs w:val="20"/>
          <w:color w:val="auto"/>
        </w:rPr>
      </w:pPr>
    </w:p>
    <w:p>
      <w:pPr>
        <w:ind w:left="2" w:right="200" w:firstLine="349"/>
        <w:spacing w:after="0" w:line="265" w:lineRule="auto"/>
        <w:rPr>
          <w:sz w:val="20"/>
          <w:szCs w:val="20"/>
          <w:color w:val="auto"/>
        </w:rPr>
      </w:pPr>
      <w:r>
        <w:rPr>
          <w:rFonts w:ascii="Times New Roman" w:cs="Times New Roman" w:eastAsia="Times New Roman" w:hAnsi="Times New Roman"/>
          <w:sz w:val="19"/>
          <w:szCs w:val="19"/>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3" w:lineRule="exact"/>
        <w:rPr>
          <w:sz w:val="20"/>
          <w:szCs w:val="20"/>
          <w:color w:val="auto"/>
        </w:rPr>
      </w:pPr>
    </w:p>
    <w:p>
      <w:pPr>
        <w:ind w:left="2" w:firstLine="349"/>
        <w:spacing w:after="0" w:line="262" w:lineRule="auto"/>
        <w:rPr>
          <w:sz w:val="20"/>
          <w:szCs w:val="20"/>
          <w:color w:val="auto"/>
        </w:rPr>
      </w:pPr>
      <w:r>
        <w:rPr>
          <w:rFonts w:ascii="Times New Roman" w:cs="Times New Roman" w:eastAsia="Times New Roman" w:hAnsi="Times New Roman"/>
          <w:sz w:val="19"/>
          <w:szCs w:val="19"/>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136" w:lineRule="exact"/>
        <w:rPr>
          <w:sz w:val="20"/>
          <w:szCs w:val="20"/>
          <w:color w:val="auto"/>
        </w:rPr>
      </w:pPr>
    </w:p>
    <w:p>
      <w:pPr>
        <w:ind w:left="2" w:right="20" w:firstLine="349"/>
        <w:spacing w:after="0" w:line="268" w:lineRule="auto"/>
        <w:rPr>
          <w:sz w:val="20"/>
          <w:szCs w:val="20"/>
          <w:color w:val="auto"/>
        </w:rPr>
      </w:pPr>
      <w:r>
        <w:rPr>
          <w:rFonts w:ascii="Times New Roman" w:cs="Times New Roman" w:eastAsia="Times New Roman" w:hAnsi="Times New Roman"/>
          <w:sz w:val="19"/>
          <w:szCs w:val="19"/>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147" w:lineRule="exact"/>
        <w:rPr>
          <w:sz w:val="20"/>
          <w:szCs w:val="20"/>
          <w:color w:val="auto"/>
        </w:rPr>
      </w:pPr>
    </w:p>
    <w:p>
      <w:pPr>
        <w:ind w:left="702" w:hanging="702"/>
        <w:spacing w:after="0"/>
        <w:tabs>
          <w:tab w:leader="none" w:pos="702" w:val="left"/>
        </w:tabs>
        <w:numPr>
          <w:ilvl w:val="0"/>
          <w:numId w:val="5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Significant Accounting Policies</w:t>
      </w:r>
    </w:p>
    <w:p>
      <w:pPr>
        <w:spacing w:after="0" w:line="189"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196" w:lineRule="exact"/>
        <w:rPr>
          <w:sz w:val="20"/>
          <w:szCs w:val="20"/>
          <w:color w:val="auto"/>
        </w:rPr>
      </w:pPr>
    </w:p>
    <w:p>
      <w:pPr>
        <w:ind w:left="2" w:right="40" w:firstLine="349"/>
        <w:spacing w:after="0" w:line="259" w:lineRule="auto"/>
        <w:rPr>
          <w:sz w:val="20"/>
          <w:szCs w:val="20"/>
          <w:color w:val="auto"/>
        </w:rPr>
      </w:pPr>
      <w:r>
        <w:rPr>
          <w:rFonts w:ascii="Times New Roman" w:cs="Times New Roman" w:eastAsia="Times New Roman" w:hAnsi="Times New Roman"/>
          <w:sz w:val="19"/>
          <w:szCs w:val="19"/>
          <w:color w:val="auto"/>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1"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Concentrations of Credit Risk and Other Risks and Uncertainties</w:t>
      </w:r>
    </w:p>
    <w:p>
      <w:pPr>
        <w:spacing w:after="0" w:line="196" w:lineRule="exact"/>
        <w:rPr>
          <w:sz w:val="20"/>
          <w:szCs w:val="20"/>
          <w:color w:val="auto"/>
        </w:rPr>
      </w:pPr>
    </w:p>
    <w:p>
      <w:pPr>
        <w:ind w:left="2" w:right="380" w:firstLine="349"/>
        <w:spacing w:after="0" w:line="293" w:lineRule="auto"/>
        <w:rPr>
          <w:sz w:val="20"/>
          <w:szCs w:val="20"/>
          <w:color w:val="auto"/>
        </w:rPr>
      </w:pPr>
      <w:r>
        <w:rPr>
          <w:rFonts w:ascii="Times New Roman" w:cs="Times New Roman" w:eastAsia="Times New Roman" w:hAnsi="Times New Roman"/>
          <w:sz w:val="19"/>
          <w:szCs w:val="19"/>
          <w:color w:val="auto"/>
        </w:rPr>
        <w:t>Credit risk represents the accounting loss that would be recognized as of the reporting date if counterparties failed to perform as contracted.</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99</w:t>
      </w:r>
    </w:p>
    <w:p>
      <w:pPr>
        <w:sectPr>
          <w:pgSz w:w="11880" w:h="15480" w:orient="portrait"/>
          <w:cols w:equalWidth="0" w:num="1">
            <w:col w:w="9082"/>
          </w:cols>
          <w:pgMar w:left="1398" w:top="577" w:right="1400" w:bottom="0" w:gutter="0" w:footer="0" w:header="0"/>
          <w:type w:val="continuous"/>
        </w:sectPr>
      </w:pPr>
    </w:p>
    <w:bookmarkStart w:id="102" w:name="page103"/>
    <w:bookmarkEnd w:id="102"/>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realized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44"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Segment Reporting</w:t>
      </w:r>
    </w:p>
    <w:p>
      <w:pPr>
        <w:spacing w:after="0" w:line="196" w:lineRule="exact"/>
        <w:rPr>
          <w:sz w:val="20"/>
          <w:szCs w:val="20"/>
          <w:color w:val="auto"/>
        </w:rPr>
      </w:pPr>
    </w:p>
    <w:p>
      <w:pPr>
        <w:ind w:right="160" w:firstLine="349"/>
        <w:spacing w:after="0" w:line="263" w:lineRule="auto"/>
        <w:rPr>
          <w:sz w:val="20"/>
          <w:szCs w:val="20"/>
          <w:color w:val="auto"/>
        </w:rPr>
      </w:pPr>
      <w:r>
        <w:rPr>
          <w:rFonts w:ascii="Times New Roman" w:cs="Times New Roman" w:eastAsia="Times New Roman" w:hAnsi="Times New Roman"/>
          <w:sz w:val="19"/>
          <w:szCs w:val="19"/>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196" w:lineRule="exact"/>
        <w:rPr>
          <w:sz w:val="20"/>
          <w:szCs w:val="20"/>
          <w:color w:val="auto"/>
        </w:rPr>
      </w:pPr>
    </w:p>
    <w:p>
      <w:pPr>
        <w:ind w:right="20" w:firstLine="349"/>
        <w:spacing w:after="0" w:line="293" w:lineRule="auto"/>
        <w:rPr>
          <w:sz w:val="20"/>
          <w:szCs w:val="20"/>
          <w:color w:val="auto"/>
        </w:rPr>
      </w:pPr>
      <w:r>
        <w:rPr>
          <w:rFonts w:ascii="Times New Roman" w:cs="Times New Roman" w:eastAsia="Times New Roman" w:hAnsi="Times New Roman"/>
          <w:sz w:val="19"/>
          <w:szCs w:val="19"/>
          <w:color w:val="auto"/>
        </w:rPr>
        <w:t>The Company considers all highly-liquid investments with an original maturity of three months or less as of the date of acquisition to be cash equivalents.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Investments</w:t>
      </w:r>
    </w:p>
    <w:p>
      <w:pPr>
        <w:spacing w:after="0" w:line="196" w:lineRule="exact"/>
        <w:rPr>
          <w:sz w:val="20"/>
          <w:szCs w:val="20"/>
          <w:color w:val="auto"/>
        </w:rPr>
      </w:pPr>
    </w:p>
    <w:p>
      <w:pPr>
        <w:ind w:right="260" w:firstLine="349"/>
        <w:spacing w:after="0" w:line="274" w:lineRule="auto"/>
        <w:rPr>
          <w:sz w:val="20"/>
          <w:szCs w:val="20"/>
          <w:color w:val="auto"/>
        </w:rPr>
      </w:pPr>
      <w:r>
        <w:rPr>
          <w:rFonts w:ascii="Times New Roman" w:cs="Times New Roman" w:eastAsia="Times New Roman" w:hAnsi="Times New Roman"/>
          <w:sz w:val="19"/>
          <w:szCs w:val="19"/>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25" w:lineRule="exact"/>
        <w:rPr>
          <w:sz w:val="20"/>
          <w:szCs w:val="20"/>
          <w:color w:val="auto"/>
        </w:rPr>
      </w:pPr>
    </w:p>
    <w:p>
      <w:pPr>
        <w:jc w:val="both"/>
        <w:ind w:right="60" w:firstLine="398"/>
        <w:spacing w:after="0" w:line="268" w:lineRule="auto"/>
        <w:rPr>
          <w:sz w:val="20"/>
          <w:szCs w:val="20"/>
          <w:color w:val="auto"/>
        </w:rPr>
      </w:pPr>
      <w:r>
        <w:rPr>
          <w:rFonts w:ascii="Times New Roman" w:cs="Times New Roman" w:eastAsia="Times New Roman" w:hAnsi="Times New Roman"/>
          <w:sz w:val="19"/>
          <w:szCs w:val="19"/>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Other-than-temporary Impairment</w:t>
      </w:r>
    </w:p>
    <w:p>
      <w:pPr>
        <w:spacing w:after="0" w:line="191"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consolidated</w:t>
      </w:r>
    </w:p>
    <w:p>
      <w:pPr>
        <w:sectPr>
          <w:pgSz w:w="11880" w:h="15480" w:orient="portrait"/>
          <w:cols w:equalWidth="0" w:num="1">
            <w:col w:w="9040"/>
          </w:cols>
          <w:pgMar w:left="1400" w:top="5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100</w:t>
      </w:r>
    </w:p>
    <w:p>
      <w:pPr>
        <w:sectPr>
          <w:pgSz w:w="11880" w:h="15480" w:orient="portrait"/>
          <w:cols w:equalWidth="0" w:num="1">
            <w:col w:w="9040"/>
          </w:cols>
          <w:pgMar w:left="1400" w:top="577" w:right="1440" w:bottom="0" w:gutter="0" w:footer="0" w:header="0"/>
          <w:type w:val="continuous"/>
        </w:sectPr>
      </w:pPr>
    </w:p>
    <w:bookmarkStart w:id="103" w:name="page104"/>
    <w:bookmarkEnd w:id="103"/>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380"/>
        <w:spacing w:after="0" w:line="293" w:lineRule="auto"/>
        <w:rPr>
          <w:sz w:val="20"/>
          <w:szCs w:val="20"/>
          <w:color w:val="auto"/>
        </w:rPr>
      </w:pPr>
      <w:r>
        <w:rPr>
          <w:rFonts w:ascii="Times New Roman" w:cs="Times New Roman" w:eastAsia="Times New Roman" w:hAnsi="Times New Roman"/>
          <w:sz w:val="19"/>
          <w:szCs w:val="19"/>
          <w:color w:val="auto"/>
        </w:rPr>
        <w:t>statement of operations and consolidated statement of comprehensive loss. No such adjustments were necessary during the periods presented.</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Fair Value of Financial Instruments</w:t>
      </w:r>
    </w:p>
    <w:p>
      <w:pPr>
        <w:spacing w:after="0" w:line="196" w:lineRule="exact"/>
        <w:rPr>
          <w:sz w:val="20"/>
          <w:szCs w:val="20"/>
          <w:color w:val="auto"/>
        </w:rPr>
      </w:pPr>
    </w:p>
    <w:p>
      <w:pPr>
        <w:jc w:val="both"/>
        <w:ind w:right="100" w:firstLine="349"/>
        <w:spacing w:after="0" w:line="274" w:lineRule="auto"/>
        <w:rPr>
          <w:sz w:val="20"/>
          <w:szCs w:val="20"/>
          <w:color w:val="auto"/>
        </w:rPr>
      </w:pPr>
      <w:r>
        <w:rPr>
          <w:rFonts w:ascii="Times New Roman" w:cs="Times New Roman" w:eastAsia="Times New Roman" w:hAnsi="Times New Roman"/>
          <w:sz w:val="19"/>
          <w:szCs w:val="19"/>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25" w:lineRule="exact"/>
        <w:rPr>
          <w:sz w:val="20"/>
          <w:szCs w:val="20"/>
          <w:color w:val="auto"/>
        </w:rPr>
      </w:pPr>
    </w:p>
    <w:p>
      <w:pPr>
        <w:jc w:val="both"/>
        <w:ind w:right="340" w:firstLine="349"/>
        <w:spacing w:after="0" w:line="274" w:lineRule="auto"/>
        <w:rPr>
          <w:sz w:val="20"/>
          <w:szCs w:val="20"/>
          <w:color w:val="auto"/>
        </w:rPr>
      </w:pPr>
      <w:r>
        <w:rPr>
          <w:rFonts w:ascii="Times New Roman" w:cs="Times New Roman" w:eastAsia="Times New Roman" w:hAnsi="Times New Roman"/>
          <w:sz w:val="19"/>
          <w:szCs w:val="19"/>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Level 1, defined as observable inputs such as quoted prices for identical instruments in active markets;</w:t>
      </w:r>
    </w:p>
    <w:p>
      <w:pPr>
        <w:spacing w:after="0" w:line="189"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5" w:lineRule="exact"/>
        <w:rPr>
          <w:sz w:val="20"/>
          <w:szCs w:val="20"/>
          <w:color w:val="auto"/>
        </w:rPr>
      </w:pPr>
    </w:p>
    <w:p>
      <w:pPr>
        <w:jc w:val="both"/>
        <w:ind w:right="40" w:firstLine="349"/>
        <w:spacing w:after="0" w:line="274" w:lineRule="auto"/>
        <w:rPr>
          <w:sz w:val="20"/>
          <w:szCs w:val="20"/>
          <w:color w:val="auto"/>
        </w:rPr>
      </w:pPr>
      <w:r>
        <w:rPr>
          <w:rFonts w:ascii="Times New Roman" w:cs="Times New Roman" w:eastAsia="Times New Roman" w:hAnsi="Times New Roman"/>
          <w:sz w:val="19"/>
          <w:szCs w:val="19"/>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25"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5" w:lineRule="exact"/>
        <w:rPr>
          <w:sz w:val="20"/>
          <w:szCs w:val="20"/>
          <w:color w:val="auto"/>
        </w:rPr>
      </w:pPr>
    </w:p>
    <w:p>
      <w:pPr>
        <w:ind w:right="20" w:firstLine="349"/>
        <w:spacing w:after="0" w:line="293" w:lineRule="auto"/>
        <w:rPr>
          <w:sz w:val="20"/>
          <w:szCs w:val="20"/>
          <w:color w:val="auto"/>
        </w:rPr>
      </w:pPr>
      <w:r>
        <w:rPr>
          <w:rFonts w:ascii="Times New Roman" w:cs="Times New Roman" w:eastAsia="Times New Roman" w:hAnsi="Times New Roman"/>
          <w:sz w:val="19"/>
          <w:szCs w:val="19"/>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 net</w:t>
      </w:r>
    </w:p>
    <w:p>
      <w:pPr>
        <w:spacing w:after="0" w:line="196"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auto"/>
        </w:rPr>
        <w:t>Property and equipment, net, consisting primarily of laboratory equipment, computers, furniture and fixtures, and office equipment are recorded at cost and are depreciated on a straight-line basis over their estimated useful life.</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Useful lives assigned to property and equipment are as follows:</w:t>
      </w:r>
    </w:p>
    <w:p>
      <w:pPr>
        <w:spacing w:after="0" w:line="260"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Laboratory equipment</w:t>
      </w:r>
      <w:r>
        <w:rPr>
          <w:sz w:val="20"/>
          <w:szCs w:val="20"/>
          <w:color w:val="auto"/>
        </w:rPr>
        <w:tab/>
      </w:r>
      <w:r>
        <w:rPr>
          <w:rFonts w:ascii="Times New Roman" w:cs="Times New Roman" w:eastAsia="Times New Roman" w:hAnsi="Times New Roman"/>
          <w:sz w:val="19"/>
          <w:szCs w:val="19"/>
          <w:color w:val="auto"/>
        </w:rPr>
        <w:t>3 years to 5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Prototype equipment</w:t>
      </w:r>
      <w:r>
        <w:rPr>
          <w:sz w:val="20"/>
          <w:szCs w:val="20"/>
          <w:color w:val="auto"/>
        </w:rPr>
        <w:tab/>
      </w:r>
      <w:r>
        <w:rPr>
          <w:rFonts w:ascii="Times New Roman" w:cs="Times New Roman" w:eastAsia="Times New Roman" w:hAnsi="Times New Roman"/>
          <w:sz w:val="19"/>
          <w:szCs w:val="19"/>
          <w:color w:val="auto"/>
        </w:rPr>
        <w:t>3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Computer hardware</w:t>
      </w:r>
      <w:r>
        <w:rPr>
          <w:sz w:val="20"/>
          <w:szCs w:val="20"/>
          <w:color w:val="auto"/>
        </w:rPr>
        <w:tab/>
      </w:r>
      <w:r>
        <w:rPr>
          <w:rFonts w:ascii="Times New Roman" w:cs="Times New Roman" w:eastAsia="Times New Roman" w:hAnsi="Times New Roman"/>
          <w:sz w:val="19"/>
          <w:szCs w:val="19"/>
          <w:color w:val="auto"/>
        </w:rPr>
        <w:t>3 years</w:t>
      </w:r>
    </w:p>
    <w:p>
      <w:pPr>
        <w:spacing w:after="0" w:line="87"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Furniture and fixtures</w:t>
      </w:r>
      <w:r>
        <w:rPr>
          <w:sz w:val="20"/>
          <w:szCs w:val="20"/>
          <w:color w:val="auto"/>
        </w:rPr>
        <w:tab/>
      </w:r>
      <w:r>
        <w:rPr>
          <w:rFonts w:ascii="Times New Roman" w:cs="Times New Roman" w:eastAsia="Times New Roman" w:hAnsi="Times New Roman"/>
          <w:sz w:val="19"/>
          <w:szCs w:val="19"/>
          <w:color w:val="auto"/>
        </w:rPr>
        <w:t>3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2C2C2C"/>
        </w:rPr>
        <w:t>Office equipment</w:t>
      </w:r>
      <w:r>
        <w:rPr>
          <w:sz w:val="20"/>
          <w:szCs w:val="20"/>
          <w:color w:val="auto"/>
        </w:rPr>
        <w:tab/>
      </w:r>
      <w:r>
        <w:rPr>
          <w:rFonts w:ascii="Times New Roman" w:cs="Times New Roman" w:eastAsia="Times New Roman" w:hAnsi="Times New Roman"/>
          <w:sz w:val="19"/>
          <w:szCs w:val="19"/>
          <w:color w:val="auto"/>
        </w:rPr>
        <w:t>3 years to 5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2C2C2C"/>
        </w:rPr>
        <w:t>Leasehold improvements</w:t>
      </w:r>
      <w:r>
        <w:rPr>
          <w:sz w:val="20"/>
          <w:szCs w:val="20"/>
          <w:color w:val="auto"/>
        </w:rPr>
        <w:tab/>
      </w:r>
      <w:r>
        <w:rPr>
          <w:rFonts w:ascii="Times New Roman" w:cs="Times New Roman" w:eastAsia="Times New Roman" w:hAnsi="Times New Roman"/>
          <w:sz w:val="19"/>
          <w:szCs w:val="19"/>
          <w:color w:val="2C2C2C"/>
        </w:rPr>
        <w:t>Shorter of estimated useful life or remaining lease term</w:t>
      </w:r>
    </w:p>
    <w:p>
      <w:pPr>
        <w:spacing w:after="0" w:line="259"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auto"/>
        </w:rPr>
        <w:t>When assets are retired or otherwise disposed of, the cost and related accumulated depreciation are removed from the accounts, and any resulting gain or loss is recognized as income or loss for the period.</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Maintenance and repairs are charged to operating expense in the period incurred.</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Impairment of Long-Lived Assets</w:t>
      </w:r>
    </w:p>
    <w:p>
      <w:pPr>
        <w:spacing w:after="0" w:line="196" w:lineRule="exact"/>
        <w:rPr>
          <w:sz w:val="20"/>
          <w:szCs w:val="20"/>
          <w:color w:val="auto"/>
        </w:rPr>
      </w:pPr>
    </w:p>
    <w:p>
      <w:pPr>
        <w:jc w:val="center"/>
        <w:ind w:right="100"/>
        <w:spacing w:after="0" w:line="293" w:lineRule="auto"/>
        <w:rPr>
          <w:sz w:val="20"/>
          <w:szCs w:val="20"/>
          <w:color w:val="auto"/>
        </w:rPr>
      </w:pPr>
      <w:r>
        <w:rPr>
          <w:rFonts w:ascii="Times New Roman" w:cs="Times New Roman" w:eastAsia="Times New Roman" w:hAnsi="Times New Roman"/>
          <w:sz w:val="19"/>
          <w:szCs w:val="19"/>
          <w:color w:val="auto"/>
        </w:rPr>
        <w:t>The Company periodically reviews its long-lived assets, including property and equipment, for impairment whenever events or changes in circumstances indicate that the carrying amount of the asset may not be recoverable.</w:t>
      </w:r>
    </w:p>
    <w:p>
      <w:pPr>
        <w:spacing w:after="0" w:line="107"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auto"/>
        </w:rPr>
        <w:t>With respect to property and equipment, the Company compares the carrying value of the long-lived assets with the estimated future net undiscounted cash flows expected to result from the use and eventual disposition of the asset</w:t>
      </w:r>
    </w:p>
    <w:p>
      <w:pPr>
        <w:sectPr>
          <w:pgSz w:w="11880" w:h="15480" w:orient="portrait"/>
          <w:cols w:equalWidth="0" w:num="1">
            <w:col w:w="9060"/>
          </w:cols>
          <w:pgMar w:left="1400" w:top="57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ectPr>
          <w:pgSz w:w="11880" w:h="15480" w:orient="portrait"/>
          <w:cols w:equalWidth="0" w:num="1">
            <w:col w:w="9060"/>
          </w:cols>
          <w:pgMar w:left="1400" w:top="577" w:right="1420" w:bottom="0" w:gutter="0" w:footer="0" w:header="0"/>
          <w:type w:val="continuous"/>
        </w:sectPr>
      </w:pPr>
    </w:p>
    <w:bookmarkStart w:id="104" w:name="page105"/>
    <w:bookmarkEnd w:id="104"/>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in any of the periods presented.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96" w:lineRule="exact"/>
        <w:rPr>
          <w:sz w:val="20"/>
          <w:szCs w:val="20"/>
          <w:color w:val="auto"/>
        </w:rPr>
      </w:pPr>
    </w:p>
    <w:p>
      <w:pPr>
        <w:ind w:firstLine="349"/>
        <w:spacing w:after="0" w:line="257" w:lineRule="auto"/>
        <w:rPr>
          <w:sz w:val="20"/>
          <w:szCs w:val="20"/>
          <w:color w:val="auto"/>
        </w:rPr>
      </w:pPr>
      <w:r>
        <w:rPr>
          <w:rFonts w:ascii="Times New Roman" w:cs="Times New Roman" w:eastAsia="Times New Roman" w:hAnsi="Times New Roman"/>
          <w:sz w:val="19"/>
          <w:szCs w:val="19"/>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96" w:lineRule="exact"/>
        <w:rPr>
          <w:sz w:val="20"/>
          <w:szCs w:val="20"/>
          <w:color w:val="auto"/>
        </w:rPr>
      </w:pPr>
    </w:p>
    <w:p>
      <w:pPr>
        <w:ind w:right="80" w:firstLine="349"/>
        <w:spacing w:after="0" w:line="259" w:lineRule="auto"/>
        <w:rPr>
          <w:sz w:val="20"/>
          <w:szCs w:val="20"/>
          <w:color w:val="auto"/>
        </w:rPr>
      </w:pPr>
      <w:r>
        <w:rPr>
          <w:rFonts w:ascii="Times New Roman" w:cs="Times New Roman" w:eastAsia="Times New Roman" w:hAnsi="Times New Roman"/>
          <w:sz w:val="19"/>
          <w:szCs w:val="19"/>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44"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196"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ectPr>
          <w:pgSz w:w="11880" w:h="15480" w:orient="portrait"/>
          <w:cols w:equalWidth="0" w:num="1">
            <w:col w:w="9060"/>
          </w:cols>
          <w:pgMar w:left="1400" w:top="57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ectPr>
          <w:pgSz w:w="11880" w:h="15480" w:orient="portrait"/>
          <w:cols w:equalWidth="0" w:num="1">
            <w:col w:w="9060"/>
          </w:cols>
          <w:pgMar w:left="1400" w:top="577" w:right="1420" w:bottom="0" w:gutter="0" w:footer="0" w:header="0"/>
          <w:type w:val="continuous"/>
        </w:sectPr>
      </w:pPr>
    </w:p>
    <w:bookmarkStart w:id="105" w:name="page106"/>
    <w:bookmarkEnd w:id="105"/>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16" w:lineRule="exact"/>
        <w:rPr>
          <w:sz w:val="20"/>
          <w:szCs w:val="20"/>
          <w:color w:val="auto"/>
        </w:rPr>
      </w:pPr>
    </w:p>
    <w:p>
      <w:pPr>
        <w:ind w:right="60" w:firstLine="349"/>
        <w:spacing w:after="0" w:line="261" w:lineRule="auto"/>
        <w:rPr>
          <w:sz w:val="20"/>
          <w:szCs w:val="20"/>
          <w:color w:val="auto"/>
        </w:rPr>
      </w:pPr>
      <w:r>
        <w:rPr>
          <w:rFonts w:ascii="Times New Roman" w:cs="Times New Roman" w:eastAsia="Times New Roman" w:hAnsi="Times New Roman"/>
          <w:sz w:val="19"/>
          <w:szCs w:val="19"/>
          <w:color w:val="auto"/>
        </w:rPr>
        <w:t>As part of the process of preparing its financial statements, the Company estimates its accrued expenses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Fair Value of Common Stock</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 xml:space="preserve">Prior to becoming a public company, 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Times New Roman" w:cs="Times New Roman" w:eastAsia="Times New Roman" w:hAnsi="Times New Roman"/>
          <w:sz w:val="19"/>
          <w:szCs w:val="19"/>
          <w:b w:val="1"/>
          <w:bCs w:val="1"/>
          <w:i w:val="1"/>
          <w:iCs w:val="1"/>
          <w:color w:val="auto"/>
        </w:rPr>
        <w:t>Valuation of Privately-Held-Company Equity Securities Issued as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Compensation. </w:t>
      </w:r>
      <w:r>
        <w:rPr>
          <w:rFonts w:ascii="Times New Roman" w:cs="Times New Roman" w:eastAsia="Times New Roman" w:hAnsi="Times New Roman"/>
          <w:sz w:val="19"/>
          <w:szCs w:val="19"/>
          <w:color w:val="auto"/>
        </w:rPr>
        <w:t>Determining the best estimated fair value of the Company’s common stock requires significant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judgement and management considers several factors, including the Company’s stage of development, equity market conditions affecting comparable public companies, significant milestones and progress of research and development efforts. Subsequent to the completion of the Business Combination (as defined in Note 1 and further described in Note 3) the fair value of the Company’s common stock is determined by using the closing price per share of common stock as reported on the Nasdaq.</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196" w:lineRule="exact"/>
        <w:rPr>
          <w:sz w:val="20"/>
          <w:szCs w:val="20"/>
          <w:color w:val="auto"/>
        </w:rPr>
      </w:pPr>
    </w:p>
    <w:p>
      <w:pPr>
        <w:ind w:right="100" w:firstLine="349"/>
        <w:spacing w:after="0" w:line="260" w:lineRule="auto"/>
        <w:rPr>
          <w:sz w:val="20"/>
          <w:szCs w:val="20"/>
          <w:color w:val="auto"/>
        </w:rPr>
      </w:pPr>
      <w:r>
        <w:rPr>
          <w:rFonts w:ascii="Times New Roman" w:cs="Times New Roman" w:eastAsia="Times New Roman" w:hAnsi="Times New Roman"/>
          <w:sz w:val="19"/>
          <w:szCs w:val="19"/>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 The Company’s stock-based compensation programs include stock options grants, as well as shares issued under its 2021 Employee Stock Purchase Plan.</w:t>
      </w:r>
    </w:p>
    <w:p>
      <w:pPr>
        <w:spacing w:after="0" w:line="137" w:lineRule="exact"/>
        <w:rPr>
          <w:sz w:val="20"/>
          <w:szCs w:val="20"/>
          <w:color w:val="auto"/>
        </w:rPr>
      </w:pPr>
    </w:p>
    <w:p>
      <w:pPr>
        <w:ind w:right="620" w:firstLine="349"/>
        <w:spacing w:after="0" w:line="293" w:lineRule="auto"/>
        <w:rPr>
          <w:sz w:val="20"/>
          <w:szCs w:val="20"/>
          <w:color w:val="auto"/>
        </w:rPr>
      </w:pPr>
      <w:r>
        <w:rPr>
          <w:rFonts w:ascii="Times New Roman" w:cs="Times New Roman" w:eastAsia="Times New Roman" w:hAnsi="Times New Roman"/>
          <w:sz w:val="19"/>
          <w:szCs w:val="19"/>
          <w:color w:val="auto"/>
        </w:rPr>
        <w:t>The Company calculates the expected term as the mid-point between the requisite service period and the contractual term of the award.</w:t>
      </w:r>
    </w:p>
    <w:p>
      <w:pPr>
        <w:spacing w:after="0" w:line="107" w:lineRule="exact"/>
        <w:rPr>
          <w:sz w:val="20"/>
          <w:szCs w:val="20"/>
          <w:color w:val="auto"/>
        </w:rPr>
      </w:pPr>
    </w:p>
    <w:p>
      <w:pPr>
        <w:ind w:right="340" w:firstLine="349"/>
        <w:spacing w:after="0" w:line="293" w:lineRule="auto"/>
        <w:rPr>
          <w:sz w:val="20"/>
          <w:szCs w:val="20"/>
          <w:color w:val="auto"/>
        </w:rPr>
      </w:pPr>
      <w:r>
        <w:rPr>
          <w:rFonts w:ascii="Times New Roman" w:cs="Times New Roman" w:eastAsia="Times New Roman" w:hAnsi="Times New Roman"/>
          <w:sz w:val="19"/>
          <w:szCs w:val="19"/>
          <w:color w:val="auto"/>
        </w:rPr>
        <w:t>The Company bases its estimate of expected volatility on the historical volatility of comparable public companies from a representative peer group selected based on industry, financial, and market capitalization data.</w:t>
      </w:r>
    </w:p>
    <w:p>
      <w:pPr>
        <w:spacing w:after="0" w:line="107"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The Company has never declared or paid any dividends and does not currently expect to do so in the future. The risk-free interest rate used in the model is based on the implied yield currently available in the U.S. Treasury securities at maturity with an equivalent term.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Comprehensive Loss</w:t>
      </w:r>
    </w:p>
    <w:p>
      <w:pPr>
        <w:spacing w:after="0" w:line="196" w:lineRule="exact"/>
        <w:rPr>
          <w:sz w:val="20"/>
          <w:szCs w:val="20"/>
          <w:color w:val="auto"/>
        </w:rPr>
      </w:pPr>
    </w:p>
    <w:p>
      <w:pPr>
        <w:ind w:right="60" w:firstLine="349"/>
        <w:spacing w:after="0" w:line="274" w:lineRule="auto"/>
        <w:rPr>
          <w:sz w:val="20"/>
          <w:szCs w:val="20"/>
          <w:color w:val="auto"/>
        </w:rPr>
      </w:pPr>
      <w:r>
        <w:rPr>
          <w:rFonts w:ascii="Times New Roman" w:cs="Times New Roman" w:eastAsia="Times New Roman" w:hAnsi="Times New Roman"/>
          <w:sz w:val="19"/>
          <w:szCs w:val="19"/>
          <w:color w:val="auto"/>
        </w:rPr>
        <w:t>Comprehensive loss consists of net loss and other gains or losses affecting stockholders’ equity that, under U.S. GAAP are excluded from net loss. For the years ended December 31, 2022 and 2021, unrealized losses on marketable debt securities were included as components of comprehensive loss.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Net Loss per Share Attributable to Common Stockholders</w:t>
      </w:r>
    </w:p>
    <w:p>
      <w:pPr>
        <w:spacing w:after="0" w:line="196" w:lineRule="exact"/>
        <w:rPr>
          <w:sz w:val="20"/>
          <w:szCs w:val="20"/>
          <w:color w:val="auto"/>
        </w:rPr>
      </w:pPr>
    </w:p>
    <w:p>
      <w:pPr>
        <w:ind w:right="180" w:firstLine="349"/>
        <w:spacing w:after="0" w:line="293" w:lineRule="auto"/>
        <w:rPr>
          <w:sz w:val="20"/>
          <w:szCs w:val="20"/>
          <w:color w:val="auto"/>
        </w:rPr>
      </w:pPr>
      <w:r>
        <w:rPr>
          <w:rFonts w:ascii="Times New Roman" w:cs="Times New Roman" w:eastAsia="Times New Roman" w:hAnsi="Times New Roman"/>
          <w:sz w:val="19"/>
          <w:szCs w:val="19"/>
          <w:color w:val="auto"/>
        </w:rPr>
        <w:t>Basic net loss per common share is calculated by dividing the net loss attributable to common stockholders by the weighted-average number of common stock outstanding during the period, without consideration of potentially</w:t>
      </w: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880" w:h="15480" w:orient="portrait"/>
          <w:cols w:equalWidth="0" w:num="1">
            <w:col w:w="9080"/>
          </w:cols>
          <w:pgMar w:left="1400" w:top="577" w:right="1400" w:bottom="0" w:gutter="0" w:footer="0" w:header="0"/>
          <w:type w:val="continuous"/>
        </w:sectPr>
      </w:pPr>
    </w:p>
    <w:bookmarkStart w:id="106" w:name="page107"/>
    <w:bookmarkEnd w:id="106"/>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w:t>
      </w: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Accounting Pronouncements</w:t>
      </w:r>
    </w:p>
    <w:p>
      <w:pPr>
        <w:spacing w:after="0" w:line="196" w:lineRule="exact"/>
        <w:rPr>
          <w:sz w:val="20"/>
          <w:szCs w:val="20"/>
          <w:color w:val="auto"/>
        </w:rPr>
      </w:pPr>
    </w:p>
    <w:p>
      <w:pPr>
        <w:ind w:right="160" w:firstLine="349"/>
        <w:spacing w:after="0" w:line="263" w:lineRule="auto"/>
        <w:rPr>
          <w:sz w:val="20"/>
          <w:szCs w:val="20"/>
          <w:color w:val="auto"/>
        </w:rPr>
      </w:pPr>
      <w:r>
        <w:rPr>
          <w:rFonts w:ascii="Times New Roman" w:cs="Times New Roman" w:eastAsia="Times New Roman" w:hAnsi="Times New Roman"/>
          <w:sz w:val="19"/>
          <w:szCs w:val="19"/>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Recently Adopted Accounting Standards</w:t>
      </w:r>
    </w:p>
    <w:p>
      <w:pPr>
        <w:spacing w:after="0" w:line="191"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In March 2020, the FASB issued ASU No. 2020-04, “Reference Rate Reform (Topic 848).”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2024.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adopted this guidance effective January 1, 2022 using the prospective method, which did not have a material impact on the Company’s consolidated financial statements.</w:t>
      </w:r>
    </w:p>
    <w:p>
      <w:pPr>
        <w:spacing w:after="0" w:line="135"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 xml:space="preserve">In December 2019, the FASB issued ASU No. 2019-12, </w:t>
      </w:r>
      <w:r>
        <w:rPr>
          <w:rFonts w:ascii="Times New Roman" w:cs="Times New Roman" w:eastAsia="Times New Roman" w:hAnsi="Times New Roman"/>
          <w:sz w:val="19"/>
          <w:szCs w:val="19"/>
          <w:b w:val="1"/>
          <w:bCs w:val="1"/>
          <w:i w:val="1"/>
          <w:iCs w:val="1"/>
          <w:color w:val="auto"/>
        </w:rPr>
        <w:t>“Income Taxes (Topic 740): Simplifying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Accounting for Income Taxes,” </w:t>
      </w:r>
      <w:r>
        <w:rPr>
          <w:rFonts w:ascii="Times New Roman" w:cs="Times New Roman" w:eastAsia="Times New Roman" w:hAnsi="Times New Roman"/>
          <w:sz w:val="19"/>
          <w:szCs w:val="19"/>
          <w:color w:val="auto"/>
        </w:rPr>
        <w:t>which enhances and simplifies various aspects of the income tax accounting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adopted the ASU effective January 1, 2022, with no material impact on the consolidated financial statements.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Recently Issued Accounting Pronouncements</w:t>
      </w:r>
    </w:p>
    <w:p>
      <w:pPr>
        <w:spacing w:after="0" w:line="189"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In June 2016, the FASB issued ASU No. 2016-13, “</w:t>
      </w:r>
      <w:r>
        <w:rPr>
          <w:rFonts w:ascii="Times New Roman" w:cs="Times New Roman" w:eastAsia="Times New Roman" w:hAnsi="Times New Roman"/>
          <w:sz w:val="19"/>
          <w:szCs w:val="19"/>
          <w:b w:val="1"/>
          <w:bCs w:val="1"/>
          <w:i w:val="1"/>
          <w:iCs w:val="1"/>
          <w:color w:val="auto"/>
        </w:rPr>
        <w:t>Financial Instruments- Credit Losses (Topic 326):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Measurement of Credit Losses on Financial Instruments”</w:t>
      </w:r>
      <w:r>
        <w:rPr>
          <w:rFonts w:ascii="Times New Roman" w:cs="Times New Roman" w:eastAsia="Times New Roman" w:hAnsi="Times New Roman"/>
          <w:sz w:val="19"/>
          <w:szCs w:val="19"/>
          <w:color w:val="auto"/>
        </w:rPr>
        <w:t>, which amends existing guidance on the impairment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w:t>
      </w: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880" w:h="15480" w:orient="portrait"/>
          <w:cols w:equalWidth="0" w:num="1">
            <w:col w:w="9080"/>
          </w:cols>
          <w:pgMar w:left="1400" w:top="577" w:right="1400" w:bottom="0" w:gutter="0" w:footer="0" w:header="0"/>
          <w:type w:val="continuous"/>
        </w:sectPr>
      </w:pPr>
    </w:p>
    <w:bookmarkStart w:id="107" w:name="page108"/>
    <w:bookmarkEnd w:id="107"/>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220"/>
        <w:spacing w:after="0" w:line="274" w:lineRule="auto"/>
        <w:rPr>
          <w:sz w:val="20"/>
          <w:szCs w:val="20"/>
          <w:color w:val="auto"/>
        </w:rPr>
      </w:pPr>
      <w:r>
        <w:rPr>
          <w:rFonts w:ascii="Times New Roman" w:cs="Times New Roman" w:eastAsia="Times New Roman" w:hAnsi="Times New Roman"/>
          <w:sz w:val="19"/>
          <w:szCs w:val="19"/>
          <w:color w:val="auto"/>
        </w:rPr>
        <w:t>than-temporary impairment had been recognized before the effective date. This ASU is effective for the Company for its fiscal year ending December 31, 2023. Early adoption is permitted. The Company adopted this ASU on January 1, 2023 and the adoption did not have a material impact on its consolidated financial statements.</w:t>
      </w:r>
    </w:p>
    <w:p>
      <w:pPr>
        <w:spacing w:after="0" w:line="141" w:lineRule="exact"/>
        <w:rPr>
          <w:sz w:val="20"/>
          <w:szCs w:val="20"/>
          <w:color w:val="auto"/>
        </w:rPr>
      </w:pPr>
    </w:p>
    <w:p>
      <w:pPr>
        <w:ind w:left="702" w:hanging="702"/>
        <w:spacing w:after="0"/>
        <w:tabs>
          <w:tab w:leader="none" w:pos="702" w:val="left"/>
        </w:tabs>
        <w:numPr>
          <w:ilvl w:val="0"/>
          <w:numId w:val="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Reverse Recapitalization</w:t>
      </w:r>
    </w:p>
    <w:p>
      <w:pPr>
        <w:spacing w:after="0" w:line="196" w:lineRule="exact"/>
        <w:rPr>
          <w:sz w:val="20"/>
          <w:szCs w:val="20"/>
          <w:color w:val="auto"/>
        </w:rPr>
      </w:pPr>
    </w:p>
    <w:p>
      <w:pPr>
        <w:ind w:left="2" w:right="540" w:firstLine="349"/>
        <w:spacing w:after="0" w:line="293" w:lineRule="auto"/>
        <w:rPr>
          <w:sz w:val="20"/>
          <w:szCs w:val="20"/>
          <w:color w:val="auto"/>
        </w:rPr>
      </w:pPr>
      <w:r>
        <w:rPr>
          <w:rFonts w:ascii="Times New Roman" w:cs="Times New Roman" w:eastAsia="Times New Roman" w:hAnsi="Times New Roman"/>
          <w:sz w:val="19"/>
          <w:szCs w:val="19"/>
          <w:color w:val="auto"/>
        </w:rPr>
        <w:t>On June 9, 2021, Mako Merger Sub merged with Legacy Nautilus, with Legacy Nautilus surviving as the surviving company and as a wholly-owned subsidiary of ARYA.</w:t>
      </w:r>
    </w:p>
    <w:p>
      <w:pPr>
        <w:spacing w:after="0" w:line="107" w:lineRule="exact"/>
        <w:rPr>
          <w:sz w:val="20"/>
          <w:szCs w:val="20"/>
          <w:color w:val="auto"/>
        </w:rPr>
      </w:pPr>
    </w:p>
    <w:p>
      <w:pPr>
        <w:ind w:left="2" w:right="80" w:firstLine="349"/>
        <w:spacing w:after="0" w:line="258" w:lineRule="auto"/>
        <w:rPr>
          <w:sz w:val="20"/>
          <w:szCs w:val="20"/>
          <w:color w:val="auto"/>
        </w:rPr>
      </w:pPr>
      <w:r>
        <w:rPr>
          <w:rFonts w:ascii="Times New Roman" w:cs="Times New Roman" w:eastAsia="Times New Roman" w:hAnsi="Times New Roman"/>
          <w:sz w:val="19"/>
          <w:szCs w:val="19"/>
          <w:color w:val="auto"/>
        </w:rPr>
        <w:t>As a result of the Business Combination, Legacy Nautilus equity holders received an aggregate number of shares of New Nautilus Common Stock equal to (i) $900.0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375" w:lineRule="exact"/>
        <w:rPr>
          <w:sz w:val="20"/>
          <w:szCs w:val="20"/>
          <w:color w:val="auto"/>
        </w:rPr>
      </w:pPr>
    </w:p>
    <w:p>
      <w:pPr>
        <w:ind w:left="2" w:firstLine="349"/>
        <w:spacing w:after="0" w:line="259" w:lineRule="auto"/>
        <w:rPr>
          <w:sz w:val="20"/>
          <w:szCs w:val="20"/>
          <w:color w:val="auto"/>
        </w:rPr>
      </w:pPr>
      <w:r>
        <w:rPr>
          <w:rFonts w:ascii="Times New Roman" w:cs="Times New Roman" w:eastAsia="Times New Roman" w:hAnsi="Times New Roman"/>
          <w:sz w:val="19"/>
          <w:szCs w:val="19"/>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141" w:lineRule="exact"/>
        <w:rPr>
          <w:sz w:val="20"/>
          <w:szCs w:val="20"/>
          <w:color w:val="auto"/>
        </w:rPr>
      </w:pPr>
    </w:p>
    <w:p>
      <w:pPr>
        <w:ind w:left="2" w:right="20" w:firstLine="349"/>
        <w:spacing w:after="0" w:line="265" w:lineRule="auto"/>
        <w:rPr>
          <w:sz w:val="20"/>
          <w:szCs w:val="20"/>
          <w:color w:val="auto"/>
        </w:rPr>
      </w:pPr>
      <w:r>
        <w:rPr>
          <w:rFonts w:ascii="Times New Roman" w:cs="Times New Roman" w:eastAsia="Times New Roman" w:hAnsi="Times New Roman"/>
          <w:sz w:val="19"/>
          <w:szCs w:val="19"/>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 $200.0 million of cash in connection with the PIPE Financing. The Company incurred $8.1 million of transaction costs, consisting of banking, legal, and other professional fees which were recorded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 w:right="520" w:firstLine="349"/>
        <w:spacing w:after="0" w:line="293" w:lineRule="auto"/>
        <w:rPr>
          <w:sz w:val="20"/>
          <w:szCs w:val="20"/>
          <w:color w:val="auto"/>
        </w:rPr>
      </w:pPr>
      <w:r>
        <w:rPr>
          <w:rFonts w:ascii="Times New Roman" w:cs="Times New Roman" w:eastAsia="Times New Roman" w:hAnsi="Times New Roman"/>
          <w:sz w:val="19"/>
          <w:szCs w:val="19"/>
          <w:color w:val="auto"/>
        </w:rPr>
        <w:t>The number of shares of Common Stock issued immediately following the consummation of the Business Combination was:</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105</w:t>
      </w:r>
    </w:p>
    <w:p>
      <w:pPr>
        <w:sectPr>
          <w:pgSz w:w="11880" w:h="15480" w:orient="portrait"/>
          <w:cols w:equalWidth="0" w:num="1">
            <w:col w:w="9082"/>
          </w:cols>
          <w:pgMar w:left="1398" w:top="577" w:right="1400" w:bottom="0" w:gutter="0" w:footer="0" w:header="0"/>
          <w:type w:val="continuous"/>
        </w:sectPr>
      </w:pPr>
    </w:p>
    <w:bookmarkStart w:id="108" w:name="page109"/>
    <w:bookmarkEnd w:id="108"/>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93" w:lineRule="exact"/>
        <w:rPr>
          <w:sz w:val="20"/>
          <w:szCs w:val="20"/>
          <w:color w:val="auto"/>
        </w:rPr>
      </w:pPr>
    </w:p>
    <w:tbl>
      <w:tblPr>
        <w:tblLayout w:type="fixed"/>
        <w:tblInd w:w="402"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15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Number of shares</w:t>
            </w:r>
          </w:p>
        </w:tc>
      </w:tr>
      <w:tr>
        <w:trPr>
          <w:trHeight w:val="283"/>
        </w:trPr>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Common Stock of ARYA outstanding prior to the Business Combination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19,186,500</w:t>
            </w:r>
          </w:p>
        </w:tc>
      </w:tr>
      <w:tr>
        <w:trPr>
          <w:trHeight w:val="309"/>
        </w:trPr>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Less redemption of ARYA shares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(465,363)</w:t>
            </w:r>
          </w:p>
        </w:tc>
      </w:tr>
      <w:tr>
        <w:trPr>
          <w:trHeight w:val="283"/>
        </w:trPr>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Common Stock of ARYA</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18,721,137</w:t>
            </w:r>
          </w:p>
        </w:tc>
      </w:tr>
      <w:tr>
        <w:trPr>
          <w:trHeight w:val="309"/>
        </w:trPr>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Shares issued in PIPE Financing</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20,000,000</w:t>
            </w:r>
          </w:p>
        </w:tc>
      </w:tr>
      <w:tr>
        <w:trPr>
          <w:trHeight w:val="283"/>
        </w:trPr>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Business Combination and PIPE Financing shares</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38,721,137</w:t>
            </w:r>
          </w:p>
        </w:tc>
      </w:tr>
      <w:tr>
        <w:trPr>
          <w:trHeight w:val="309"/>
        </w:trPr>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Legacy Nautilus shares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85,324,118</w:t>
            </w:r>
          </w:p>
        </w:tc>
      </w:tr>
      <w:tr>
        <w:trPr>
          <w:trHeight w:val="266"/>
        </w:trPr>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Total shares of Common Stock immediately after the Business Combination</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124,045,255</w:t>
            </w:r>
          </w:p>
        </w:tc>
      </w:tr>
      <w:tr>
        <w:trPr>
          <w:trHeight w:val="20"/>
        </w:trPr>
        <w:tc>
          <w:tcPr>
            <w:tcW w:w="6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-1390015</wp:posOffset>
            </wp:positionV>
            <wp:extent cx="5332095" cy="1397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a:extLst>
                        <a:ext uri="{28A0092B-C50C-407E-A947-70E740481C1C}"/>
                      </a:extLst>
                    </a:blip>
                    <a:srcRect/>
                    <a:stretch>
                      <a:fillRect/>
                    </a:stretch>
                  </pic:blipFill>
                  <pic:spPr bwMode="auto">
                    <a:xfrm>
                      <a:off x="0" y="0"/>
                      <a:ext cx="5332095" cy="1397000"/>
                    </a:xfrm>
                    <a:prstGeom prst="rect">
                      <a:avLst/>
                    </a:prstGeom>
                    <a:noFill/>
                  </pic:spPr>
                </pic:pic>
              </a:graphicData>
            </a:graphic>
          </wp:anchor>
        </w:drawing>
      </w:r>
    </w:p>
    <w:p>
      <w:pPr>
        <w:spacing w:after="0" w:line="155" w:lineRule="exact"/>
        <w:rPr>
          <w:sz w:val="20"/>
          <w:szCs w:val="20"/>
          <w:color w:val="auto"/>
        </w:rPr>
      </w:pPr>
    </w:p>
    <w:p>
      <w:pPr>
        <w:ind w:left="702" w:hanging="702"/>
        <w:spacing w:after="0"/>
        <w:tabs>
          <w:tab w:leader="none" w:pos="702"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Fair Value Measurements</w:t>
      </w:r>
    </w:p>
    <w:p>
      <w:pPr>
        <w:spacing w:after="0" w:line="196" w:lineRule="exact"/>
        <w:rPr>
          <w:sz w:val="20"/>
          <w:szCs w:val="20"/>
          <w:color w:val="auto"/>
        </w:rPr>
      </w:pPr>
    </w:p>
    <w:p>
      <w:pPr>
        <w:ind w:left="2" w:right="640" w:firstLine="349"/>
        <w:spacing w:after="0" w:line="293" w:lineRule="auto"/>
        <w:rPr>
          <w:sz w:val="20"/>
          <w:szCs w:val="20"/>
          <w:color w:val="auto"/>
        </w:rPr>
      </w:pPr>
      <w:r>
        <w:rPr>
          <w:rFonts w:ascii="Times New Roman" w:cs="Times New Roman" w:eastAsia="Times New Roman" w:hAnsi="Times New Roman"/>
          <w:sz w:val="19"/>
          <w:szCs w:val="19"/>
          <w:color w:val="auto"/>
        </w:rPr>
        <w:t>The following table details the assets carried at fair value and measured on a recurring basis within the three levels of fair value as of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988050" cy="2598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9">
                      <a:extLst>
                        <a:ext uri="{28A0092B-C50C-407E-A947-70E740481C1C}"/>
                      </a:extLst>
                    </a:blip>
                    <a:srcRect/>
                    <a:stretch>
                      <a:fillRect/>
                    </a:stretch>
                  </pic:blipFill>
                  <pic:spPr bwMode="auto">
                    <a:xfrm>
                      <a:off x="0" y="0"/>
                      <a:ext cx="5988050" cy="2598420"/>
                    </a:xfrm>
                    <a:prstGeom prst="rect">
                      <a:avLst/>
                    </a:prstGeom>
                    <a:noFill/>
                  </pic:spPr>
                </pic:pic>
              </a:graphicData>
            </a:graphic>
          </wp:anchor>
        </w:drawing>
      </w:r>
    </w:p>
    <w:p>
      <w:pPr>
        <w:spacing w:after="0" w:line="160" w:lineRule="exact"/>
        <w:rPr>
          <w:sz w:val="20"/>
          <w:szCs w:val="20"/>
          <w:color w:val="auto"/>
        </w:rPr>
      </w:pPr>
    </w:p>
    <w:tbl>
      <w:tblPr>
        <w:tblLayout w:type="fixed"/>
        <w:tblInd w:w="42" w:type="dxa"/>
        <w:tblCellMar>
          <w:top w:w="0" w:type="dxa"/>
          <w:left w:w="0" w:type="dxa"/>
          <w:bottom w:w="0" w:type="dxa"/>
          <w:right w:w="0" w:type="dxa"/>
        </w:tblCellMar>
      </w:tblPr>
      <w:tr>
        <w:trPr>
          <w:trHeight w:val="211"/>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Reported as: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67"/>
              <w:spacing w:after="0" w:line="155" w:lineRule="exact"/>
              <w:rPr>
                <w:sz w:val="20"/>
                <w:szCs w:val="20"/>
                <w:color w:val="auto"/>
              </w:rPr>
            </w:pPr>
            <w:r>
              <w:rPr>
                <w:rFonts w:ascii="Times New Roman" w:cs="Times New Roman" w:eastAsia="Times New Roman" w:hAnsi="Times New Roman"/>
                <w:sz w:val="16"/>
                <w:szCs w:val="16"/>
                <w:b w:val="1"/>
                <w:bCs w:val="1"/>
                <w:color w:val="auto"/>
                <w:w w:val="96"/>
              </w:rPr>
              <w:t>Cash and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Short-term</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4"/>
              </w:rPr>
              <w:t>Long-term</w:t>
            </w:r>
          </w:p>
        </w:tc>
        <w:tc>
          <w:tcPr>
            <w:tcW w:w="0" w:type="dxa"/>
            <w:vAlign w:val="bottom"/>
          </w:tcPr>
          <w:p>
            <w:pPr>
              <w:spacing w:after="0"/>
              <w:rPr>
                <w:sz w:val="1"/>
                <w:szCs w:val="1"/>
                <w:color w:val="auto"/>
              </w:rPr>
            </w:pPr>
          </w:p>
        </w:tc>
      </w:tr>
      <w:tr>
        <w:trPr>
          <w:trHeight w:val="155"/>
        </w:trPr>
        <w:tc>
          <w:tcPr>
            <w:tcW w:w="17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3"/>
                <w:szCs w:val="13"/>
                <w:color w:val="auto"/>
              </w:rPr>
            </w:pPr>
          </w:p>
        </w:tc>
        <w:tc>
          <w:tcPr>
            <w:tcW w:w="860" w:type="dxa"/>
            <w:vAlign w:val="bottom"/>
          </w:tcPr>
          <w:p>
            <w:pPr>
              <w:jc w:val="center"/>
              <w:ind w:right="67"/>
              <w:spacing w:after="0" w:line="155" w:lineRule="exact"/>
              <w:rPr>
                <w:sz w:val="20"/>
                <w:szCs w:val="20"/>
                <w:color w:val="auto"/>
              </w:rPr>
            </w:pPr>
            <w:r>
              <w:rPr>
                <w:rFonts w:ascii="Times New Roman" w:cs="Times New Roman" w:eastAsia="Times New Roman" w:hAnsi="Times New Roman"/>
                <w:sz w:val="16"/>
                <w:szCs w:val="16"/>
                <w:b w:val="1"/>
                <w:bCs w:val="1"/>
                <w:color w:val="auto"/>
                <w:w w:val="99"/>
              </w:rPr>
              <w:t>cash</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equivalents</w:t>
            </w:r>
          </w:p>
        </w:tc>
        <w:tc>
          <w:tcPr>
            <w:tcW w:w="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investments</w:t>
            </w:r>
          </w:p>
        </w:tc>
        <w:tc>
          <w:tcPr>
            <w:tcW w:w="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1</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Mutual funds </w:t>
            </w:r>
            <w:r>
              <w:rPr>
                <w:rFonts w:ascii="Times New Roman" w:cs="Times New Roman" w:eastAsia="Times New Roman" w:hAnsi="Times New Roman"/>
                <w:sz w:val="19"/>
                <w:szCs w:val="19"/>
                <w:color w:val="B4B4B4"/>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5"/>
        </w:trPr>
        <w:tc>
          <w:tcPr>
            <w:tcW w:w="176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U.S. treasury</w:t>
            </w: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52,686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(774)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51,916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2,873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49,043</w:t>
            </w:r>
          </w:p>
        </w:tc>
        <w:tc>
          <w:tcPr>
            <w:tcW w:w="0" w:type="dxa"/>
            <w:vAlign w:val="bottom"/>
          </w:tcPr>
          <w:p>
            <w:pPr>
              <w:spacing w:after="0"/>
              <w:rPr>
                <w:sz w:val="1"/>
                <w:szCs w:val="1"/>
                <w:color w:val="auto"/>
              </w:rPr>
            </w:pPr>
          </w:p>
        </w:tc>
      </w:tr>
      <w:tr>
        <w:trPr>
          <w:trHeight w:val="255"/>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securities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Total Level 1 </w:t>
            </w:r>
            <w:r>
              <w:rPr>
                <w:rFonts w:ascii="Times New Roman" w:cs="Times New Roman" w:eastAsia="Times New Roman" w:hAnsi="Times New Roman"/>
                <w:sz w:val="19"/>
                <w:szCs w:val="19"/>
                <w:color w:val="B4B4B4"/>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53,807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53,037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49,043</w:t>
            </w: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Commercial paper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156,419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156,156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113,402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42,754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9"/>
        </w:trPr>
        <w:tc>
          <w:tcPr>
            <w:tcW w:w="17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Corporate debt</w:t>
            </w: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14,154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14,083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7,224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6,859</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securities </w:t>
            </w:r>
            <w:r>
              <w:rPr>
                <w:rFonts w:ascii="Times New Roman" w:cs="Times New Roman" w:eastAsia="Times New Roman" w:hAnsi="Times New Roman"/>
                <w:sz w:val="19"/>
                <w:szCs w:val="19"/>
                <w:color w:val="B4B4B4"/>
              </w:rPr>
              <w:t>..................</w:t>
            </w: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Agency bonds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91,114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90,364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17,097</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73,267</w:t>
            </w:r>
          </w:p>
        </w:tc>
        <w:tc>
          <w:tcPr>
            <w:tcW w:w="0" w:type="dxa"/>
            <w:vAlign w:val="bottom"/>
          </w:tcPr>
          <w:p>
            <w:pPr>
              <w:spacing w:after="0"/>
              <w:rPr>
                <w:sz w:val="1"/>
                <w:szCs w:val="1"/>
                <w:color w:val="auto"/>
              </w:rPr>
            </w:pPr>
          </w:p>
        </w:tc>
      </w:tr>
      <w:tr>
        <w:trPr>
          <w:trHeight w:val="257"/>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Total Level 2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261,687</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(1,120)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260,603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113,402</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67,075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80,126</w:t>
            </w:r>
          </w:p>
        </w:tc>
        <w:tc>
          <w:tcPr>
            <w:tcW w:w="0" w:type="dxa"/>
            <w:vAlign w:val="bottom"/>
          </w:tcPr>
          <w:p>
            <w:pPr>
              <w:spacing w:after="0"/>
              <w:rPr>
                <w:sz w:val="1"/>
                <w:szCs w:val="1"/>
                <w:color w:val="auto"/>
              </w:rPr>
            </w:pPr>
          </w:p>
        </w:tc>
      </w:tr>
      <w:tr>
        <w:trPr>
          <w:trHeight w:val="176"/>
        </w:trPr>
        <w:tc>
          <w:tcPr>
            <w:tcW w:w="1760" w:type="dxa"/>
            <w:vAlign w:val="bottom"/>
          </w:tcPr>
          <w:p>
            <w:pPr>
              <w:ind w:left="240"/>
              <w:spacing w:after="0" w:line="176" w:lineRule="exact"/>
              <w:rPr>
                <w:sz w:val="20"/>
                <w:szCs w:val="20"/>
                <w:color w:val="auto"/>
              </w:rPr>
            </w:pPr>
            <w:r>
              <w:rPr>
                <w:rFonts w:ascii="Times New Roman" w:cs="Times New Roman" w:eastAsia="Times New Roman" w:hAnsi="Times New Roman"/>
                <w:sz w:val="19"/>
                <w:szCs w:val="19"/>
                <w:color w:val="auto"/>
              </w:rPr>
              <w:t>Total Level 1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315,494</w:t>
            </w:r>
          </w:p>
        </w:tc>
        <w:tc>
          <w:tcPr>
            <w:tcW w:w="60" w:type="dxa"/>
            <w:vAlign w:val="bottom"/>
          </w:tcPr>
          <w:p>
            <w:pPr>
              <w:spacing w:after="0"/>
              <w:rPr>
                <w:sz w:val="15"/>
                <w:szCs w:val="15"/>
                <w:color w:val="auto"/>
              </w:rPr>
            </w:pPr>
          </w:p>
        </w:tc>
        <w:tc>
          <w:tcPr>
            <w:tcW w:w="2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60" w:type="dxa"/>
            <w:vAlign w:val="bottom"/>
            <w:vMerge w:val="restart"/>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(1,894)</w:t>
            </w:r>
          </w:p>
        </w:tc>
        <w:tc>
          <w:tcPr>
            <w:tcW w:w="6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313,640</w:t>
            </w:r>
          </w:p>
        </w:tc>
        <w:tc>
          <w:tcPr>
            <w:tcW w:w="6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114,523</w:t>
            </w:r>
          </w:p>
        </w:tc>
        <w:tc>
          <w:tcPr>
            <w:tcW w:w="6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69,948</w:t>
            </w:r>
          </w:p>
        </w:tc>
        <w:tc>
          <w:tcPr>
            <w:tcW w:w="6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129,169</w:t>
            </w:r>
          </w:p>
        </w:tc>
        <w:tc>
          <w:tcPr>
            <w:tcW w:w="0" w:type="dxa"/>
            <w:vAlign w:val="bottom"/>
          </w:tcPr>
          <w:p>
            <w:pPr>
              <w:spacing w:after="0"/>
              <w:rPr>
                <w:sz w:val="1"/>
                <w:szCs w:val="1"/>
                <w:color w:val="auto"/>
              </w:rPr>
            </w:pPr>
          </w:p>
        </w:tc>
      </w:tr>
      <w:tr>
        <w:trPr>
          <w:trHeight w:val="241"/>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Level 2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Reported as:</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67"/>
              <w:spacing w:after="0" w:line="155" w:lineRule="exact"/>
              <w:rPr>
                <w:sz w:val="20"/>
                <w:szCs w:val="20"/>
                <w:color w:val="auto"/>
              </w:rPr>
            </w:pPr>
            <w:r>
              <w:rPr>
                <w:rFonts w:ascii="Times New Roman" w:cs="Times New Roman" w:eastAsia="Times New Roman" w:hAnsi="Times New Roman"/>
                <w:sz w:val="16"/>
                <w:szCs w:val="16"/>
                <w:b w:val="1"/>
                <w:bCs w:val="1"/>
                <w:color w:val="auto"/>
                <w:w w:val="96"/>
              </w:rPr>
              <w:t>Cash and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Short-term</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4"/>
              </w:rPr>
              <w:t>Long-term</w:t>
            </w:r>
          </w:p>
        </w:tc>
        <w:tc>
          <w:tcPr>
            <w:tcW w:w="0" w:type="dxa"/>
            <w:vAlign w:val="bottom"/>
          </w:tcPr>
          <w:p>
            <w:pPr>
              <w:spacing w:after="0"/>
              <w:rPr>
                <w:sz w:val="1"/>
                <w:szCs w:val="1"/>
                <w:color w:val="auto"/>
              </w:rPr>
            </w:pPr>
          </w:p>
        </w:tc>
      </w:tr>
      <w:tr>
        <w:trPr>
          <w:trHeight w:val="155"/>
        </w:trPr>
        <w:tc>
          <w:tcPr>
            <w:tcW w:w="17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3"/>
                <w:szCs w:val="13"/>
                <w:color w:val="auto"/>
              </w:rPr>
            </w:pPr>
          </w:p>
        </w:tc>
        <w:tc>
          <w:tcPr>
            <w:tcW w:w="860" w:type="dxa"/>
            <w:vAlign w:val="bottom"/>
          </w:tcPr>
          <w:p>
            <w:pPr>
              <w:jc w:val="center"/>
              <w:ind w:right="67"/>
              <w:spacing w:after="0" w:line="155" w:lineRule="exact"/>
              <w:rPr>
                <w:sz w:val="20"/>
                <w:szCs w:val="20"/>
                <w:color w:val="auto"/>
              </w:rPr>
            </w:pPr>
            <w:r>
              <w:rPr>
                <w:rFonts w:ascii="Times New Roman" w:cs="Times New Roman" w:eastAsia="Times New Roman" w:hAnsi="Times New Roman"/>
                <w:sz w:val="16"/>
                <w:szCs w:val="16"/>
                <w:b w:val="1"/>
                <w:bCs w:val="1"/>
                <w:color w:val="auto"/>
                <w:w w:val="99"/>
              </w:rPr>
              <w:t>cash</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equivalents</w:t>
            </w:r>
          </w:p>
        </w:tc>
        <w:tc>
          <w:tcPr>
            <w:tcW w:w="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investments</w:t>
            </w:r>
          </w:p>
        </w:tc>
        <w:tc>
          <w:tcPr>
            <w:tcW w:w="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1</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Mutual funds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9"/>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U.S. treasury bills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15,156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15,136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15,136</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4"/>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Total Level 1 </w:t>
            </w:r>
            <w:r>
              <w:rPr>
                <w:rFonts w:ascii="Times New Roman" w:cs="Times New Roman" w:eastAsia="Times New Roman" w:hAnsi="Times New Roman"/>
                <w:sz w:val="19"/>
                <w:szCs w:val="19"/>
                <w:color w:val="B4B4B4"/>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37,081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37,061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21,925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15,136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Commercial paper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301,906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301,818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163,694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138,124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9"/>
        </w:trPr>
        <w:tc>
          <w:tcPr>
            <w:tcW w:w="17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Corporate debt</w:t>
            </w: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14,299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14,263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6,850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7,413</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securities </w:t>
            </w:r>
            <w:r>
              <w:rPr>
                <w:rFonts w:ascii="Times New Roman" w:cs="Times New Roman" w:eastAsia="Times New Roman" w:hAnsi="Times New Roman"/>
                <w:sz w:val="19"/>
                <w:szCs w:val="19"/>
                <w:color w:val="B4B4B4"/>
              </w:rPr>
              <w:t>..................</w:t>
            </w: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Agency bonds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8,998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8,958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8,958</w:t>
            </w:r>
          </w:p>
        </w:tc>
        <w:tc>
          <w:tcPr>
            <w:tcW w:w="0" w:type="dxa"/>
            <w:vAlign w:val="bottom"/>
          </w:tcPr>
          <w:p>
            <w:pPr>
              <w:spacing w:after="0"/>
              <w:rPr>
                <w:sz w:val="1"/>
                <w:szCs w:val="1"/>
                <w:color w:val="auto"/>
              </w:rPr>
            </w:pPr>
          </w:p>
        </w:tc>
      </w:tr>
      <w:tr>
        <w:trPr>
          <w:trHeight w:val="257"/>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Total Level 2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325,203</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325,039</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163,694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144,974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16,371</w:t>
            </w:r>
          </w:p>
        </w:tc>
        <w:tc>
          <w:tcPr>
            <w:tcW w:w="0" w:type="dxa"/>
            <w:vAlign w:val="bottom"/>
          </w:tcPr>
          <w:p>
            <w:pPr>
              <w:spacing w:after="0"/>
              <w:rPr>
                <w:sz w:val="1"/>
                <w:szCs w:val="1"/>
                <w:color w:val="auto"/>
              </w:rPr>
            </w:pPr>
          </w:p>
        </w:tc>
      </w:tr>
      <w:tr>
        <w:trPr>
          <w:trHeight w:val="176"/>
        </w:trPr>
        <w:tc>
          <w:tcPr>
            <w:tcW w:w="1760" w:type="dxa"/>
            <w:vAlign w:val="bottom"/>
          </w:tcPr>
          <w:p>
            <w:pPr>
              <w:ind w:left="240"/>
              <w:spacing w:after="0" w:line="176" w:lineRule="exact"/>
              <w:rPr>
                <w:sz w:val="20"/>
                <w:szCs w:val="20"/>
                <w:color w:val="auto"/>
              </w:rPr>
            </w:pPr>
            <w:r>
              <w:rPr>
                <w:rFonts w:ascii="Times New Roman" w:cs="Times New Roman" w:eastAsia="Times New Roman" w:hAnsi="Times New Roman"/>
                <w:sz w:val="19"/>
                <w:szCs w:val="19"/>
                <w:color w:val="auto"/>
              </w:rPr>
              <w:t>Total Level 1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362,284</w:t>
            </w:r>
          </w:p>
        </w:tc>
        <w:tc>
          <w:tcPr>
            <w:tcW w:w="60" w:type="dxa"/>
            <w:vAlign w:val="bottom"/>
          </w:tcPr>
          <w:p>
            <w:pPr>
              <w:spacing w:after="0"/>
              <w:rPr>
                <w:sz w:val="15"/>
                <w:szCs w:val="15"/>
                <w:color w:val="auto"/>
              </w:rPr>
            </w:pPr>
          </w:p>
        </w:tc>
        <w:tc>
          <w:tcPr>
            <w:tcW w:w="2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362,100</w:t>
            </w:r>
          </w:p>
        </w:tc>
        <w:tc>
          <w:tcPr>
            <w:tcW w:w="6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185,619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160,110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16,371</w:t>
            </w:r>
          </w:p>
        </w:tc>
        <w:tc>
          <w:tcPr>
            <w:tcW w:w="0" w:type="dxa"/>
            <w:vAlign w:val="bottom"/>
          </w:tcPr>
          <w:p>
            <w:pPr>
              <w:spacing w:after="0"/>
              <w:rPr>
                <w:sz w:val="1"/>
                <w:szCs w:val="1"/>
                <w:color w:val="auto"/>
              </w:rPr>
            </w:pPr>
          </w:p>
        </w:tc>
      </w:tr>
      <w:tr>
        <w:trPr>
          <w:trHeight w:val="236"/>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Level 2 </w:t>
            </w:r>
            <w:r>
              <w:rPr>
                <w:rFonts w:ascii="Times New Roman" w:cs="Times New Roman" w:eastAsia="Times New Roman" w:hAnsi="Times New Roman"/>
                <w:sz w:val="19"/>
                <w:szCs w:val="19"/>
                <w:color w:val="B4B4B4"/>
              </w:rPr>
              <w:t>................</w:t>
            </w:r>
          </w:p>
        </w:tc>
        <w:tc>
          <w:tcPr>
            <w:tcW w:w="1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-2499360</wp:posOffset>
            </wp:positionV>
            <wp:extent cx="5988050" cy="25063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0">
                      <a:extLst>
                        <a:ext uri="{28A0092B-C50C-407E-A947-70E740481C1C}"/>
                      </a:extLst>
                    </a:blip>
                    <a:srcRect/>
                    <a:stretch>
                      <a:fillRect/>
                    </a:stretch>
                  </pic:blipFill>
                  <pic:spPr bwMode="auto">
                    <a:xfrm>
                      <a:off x="0" y="0"/>
                      <a:ext cx="5988050" cy="2506345"/>
                    </a:xfrm>
                    <a:prstGeom prst="rect">
                      <a:avLst/>
                    </a:prstGeom>
                    <a:noFill/>
                  </pic:spPr>
                </pic:pic>
              </a:graphicData>
            </a:graphic>
          </wp:anchor>
        </w:drawing>
      </w:r>
    </w:p>
    <w:p>
      <w:pPr>
        <w:sectPr>
          <w:pgSz w:w="11880" w:h="15480" w:orient="portrait"/>
          <w:cols w:equalWidth="0" w:num="1">
            <w:col w:w="9382"/>
          </w:cols>
          <w:pgMar w:left="1398" w:top="57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7"/>
          <w:szCs w:val="17"/>
          <w:color w:val="auto"/>
        </w:rPr>
        <w:t>106</w:t>
      </w:r>
    </w:p>
    <w:p>
      <w:pPr>
        <w:sectPr>
          <w:pgSz w:w="11880" w:h="15480" w:orient="portrait"/>
          <w:cols w:equalWidth="0" w:num="1">
            <w:col w:w="9382"/>
          </w:cols>
          <w:pgMar w:left="1398" w:top="577" w:right="1100" w:bottom="0" w:gutter="0" w:footer="0" w:header="0"/>
          <w:type w:val="continuous"/>
        </w:sectPr>
      </w:pPr>
    </w:p>
    <w:bookmarkStart w:id="109" w:name="page110"/>
    <w:bookmarkEnd w:id="109"/>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Contractual maturities of short-term investments as of December 31, 2022 and 2021 are due in one year or less.</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Contractual maturities of long-term investments as of December 31, 2022 are due after 1 year through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5794375" cy="1563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1">
                      <a:extLst>
                        <a:ext uri="{28A0092B-C50C-407E-A947-70E740481C1C}"/>
                      </a:extLst>
                    </a:blip>
                    <a:srcRect/>
                    <a:stretch>
                      <a:fillRect/>
                    </a:stretch>
                  </pic:blipFill>
                  <pic:spPr bwMode="auto">
                    <a:xfrm>
                      <a:off x="0" y="0"/>
                      <a:ext cx="5794375" cy="1563370"/>
                    </a:xfrm>
                    <a:prstGeom prst="rect">
                      <a:avLst/>
                    </a:prstGeom>
                    <a:noFill/>
                  </pic:spPr>
                </pic:pic>
              </a:graphicData>
            </a:graphic>
          </wp:anchor>
        </w:drawing>
      </w:r>
    </w:p>
    <w:p>
      <w:pPr>
        <w:spacing w:after="0" w:line="288"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120" w:type="dxa"/>
            <w:vAlign w:val="bottom"/>
            <w:gridSpan w:val="5"/>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Securities in Unrealized Loss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4"/>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Securities in Unrealized Loss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vMerge w:val="continue"/>
          </w:tcPr>
          <w:p>
            <w:pPr>
              <w:spacing w:after="0"/>
              <w:rPr>
                <w:sz w:val="18"/>
                <w:szCs w:val="18"/>
                <w:color w:val="auto"/>
              </w:rPr>
            </w:pPr>
          </w:p>
        </w:tc>
        <w:tc>
          <w:tcPr>
            <w:tcW w:w="2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Position Less than 12 months</w:t>
            </w:r>
          </w:p>
        </w:tc>
        <w:tc>
          <w:tcPr>
            <w:tcW w:w="60" w:type="dxa"/>
            <w:vAlign w:val="bottom"/>
          </w:tcPr>
          <w:p>
            <w:pPr>
              <w:spacing w:after="0"/>
              <w:rPr>
                <w:sz w:val="18"/>
                <w:szCs w:val="18"/>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Position Greater than 12 months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0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2"/>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10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170"/>
              <w:spacing w:after="0" w:line="155" w:lineRule="exact"/>
              <w:rPr>
                <w:sz w:val="20"/>
                <w:szCs w:val="20"/>
                <w:color w:val="auto"/>
              </w:rPr>
            </w:pPr>
            <w:r>
              <w:rPr>
                <w:rFonts w:ascii="Times New Roman" w:cs="Times New Roman" w:eastAsia="Times New Roman" w:hAnsi="Times New Roman"/>
                <w:sz w:val="16"/>
                <w:szCs w:val="16"/>
                <w:b w:val="1"/>
                <w:bCs w:val="1"/>
                <w:color w:val="auto"/>
              </w:rPr>
              <w:t>Gross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70"/>
              <w:spacing w:after="0" w:line="155"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155"/>
        </w:trPr>
        <w:tc>
          <w:tcPr>
            <w:tcW w:w="2720" w:type="dxa"/>
            <w:vAlign w:val="bottom"/>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Pr>
          <w:p>
            <w:pPr>
              <w:spacing w:after="0"/>
              <w:rPr>
                <w:sz w:val="13"/>
                <w:szCs w:val="13"/>
                <w:color w:val="auto"/>
              </w:rPr>
            </w:pPr>
          </w:p>
        </w:tc>
        <w:tc>
          <w:tcPr>
            <w:tcW w:w="880" w:type="dxa"/>
            <w:vAlign w:val="bottom"/>
          </w:tcPr>
          <w:p>
            <w:pPr>
              <w:jc w:val="center"/>
              <w:ind w:right="70"/>
              <w:spacing w:after="0" w:line="155"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2"/>
              <w:spacing w:after="0" w:line="155"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50"/>
              <w:spacing w:after="0" w:line="155"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0" w:type="dxa"/>
            <w:vAlign w:val="bottom"/>
          </w:tcPr>
          <w:p>
            <w:pPr>
              <w:spacing w:after="0"/>
              <w:rPr>
                <w:sz w:val="1"/>
                <w:szCs w:val="1"/>
                <w:color w:val="auto"/>
              </w:rPr>
            </w:pPr>
          </w:p>
        </w:tc>
      </w:tr>
      <w:tr>
        <w:trPr>
          <w:trHeight w:val="208"/>
        </w:trPr>
        <w:tc>
          <w:tcPr>
            <w:tcW w:w="27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54"/>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U.S. treasury securities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774</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49,114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49,114</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Commercial paper</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151,354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151,354</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Corporate debt securities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6,859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14,083</w:t>
            </w:r>
          </w:p>
        </w:tc>
        <w:tc>
          <w:tcPr>
            <w:tcW w:w="0" w:type="dxa"/>
            <w:vAlign w:val="bottom"/>
          </w:tcPr>
          <w:p>
            <w:pPr>
              <w:spacing w:after="0"/>
              <w:rPr>
                <w:sz w:val="1"/>
                <w:szCs w:val="1"/>
                <w:color w:val="auto"/>
              </w:rPr>
            </w:pPr>
          </w:p>
        </w:tc>
      </w:tr>
      <w:tr>
        <w:trPr>
          <w:trHeight w:val="279"/>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Agency bonds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50,531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8,887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783</w:t>
            </w: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59,418</w:t>
            </w: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1,724</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257,858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16,111</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273,969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9"/>
          <w:szCs w:val="19"/>
          <w:color w:val="auto"/>
        </w:rPr>
        <w:t>There were no continuous unrealized loss positions in excess of twelve months as of December 31, 2021.</w:t>
      </w:r>
    </w:p>
    <w:p>
      <w:pPr>
        <w:spacing w:after="0" w:line="205" w:lineRule="exact"/>
        <w:rPr>
          <w:sz w:val="20"/>
          <w:szCs w:val="20"/>
          <w:color w:val="auto"/>
        </w:rPr>
      </w:pPr>
    </w:p>
    <w:p>
      <w:pPr>
        <w:ind w:left="2" w:right="2640" w:hanging="2"/>
        <w:spacing w:after="0" w:line="451" w:lineRule="auto"/>
        <w:tabs>
          <w:tab w:leader="none" w:pos="701" w:val="left"/>
        </w:tabs>
        <w:numPr>
          <w:ilvl w:val="0"/>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Composition of Certain Consolidated Financial Statement Line Items Property and Equipment, Net</w:t>
      </w:r>
    </w:p>
    <w:p>
      <w:pPr>
        <w:spacing w:after="0" w:line="1"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Property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18681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2">
                      <a:extLst>
                        <a:ext uri="{28A0092B-C50C-407E-A947-70E740481C1C}"/>
                      </a:extLst>
                    </a:blip>
                    <a:srcRect/>
                    <a:stretch>
                      <a:fillRect/>
                    </a:stretch>
                  </pic:blipFill>
                  <pic:spPr bwMode="auto">
                    <a:xfrm>
                      <a:off x="0" y="0"/>
                      <a:ext cx="5794375" cy="1868170"/>
                    </a:xfrm>
                    <a:prstGeom prst="rect">
                      <a:avLst/>
                    </a:prstGeom>
                    <a:noFill/>
                  </pic:spPr>
                </pic:pic>
              </a:graphicData>
            </a:graphic>
          </wp:anchor>
        </w:drawing>
      </w:r>
    </w:p>
    <w:p>
      <w:pPr>
        <w:spacing w:after="0" w:line="221"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Laboratory equipment</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4,892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4,032</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Leasehold improvements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Computer hardware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Furniture, fixtures and office equipment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0" w:type="dxa"/>
            <w:vAlign w:val="bottom"/>
          </w:tcPr>
          <w:p>
            <w:pPr>
              <w:spacing w:after="0"/>
              <w:rPr>
                <w:sz w:val="1"/>
                <w:szCs w:val="1"/>
                <w:color w:val="auto"/>
              </w:rPr>
            </w:pPr>
          </w:p>
        </w:tc>
      </w:tr>
      <w:tr>
        <w:trPr>
          <w:trHeight w:val="282"/>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Prototype equipment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5"/>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Construction in progress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1,235</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279</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6,663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4,477</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Less: Accumulated depreciation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(2,963)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(1,994)</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2" w:right="20" w:firstLine="349"/>
        <w:spacing w:after="0" w:line="293" w:lineRule="auto"/>
        <w:rPr>
          <w:sz w:val="20"/>
          <w:szCs w:val="20"/>
          <w:color w:val="auto"/>
        </w:rPr>
      </w:pPr>
      <w:r>
        <w:rPr>
          <w:rFonts w:ascii="Times New Roman" w:cs="Times New Roman" w:eastAsia="Times New Roman" w:hAnsi="Times New Roman"/>
          <w:sz w:val="19"/>
          <w:szCs w:val="19"/>
          <w:color w:val="auto"/>
        </w:rPr>
        <w:t>The Company recorded $1.2 million and $1.0 million of depreciation expense for the years ended December 31, 2022 and 2021, respectively, which was primarily allocated to research and development expense.</w:t>
      </w:r>
    </w:p>
    <w:p>
      <w:pPr>
        <w:spacing w:after="0" w:line="10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Other Long-term Assets</w:t>
      </w:r>
    </w:p>
    <w:p>
      <w:pPr>
        <w:spacing w:after="0" w:line="19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Other long-term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8140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3">
                      <a:extLst>
                        <a:ext uri="{28A0092B-C50C-407E-A947-70E740481C1C}"/>
                      </a:extLst>
                    </a:blip>
                    <a:srcRect/>
                    <a:stretch>
                      <a:fillRect/>
                    </a:stretch>
                  </pic:blipFill>
                  <pic:spPr bwMode="auto">
                    <a:xfrm>
                      <a:off x="0" y="0"/>
                      <a:ext cx="5794375" cy="814070"/>
                    </a:xfrm>
                    <a:prstGeom prst="rect">
                      <a:avLst/>
                    </a:prstGeom>
                    <a:noFill/>
                  </pic:spPr>
                </pic:pic>
              </a:graphicData>
            </a:graphic>
          </wp:anchor>
        </w:drawing>
      </w:r>
    </w:p>
    <w:p>
      <w:pPr>
        <w:spacing w:after="0" w:line="221"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vMerge w:val="restart"/>
          </w:tcPr>
          <w:p>
            <w:pPr>
              <w:jc w:val="right"/>
              <w:ind w:right="5468"/>
              <w:spacing w:after="0"/>
              <w:rPr>
                <w:sz w:val="20"/>
                <w:szCs w:val="20"/>
                <w:color w:val="auto"/>
              </w:rPr>
            </w:pPr>
            <w:r>
              <w:rPr>
                <w:rFonts w:ascii="Times New Roman" w:cs="Times New Roman" w:eastAsia="Times New Roman" w:hAnsi="Times New Roman"/>
                <w:sz w:val="16"/>
                <w:szCs w:val="16"/>
                <w:b w:val="1"/>
                <w:bCs w:val="1"/>
                <w:i w:val="1"/>
                <w:iCs w:val="1"/>
                <w:color w:val="auto"/>
                <w:w w:val="92"/>
              </w:rPr>
              <w:t>(in thousands)</w:t>
            </w:r>
          </w:p>
        </w:tc>
        <w:tc>
          <w:tcPr>
            <w:tcW w:w="160" w:type="dxa"/>
            <w:vAlign w:val="bottom"/>
          </w:tcPr>
          <w:p>
            <w:pPr>
              <w:spacing w:after="0"/>
              <w:rPr>
                <w:sz w:val="16"/>
                <w:szCs w:val="16"/>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54"/>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Restricted cash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842</w:t>
            </w:r>
          </w:p>
        </w:tc>
        <w:tc>
          <w:tcPr>
            <w:tcW w:w="0" w:type="dxa"/>
            <w:vAlign w:val="bottom"/>
          </w:tcPr>
          <w:p>
            <w:pPr>
              <w:spacing w:after="0"/>
              <w:rPr>
                <w:sz w:val="1"/>
                <w:szCs w:val="1"/>
                <w:color w:val="auto"/>
              </w:rPr>
            </w:pPr>
          </w:p>
        </w:tc>
      </w:tr>
      <w:tr>
        <w:trPr>
          <w:trHeight w:val="279"/>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Deposits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155</w:t>
            </w:r>
          </w:p>
        </w:tc>
        <w:tc>
          <w:tcPr>
            <w:tcW w:w="0" w:type="dxa"/>
            <w:vAlign w:val="bottom"/>
          </w:tcPr>
          <w:p>
            <w:pPr>
              <w:spacing w:after="0"/>
              <w:rPr>
                <w:sz w:val="1"/>
                <w:szCs w:val="1"/>
                <w:color w:val="auto"/>
              </w:rPr>
            </w:pPr>
          </w:p>
        </w:tc>
      </w:tr>
      <w:tr>
        <w:trPr>
          <w:trHeight w:val="23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1,108</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107</w:t>
      </w:r>
    </w:p>
    <w:p>
      <w:pPr>
        <w:sectPr>
          <w:pgSz w:w="11880" w:h="15480" w:orient="portrait"/>
          <w:cols w:equalWidth="0" w:num="1">
            <w:col w:w="9082"/>
          </w:cols>
          <w:pgMar w:left="1398" w:top="577" w:right="1400" w:bottom="0" w:gutter="0" w:footer="0" w:header="0"/>
          <w:type w:val="continuous"/>
        </w:sectPr>
      </w:pPr>
    </w:p>
    <w:bookmarkStart w:id="110" w:name="page111"/>
    <w:bookmarkEnd w:id="110"/>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Accrued Expenses and Other Liabilities</w:t>
      </w:r>
    </w:p>
    <w:p>
      <w:pPr>
        <w:spacing w:after="0" w:line="19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Accrued expenses and other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1341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4">
                      <a:extLst>
                        <a:ext uri="{28A0092B-C50C-407E-A947-70E740481C1C}"/>
                      </a:extLst>
                    </a:blip>
                    <a:srcRect/>
                    <a:stretch>
                      <a:fillRect/>
                    </a:stretch>
                  </pic:blipFill>
                  <pic:spPr bwMode="auto">
                    <a:xfrm>
                      <a:off x="0" y="0"/>
                      <a:ext cx="5794375" cy="1341120"/>
                    </a:xfrm>
                    <a:prstGeom prst="rect">
                      <a:avLst/>
                    </a:prstGeom>
                    <a:noFill/>
                  </pic:spPr>
                </pic:pic>
              </a:graphicData>
            </a:graphic>
          </wp:anchor>
        </w:drawing>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6500" w:type="dxa"/>
            <w:vAlign w:val="bottom"/>
            <w:gridSpan w:val="2"/>
            <w:vMerge w:val="restart"/>
          </w:tcPr>
          <w:p>
            <w:pPr>
              <w:jc w:val="right"/>
              <w:ind w:right="5463"/>
              <w:spacing w:after="0"/>
              <w:rPr>
                <w:sz w:val="20"/>
                <w:szCs w:val="20"/>
                <w:color w:val="auto"/>
              </w:rPr>
            </w:pPr>
            <w:r>
              <w:rPr>
                <w:rFonts w:ascii="Times New Roman" w:cs="Times New Roman" w:eastAsia="Times New Roman" w:hAnsi="Times New Roman"/>
                <w:sz w:val="16"/>
                <w:szCs w:val="16"/>
                <w:b w:val="1"/>
                <w:bCs w:val="1"/>
                <w:i w:val="1"/>
                <w:iCs w:val="1"/>
                <w:color w:val="auto"/>
                <w:w w:val="96"/>
              </w:rPr>
              <w:t>(in thousands)</w:t>
            </w:r>
          </w:p>
        </w:tc>
        <w:tc>
          <w:tcPr>
            <w:tcW w:w="160" w:type="dxa"/>
            <w:vAlign w:val="bottom"/>
          </w:tcPr>
          <w:p>
            <w:pPr>
              <w:spacing w:after="0"/>
              <w:rPr>
                <w:sz w:val="16"/>
                <w:szCs w:val="16"/>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50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254"/>
        </w:trPr>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000000"/>
              </w:rPr>
              <w:t>Employeecompensation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1,465</w:t>
            </w:r>
          </w:p>
        </w:tc>
        <w:tc>
          <w:tcPr>
            <w:tcW w:w="0" w:type="dxa"/>
            <w:vAlign w:val="bottom"/>
          </w:tcPr>
          <w:p>
            <w:pPr>
              <w:spacing w:after="0"/>
              <w:rPr>
                <w:sz w:val="1"/>
                <w:szCs w:val="1"/>
                <w:color w:val="auto"/>
              </w:rPr>
            </w:pPr>
          </w:p>
        </w:tc>
      </w:tr>
      <w:tr>
        <w:trPr>
          <w:trHeight w:val="277"/>
        </w:trPr>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xml:space="preserve">Accrued research and development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518</w:t>
            </w:r>
          </w:p>
        </w:tc>
        <w:tc>
          <w:tcPr>
            <w:tcW w:w="0" w:type="dxa"/>
            <w:vAlign w:val="bottom"/>
          </w:tcPr>
          <w:p>
            <w:pPr>
              <w:spacing w:after="0"/>
              <w:rPr>
                <w:sz w:val="1"/>
                <w:szCs w:val="1"/>
                <w:color w:val="auto"/>
              </w:rPr>
            </w:pPr>
          </w:p>
        </w:tc>
      </w:tr>
      <w:tr>
        <w:trPr>
          <w:trHeight w:val="277"/>
        </w:trPr>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xml:space="preserve">Accrued professional and consulting fees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411</w:t>
            </w:r>
          </w:p>
        </w:tc>
        <w:tc>
          <w:tcPr>
            <w:tcW w:w="0" w:type="dxa"/>
            <w:vAlign w:val="bottom"/>
          </w:tcPr>
          <w:p>
            <w:pPr>
              <w:spacing w:after="0"/>
              <w:rPr>
                <w:sz w:val="1"/>
                <w:szCs w:val="1"/>
                <w:color w:val="auto"/>
              </w:rPr>
            </w:pPr>
          </w:p>
        </w:tc>
      </w:tr>
      <w:tr>
        <w:trPr>
          <w:trHeight w:val="277"/>
        </w:trPr>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xml:space="preserve">Accrued facilities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337</w:t>
            </w:r>
          </w:p>
        </w:tc>
        <w:tc>
          <w:tcPr>
            <w:tcW w:w="0" w:type="dxa"/>
            <w:vAlign w:val="bottom"/>
          </w:tcPr>
          <w:p>
            <w:pPr>
              <w:spacing w:after="0"/>
              <w:rPr>
                <w:sz w:val="1"/>
                <w:szCs w:val="1"/>
                <w:color w:val="auto"/>
              </w:rPr>
            </w:pPr>
          </w:p>
        </w:tc>
      </w:tr>
      <w:tr>
        <w:trPr>
          <w:trHeight w:val="279"/>
        </w:trPr>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388</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6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3,528</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3,119</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Cash, Cash Equivalents and Restricted Cash</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5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20" w:type="dxa"/>
            <w:vAlign w:val="bottom"/>
          </w:tcPr>
          <w:p>
            <w:pPr>
              <w:spacing w:after="0"/>
              <w:rPr>
                <w:sz w:val="24"/>
                <w:szCs w:val="24"/>
                <w:color w:val="auto"/>
              </w:rPr>
            </w:pPr>
          </w:p>
        </w:tc>
        <w:tc>
          <w:tcPr>
            <w:tcW w:w="6280" w:type="dxa"/>
            <w:vAlign w:val="bottom"/>
          </w:tcPr>
          <w:p>
            <w:pPr>
              <w:jc w:val="right"/>
              <w:ind w:right="683"/>
              <w:spacing w:after="0"/>
              <w:rPr>
                <w:sz w:val="20"/>
                <w:szCs w:val="20"/>
                <w:color w:val="auto"/>
              </w:rPr>
            </w:pPr>
            <w:r>
              <w:rPr>
                <w:rFonts w:ascii="Times New Roman" w:cs="Times New Roman" w:eastAsia="Times New Roman" w:hAnsi="Times New Roman"/>
                <w:sz w:val="19"/>
                <w:szCs w:val="19"/>
                <w:color w:val="auto"/>
              </w:rPr>
              <w:t>Cash, cash equivalents and restricted cash consisted of the following: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500" w:type="dxa"/>
            <w:vAlign w:val="bottom"/>
            <w:gridSpan w:val="2"/>
            <w:vMerge w:val="restart"/>
          </w:tcPr>
          <w:p>
            <w:pPr>
              <w:jc w:val="right"/>
              <w:ind w:right="5463"/>
              <w:spacing w:after="0"/>
              <w:rPr>
                <w:sz w:val="20"/>
                <w:szCs w:val="20"/>
                <w:color w:val="auto"/>
              </w:rPr>
            </w:pPr>
            <w:r>
              <w:rPr>
                <w:rFonts w:ascii="Times New Roman" w:cs="Times New Roman" w:eastAsia="Times New Roman" w:hAnsi="Times New Roman"/>
                <w:sz w:val="16"/>
                <w:szCs w:val="16"/>
                <w:b w:val="1"/>
                <w:bCs w:val="1"/>
                <w:i w:val="1"/>
                <w:iCs w:val="1"/>
                <w:color w:val="auto"/>
                <w:w w:val="96"/>
              </w:rPr>
              <w:t>(in thousands)</w:t>
            </w:r>
          </w:p>
        </w:tc>
        <w:tc>
          <w:tcPr>
            <w:tcW w:w="160" w:type="dxa"/>
            <w:vAlign w:val="bottom"/>
          </w:tcPr>
          <w:p>
            <w:pPr>
              <w:spacing w:after="0"/>
              <w:rPr>
                <w:sz w:val="24"/>
                <w:szCs w:val="24"/>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50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254"/>
        </w:trPr>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000000"/>
              </w:rPr>
              <w:t>Cashandcashequivalents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114,523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185,619</w:t>
            </w:r>
          </w:p>
        </w:tc>
        <w:tc>
          <w:tcPr>
            <w:tcW w:w="0" w:type="dxa"/>
            <w:vAlign w:val="bottom"/>
          </w:tcPr>
          <w:p>
            <w:pPr>
              <w:spacing w:after="0"/>
              <w:rPr>
                <w:sz w:val="1"/>
                <w:szCs w:val="1"/>
                <w:color w:val="auto"/>
              </w:rPr>
            </w:pPr>
          </w:p>
        </w:tc>
      </w:tr>
      <w:tr>
        <w:trPr>
          <w:trHeight w:val="279"/>
        </w:trPr>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xml:space="preserve">Restricted cash included in other long-term assets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842</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6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115,477</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186,461</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6.</w:t>
            </w:r>
          </w:p>
        </w:tc>
        <w:tc>
          <w:tcPr>
            <w:tcW w:w="6280" w:type="dxa"/>
            <w:vAlign w:val="bottom"/>
            <w:vMerge w:val="restart"/>
          </w:tcPr>
          <w:p>
            <w:pPr>
              <w:jc w:val="right"/>
              <w:ind w:right="2303"/>
              <w:spacing w:after="0"/>
              <w:rPr>
                <w:sz w:val="20"/>
                <w:szCs w:val="20"/>
                <w:color w:val="auto"/>
              </w:rPr>
            </w:pPr>
            <w:r>
              <w:rPr>
                <w:rFonts w:ascii="Times New Roman" w:cs="Times New Roman" w:eastAsia="Times New Roman" w:hAnsi="Times New Roman"/>
                <w:sz w:val="19"/>
                <w:szCs w:val="19"/>
                <w:b w:val="1"/>
                <w:bCs w:val="1"/>
                <w:color w:val="auto"/>
              </w:rPr>
              <w:t>Redeemable Convertible Preferred Stock</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20" w:type="dxa"/>
            <w:vAlign w:val="bottom"/>
            <w:vMerge w:val="continue"/>
          </w:tcPr>
          <w:p>
            <w:pPr>
              <w:spacing w:after="0"/>
              <w:rPr>
                <w:sz w:val="24"/>
                <w:szCs w:val="24"/>
                <w:color w:val="auto"/>
              </w:rPr>
            </w:pPr>
          </w:p>
        </w:tc>
        <w:tc>
          <w:tcPr>
            <w:tcW w:w="6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-1096010</wp:posOffset>
            </wp:positionV>
            <wp:extent cx="5794375" cy="814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5">
                      <a:extLst>
                        <a:ext uri="{28A0092B-C50C-407E-A947-70E740481C1C}"/>
                      </a:extLst>
                    </a:blip>
                    <a:srcRect/>
                    <a:stretch>
                      <a:fillRect/>
                    </a:stretch>
                  </pic:blipFill>
                  <pic:spPr bwMode="auto">
                    <a:xfrm>
                      <a:off x="0" y="0"/>
                      <a:ext cx="5794375" cy="814070"/>
                    </a:xfrm>
                    <a:prstGeom prst="rect">
                      <a:avLst/>
                    </a:prstGeom>
                    <a:noFill/>
                  </pic:spPr>
                </pic:pic>
              </a:graphicData>
            </a:graphic>
          </wp:anchor>
        </w:drawing>
      </w:r>
    </w:p>
    <w:p>
      <w:pPr>
        <w:spacing w:after="0" w:line="138" w:lineRule="exact"/>
        <w:rPr>
          <w:sz w:val="20"/>
          <w:szCs w:val="20"/>
          <w:color w:val="auto"/>
        </w:rPr>
      </w:pPr>
    </w:p>
    <w:p>
      <w:pPr>
        <w:ind w:left="2" w:right="220" w:firstLine="349"/>
        <w:spacing w:after="0" w:line="265" w:lineRule="auto"/>
        <w:rPr>
          <w:sz w:val="20"/>
          <w:szCs w:val="20"/>
          <w:color w:val="auto"/>
        </w:rPr>
      </w:pPr>
      <w:r>
        <w:rPr>
          <w:rFonts w:ascii="Times New Roman" w:cs="Times New Roman" w:eastAsia="Times New Roman" w:hAnsi="Times New Roman"/>
          <w:sz w:val="19"/>
          <w:szCs w:val="19"/>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December 31, 2022 the Company had no issued and outstanding Preferred Stock shares.</w:t>
      </w:r>
    </w:p>
    <w:p>
      <w:pPr>
        <w:spacing w:after="0" w:line="149" w:lineRule="exact"/>
        <w:rPr>
          <w:sz w:val="20"/>
          <w:szCs w:val="20"/>
          <w:color w:val="auto"/>
        </w:rPr>
      </w:pPr>
    </w:p>
    <w:p>
      <w:pPr>
        <w:ind w:left="702" w:hanging="702"/>
        <w:spacing w:after="0"/>
        <w:tabs>
          <w:tab w:leader="none" w:pos="702"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Common Stock</w:t>
      </w:r>
    </w:p>
    <w:p>
      <w:pPr>
        <w:spacing w:after="0" w:line="196" w:lineRule="exact"/>
        <w:rPr>
          <w:sz w:val="20"/>
          <w:szCs w:val="20"/>
          <w:color w:val="auto"/>
        </w:rPr>
      </w:pPr>
    </w:p>
    <w:p>
      <w:pPr>
        <w:ind w:left="2" w:right="140" w:firstLine="349"/>
        <w:spacing w:after="0" w:line="268" w:lineRule="auto"/>
        <w:rPr>
          <w:sz w:val="20"/>
          <w:szCs w:val="20"/>
          <w:color w:val="auto"/>
        </w:rPr>
      </w:pPr>
      <w:r>
        <w:rPr>
          <w:rFonts w:ascii="Times New Roman" w:cs="Times New Roman" w:eastAsia="Times New Roman" w:hAnsi="Times New Roman"/>
          <w:sz w:val="19"/>
          <w:szCs w:val="19"/>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131" w:lineRule="exact"/>
        <w:rPr>
          <w:sz w:val="20"/>
          <w:szCs w:val="20"/>
          <w:color w:val="auto"/>
        </w:rPr>
      </w:pPr>
    </w:p>
    <w:p>
      <w:pPr>
        <w:ind w:left="2" w:right="40" w:firstLine="349"/>
        <w:spacing w:after="0" w:line="274" w:lineRule="auto"/>
        <w:rPr>
          <w:sz w:val="20"/>
          <w:szCs w:val="20"/>
          <w:color w:val="auto"/>
        </w:rPr>
      </w:pPr>
      <w:r>
        <w:rPr>
          <w:rFonts w:ascii="Times New Roman" w:cs="Times New Roman" w:eastAsia="Times New Roman" w:hAnsi="Times New Roman"/>
          <w:sz w:val="19"/>
          <w:szCs w:val="19"/>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 into.</w:t>
      </w:r>
    </w:p>
    <w:p>
      <w:pPr>
        <w:spacing w:after="0" w:line="125" w:lineRule="exact"/>
        <w:rPr>
          <w:sz w:val="20"/>
          <w:szCs w:val="20"/>
          <w:color w:val="auto"/>
        </w:rPr>
      </w:pPr>
    </w:p>
    <w:p>
      <w:pPr>
        <w:jc w:val="both"/>
        <w:ind w:left="2" w:right="240" w:firstLine="349"/>
        <w:spacing w:after="0" w:line="274" w:lineRule="auto"/>
        <w:rPr>
          <w:sz w:val="20"/>
          <w:szCs w:val="20"/>
          <w:color w:val="auto"/>
        </w:rPr>
      </w:pPr>
      <w:r>
        <w:rPr>
          <w:rFonts w:ascii="Times New Roman" w:cs="Times New Roman" w:eastAsia="Times New Roman" w:hAnsi="Times New Roman"/>
          <w:sz w:val="19"/>
          <w:szCs w:val="19"/>
          <w:color w:val="auto"/>
        </w:rPr>
        <w:t>In June 2021, pursuant to the Business Combination, the Company amended its certificate of incorporation to increase the number of authorized common stock shares to 1,000,000,000. There were 124,865,485 shares issued and outstanding as of December 31, 2022.</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108</w:t>
      </w:r>
    </w:p>
    <w:p>
      <w:pPr>
        <w:sectPr>
          <w:pgSz w:w="11880" w:h="15480" w:orient="portrait"/>
          <w:cols w:equalWidth="0" w:num="1">
            <w:col w:w="9082"/>
          </w:cols>
          <w:pgMar w:left="1398" w:top="577" w:right="1400" w:bottom="0" w:gutter="0" w:footer="0" w:header="0"/>
          <w:type w:val="continuous"/>
        </w:sectPr>
      </w:pPr>
    </w:p>
    <w:bookmarkStart w:id="111" w:name="page112"/>
    <w:bookmarkEnd w:id="111"/>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13"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Common Stock Reserved for Future Issuance</w:t>
      </w:r>
    </w:p>
    <w:p>
      <w:pPr>
        <w:spacing w:after="0" w:line="19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Shares of common stock reserved for future issuance on an as-if converted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9899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6">
                      <a:extLst>
                        <a:ext uri="{28A0092B-C50C-407E-A947-70E740481C1C}"/>
                      </a:extLst>
                    </a:blip>
                    <a:srcRect/>
                    <a:stretch>
                      <a:fillRect/>
                    </a:stretch>
                  </pic:blipFill>
                  <pic:spPr bwMode="auto">
                    <a:xfrm>
                      <a:off x="0" y="0"/>
                      <a:ext cx="5794375" cy="989965"/>
                    </a:xfrm>
                    <a:prstGeom prst="rect">
                      <a:avLst/>
                    </a:prstGeom>
                    <a:noFill/>
                  </pic:spPr>
                </pic:pic>
              </a:graphicData>
            </a:graphic>
          </wp:anchor>
        </w:drawing>
      </w:r>
    </w:p>
    <w:p>
      <w:pPr>
        <w:spacing w:after="0" w:line="221"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29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4"/>
        </w:trPr>
        <w:tc>
          <w:tcPr>
            <w:tcW w:w="2980" w:type="dxa"/>
            <w:vAlign w:val="bottom"/>
          </w:tcPr>
          <w:p>
            <w:pPr>
              <w:spacing w:after="0"/>
              <w:rPr>
                <w:sz w:val="20"/>
                <w:szCs w:val="20"/>
                <w:color w:val="auto"/>
              </w:rPr>
            </w:pPr>
            <w:r>
              <w:rPr>
                <w:rFonts w:ascii="Times New Roman" w:cs="Times New Roman" w:eastAsia="Times New Roman" w:hAnsi="Times New Roman"/>
                <w:sz w:val="19"/>
                <w:szCs w:val="19"/>
                <w:color w:val="auto"/>
              </w:rPr>
              <w:t>Shares available for grant under 2021</w:t>
            </w:r>
          </w:p>
        </w:tc>
        <w:tc>
          <w:tcPr>
            <w:tcW w:w="3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Equity Incentive Plan</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17,298,043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14,481,463</w:t>
            </w:r>
          </w:p>
        </w:tc>
      </w:tr>
      <w:tr>
        <w:trPr>
          <w:trHeight w:val="277"/>
        </w:trPr>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xml:space="preserve">Stock options issued and outstanding </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11,485,443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8,550,076</w:t>
            </w:r>
          </w:p>
        </w:tc>
      </w:tr>
      <w:tr>
        <w:trPr>
          <w:trHeight w:val="279"/>
        </w:trPr>
        <w:tc>
          <w:tcPr>
            <w:tcW w:w="2980" w:type="dxa"/>
            <w:vAlign w:val="bottom"/>
          </w:tcPr>
          <w:p>
            <w:pPr>
              <w:spacing w:after="0"/>
              <w:rPr>
                <w:sz w:val="20"/>
                <w:szCs w:val="20"/>
                <w:color w:val="auto"/>
              </w:rPr>
            </w:pPr>
            <w:r>
              <w:rPr>
                <w:rFonts w:ascii="Times New Roman" w:cs="Times New Roman" w:eastAsia="Times New Roman" w:hAnsi="Times New Roman"/>
                <w:sz w:val="19"/>
                <w:szCs w:val="19"/>
                <w:color w:val="auto"/>
              </w:rPr>
              <w:t>Shares available for grant under 2021</w:t>
            </w:r>
          </w:p>
        </w:tc>
        <w:tc>
          <w:tcPr>
            <w:tcW w:w="3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Employee Stock Purchase Plan </w:t>
            </w:r>
            <w:r>
              <w:rPr>
                <w:rFonts w:ascii="Times New Roman" w:cs="Times New Roman" w:eastAsia="Times New Roman" w:hAnsi="Times New Roman"/>
                <w:sz w:val="19"/>
                <w:szCs w:val="19"/>
                <w:color w:val="B4B4B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2,388,735</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1,244,900</w:t>
            </w:r>
          </w:p>
        </w:tc>
      </w:tr>
      <w:tr>
        <w:trPr>
          <w:trHeight w:val="237"/>
        </w:trPr>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000000"/>
              </w:rPr>
              <w:t>Totalsharesofcommonstockreserved</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31,172,221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24,276,439</w:t>
            </w:r>
          </w:p>
        </w:tc>
      </w:tr>
      <w:tr>
        <w:trPr>
          <w:trHeight w:val="20"/>
        </w:trPr>
        <w:tc>
          <w:tcPr>
            <w:tcW w:w="2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 w:right="160" w:firstLine="349"/>
        <w:spacing w:after="0" w:line="268" w:lineRule="auto"/>
        <w:rPr>
          <w:sz w:val="20"/>
          <w:szCs w:val="20"/>
          <w:color w:val="auto"/>
        </w:rPr>
      </w:pPr>
      <w:r>
        <w:rPr>
          <w:rFonts w:ascii="Times New Roman" w:cs="Times New Roman" w:eastAsia="Times New Roman" w:hAnsi="Times New Roman"/>
          <w:sz w:val="19"/>
          <w:szCs w:val="19"/>
          <w:color w:val="auto"/>
        </w:rPr>
        <w:t>The shares of the Company’s common, redeemable convertible preferred stock, common stock warrants and shares available for grant, prior to the Business Combination (as defined in Note 1 and further described in Note 3) have been retroactively restated to reflect the exchange ratio of approximately 3.6281 established in the Business Combination as described in Note 3.</w:t>
      </w:r>
    </w:p>
    <w:p>
      <w:pPr>
        <w:spacing w:after="0" w:line="147" w:lineRule="exact"/>
        <w:rPr>
          <w:sz w:val="20"/>
          <w:szCs w:val="20"/>
          <w:color w:val="auto"/>
        </w:rPr>
      </w:pPr>
    </w:p>
    <w:p>
      <w:pPr>
        <w:ind w:left="702" w:hanging="702"/>
        <w:spacing w:after="0"/>
        <w:tabs>
          <w:tab w:leader="none" w:pos="702" w:val="left"/>
        </w:tabs>
        <w:numPr>
          <w:ilvl w:val="0"/>
          <w:numId w:val="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Income Taxes</w:t>
      </w:r>
    </w:p>
    <w:p>
      <w:pPr>
        <w:spacing w:after="0" w:line="196" w:lineRule="exact"/>
        <w:rPr>
          <w:sz w:val="20"/>
          <w:szCs w:val="20"/>
          <w:color w:val="auto"/>
        </w:rPr>
      </w:pPr>
    </w:p>
    <w:p>
      <w:pPr>
        <w:ind w:left="2" w:right="40" w:firstLine="349"/>
        <w:spacing w:after="0" w:line="265" w:lineRule="auto"/>
        <w:rPr>
          <w:sz w:val="20"/>
          <w:szCs w:val="20"/>
          <w:color w:val="auto"/>
        </w:rPr>
      </w:pPr>
      <w:r>
        <w:rPr>
          <w:rFonts w:ascii="Times New Roman" w:cs="Times New Roman" w:eastAsia="Times New Roman" w:hAnsi="Times New Roman"/>
          <w:sz w:val="19"/>
          <w:szCs w:val="19"/>
          <w:color w:val="auto"/>
        </w:rPr>
        <w:t>The Company is liable for income taxes in the United States. For the years ended December 31, 2022 and 2021,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pacing w:after="0" w:line="133" w:lineRule="exact"/>
        <w:rPr>
          <w:sz w:val="20"/>
          <w:szCs w:val="20"/>
          <w:color w:val="auto"/>
        </w:rPr>
      </w:pPr>
    </w:p>
    <w:p>
      <w:pPr>
        <w:ind w:left="2" w:right="20" w:firstLine="349"/>
        <w:spacing w:after="0" w:line="293" w:lineRule="auto"/>
        <w:rPr>
          <w:sz w:val="20"/>
          <w:szCs w:val="20"/>
          <w:color w:val="auto"/>
        </w:rPr>
      </w:pPr>
      <w:r>
        <w:rPr>
          <w:rFonts w:ascii="Times New Roman" w:cs="Times New Roman" w:eastAsia="Times New Roman" w:hAnsi="Times New Roman"/>
          <w:sz w:val="19"/>
          <w:szCs w:val="19"/>
          <w:color w:val="auto"/>
        </w:rPr>
        <w:t>A reconciliation between the expected income tax provision at the federal statutory rate and the reported income tax provision is approximately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794375" cy="1609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7">
                      <a:extLst>
                        <a:ext uri="{28A0092B-C50C-407E-A947-70E740481C1C}"/>
                      </a:extLst>
                    </a:blip>
                    <a:srcRect/>
                    <a:stretch>
                      <a:fillRect/>
                    </a:stretch>
                  </pic:blipFill>
                  <pic:spPr bwMode="auto">
                    <a:xfrm>
                      <a:off x="0" y="0"/>
                      <a:ext cx="5794375" cy="1609090"/>
                    </a:xfrm>
                    <a:prstGeom prst="rect">
                      <a:avLst/>
                    </a:prstGeom>
                    <a:noFill/>
                  </pic:spPr>
                </pic:pic>
              </a:graphicData>
            </a:graphic>
          </wp:anchor>
        </w:drawing>
      </w:r>
    </w:p>
    <w:p>
      <w:pPr>
        <w:spacing w:after="0" w:line="129"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jc w:val="right"/>
              <w:ind w:right="5465"/>
              <w:spacing w:after="0"/>
              <w:rPr>
                <w:sz w:val="20"/>
                <w:szCs w:val="20"/>
                <w:color w:val="auto"/>
              </w:rPr>
            </w:pPr>
            <w:r>
              <w:rPr>
                <w:rFonts w:ascii="Times New Roman" w:cs="Times New Roman" w:eastAsia="Times New Roman" w:hAnsi="Times New Roman"/>
                <w:sz w:val="16"/>
                <w:szCs w:val="16"/>
                <w:b w:val="1"/>
                <w:bCs w:val="1"/>
                <w:i w:val="1"/>
                <w:iCs w:val="1"/>
                <w:color w:val="auto"/>
                <w:w w:val="92"/>
              </w:rPr>
              <w:t>(in thousands)</w:t>
            </w:r>
          </w:p>
        </w:tc>
        <w:tc>
          <w:tcPr>
            <w:tcW w:w="160" w:type="dxa"/>
            <w:vAlign w:val="bottom"/>
          </w:tcPr>
          <w:p>
            <w:pPr>
              <w:spacing w:after="0"/>
              <w:rPr>
                <w:sz w:val="13"/>
                <w:szCs w:val="13"/>
                <w:color w:val="auto"/>
              </w:rPr>
            </w:pPr>
          </w:p>
        </w:tc>
        <w:tc>
          <w:tcPr>
            <w:tcW w:w="1120" w:type="dxa"/>
            <w:vAlign w:val="bottom"/>
          </w:tcPr>
          <w:p>
            <w:pPr>
              <w:jc w:val="center"/>
              <w:ind w:right="69"/>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9"/>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54"/>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Federal income tax at statutory rate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(12,164)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(10,566)</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State income tax, net of federal benefit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(3,042)</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Permanent differences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Tax credits generated in current year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(1,617)</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Valuation allowance change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15,086</w:t>
            </w:r>
          </w:p>
        </w:tc>
        <w:tc>
          <w:tcPr>
            <w:tcW w:w="0" w:type="dxa"/>
            <w:vAlign w:val="bottom"/>
          </w:tcPr>
          <w:p>
            <w:pPr>
              <w:spacing w:after="0"/>
              <w:rPr>
                <w:sz w:val="1"/>
                <w:szCs w:val="1"/>
                <w:color w:val="auto"/>
              </w:rPr>
            </w:pPr>
          </w:p>
        </w:tc>
      </w:tr>
      <w:tr>
        <w:trPr>
          <w:trHeight w:val="279"/>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0" w:type="dxa"/>
            <w:vAlign w:val="bottom"/>
          </w:tcPr>
          <w:p>
            <w:pPr>
              <w:spacing w:after="0"/>
              <w:rPr>
                <w:sz w:val="1"/>
                <w:szCs w:val="1"/>
                <w:color w:val="auto"/>
              </w:rPr>
            </w:pPr>
          </w:p>
        </w:tc>
      </w:tr>
      <w:tr>
        <w:trPr>
          <w:trHeight w:val="23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 w:right="60" w:firstLine="349"/>
        <w:spacing w:after="0" w:line="268" w:lineRule="auto"/>
        <w:rPr>
          <w:sz w:val="20"/>
          <w:szCs w:val="20"/>
          <w:color w:val="auto"/>
        </w:rPr>
      </w:pPr>
      <w:r>
        <w:rPr>
          <w:rFonts w:ascii="Times New Roman" w:cs="Times New Roman" w:eastAsia="Times New Roman" w:hAnsi="Times New Roman"/>
          <w:sz w:val="19"/>
          <w:szCs w:val="19"/>
          <w:color w:val="auto"/>
        </w:rPr>
        <w:t>As of December 31, 2022, the Company had federal net operating loss carryforwards of $0.5 million that begin to expire in 2037 and federal net operating loss carryforwards of $51.5 million that arose after the 2017 tax year that will carryforward indefinitely and will be subject to the 80% of taxable income limitation. The Company has state net operating loss carryforwards of $21.1 million that will begin to expire in 2037.</w:t>
      </w:r>
    </w:p>
    <w:p>
      <w:pPr>
        <w:spacing w:after="0" w:line="131" w:lineRule="exact"/>
        <w:rPr>
          <w:sz w:val="20"/>
          <w:szCs w:val="20"/>
          <w:color w:val="auto"/>
        </w:rPr>
      </w:pPr>
    </w:p>
    <w:p>
      <w:pPr>
        <w:ind w:left="2" w:right="100" w:firstLine="349"/>
        <w:spacing w:after="0" w:line="274" w:lineRule="auto"/>
        <w:rPr>
          <w:sz w:val="20"/>
          <w:szCs w:val="20"/>
          <w:color w:val="auto"/>
        </w:rPr>
      </w:pPr>
      <w:r>
        <w:rPr>
          <w:rFonts w:ascii="Times New Roman" w:cs="Times New Roman" w:eastAsia="Times New Roman" w:hAnsi="Times New Roman"/>
          <w:sz w:val="19"/>
          <w:szCs w:val="19"/>
          <w:color w:val="auto"/>
        </w:rPr>
        <w:t>As of December 31, 2022, the Company had research and development tax credit carryover of $4.2 million and $3.2 million for federal and state tax purposes, respectively. If not utilized, the federal carryforward will expire in various amounts beginning in 2039. The California credits can be carried forward indefinitely.</w:t>
      </w:r>
    </w:p>
    <w:p>
      <w:pPr>
        <w:spacing w:after="0" w:line="125" w:lineRule="exact"/>
        <w:rPr>
          <w:sz w:val="20"/>
          <w:szCs w:val="20"/>
          <w:color w:val="auto"/>
        </w:rPr>
      </w:pPr>
    </w:p>
    <w:p>
      <w:pPr>
        <w:ind w:left="2" w:right="20" w:firstLine="349"/>
        <w:spacing w:after="0" w:line="268" w:lineRule="auto"/>
        <w:rPr>
          <w:sz w:val="20"/>
          <w:szCs w:val="20"/>
          <w:color w:val="auto"/>
        </w:rPr>
      </w:pPr>
      <w:r>
        <w:rPr>
          <w:rFonts w:ascii="Times New Roman" w:cs="Times New Roman" w:eastAsia="Times New Roman" w:hAnsi="Times New Roman"/>
          <w:sz w:val="19"/>
          <w:szCs w:val="19"/>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109</w:t>
      </w:r>
    </w:p>
    <w:p>
      <w:pPr>
        <w:sectPr>
          <w:pgSz w:w="11880" w:h="15480" w:orient="portrait"/>
          <w:cols w:equalWidth="0" w:num="1">
            <w:col w:w="9082"/>
          </w:cols>
          <w:pgMar w:left="1398" w:top="577" w:right="1400" w:bottom="0" w:gutter="0" w:footer="0" w:header="0"/>
          <w:type w:val="continuous"/>
        </w:sectPr>
      </w:pPr>
    </w:p>
    <w:bookmarkStart w:id="112" w:name="page113"/>
    <w:bookmarkEnd w:id="112"/>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380"/>
        <w:spacing w:after="0" w:line="293" w:lineRule="auto"/>
        <w:rPr>
          <w:sz w:val="20"/>
          <w:szCs w:val="20"/>
          <w:color w:val="auto"/>
        </w:rPr>
      </w:pPr>
      <w:r>
        <w:rPr>
          <w:rFonts w:ascii="Times New Roman" w:cs="Times New Roman" w:eastAsia="Times New Roman" w:hAnsi="Times New Roman"/>
          <w:sz w:val="19"/>
          <w:szCs w:val="19"/>
          <w:color w:val="auto"/>
        </w:rPr>
        <w:t>net deferred tax assets. The valuation allowance increased by $17.1 million during the year ended December 31, 2022. Management reevaluates the positive and negative evidence at each reporting period.</w:t>
      </w:r>
    </w:p>
    <w:p>
      <w:pPr>
        <w:spacing w:after="0" w:line="107" w:lineRule="exact"/>
        <w:rPr>
          <w:sz w:val="20"/>
          <w:szCs w:val="20"/>
          <w:color w:val="auto"/>
        </w:rPr>
      </w:pPr>
    </w:p>
    <w:p>
      <w:pPr>
        <w:jc w:val="both"/>
        <w:ind w:right="420" w:firstLine="349"/>
        <w:spacing w:after="0" w:line="274" w:lineRule="auto"/>
        <w:rPr>
          <w:sz w:val="20"/>
          <w:szCs w:val="20"/>
          <w:color w:val="auto"/>
        </w:rPr>
      </w:pPr>
      <w:r>
        <w:rPr>
          <w:rFonts w:ascii="Times New Roman" w:cs="Times New Roman" w:eastAsia="Times New Roman" w:hAnsi="Times New Roman"/>
          <w:sz w:val="19"/>
          <w:szCs w:val="19"/>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5794375" cy="2940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8">
                      <a:extLst>
                        <a:ext uri="{28A0092B-C50C-407E-A947-70E740481C1C}"/>
                      </a:extLst>
                    </a:blip>
                    <a:srcRect/>
                    <a:stretch>
                      <a:fillRect/>
                    </a:stretch>
                  </pic:blipFill>
                  <pic:spPr bwMode="auto">
                    <a:xfrm>
                      <a:off x="0" y="0"/>
                      <a:ext cx="5794375" cy="2940685"/>
                    </a:xfrm>
                    <a:prstGeom prst="rect">
                      <a:avLst/>
                    </a:prstGeom>
                    <a:noFill/>
                  </pic:spPr>
                </pic:pic>
              </a:graphicData>
            </a:graphic>
          </wp:anchor>
        </w:drawing>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60" w:type="dxa"/>
            <w:vAlign w:val="bottom"/>
            <w:vMerge w:val="restart"/>
          </w:tcPr>
          <w:p>
            <w:pPr>
              <w:jc w:val="right"/>
              <w:ind w:right="5464"/>
              <w:spacing w:after="0"/>
              <w:rPr>
                <w:sz w:val="20"/>
                <w:szCs w:val="20"/>
                <w:color w:val="auto"/>
              </w:rPr>
            </w:pPr>
            <w:r>
              <w:rPr>
                <w:rFonts w:ascii="Times New Roman" w:cs="Times New Roman" w:eastAsia="Times New Roman" w:hAnsi="Times New Roman"/>
                <w:sz w:val="16"/>
                <w:szCs w:val="16"/>
                <w:b w:val="1"/>
                <w:bCs w:val="1"/>
                <w:i w:val="1"/>
                <w:iCs w:val="1"/>
                <w:color w:val="auto"/>
                <w:w w:val="92"/>
              </w:rPr>
              <w:t>(in thousands)</w:t>
            </w: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54"/>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Deferred tax assets </w:t>
            </w:r>
            <w:r>
              <w:rPr>
                <w:rFonts w:ascii="Times New Roman" w:cs="Times New Roman" w:eastAsia="Times New Roman" w:hAnsi="Times New Roman"/>
                <w:sz w:val="19"/>
                <w:szCs w:val="19"/>
                <w:color w:val="B4B4B4"/>
              </w:rPr>
              <w:t>.....................................................................................................</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Depreciation and amortization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11,142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11,928</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Capitalized research and development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Loss carryforwards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7,319</w:t>
            </w:r>
          </w:p>
        </w:tc>
        <w:tc>
          <w:tcPr>
            <w:tcW w:w="0" w:type="dxa"/>
            <w:vAlign w:val="bottom"/>
          </w:tcPr>
          <w:p>
            <w:pPr>
              <w:spacing w:after="0"/>
              <w:rPr>
                <w:sz w:val="1"/>
                <w:szCs w:val="1"/>
                <w:color w:val="auto"/>
              </w:rPr>
            </w:pPr>
          </w:p>
        </w:tc>
      </w:tr>
      <w:tr>
        <w:trPr>
          <w:trHeight w:val="306"/>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Lease liabilities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8,122</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Tax credit carryforwards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5,408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2,800</w:t>
            </w:r>
          </w:p>
        </w:tc>
        <w:tc>
          <w:tcPr>
            <w:tcW w:w="0" w:type="dxa"/>
            <w:vAlign w:val="bottom"/>
          </w:tcPr>
          <w:p>
            <w:pPr>
              <w:spacing w:after="0"/>
              <w:rPr>
                <w:sz w:val="1"/>
                <w:szCs w:val="1"/>
                <w:color w:val="auto"/>
              </w:rPr>
            </w:pPr>
          </w:p>
        </w:tc>
      </w:tr>
      <w:tr>
        <w:trPr>
          <w:trHeight w:val="27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Equity-based compensation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1,813</w:t>
            </w:r>
          </w:p>
        </w:tc>
        <w:tc>
          <w:tcPr>
            <w:tcW w:w="0" w:type="dxa"/>
            <w:vAlign w:val="bottom"/>
          </w:tcPr>
          <w:p>
            <w:pPr>
              <w:spacing w:after="0"/>
              <w:rPr>
                <w:sz w:val="1"/>
                <w:szCs w:val="1"/>
                <w:color w:val="auto"/>
              </w:rPr>
            </w:pPr>
          </w:p>
        </w:tc>
      </w:tr>
      <w:tr>
        <w:trPr>
          <w:trHeight w:val="279"/>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accruals and reserves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0" w:type="dxa"/>
            <w:vAlign w:val="bottom"/>
          </w:tcPr>
          <w:p>
            <w:pPr>
              <w:spacing w:after="0"/>
              <w:rPr>
                <w:sz w:val="1"/>
                <w:szCs w:val="1"/>
                <w:color w:val="auto"/>
              </w:rPr>
            </w:pPr>
          </w:p>
        </w:tc>
      </w:tr>
      <w:tr>
        <w:trPr>
          <w:trHeight w:val="254"/>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deferred tax assets </w:t>
            </w:r>
            <w:r>
              <w:rPr>
                <w:rFonts w:ascii="Times New Roman" w:cs="Times New Roman" w:eastAsia="Times New Roman" w:hAnsi="Times New Roman"/>
                <w:sz w:val="19"/>
                <w:szCs w:val="19"/>
                <w:color w:val="B4B4B4"/>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48,825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32,023</w:t>
            </w:r>
          </w:p>
        </w:tc>
        <w:tc>
          <w:tcPr>
            <w:tcW w:w="0" w:type="dxa"/>
            <w:vAlign w:val="bottom"/>
          </w:tcPr>
          <w:p>
            <w:pPr>
              <w:spacing w:after="0"/>
              <w:rPr>
                <w:sz w:val="1"/>
                <w:szCs w:val="1"/>
                <w:color w:val="auto"/>
              </w:rPr>
            </w:pPr>
          </w:p>
        </w:tc>
      </w:tr>
      <w:tr>
        <w:trPr>
          <w:trHeight w:val="279"/>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Valuation allowance for deferred tax assets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(41,205)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(24,078)</w:t>
            </w:r>
          </w:p>
        </w:tc>
        <w:tc>
          <w:tcPr>
            <w:tcW w:w="0" w:type="dxa"/>
            <w:vAlign w:val="bottom"/>
          </w:tcPr>
          <w:p>
            <w:pPr>
              <w:spacing w:after="0"/>
              <w:rPr>
                <w:sz w:val="1"/>
                <w:szCs w:val="1"/>
                <w:color w:val="auto"/>
              </w:rPr>
            </w:pPr>
          </w:p>
        </w:tc>
      </w:tr>
      <w:tr>
        <w:trPr>
          <w:trHeight w:val="254"/>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deferred tax assets, net of valuation allowance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7,945</w:t>
            </w:r>
          </w:p>
        </w:tc>
        <w:tc>
          <w:tcPr>
            <w:tcW w:w="0" w:type="dxa"/>
            <w:vAlign w:val="bottom"/>
          </w:tcPr>
          <w:p>
            <w:pPr>
              <w:spacing w:after="0"/>
              <w:rPr>
                <w:sz w:val="1"/>
                <w:szCs w:val="1"/>
                <w:color w:val="auto"/>
              </w:rPr>
            </w:pPr>
          </w:p>
        </w:tc>
      </w:tr>
      <w:tr>
        <w:trPr>
          <w:trHeight w:val="553"/>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Deferred tax liability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Right-of-use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(7,620)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(7,945)</w:t>
            </w:r>
          </w:p>
        </w:tc>
        <w:tc>
          <w:tcPr>
            <w:tcW w:w="0" w:type="dxa"/>
            <w:vAlign w:val="bottom"/>
          </w:tcPr>
          <w:p>
            <w:pPr>
              <w:spacing w:after="0"/>
              <w:rPr>
                <w:sz w:val="1"/>
                <w:szCs w:val="1"/>
                <w:color w:val="auto"/>
              </w:rPr>
            </w:pPr>
          </w:p>
        </w:tc>
      </w:tr>
      <w:tr>
        <w:trPr>
          <w:trHeight w:val="237"/>
        </w:trPr>
        <w:tc>
          <w:tcPr>
            <w:tcW w:w="6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deferred tax assets (liability)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920" w:firstLine="349"/>
        <w:spacing w:after="0" w:line="293" w:lineRule="auto"/>
        <w:rPr>
          <w:sz w:val="20"/>
          <w:szCs w:val="20"/>
          <w:color w:val="auto"/>
        </w:rPr>
      </w:pPr>
      <w:r>
        <w:rPr>
          <w:rFonts w:ascii="Times New Roman" w:cs="Times New Roman" w:eastAsia="Times New Roman" w:hAnsi="Times New Roman"/>
          <w:sz w:val="19"/>
          <w:szCs w:val="19"/>
          <w:color w:val="auto"/>
        </w:rPr>
        <w:t>The Company began to file income tax returns in the United States in 2017. All tax years are open to examination.</w:t>
      </w:r>
    </w:p>
    <w:p>
      <w:pPr>
        <w:spacing w:after="0" w:line="107"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The Tax Cuts and Jobs Act contained a provision which requires the capitalization of Section 174 costs incurred in years beginning on or after January 1, 2022. Section 174 costs are expenditures which represent research and development costs that are incident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We have included the impact of this provision, which results in a deferred tax asset of approximately $7.6 million as of December 31, 2022.</w:t>
      </w:r>
    </w:p>
    <w:p>
      <w:pPr>
        <w:spacing w:after="0" w:line="374"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A valuation allowance of $41.2 million and $24.1 million at December 31, 2022 and 2021, respectively, has been recognized to offset net deferred tax assets where realization of such net deferred tax assets is determined to be more likely than not to not be realized. The valuation allowance increased by $17.1 million in 2022, and increased by $15.1 millions in 2021, which was primarily due to changes in our deferred tax asset balances. The 2022 increase in the valuation allowance was primarily due to the net operating loss and tax credit generation, capitalized research and development expense and share-based compensation. The 2021 increase in the valuation allowance was primarily due to the net operating loss and tax credit generation, capitalized startup costs and share-based compensation.</w:t>
      </w:r>
    </w:p>
    <w:p>
      <w:pPr>
        <w:spacing w:after="0" w:line="375"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The Company had an unrecognized tax benefit balance of $1.5 million and $0.8 million related to research and development credits and California net operating loss carryforward as of December 31, 2022 and 2021, respectively. No amount of unrecognized tax benefits as of December 31, 2022, if recognized, would reduce the Company’s effective tax rate because the benefits would be in the form of tax credit carryforwards, which would be reduced to $0 by a full valuation allowance. There are no provisions for which it is reasonably possible that the total amounts of unrecognized tax benefits will significantly increase or decrease within 12 months of the reporting date. Because the</w:t>
      </w: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880" w:h="15480" w:orient="portrait"/>
          <w:cols w:equalWidth="0" w:num="1">
            <w:col w:w="9080"/>
          </w:cols>
          <w:pgMar w:left="1400" w:top="577" w:right="1400" w:bottom="0" w:gutter="0" w:footer="0" w:header="0"/>
          <w:type w:val="continuous"/>
        </w:sectPr>
      </w:pPr>
    </w:p>
    <w:bookmarkStart w:id="113" w:name="page114"/>
    <w:bookmarkEnd w:id="113"/>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100"/>
        <w:spacing w:after="0" w:line="293" w:lineRule="auto"/>
        <w:rPr>
          <w:sz w:val="20"/>
          <w:szCs w:val="20"/>
          <w:color w:val="auto"/>
        </w:rPr>
      </w:pPr>
      <w:r>
        <w:rPr>
          <w:rFonts w:ascii="Times New Roman" w:cs="Times New Roman" w:eastAsia="Times New Roman" w:hAnsi="Times New Roman"/>
          <w:sz w:val="19"/>
          <w:szCs w:val="19"/>
          <w:color w:val="auto"/>
        </w:rPr>
        <w:t>statute of limitations does not expire until after the net operating loss and credit carryforwards are actually used, the statutes are still open on calendars years ending 2017 forward for federal and state purposes.</w:t>
      </w:r>
    </w:p>
    <w:p>
      <w:pPr>
        <w:spacing w:after="0" w:line="107" w:lineRule="exact"/>
        <w:rPr>
          <w:sz w:val="20"/>
          <w:szCs w:val="20"/>
          <w:color w:val="auto"/>
        </w:rPr>
      </w:pPr>
    </w:p>
    <w:p>
      <w:pPr>
        <w:ind w:left="2" w:right="540" w:firstLine="349"/>
        <w:spacing w:after="0" w:line="293" w:lineRule="auto"/>
        <w:rPr>
          <w:sz w:val="20"/>
          <w:szCs w:val="20"/>
          <w:color w:val="auto"/>
        </w:rPr>
      </w:pPr>
      <w:r>
        <w:rPr>
          <w:rFonts w:ascii="Times New Roman" w:cs="Times New Roman" w:eastAsia="Times New Roman" w:hAnsi="Times New Roman"/>
          <w:sz w:val="19"/>
          <w:szCs w:val="19"/>
          <w:color w:val="auto"/>
        </w:rPr>
        <w:t>A reconciliation of the beginning and ending amount of the liability for uncertain tax positions, excluding potential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794375" cy="9899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9">
                      <a:extLst>
                        <a:ext uri="{28A0092B-C50C-407E-A947-70E740481C1C}"/>
                      </a:extLst>
                    </a:blip>
                    <a:srcRect/>
                    <a:stretch>
                      <a:fillRect/>
                    </a:stretch>
                  </pic:blipFill>
                  <pic:spPr bwMode="auto">
                    <a:xfrm>
                      <a:off x="0" y="0"/>
                      <a:ext cx="5794375" cy="989965"/>
                    </a:xfrm>
                    <a:prstGeom prst="rect">
                      <a:avLst/>
                    </a:prstGeom>
                    <a:noFill/>
                  </pic:spPr>
                </pic:pic>
              </a:graphicData>
            </a:graphic>
          </wp:anchor>
        </w:drawing>
      </w:r>
    </w:p>
    <w:p>
      <w:pPr>
        <w:spacing w:after="0" w:line="139"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500" w:type="dxa"/>
            <w:vAlign w:val="bottom"/>
            <w:vMerge w:val="restart"/>
          </w:tcPr>
          <w:p>
            <w:pPr>
              <w:jc w:val="right"/>
              <w:ind w:right="5507"/>
              <w:spacing w:after="0"/>
              <w:rPr>
                <w:sz w:val="20"/>
                <w:szCs w:val="20"/>
                <w:color w:val="auto"/>
              </w:rPr>
            </w:pPr>
            <w:r>
              <w:rPr>
                <w:rFonts w:ascii="Times New Roman" w:cs="Times New Roman" w:eastAsia="Times New Roman" w:hAnsi="Times New Roman"/>
                <w:sz w:val="16"/>
                <w:szCs w:val="16"/>
                <w:b w:val="1"/>
                <w:bCs w:val="1"/>
                <w:i w:val="1"/>
                <w:iCs w:val="1"/>
                <w:color w:val="auto"/>
                <w:w w:val="92"/>
              </w:rPr>
              <w:t>(in thousands)</w:t>
            </w:r>
          </w:p>
        </w:tc>
        <w:tc>
          <w:tcPr>
            <w:tcW w:w="18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80" w:type="dxa"/>
            <w:vAlign w:val="bottom"/>
          </w:tcPr>
          <w:p>
            <w:pPr>
              <w:spacing w:after="0"/>
              <w:rPr>
                <w:sz w:val="16"/>
                <w:szCs w:val="16"/>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5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54"/>
        </w:trPr>
        <w:tc>
          <w:tcPr>
            <w:tcW w:w="6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Beginning balance</w:t>
            </w:r>
            <w:r>
              <w:rPr>
                <w:rFonts w:ascii="Times New Roman" w:cs="Times New Roman" w:eastAsia="Times New Roman" w:hAnsi="Times New Roman"/>
                <w:sz w:val="19"/>
                <w:szCs w:val="19"/>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837</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391</w:t>
            </w:r>
          </w:p>
        </w:tc>
        <w:tc>
          <w:tcPr>
            <w:tcW w:w="0" w:type="dxa"/>
            <w:vAlign w:val="bottom"/>
          </w:tcPr>
          <w:p>
            <w:pPr>
              <w:spacing w:after="0"/>
              <w:rPr>
                <w:sz w:val="1"/>
                <w:szCs w:val="1"/>
                <w:color w:val="auto"/>
              </w:rPr>
            </w:pPr>
          </w:p>
        </w:tc>
      </w:tr>
      <w:tr>
        <w:trPr>
          <w:trHeight w:val="277"/>
        </w:trPr>
        <w:tc>
          <w:tcPr>
            <w:tcW w:w="6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Increase based on current year tax positions </w:t>
            </w:r>
            <w:r>
              <w:rPr>
                <w:rFonts w:ascii="Times New Roman" w:cs="Times New Roman" w:eastAsia="Times New Roman" w:hAnsi="Times New Roman"/>
                <w:sz w:val="19"/>
                <w:szCs w:val="19"/>
                <w:color w:val="B4B4B4"/>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616</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446</w:t>
            </w:r>
          </w:p>
        </w:tc>
        <w:tc>
          <w:tcPr>
            <w:tcW w:w="0" w:type="dxa"/>
            <w:vAlign w:val="bottom"/>
          </w:tcPr>
          <w:p>
            <w:pPr>
              <w:spacing w:after="0"/>
              <w:rPr>
                <w:sz w:val="1"/>
                <w:szCs w:val="1"/>
                <w:color w:val="auto"/>
              </w:rPr>
            </w:pPr>
          </w:p>
        </w:tc>
      </w:tr>
      <w:tr>
        <w:trPr>
          <w:trHeight w:val="279"/>
        </w:trPr>
        <w:tc>
          <w:tcPr>
            <w:tcW w:w="6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Increase for prior year tax positions </w:t>
            </w:r>
            <w:r>
              <w:rPr>
                <w:rFonts w:ascii="Times New Roman" w:cs="Times New Roman" w:eastAsia="Times New Roman" w:hAnsi="Times New Roman"/>
                <w:sz w:val="19"/>
                <w:szCs w:val="19"/>
                <w:color w:val="B4B4B4"/>
              </w:rPr>
              <w:t>...........................................................................</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7"/>
        </w:trPr>
        <w:tc>
          <w:tcPr>
            <w:tcW w:w="6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Ending balance </w:t>
            </w:r>
            <w:r>
              <w:rPr>
                <w:rFonts w:ascii="Times New Roman" w:cs="Times New Roman" w:eastAsia="Times New Roman" w:hAnsi="Times New Roman"/>
                <w:sz w:val="19"/>
                <w:szCs w:val="19"/>
                <w:color w:val="B4B4B4"/>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1,544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837</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2" w:right="80" w:firstLine="349"/>
        <w:spacing w:after="0" w:line="261" w:lineRule="auto"/>
        <w:rPr>
          <w:sz w:val="20"/>
          <w:szCs w:val="20"/>
          <w:color w:val="auto"/>
        </w:rPr>
      </w:pPr>
      <w:r>
        <w:rPr>
          <w:rFonts w:ascii="Times New Roman" w:cs="Times New Roman" w:eastAsia="Times New Roman" w:hAnsi="Times New Roman"/>
          <w:sz w:val="19"/>
          <w:szCs w:val="19"/>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pacing w:after="0" w:line="154" w:lineRule="exact"/>
        <w:rPr>
          <w:sz w:val="20"/>
          <w:szCs w:val="20"/>
          <w:color w:val="auto"/>
        </w:rPr>
      </w:pPr>
    </w:p>
    <w:p>
      <w:pPr>
        <w:ind w:left="702" w:hanging="702"/>
        <w:spacing w:after="0"/>
        <w:tabs>
          <w:tab w:leader="none" w:pos="702"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Equity Incentive Plans and Stock-based Compensation</w:t>
      </w:r>
    </w:p>
    <w:p>
      <w:pPr>
        <w:spacing w:after="0" w:line="196" w:lineRule="exact"/>
        <w:rPr>
          <w:sz w:val="20"/>
          <w:szCs w:val="20"/>
          <w:color w:val="auto"/>
        </w:rPr>
      </w:pPr>
    </w:p>
    <w:p>
      <w:pPr>
        <w:ind w:left="2" w:right="120" w:firstLine="349"/>
        <w:spacing w:after="0" w:line="274" w:lineRule="auto"/>
        <w:rPr>
          <w:sz w:val="20"/>
          <w:szCs w:val="20"/>
          <w:color w:val="auto"/>
        </w:rPr>
      </w:pPr>
      <w:r>
        <w:rPr>
          <w:rFonts w:ascii="Times New Roman" w:cs="Times New Roman" w:eastAsia="Times New Roman" w:hAnsi="Times New Roman"/>
          <w:sz w:val="19"/>
          <w:szCs w:val="19"/>
          <w:color w:val="auto"/>
        </w:rPr>
        <w:t>On June 8, 2021, the stockholders of the Company approved the 2021 Equity Incentive Plan (“2021 Plan”) and the 2021 Employee Stock Purchase Plan (“2021 ESPP”). As of December 31, 2022, 17,298,043 and 2,388,735 shares were available for grant under the 2021 Plan and 2021 ESPP, respectively.</w:t>
      </w:r>
    </w:p>
    <w:p>
      <w:pPr>
        <w:spacing w:after="0" w:line="118"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2021 Employee Stock Purchase Plan</w:t>
      </w:r>
    </w:p>
    <w:p>
      <w:pPr>
        <w:spacing w:after="0" w:line="196" w:lineRule="exact"/>
        <w:rPr>
          <w:sz w:val="20"/>
          <w:szCs w:val="20"/>
          <w:color w:val="auto"/>
        </w:rPr>
      </w:pPr>
    </w:p>
    <w:p>
      <w:pPr>
        <w:ind w:left="2" w:right="60" w:firstLine="349"/>
        <w:spacing w:after="0" w:line="259" w:lineRule="auto"/>
        <w:rPr>
          <w:sz w:val="20"/>
          <w:szCs w:val="20"/>
          <w:color w:val="auto"/>
        </w:rPr>
      </w:pPr>
      <w:r>
        <w:rPr>
          <w:rFonts w:ascii="Times New Roman" w:cs="Times New Roman" w:eastAsia="Times New Roman" w:hAnsi="Times New Roman"/>
          <w:sz w:val="19"/>
          <w:szCs w:val="19"/>
          <w:color w:val="auto"/>
        </w:rPr>
        <w:t>Under the 2021 ESPP, participants are permitted to purchase shares of Common Stock, up to the IRS allowable limit, through contributions (in the form of payroll deductions or otherwise to the extent permitted by the administrator)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41" w:lineRule="exact"/>
        <w:rPr>
          <w:sz w:val="20"/>
          <w:szCs w:val="20"/>
          <w:color w:val="auto"/>
        </w:rPr>
      </w:pPr>
    </w:p>
    <w:p>
      <w:pPr>
        <w:jc w:val="both"/>
        <w:ind w:left="2" w:right="80" w:firstLine="349"/>
        <w:spacing w:after="0" w:line="274" w:lineRule="auto"/>
        <w:rPr>
          <w:sz w:val="20"/>
          <w:szCs w:val="20"/>
          <w:color w:val="auto"/>
        </w:rPr>
      </w:pPr>
      <w:r>
        <w:rPr>
          <w:rFonts w:ascii="Times New Roman" w:cs="Times New Roman" w:eastAsia="Times New Roman" w:hAnsi="Times New Roman"/>
          <w:sz w:val="19"/>
          <w:szCs w:val="19"/>
          <w:color w:val="auto"/>
        </w:rPr>
        <w:t>The first offering period was from October 1, 2021 through May 31, 2022. For subsequent offering periods, the Company will be offering a six month purchase period. As of December 31, 2022, 99,195 shares of common stock were purchased under the 2021 ESPP.</w:t>
      </w:r>
    </w:p>
    <w:p>
      <w:pPr>
        <w:spacing w:after="0" w:line="118"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2021 Equity Incentive Plan</w:t>
      </w:r>
    </w:p>
    <w:p>
      <w:pPr>
        <w:spacing w:after="0" w:line="196" w:lineRule="exact"/>
        <w:rPr>
          <w:sz w:val="20"/>
          <w:szCs w:val="20"/>
          <w:color w:val="auto"/>
        </w:rPr>
      </w:pPr>
    </w:p>
    <w:p>
      <w:pPr>
        <w:ind w:left="2" w:right="220" w:firstLine="349"/>
        <w:spacing w:after="0" w:line="263" w:lineRule="auto"/>
        <w:rPr>
          <w:sz w:val="20"/>
          <w:szCs w:val="20"/>
          <w:color w:val="auto"/>
        </w:rPr>
      </w:pPr>
      <w:r>
        <w:rPr>
          <w:rFonts w:ascii="Times New Roman" w:cs="Times New Roman" w:eastAsia="Times New Roman" w:hAnsi="Times New Roman"/>
          <w:sz w:val="19"/>
          <w:szCs w:val="19"/>
          <w:color w:val="auto"/>
        </w:rPr>
        <w:t>Under the 2021 Plan, the Company can grant incentive stock options, nonstatutory stock options, stock appreciation rights, restricted stock, restricted stock units and performance awards to employees,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111</w:t>
      </w:r>
    </w:p>
    <w:p>
      <w:pPr>
        <w:sectPr>
          <w:pgSz w:w="11880" w:h="15480" w:orient="portrait"/>
          <w:cols w:equalWidth="0" w:num="1">
            <w:col w:w="9082"/>
          </w:cols>
          <w:pgMar w:left="1398" w:top="577" w:right="1400" w:bottom="0" w:gutter="0" w:footer="0" w:header="0"/>
          <w:type w:val="continuous"/>
        </w:sectPr>
      </w:pPr>
    </w:p>
    <w:bookmarkStart w:id="114" w:name="page115"/>
    <w:bookmarkEnd w:id="114"/>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9"/>
          <w:szCs w:val="19"/>
          <w:color w:val="auto"/>
        </w:rPr>
        <w:t>preceding fiscal year, or (iii) such number of shares determined by the Administrator no later than the last day of the immediately preceding fiscal year.</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2017 Equity Incentive Plan</w:t>
      </w:r>
    </w:p>
    <w:p>
      <w:pPr>
        <w:spacing w:after="0" w:line="196" w:lineRule="exact"/>
        <w:rPr>
          <w:sz w:val="20"/>
          <w:szCs w:val="20"/>
          <w:color w:val="auto"/>
        </w:rPr>
      </w:pPr>
    </w:p>
    <w:p>
      <w:pPr>
        <w:jc w:val="both"/>
        <w:ind w:right="160" w:firstLine="349"/>
        <w:spacing w:after="0" w:line="274" w:lineRule="auto"/>
        <w:rPr>
          <w:sz w:val="20"/>
          <w:szCs w:val="20"/>
          <w:color w:val="auto"/>
        </w:rPr>
      </w:pPr>
      <w:r>
        <w:rPr>
          <w:rFonts w:ascii="Times New Roman" w:cs="Times New Roman" w:eastAsia="Times New Roman" w:hAnsi="Times New Roman"/>
          <w:sz w:val="19"/>
          <w:szCs w:val="19"/>
          <w:color w:val="auto"/>
        </w:rPr>
        <w:t>At the time of adoption of the 2021 Plan and the 2021 ESPP, no further awards will be granted under the 2017 Equity Incentive Plan (“2017 Plan”) and 7,106,767 shares of common stock were initially reserved for outstanding awards issued under the 2017 Plan.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Grant Date Fair Value of Stock Options</w:t>
      </w:r>
    </w:p>
    <w:p>
      <w:pPr>
        <w:spacing w:after="0" w:line="196"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5794375" cy="1153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0">
                      <a:extLst>
                        <a:ext uri="{28A0092B-C50C-407E-A947-70E740481C1C}"/>
                      </a:extLst>
                    </a:blip>
                    <a:srcRect/>
                    <a:stretch>
                      <a:fillRect/>
                    </a:stretch>
                  </pic:blipFill>
                  <pic:spPr bwMode="auto">
                    <a:xfrm>
                      <a:off x="0" y="0"/>
                      <a:ext cx="5794375" cy="1153160"/>
                    </a:xfrm>
                    <a:prstGeom prst="rect">
                      <a:avLst/>
                    </a:prstGeom>
                    <a:noFill/>
                  </pic:spPr>
                </pic:pic>
              </a:graphicData>
            </a:graphic>
          </wp:anchor>
        </w:drawing>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Year Ended December</w:t>
            </w:r>
          </w:p>
        </w:tc>
        <w:tc>
          <w:tcPr>
            <w:tcW w:w="60" w:type="dxa"/>
            <w:vAlign w:val="bottom"/>
          </w:tcPr>
          <w:p>
            <w:pPr>
              <w:spacing w:after="0"/>
              <w:rPr>
                <w:sz w:val="16"/>
                <w:szCs w:val="16"/>
                <w:color w:val="auto"/>
              </w:rPr>
            </w:pPr>
          </w:p>
        </w:tc>
        <w:tc>
          <w:tcPr>
            <w:tcW w:w="178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Year Ended December</w:t>
            </w:r>
          </w:p>
        </w:tc>
      </w:tr>
      <w:tr>
        <w:trPr>
          <w:trHeight w:val="208"/>
        </w:trPr>
        <w:tc>
          <w:tcPr>
            <w:tcW w:w="5420" w:type="dxa"/>
            <w:vAlign w:val="bottom"/>
          </w:tcPr>
          <w:p>
            <w:pPr>
              <w:spacing w:after="0"/>
              <w:rPr>
                <w:sz w:val="18"/>
                <w:szCs w:val="18"/>
                <w:color w:val="auto"/>
              </w:rPr>
            </w:pPr>
          </w:p>
        </w:tc>
        <w:tc>
          <w:tcPr>
            <w:tcW w:w="17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60" w:type="dxa"/>
            <w:vAlign w:val="bottom"/>
          </w:tcPr>
          <w:p>
            <w:pPr>
              <w:spacing w:after="0"/>
              <w:rPr>
                <w:sz w:val="18"/>
                <w:szCs w:val="18"/>
                <w:color w:val="auto"/>
              </w:rPr>
            </w:pPr>
          </w:p>
        </w:tc>
        <w:tc>
          <w:tcPr>
            <w:tcW w:w="17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31, 2021</w:t>
            </w:r>
          </w:p>
        </w:tc>
      </w:tr>
      <w:tr>
        <w:trPr>
          <w:trHeight w:val="254"/>
        </w:trPr>
        <w:tc>
          <w:tcPr>
            <w:tcW w:w="5420" w:type="dxa"/>
            <w:vAlign w:val="bottom"/>
          </w:tcPr>
          <w:p>
            <w:pPr>
              <w:spacing w:after="0"/>
              <w:rPr>
                <w:sz w:val="20"/>
                <w:szCs w:val="20"/>
                <w:color w:val="auto"/>
              </w:rPr>
            </w:pPr>
            <w:r>
              <w:rPr>
                <w:rFonts w:ascii="Times New Roman" w:cs="Times New Roman" w:eastAsia="Times New Roman" w:hAnsi="Times New Roman"/>
                <w:sz w:val="19"/>
                <w:szCs w:val="19"/>
                <w:color w:val="auto"/>
              </w:rPr>
              <w:t>Expected term (in years)</w:t>
            </w:r>
            <w:r>
              <w:rPr>
                <w:rFonts w:ascii="Times New Roman" w:cs="Times New Roman" w:eastAsia="Times New Roman" w:hAnsi="Times New Roman"/>
                <w:sz w:val="19"/>
                <w:szCs w:val="19"/>
                <w:color w:val="B4B4B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5.3 - 6.1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5.5 - 6.6</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19"/>
                <w:szCs w:val="19"/>
                <w:color w:val="auto"/>
              </w:rPr>
              <w:t>Expected volatility</w:t>
            </w:r>
            <w:r>
              <w:rPr>
                <w:rFonts w:ascii="Times New Roman" w:cs="Times New Roman" w:eastAsia="Times New Roman" w:hAnsi="Times New Roman"/>
                <w:sz w:val="19"/>
                <w:szCs w:val="19"/>
                <w:color w:val="B4B4B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105.2% - 110.4%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90.7% - 94.2%</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Expected dividend rate </w:t>
            </w:r>
            <w:r>
              <w:rPr>
                <w:rFonts w:ascii="Times New Roman" w:cs="Times New Roman" w:eastAsia="Times New Roman" w:hAnsi="Times New Roman"/>
                <w:sz w:val="19"/>
                <w:szCs w:val="19"/>
                <w:color w:val="B4B4B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0.0%</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19"/>
                <w:szCs w:val="19"/>
                <w:color w:val="auto"/>
              </w:rPr>
              <w:t>Risk free interest rate</w:t>
            </w:r>
            <w:r>
              <w:rPr>
                <w:rFonts w:ascii="Times New Roman" w:cs="Times New Roman" w:eastAsia="Times New Roman" w:hAnsi="Times New Roman"/>
                <w:sz w:val="19"/>
                <w:szCs w:val="19"/>
                <w:color w:val="B4B4B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 - 4.4%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0.5% - 1.4%</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Stock price </w:t>
            </w:r>
            <w:r>
              <w:rPr>
                <w:rFonts w:ascii="Times New Roman" w:cs="Times New Roman" w:eastAsia="Times New Roman" w:hAnsi="Times New Roman"/>
                <w:sz w:val="19"/>
                <w:szCs w:val="19"/>
                <w:color w:val="B4B4B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$1.74 - $4.72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$5.07 - $11.16</w:t>
            </w:r>
          </w:p>
        </w:tc>
      </w:tr>
    </w:tbl>
    <w:p>
      <w:pPr>
        <w:spacing w:after="0" w:line="185"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21" w:lineRule="exact"/>
        <w:rPr>
          <w:sz w:val="20"/>
          <w:szCs w:val="20"/>
          <w:color w:val="auto"/>
        </w:rPr>
      </w:pPr>
    </w:p>
    <w:p>
      <w:pPr>
        <w:ind w:right="260" w:firstLine="349"/>
        <w:spacing w:after="0" w:line="266" w:lineRule="auto"/>
        <w:rPr>
          <w:sz w:val="20"/>
          <w:szCs w:val="20"/>
          <w:color w:val="auto"/>
        </w:rPr>
      </w:pPr>
      <w:r>
        <w:rPr>
          <w:rFonts w:ascii="Times New Roman" w:cs="Times New Roman" w:eastAsia="Times New Roman" w:hAnsi="Times New Roman"/>
          <w:sz w:val="19"/>
          <w:szCs w:val="19"/>
          <w:color w:val="auto"/>
        </w:rPr>
        <w:t>Expected volatility: Historically, the Company has been a private company and lacked company</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31" w:lineRule="exact"/>
        <w:rPr>
          <w:sz w:val="20"/>
          <w:szCs w:val="20"/>
          <w:color w:val="auto"/>
        </w:rPr>
      </w:pPr>
    </w:p>
    <w:p>
      <w:pPr>
        <w:ind w:right="280" w:firstLine="349"/>
        <w:spacing w:after="0" w:line="293" w:lineRule="auto"/>
        <w:rPr>
          <w:sz w:val="20"/>
          <w:szCs w:val="20"/>
          <w:color w:val="auto"/>
        </w:rPr>
      </w:pPr>
      <w:r>
        <w:rPr>
          <w:rFonts w:ascii="Times New Roman" w:cs="Times New Roman" w:eastAsia="Times New Roman" w:hAnsi="Times New Roman"/>
          <w:sz w:val="19"/>
          <w:szCs w:val="19"/>
          <w:color w:val="auto"/>
        </w:rPr>
        <w:t>Expected dividend yield: The expected dividend rate is zero as the Company has no history or expectation of declaring dividends on its common stock.</w:t>
      </w:r>
    </w:p>
    <w:p>
      <w:pPr>
        <w:spacing w:after="0" w:line="107" w:lineRule="exact"/>
        <w:rPr>
          <w:sz w:val="20"/>
          <w:szCs w:val="20"/>
          <w:color w:val="auto"/>
        </w:rPr>
      </w:pPr>
    </w:p>
    <w:p>
      <w:pPr>
        <w:ind w:right="180" w:firstLine="349"/>
        <w:spacing w:after="0" w:line="293" w:lineRule="auto"/>
        <w:rPr>
          <w:sz w:val="20"/>
          <w:szCs w:val="20"/>
          <w:color w:val="auto"/>
        </w:rPr>
      </w:pPr>
      <w:r>
        <w:rPr>
          <w:rFonts w:ascii="Times New Roman" w:cs="Times New Roman" w:eastAsia="Times New Roman" w:hAnsi="Times New Roman"/>
          <w:sz w:val="19"/>
          <w:szCs w:val="19"/>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07"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Fair value of common stock: Prior to the Business Combination,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spacing w:after="0" w:line="137" w:lineRule="exact"/>
        <w:rPr>
          <w:sz w:val="20"/>
          <w:szCs w:val="20"/>
          <w:color w:val="auto"/>
        </w:rPr>
      </w:pPr>
    </w:p>
    <w:p>
      <w:pPr>
        <w:ind w:right="140" w:firstLine="349"/>
        <w:spacing w:after="0" w:line="293" w:lineRule="auto"/>
        <w:rPr>
          <w:sz w:val="20"/>
          <w:szCs w:val="20"/>
          <w:color w:val="auto"/>
        </w:rPr>
      </w:pPr>
      <w:r>
        <w:rPr>
          <w:rFonts w:ascii="Times New Roman" w:cs="Times New Roman" w:eastAsia="Times New Roman" w:hAnsi="Times New Roman"/>
          <w:sz w:val="19"/>
          <w:szCs w:val="19"/>
          <w:color w:val="auto"/>
        </w:rPr>
        <w:t>The awards granted in late January 2021 had an exercise price equal to the grant date fair value of the Company’s common stock. The Company’s board of directors made a determination of the fair market value of the</w:t>
      </w: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880" w:h="15480" w:orient="portrait"/>
          <w:cols w:equalWidth="0" w:num="1">
            <w:col w:w="9080"/>
          </w:cols>
          <w:pgMar w:left="1400" w:top="577" w:right="1400" w:bottom="0" w:gutter="0" w:footer="0" w:header="0"/>
          <w:type w:val="continuous"/>
        </w:sectPr>
      </w:pPr>
    </w:p>
    <w:bookmarkStart w:id="115" w:name="page116"/>
    <w:bookmarkEnd w:id="115"/>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840"/>
        <w:spacing w:after="0" w:line="293" w:lineRule="auto"/>
        <w:rPr>
          <w:sz w:val="20"/>
          <w:szCs w:val="20"/>
          <w:color w:val="auto"/>
        </w:rPr>
      </w:pPr>
      <w:r>
        <w:rPr>
          <w:rFonts w:ascii="Times New Roman" w:cs="Times New Roman" w:eastAsia="Times New Roman" w:hAnsi="Times New Roman"/>
          <w:sz w:val="19"/>
          <w:szCs w:val="19"/>
          <w:color w:val="auto"/>
        </w:rPr>
        <w:t>Company’s common stock which contemplated the implied equity value of the Company per the Business Combination Agreement that was executed on February 7, 2021.</w:t>
      </w:r>
    </w:p>
    <w:p>
      <w:pPr>
        <w:spacing w:after="0" w:line="107"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Subsequent to the completion of the Business Combination (as defined in Note 1 and further described in Note</w:t>
      </w:r>
    </w:p>
    <w:p>
      <w:pPr>
        <w:spacing w:after="0" w:line="34" w:lineRule="exact"/>
        <w:rPr>
          <w:sz w:val="20"/>
          <w:szCs w:val="20"/>
          <w:color w:val="auto"/>
        </w:rPr>
      </w:pPr>
    </w:p>
    <w:p>
      <w:pPr>
        <w:ind w:left="342" w:right="1180" w:hanging="342"/>
        <w:spacing w:after="0" w:line="463" w:lineRule="auto"/>
        <w:tabs>
          <w:tab w:leader="none" w:pos="20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fair value of the Company’s common stock is determined based on its closing market price. The following table summarizes option award activity during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wp:posOffset>
            </wp:positionV>
            <wp:extent cx="5794375" cy="1932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1">
                      <a:extLst>
                        <a:ext uri="{28A0092B-C50C-407E-A947-70E740481C1C}"/>
                      </a:extLst>
                    </a:blip>
                    <a:srcRect/>
                    <a:stretch>
                      <a:fillRect/>
                    </a:stretch>
                  </pic:blipFill>
                  <pic:spPr bwMode="auto">
                    <a:xfrm>
                      <a:off x="0" y="0"/>
                      <a:ext cx="5794375" cy="1932940"/>
                    </a:xfrm>
                    <a:prstGeom prst="rect">
                      <a:avLst/>
                    </a:prstGeom>
                    <a:noFill/>
                  </pic:spPr>
                </pic:pic>
              </a:graphicData>
            </a:graphic>
          </wp:anchor>
        </w:drawing>
      </w:r>
    </w:p>
    <w:tbl>
      <w:tblPr>
        <w:tblLayout w:type="fixed"/>
        <w:tblInd w:w="42"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Stock</w:t>
            </w:r>
          </w:p>
        </w:tc>
        <w:tc>
          <w:tcPr>
            <w:tcW w:w="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Contractual Life</w:t>
            </w:r>
          </w:p>
        </w:tc>
        <w:tc>
          <w:tcPr>
            <w:tcW w:w="60" w:type="dxa"/>
            <w:vAlign w:val="bottom"/>
          </w:tcPr>
          <w:p>
            <w:pPr>
              <w:spacing w:after="0"/>
              <w:rPr>
                <w:sz w:val="13"/>
                <w:szCs w:val="13"/>
                <w:color w:val="auto"/>
              </w:rPr>
            </w:pPr>
          </w:p>
        </w:tc>
        <w:tc>
          <w:tcPr>
            <w:tcW w:w="12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Intrinsic Value</w:t>
            </w:r>
          </w:p>
        </w:tc>
        <w:tc>
          <w:tcPr>
            <w:tcW w:w="0" w:type="dxa"/>
            <w:vAlign w:val="bottom"/>
          </w:tcPr>
          <w:p>
            <w:pPr>
              <w:spacing w:after="0"/>
              <w:rPr>
                <w:sz w:val="1"/>
                <w:szCs w:val="1"/>
                <w:color w:val="auto"/>
              </w:rPr>
            </w:pPr>
          </w:p>
        </w:tc>
      </w:tr>
      <w:tr>
        <w:trPr>
          <w:trHeight w:val="208"/>
        </w:trPr>
        <w:tc>
          <w:tcPr>
            <w:tcW w:w="3800" w:type="dxa"/>
            <w:vAlign w:val="bottom"/>
          </w:tcPr>
          <w:p>
            <w:pPr>
              <w:spacing w:after="0"/>
              <w:rPr>
                <w:sz w:val="18"/>
                <w:szCs w:val="18"/>
                <w:color w:val="auto"/>
              </w:rPr>
            </w:pPr>
          </w:p>
        </w:tc>
        <w:tc>
          <w:tcPr>
            <w:tcW w:w="12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0" w:type="dxa"/>
            <w:vAlign w:val="bottom"/>
          </w:tcPr>
          <w:p>
            <w:pPr>
              <w:spacing w:after="0"/>
              <w:rPr>
                <w:sz w:val="1"/>
                <w:szCs w:val="1"/>
                <w:color w:val="auto"/>
              </w:rPr>
            </w:pPr>
          </w:p>
        </w:tc>
      </w:tr>
      <w:tr>
        <w:trPr>
          <w:trHeight w:val="254"/>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Outstanding as of December 31, 2021 </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8,550,076</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4.66</w:t>
            </w: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Granted </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4,677,363</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3.59</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Exercised </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(463,207)</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0.71</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Forfeited </w:t>
            </w:r>
            <w:r>
              <w:rPr>
                <w:rFonts w:ascii="Times New Roman" w:cs="Times New Roman" w:eastAsia="Times New Roman" w:hAnsi="Times New Roman"/>
                <w:sz w:val="19"/>
                <w:szCs w:val="19"/>
                <w:color w:val="B4B4B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(1,278,789)</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6.95</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Outstanding as of December 31, 2022 </w:t>
            </w:r>
            <w:r>
              <w:rPr>
                <w:rFonts w:ascii="Times New Roman" w:cs="Times New Roman" w:eastAsia="Times New Roman" w:hAnsi="Times New Roman"/>
                <w:sz w:val="19"/>
                <w:szCs w:val="19"/>
                <w:color w:val="B4B4B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11,485,443</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3,681</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line="211" w:lineRule="exact"/>
              <w:rPr>
                <w:sz w:val="20"/>
                <w:szCs w:val="20"/>
                <w:color w:val="auto"/>
              </w:rPr>
            </w:pPr>
            <w:r>
              <w:rPr>
                <w:rFonts w:ascii="Times New Roman" w:cs="Times New Roman" w:eastAsia="Times New Roman" w:hAnsi="Times New Roman"/>
                <w:sz w:val="19"/>
                <w:szCs w:val="19"/>
                <w:color w:val="auto"/>
              </w:rPr>
              <w:t>Options vested and expected to vest as of</w:t>
            </w: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0" w:type="dxa"/>
            <w:vAlign w:val="bottom"/>
            <w:vMerge w:val="continue"/>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11,485,443</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4.12</w:t>
            </w: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38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December 31, 2022</w:t>
            </w:r>
            <w:r>
              <w:rPr>
                <w:rFonts w:ascii="Times New Roman" w:cs="Times New Roman" w:eastAsia="Times New Roman" w:hAnsi="Times New Roman"/>
                <w:sz w:val="19"/>
                <w:szCs w:val="19"/>
                <w:color w:val="B4B4B4"/>
              </w:rPr>
              <w:t>..........................................</w:t>
            </w:r>
          </w:p>
        </w:tc>
        <w:tc>
          <w:tcPr>
            <w:tcW w:w="126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Vested and exercisable at December 31, 2022 </w:t>
            </w:r>
            <w:r>
              <w:rPr>
                <w:rFonts w:ascii="Times New Roman" w:cs="Times New Roman" w:eastAsia="Times New Roman" w:hAnsi="Times New Roman"/>
                <w:sz w:val="19"/>
                <w:szCs w:val="19"/>
                <w:color w:val="B4B4B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4,167,416</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 w:right="260" w:firstLine="349"/>
        <w:spacing w:after="0" w:line="274" w:lineRule="auto"/>
        <w:rPr>
          <w:sz w:val="20"/>
          <w:szCs w:val="20"/>
          <w:color w:val="auto"/>
        </w:rPr>
      </w:pPr>
      <w:r>
        <w:rPr>
          <w:rFonts w:ascii="Times New Roman" w:cs="Times New Roman" w:eastAsia="Times New Roman" w:hAnsi="Times New Roman"/>
          <w:sz w:val="19"/>
          <w:szCs w:val="19"/>
          <w:color w:val="auto"/>
        </w:rPr>
        <w:t>The total intrinsic value of options exercised during the years ended December 31, 2022 and 2021 was $1.2 million and $1.7 million, respectively. Aggregate intrinsic value represents the difference between the fair market value of the common stock and the exercise price of outstanding, in-the-money options.</w:t>
      </w:r>
    </w:p>
    <w:p>
      <w:pPr>
        <w:spacing w:after="0" w:line="125" w:lineRule="exact"/>
        <w:rPr>
          <w:sz w:val="20"/>
          <w:szCs w:val="20"/>
          <w:color w:val="auto"/>
        </w:rPr>
      </w:pPr>
    </w:p>
    <w:p>
      <w:pPr>
        <w:ind w:left="2" w:right="20" w:firstLine="349"/>
        <w:spacing w:after="0" w:line="274" w:lineRule="auto"/>
        <w:rPr>
          <w:sz w:val="20"/>
          <w:szCs w:val="20"/>
          <w:color w:val="auto"/>
        </w:rPr>
      </w:pPr>
      <w:r>
        <w:rPr>
          <w:rFonts w:ascii="Times New Roman" w:cs="Times New Roman" w:eastAsia="Times New Roman" w:hAnsi="Times New Roman"/>
          <w:sz w:val="19"/>
          <w:szCs w:val="19"/>
          <w:color w:val="auto"/>
        </w:rPr>
        <w:t>The Company’s option award quantities and prices, prior to the Business Combination (as defined in Note 1 and further described in Note 3) have been retroactively restated to reflect the exchange ratio of approximately 3.6281 established in the Business Combination as described in Note 3.</w:t>
      </w:r>
    </w:p>
    <w:p>
      <w:pPr>
        <w:spacing w:after="0" w:line="125" w:lineRule="exact"/>
        <w:rPr>
          <w:sz w:val="20"/>
          <w:szCs w:val="20"/>
          <w:color w:val="auto"/>
        </w:rPr>
      </w:pPr>
    </w:p>
    <w:p>
      <w:pPr>
        <w:ind w:left="2" w:right="220" w:firstLine="349"/>
        <w:spacing w:after="0" w:line="293" w:lineRule="auto"/>
        <w:rPr>
          <w:sz w:val="20"/>
          <w:szCs w:val="20"/>
          <w:color w:val="auto"/>
        </w:rPr>
      </w:pPr>
      <w:r>
        <w:rPr>
          <w:rFonts w:ascii="Times New Roman" w:cs="Times New Roman" w:eastAsia="Times New Roman" w:hAnsi="Times New Roman"/>
          <w:sz w:val="19"/>
          <w:szCs w:val="19"/>
          <w:color w:val="auto"/>
        </w:rPr>
        <w:t>The weighted-average grant-date fair value of options granted during the years ended December 31, 2022 and 2021 was $2.98 and $6.83 per share, respectively.</w:t>
      </w:r>
    </w:p>
    <w:p>
      <w:pPr>
        <w:spacing w:after="0" w:line="107" w:lineRule="exact"/>
        <w:rPr>
          <w:sz w:val="20"/>
          <w:szCs w:val="20"/>
          <w:color w:val="auto"/>
        </w:rPr>
      </w:pPr>
    </w:p>
    <w:p>
      <w:pPr>
        <w:ind w:left="2" w:right="140" w:firstLine="349"/>
        <w:spacing w:after="0" w:line="293" w:lineRule="auto"/>
        <w:rPr>
          <w:sz w:val="20"/>
          <w:szCs w:val="20"/>
          <w:color w:val="auto"/>
        </w:rPr>
      </w:pPr>
      <w:r>
        <w:rPr>
          <w:rFonts w:ascii="Times New Roman" w:cs="Times New Roman" w:eastAsia="Times New Roman" w:hAnsi="Times New Roman"/>
          <w:sz w:val="19"/>
          <w:szCs w:val="19"/>
          <w:color w:val="auto"/>
        </w:rPr>
        <w:t>As of December 31, 2022, there was $25.1 million of total unrecognized compensation expense expected to be recognized over a weighted average-period of 2.5 years.</w:t>
      </w:r>
    </w:p>
    <w:p>
      <w:pPr>
        <w:spacing w:after="0" w:line="100"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 Expense</w:t>
      </w:r>
    </w:p>
    <w:p>
      <w:pPr>
        <w:spacing w:after="0" w:line="196" w:lineRule="exact"/>
        <w:rPr>
          <w:sz w:val="20"/>
          <w:szCs w:val="20"/>
          <w:color w:val="auto"/>
        </w:rPr>
      </w:pPr>
    </w:p>
    <w:p>
      <w:pPr>
        <w:ind w:left="2" w:right="20" w:firstLine="349"/>
        <w:spacing w:after="0" w:line="293" w:lineRule="auto"/>
        <w:rPr>
          <w:sz w:val="20"/>
          <w:szCs w:val="20"/>
          <w:color w:val="auto"/>
        </w:rPr>
      </w:pPr>
      <w:r>
        <w:rPr>
          <w:rFonts w:ascii="Times New Roman" w:cs="Times New Roman" w:eastAsia="Times New Roman" w:hAnsi="Times New Roman"/>
          <w:sz w:val="19"/>
          <w:szCs w:val="19"/>
          <w:color w:val="auto"/>
        </w:rPr>
        <w:t>The following sets forth the total stock-based compensation expense for the Company’s stock options and ESPP included in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794375" cy="9067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
                      <a:extLst>
                        <a:ext uri="{28A0092B-C50C-407E-A947-70E740481C1C}"/>
                      </a:extLst>
                    </a:blip>
                    <a:srcRect/>
                    <a:stretch>
                      <a:fillRect/>
                    </a:stretch>
                  </pic:blipFill>
                  <pic:spPr bwMode="auto">
                    <a:xfrm>
                      <a:off x="0" y="0"/>
                      <a:ext cx="5794375" cy="906780"/>
                    </a:xfrm>
                    <a:prstGeom prst="rect">
                      <a:avLst/>
                    </a:prstGeom>
                    <a:noFill/>
                  </pic:spPr>
                </pic:pic>
              </a:graphicData>
            </a:graphic>
          </wp:anchor>
        </w:drawing>
      </w:r>
    </w:p>
    <w:p>
      <w:pPr>
        <w:spacing w:after="0" w:line="129"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2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93"/>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Research and development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3,840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2,913</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General and administrative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6,540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5,021</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stock-based compensation expense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7,934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702" w:hanging="702"/>
        <w:spacing w:after="0"/>
        <w:tabs>
          <w:tab w:leader="none" w:pos="702" w:val="left"/>
        </w:tabs>
        <w:numPr>
          <w:ilvl w:val="0"/>
          <w:numId w:val="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w:t>
      </w:r>
    </w:p>
    <w:p>
      <w:pPr>
        <w:spacing w:after="0" w:line="189"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Purchase Commitments</w:t>
      </w:r>
    </w:p>
    <w:p>
      <w:pPr>
        <w:spacing w:after="0" w:line="196" w:lineRule="exact"/>
        <w:rPr>
          <w:sz w:val="20"/>
          <w:szCs w:val="20"/>
          <w:color w:val="auto"/>
        </w:rPr>
      </w:pPr>
    </w:p>
    <w:p>
      <w:pPr>
        <w:ind w:left="2" w:right="200" w:firstLine="349"/>
        <w:spacing w:after="0" w:line="265" w:lineRule="auto"/>
        <w:rPr>
          <w:sz w:val="20"/>
          <w:szCs w:val="20"/>
          <w:color w:val="auto"/>
        </w:rPr>
      </w:pPr>
      <w:r>
        <w:rPr>
          <w:rFonts w:ascii="Times New Roman" w:cs="Times New Roman" w:eastAsia="Times New Roman" w:hAnsi="Times New Roman"/>
          <w:sz w:val="19"/>
          <w:szCs w:val="19"/>
          <w:color w:val="auto"/>
        </w:rPr>
        <w:t>Open purchase commitments are for the purchase of goods and services related to, but not limited to, research and development, facilities, and professional services under non-cancellable contracts. They were not recorded as liabilities on the consolidated balance sheet as of December 31, 2022 as the Company had not yet received the related goods or services. As of December 31, 2022, the Company had open purchase commitments for goods and services of $1.7 million, all of which are expected to be received through the next 12 months.</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113</w:t>
      </w:r>
    </w:p>
    <w:p>
      <w:pPr>
        <w:sectPr>
          <w:pgSz w:w="11880" w:h="15480" w:orient="portrait"/>
          <w:cols w:equalWidth="0" w:num="1">
            <w:col w:w="9082"/>
          </w:cols>
          <w:pgMar w:left="1398" w:top="577" w:right="1400" w:bottom="0" w:gutter="0" w:footer="0" w:header="0"/>
          <w:type w:val="continuous"/>
        </w:sectPr>
      </w:pPr>
    </w:p>
    <w:bookmarkStart w:id="116" w:name="page117"/>
    <w:bookmarkEnd w:id="116"/>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196" w:lineRule="exact"/>
        <w:rPr>
          <w:sz w:val="20"/>
          <w:szCs w:val="20"/>
          <w:color w:val="auto"/>
        </w:rPr>
      </w:pPr>
    </w:p>
    <w:p>
      <w:pPr>
        <w:jc w:val="both"/>
        <w:ind w:firstLine="349"/>
        <w:spacing w:after="0" w:line="268" w:lineRule="auto"/>
        <w:rPr>
          <w:sz w:val="20"/>
          <w:szCs w:val="20"/>
          <w:color w:val="auto"/>
        </w:rPr>
      </w:pPr>
      <w:r>
        <w:rPr>
          <w:rFonts w:ascii="Times New Roman" w:cs="Times New Roman" w:eastAsia="Times New Roman" w:hAnsi="Times New Roman"/>
          <w:sz w:val="19"/>
          <w:szCs w:val="19"/>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Company is obligated under certain non-cancellable operating leases for office space and laboratory space.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space includes operating leases in Seattle, Washington, San Carlos, California, and San Diego, California.</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Seattle Leases</w:t>
      </w:r>
    </w:p>
    <w:p>
      <w:pPr>
        <w:spacing w:after="0" w:line="191"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The operating lease in Seattle, Washington expired in April 2021 and continued to be renewed month to month until August 2021. In July 2021, the Company entered into a 7-year non-cancellable operating lease, which commenced in August 2021, for an additional office space in Seattle, Washington. Total non-cancellable payments under this lease aggregate $4.5 million through June 2028.</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San Carlos Leases</w:t>
      </w:r>
    </w:p>
    <w:p>
      <w:pPr>
        <w:spacing w:after="0" w:line="191"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In February 2021, the Company amended its existing facility lease contract in San Carlos, California which was executed to shorten the remaining term of the lease to expire in December 2021 and reduce monthly lease payments and was accounted for as a modification. The impact of this modification reduced the operating lease right-of-use asset and lease liability balance as a $3.3 million non-cash adjustment. In September 2021, the Company further amended the facility lease contract in San Carlos, California to shorten the remaining term of the lease to expire in October 2021 and was also accounted for as a modification.</w:t>
      </w:r>
    </w:p>
    <w:p>
      <w:pPr>
        <w:spacing w:after="0" w:line="136"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auto"/>
        </w:rPr>
        <w:t>In December 2020, the Company entered into a new lease in San Carlos, California for ten years which commenced in October 2021 and expiring in October 2031 with total minimum lease payments of $40.7 million.</w:t>
      </w:r>
    </w:p>
    <w:p>
      <w:pPr>
        <w:spacing w:after="0" w:line="107"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auto"/>
        </w:rPr>
        <w:t>In December 2020, the Company also entered into a temporary office space lease agreement in San Carlos, California which commenced in February 2021 and expired in October 2021 with total minimum lease payments of $1.2 million. The temporary office space lease agreement was recognized as a short-term lease due to the election of the short-term lease measurement and recognition exemption.</w:t>
      </w:r>
    </w:p>
    <w:p>
      <w:pPr>
        <w:spacing w:after="0" w:line="131" w:lineRule="exact"/>
        <w:rPr>
          <w:sz w:val="20"/>
          <w:szCs w:val="20"/>
          <w:color w:val="auto"/>
        </w:rPr>
      </w:pPr>
    </w:p>
    <w:p>
      <w:pPr>
        <w:ind w:right="240" w:firstLine="349"/>
        <w:spacing w:after="0" w:line="261" w:lineRule="auto"/>
        <w:rPr>
          <w:sz w:val="20"/>
          <w:szCs w:val="20"/>
          <w:color w:val="auto"/>
        </w:rPr>
      </w:pPr>
      <w:r>
        <w:rPr>
          <w:rFonts w:ascii="Times New Roman" w:cs="Times New Roman" w:eastAsia="Times New Roman" w:hAnsi="Times New Roman"/>
          <w:sz w:val="19"/>
          <w:szCs w:val="19"/>
          <w:color w:val="auto"/>
        </w:rPr>
        <w:t>In December 2021, the Company entered into another lease in San Carlos, California for nine years that is expected to commence in the first quarter of 2023 and expiring in October 2031. The Company can terminate this lease after five years from the commencement date without bearing any significant termination penalties and therefore the Company concluded that the lease term is five years with total minimum lease payments of</w:t>
      </w:r>
    </w:p>
    <w:p>
      <w:pPr>
        <w:spacing w:after="0" w:line="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9"/>
          <w:szCs w:val="19"/>
          <w:color w:val="auto"/>
        </w:rPr>
        <w:t>$7.2 million. The Company may utilize funds from the landlord of up to $2.0 million with an interest rate of 7% to finance its tenant improvements. As of December 31, 2022, $0.8 million has been utilized.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San Diego Lease</w:t>
      </w:r>
    </w:p>
    <w:p>
      <w:pPr>
        <w:spacing w:after="0" w:line="191"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In November 2022, the Company entered into a lease in San Diego, California for 39 months commencing in December 2022. Total non-cancellable payments under this lease aggregate $2.1 million through March 2026.</w:t>
      </w:r>
    </w:p>
    <w:p>
      <w:pPr>
        <w:sectPr>
          <w:pgSz w:w="11880" w:h="15480" w:orient="portrait"/>
          <w:cols w:equalWidth="0" w:num="1">
            <w:col w:w="9060"/>
          </w:cols>
          <w:pgMar w:left="1400" w:top="57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ectPr>
          <w:pgSz w:w="11880" w:h="15480" w:orient="portrait"/>
          <w:cols w:equalWidth="0" w:num="1">
            <w:col w:w="9060"/>
          </w:cols>
          <w:pgMar w:left="1400" w:top="577" w:right="1420" w:bottom="0" w:gutter="0" w:footer="0" w:header="0"/>
          <w:type w:val="continuous"/>
        </w:sectPr>
      </w:pPr>
    </w:p>
    <w:bookmarkStart w:id="117" w:name="page118"/>
    <w:bookmarkEnd w:id="117"/>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380" w:firstLine="349"/>
        <w:spacing w:after="0" w:line="293" w:lineRule="auto"/>
        <w:rPr>
          <w:sz w:val="20"/>
          <w:szCs w:val="20"/>
          <w:color w:val="auto"/>
        </w:rPr>
      </w:pPr>
      <w:r>
        <w:rPr>
          <w:rFonts w:ascii="Times New Roman" w:cs="Times New Roman" w:eastAsia="Times New Roman" w:hAnsi="Times New Roman"/>
          <w:sz w:val="19"/>
          <w:szCs w:val="19"/>
          <w:color w:val="auto"/>
        </w:rPr>
        <w:t>The components of lease costs which were included in operating expenses in the consolidated statements of operations were as follows: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0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283"/>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Fixed operating lease costs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4,751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2,539</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Short-term lease costs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1,225</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Variable operating lease costs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1,655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362</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lease costs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4,126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-751840</wp:posOffset>
            </wp:positionV>
            <wp:extent cx="5794375" cy="7588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3">
                      <a:extLst>
                        <a:ext uri="{28A0092B-C50C-407E-A947-70E740481C1C}"/>
                      </a:extLst>
                    </a:blip>
                    <a:srcRect/>
                    <a:stretch>
                      <a:fillRect/>
                    </a:stretch>
                  </pic:blipFill>
                  <pic:spPr bwMode="auto">
                    <a:xfrm>
                      <a:off x="0" y="0"/>
                      <a:ext cx="5794375" cy="758825"/>
                    </a:xfrm>
                    <a:prstGeom prst="rect">
                      <a:avLst/>
                    </a:prstGeom>
                    <a:noFill/>
                  </pic:spPr>
                </pic:pic>
              </a:graphicData>
            </a:graphic>
          </wp:anchor>
        </w:drawing>
      </w:r>
    </w:p>
    <w:p>
      <w:pPr>
        <w:spacing w:after="0" w:line="162" w:lineRule="exact"/>
        <w:rPr>
          <w:sz w:val="20"/>
          <w:szCs w:val="20"/>
          <w:color w:val="auto"/>
        </w:rPr>
      </w:pPr>
    </w:p>
    <w:p>
      <w:pPr>
        <w:ind w:right="140" w:firstLine="349"/>
        <w:spacing w:after="0" w:line="293" w:lineRule="auto"/>
        <w:rPr>
          <w:sz w:val="20"/>
          <w:szCs w:val="20"/>
          <w:color w:val="auto"/>
        </w:rPr>
      </w:pPr>
      <w:r>
        <w:rPr>
          <w:rFonts w:ascii="Times New Roman" w:cs="Times New Roman" w:eastAsia="Times New Roman" w:hAnsi="Times New Roman"/>
          <w:sz w:val="19"/>
          <w:szCs w:val="19"/>
          <w:color w:val="auto"/>
        </w:rPr>
        <w:t>For the years ended December 31, 2022 and 2021, cash paid for amounts included in the measurement of lease liabilities included in cash flows used in operating activities was $3.9 million and $1.8 million, respectively.</w:t>
      </w:r>
    </w:p>
    <w:p>
      <w:pPr>
        <w:spacing w:after="0" w:line="107" w:lineRule="exact"/>
        <w:rPr>
          <w:sz w:val="20"/>
          <w:szCs w:val="20"/>
          <w:color w:val="auto"/>
        </w:rPr>
      </w:pPr>
    </w:p>
    <w:p>
      <w:pPr>
        <w:ind w:right="220" w:firstLine="349"/>
        <w:spacing w:after="0" w:line="293" w:lineRule="auto"/>
        <w:rPr>
          <w:sz w:val="20"/>
          <w:szCs w:val="20"/>
          <w:color w:val="auto"/>
        </w:rPr>
      </w:pPr>
      <w:r>
        <w:rPr>
          <w:rFonts w:ascii="Times New Roman" w:cs="Times New Roman" w:eastAsia="Times New Roman" w:hAnsi="Times New Roman"/>
          <w:sz w:val="19"/>
          <w:szCs w:val="19"/>
          <w:color w:val="auto"/>
        </w:rPr>
        <w:t>As of December 31, 2022, the weighted-average remaining lease term and weighted-average discount rate for operating leases is 8.19 years and 8.82%, respectively.</w:t>
      </w:r>
    </w:p>
    <w:p>
      <w:pPr>
        <w:spacing w:after="0" w:line="107" w:lineRule="exact"/>
        <w:rPr>
          <w:sz w:val="20"/>
          <w:szCs w:val="20"/>
          <w:color w:val="auto"/>
        </w:rPr>
      </w:pPr>
    </w:p>
    <w:p>
      <w:pPr>
        <w:ind w:right="460" w:firstLine="349"/>
        <w:spacing w:after="0" w:line="293" w:lineRule="auto"/>
        <w:rPr>
          <w:sz w:val="20"/>
          <w:szCs w:val="20"/>
          <w:color w:val="auto"/>
        </w:rPr>
      </w:pPr>
      <w:r>
        <w:rPr>
          <w:rFonts w:ascii="Times New Roman" w:cs="Times New Roman" w:eastAsia="Times New Roman" w:hAnsi="Times New Roman"/>
          <w:sz w:val="19"/>
          <w:szCs w:val="19"/>
          <w:color w:val="auto"/>
        </w:rPr>
        <w:t>The following table summarizes the Company's future principal contractual obligations for operating lease commitments as of December 31, 2022:</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1060" w:type="dxa"/>
            <w:vAlign w:val="bottom"/>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208"/>
        </w:trPr>
        <w:tc>
          <w:tcPr>
            <w:tcW w:w="77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254"/>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2023 </w:t>
            </w:r>
            <w:r>
              <w:rPr>
                <w:rFonts w:ascii="Times New Roman" w:cs="Times New Roman" w:eastAsia="Times New Roman" w:hAnsi="Times New Roman"/>
                <w:sz w:val="19"/>
                <w:szCs w:val="19"/>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4,485</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2024 </w:t>
            </w:r>
            <w:r>
              <w:rPr>
                <w:rFonts w:ascii="Times New Roman" w:cs="Times New Roman" w:eastAsia="Times New Roman" w:hAnsi="Times New Roman"/>
                <w:sz w:val="19"/>
                <w:szCs w:val="19"/>
                <w:color w:val="B4B4B4"/>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5,207</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2025 </w:t>
            </w:r>
            <w:r>
              <w:rPr>
                <w:rFonts w:ascii="Times New Roman" w:cs="Times New Roman" w:eastAsia="Times New Roman" w:hAnsi="Times New Roman"/>
                <w:sz w:val="19"/>
                <w:szCs w:val="19"/>
                <w:color w:val="B4B4B4"/>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5,358</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2026 </w:t>
            </w:r>
            <w:r>
              <w:rPr>
                <w:rFonts w:ascii="Times New Roman" w:cs="Times New Roman" w:eastAsia="Times New Roman" w:hAnsi="Times New Roman"/>
                <w:sz w:val="19"/>
                <w:szCs w:val="19"/>
                <w:color w:val="B4B4B4"/>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5,006</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2027 </w:t>
            </w:r>
            <w:r>
              <w:rPr>
                <w:rFonts w:ascii="Times New Roman" w:cs="Times New Roman" w:eastAsia="Times New Roman" w:hAnsi="Times New Roman"/>
                <w:sz w:val="19"/>
                <w:szCs w:val="19"/>
                <w:color w:val="B4B4B4"/>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4,977</w:t>
            </w:r>
          </w:p>
        </w:tc>
        <w:tc>
          <w:tcPr>
            <w:tcW w:w="0" w:type="dxa"/>
            <w:vAlign w:val="bottom"/>
          </w:tcPr>
          <w:p>
            <w:pPr>
              <w:spacing w:after="0"/>
              <w:rPr>
                <w:sz w:val="1"/>
                <w:szCs w:val="1"/>
                <w:color w:val="auto"/>
              </w:rPr>
            </w:pPr>
          </w:p>
        </w:tc>
      </w:tr>
      <w:tr>
        <w:trPr>
          <w:trHeight w:val="279"/>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2028 and thereafter </w:t>
            </w:r>
            <w:r>
              <w:rPr>
                <w:rFonts w:ascii="Times New Roman" w:cs="Times New Roman" w:eastAsia="Times New Roman" w:hAnsi="Times New Roman"/>
                <w:sz w:val="19"/>
                <w:szCs w:val="19"/>
                <w:color w:val="B4B4B4"/>
              </w:rPr>
              <w:t>...............................................................................................................................</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17,966</w:t>
            </w:r>
          </w:p>
        </w:tc>
        <w:tc>
          <w:tcPr>
            <w:tcW w:w="0" w:type="dxa"/>
            <w:vAlign w:val="bottom"/>
          </w:tcPr>
          <w:p>
            <w:pPr>
              <w:spacing w:after="0"/>
              <w:rPr>
                <w:sz w:val="1"/>
                <w:szCs w:val="1"/>
                <w:color w:val="auto"/>
              </w:rPr>
            </w:pPr>
          </w:p>
        </w:tc>
      </w:tr>
      <w:tr>
        <w:trPr>
          <w:trHeight w:val="254"/>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future minimum lease payments </w:t>
            </w:r>
            <w:r>
              <w:rPr>
                <w:rFonts w:ascii="Times New Roman" w:cs="Times New Roman" w:eastAsia="Times New Roman" w:hAnsi="Times New Roman"/>
                <w:sz w:val="19"/>
                <w:szCs w:val="19"/>
                <w:color w:val="B4B4B4"/>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42,999</w:t>
            </w:r>
          </w:p>
        </w:tc>
        <w:tc>
          <w:tcPr>
            <w:tcW w:w="0" w:type="dxa"/>
            <w:vAlign w:val="bottom"/>
          </w:tcPr>
          <w:p>
            <w:pPr>
              <w:spacing w:after="0"/>
              <w:rPr>
                <w:sz w:val="1"/>
                <w:szCs w:val="1"/>
                <w:color w:val="auto"/>
              </w:rPr>
            </w:pPr>
          </w:p>
        </w:tc>
      </w:tr>
      <w:tr>
        <w:trPr>
          <w:trHeight w:val="279"/>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Less: Imputed interest </w:t>
            </w:r>
            <w:r>
              <w:rPr>
                <w:rFonts w:ascii="Times New Roman" w:cs="Times New Roman" w:eastAsia="Times New Roman" w:hAnsi="Times New Roman"/>
                <w:sz w:val="19"/>
                <w:szCs w:val="19"/>
                <w:color w:val="B4B4B4"/>
              </w:rPr>
              <w:t>...........................................................................................................................</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(12,671)</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operating lease liabilities </w:t>
            </w:r>
            <w:r>
              <w:rPr>
                <w:rFonts w:ascii="Times New Roman" w:cs="Times New Roman" w:eastAsia="Times New Roman" w:hAnsi="Times New Roman"/>
                <w:sz w:val="19"/>
                <w:szCs w:val="19"/>
                <w:color w:val="B4B4B4"/>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30,328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-1861185</wp:posOffset>
            </wp:positionV>
            <wp:extent cx="5794375" cy="18681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4">
                      <a:extLst>
                        <a:ext uri="{28A0092B-C50C-407E-A947-70E740481C1C}"/>
                      </a:extLst>
                    </a:blip>
                    <a:srcRect/>
                    <a:stretch>
                      <a:fillRect/>
                    </a:stretch>
                  </pic:blipFill>
                  <pic:spPr bwMode="auto">
                    <a:xfrm>
                      <a:off x="0" y="0"/>
                      <a:ext cx="5794375" cy="1868170"/>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Guarantees and Indemnifications</w:t>
      </w:r>
    </w:p>
    <w:p>
      <w:pPr>
        <w:spacing w:after="0" w:line="196"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36" w:lineRule="exact"/>
        <w:rPr>
          <w:sz w:val="20"/>
          <w:szCs w:val="20"/>
          <w:color w:val="auto"/>
        </w:rPr>
      </w:pPr>
    </w:p>
    <w:p>
      <w:pPr>
        <w:ind w:right="120" w:firstLine="349"/>
        <w:spacing w:after="0" w:line="263" w:lineRule="auto"/>
        <w:rPr>
          <w:sz w:val="20"/>
          <w:szCs w:val="20"/>
          <w:color w:val="auto"/>
        </w:rPr>
      </w:pPr>
      <w:r>
        <w:rPr>
          <w:rFonts w:ascii="Times New Roman" w:cs="Times New Roman" w:eastAsia="Times New Roman" w:hAnsi="Times New Roman"/>
          <w:sz w:val="19"/>
          <w:szCs w:val="19"/>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Letters of Credit</w:t>
      </w:r>
    </w:p>
    <w:p>
      <w:pPr>
        <w:spacing w:after="0" w:line="196" w:lineRule="exact"/>
        <w:rPr>
          <w:sz w:val="20"/>
          <w:szCs w:val="20"/>
          <w:color w:val="auto"/>
        </w:rPr>
      </w:pPr>
    </w:p>
    <w:p>
      <w:pPr>
        <w:ind w:right="380" w:firstLine="349"/>
        <w:spacing w:after="0" w:line="293" w:lineRule="auto"/>
        <w:rPr>
          <w:sz w:val="20"/>
          <w:szCs w:val="20"/>
          <w:color w:val="auto"/>
        </w:rPr>
      </w:pPr>
      <w:r>
        <w:rPr>
          <w:rFonts w:ascii="Times New Roman" w:cs="Times New Roman" w:eastAsia="Times New Roman" w:hAnsi="Times New Roman"/>
          <w:sz w:val="19"/>
          <w:szCs w:val="19"/>
          <w:color w:val="auto"/>
        </w:rPr>
        <w:t>In conjunction with the San Carlos lease agreement entered in December 2020, the Company issued a cash-collateralized letter of credit in lieu of security deposit of $0.6 million. In conjunction with the San Carlos lease</w:t>
      </w: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ectPr>
          <w:pgSz w:w="11880" w:h="15480" w:orient="portrait"/>
          <w:cols w:equalWidth="0" w:num="1">
            <w:col w:w="9080"/>
          </w:cols>
          <w:pgMar w:left="1400" w:top="577" w:right="1400" w:bottom="0" w:gutter="0" w:footer="0" w:header="0"/>
          <w:type w:val="continuous"/>
        </w:sectPr>
      </w:pPr>
    </w:p>
    <w:bookmarkStart w:id="118" w:name="page119"/>
    <w:bookmarkEnd w:id="118"/>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20"/>
        <w:spacing w:after="0" w:line="268" w:lineRule="auto"/>
        <w:rPr>
          <w:sz w:val="20"/>
          <w:szCs w:val="20"/>
          <w:color w:val="auto"/>
        </w:rPr>
      </w:pPr>
      <w:r>
        <w:rPr>
          <w:rFonts w:ascii="Times New Roman" w:cs="Times New Roman" w:eastAsia="Times New Roman" w:hAnsi="Times New Roman"/>
          <w:sz w:val="19"/>
          <w:szCs w:val="19"/>
          <w:color w:val="auto"/>
        </w:rPr>
        <w:t>agreement entered in December 2021, the Company amended the existing cash-collateralized letter of credit and increased the amount to $0.8 million. In conjunction with the San Diego lease agreement entered in November 2022, the Company issued a cash-collateralized letter of credit in lieu of a security deposit of $0.1 million. The cash amount is recorded as restricted cash under Other long-term assets on the Company’s consolidated balance sheets.</w:t>
      </w:r>
    </w:p>
    <w:p>
      <w:pPr>
        <w:spacing w:after="0" w:line="147" w:lineRule="exact"/>
        <w:rPr>
          <w:sz w:val="20"/>
          <w:szCs w:val="20"/>
          <w:color w:val="auto"/>
        </w:rPr>
      </w:pPr>
    </w:p>
    <w:p>
      <w:pPr>
        <w:ind w:left="702" w:hanging="702"/>
        <w:spacing w:after="0"/>
        <w:tabs>
          <w:tab w:leader="none" w:pos="702" w:val="left"/>
        </w:tabs>
        <w:numPr>
          <w:ilvl w:val="0"/>
          <w:numId w:val="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Basic and Diluted Net Loss per Share</w:t>
      </w:r>
    </w:p>
    <w:p>
      <w:pPr>
        <w:spacing w:after="0" w:line="196" w:lineRule="exact"/>
        <w:rPr>
          <w:sz w:val="20"/>
          <w:szCs w:val="20"/>
          <w:color w:val="auto"/>
        </w:rPr>
      </w:pPr>
    </w:p>
    <w:p>
      <w:pPr>
        <w:ind w:left="2" w:right="20" w:firstLine="349"/>
        <w:spacing w:after="0" w:line="293" w:lineRule="auto"/>
        <w:rPr>
          <w:sz w:val="20"/>
          <w:szCs w:val="20"/>
          <w:color w:val="auto"/>
        </w:rPr>
      </w:pPr>
      <w:r>
        <w:rPr>
          <w:rFonts w:ascii="Times New Roman" w:cs="Times New Roman" w:eastAsia="Times New Roman" w:hAnsi="Times New Roman"/>
          <w:sz w:val="19"/>
          <w:szCs w:val="19"/>
          <w:color w:val="auto"/>
        </w:rPr>
        <w:t>The following tables set forth the computation of the Company’s basic and diluted net loss per share attributable to common stockholders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794375" cy="1942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5">
                      <a:extLst>
                        <a:ext uri="{28A0092B-C50C-407E-A947-70E740481C1C}"/>
                      </a:extLst>
                    </a:blip>
                    <a:srcRect/>
                    <a:stretch>
                      <a:fillRect/>
                    </a:stretch>
                  </pic:blipFill>
                  <pic:spPr bwMode="auto">
                    <a:xfrm>
                      <a:off x="0" y="0"/>
                      <a:ext cx="5794375" cy="1942465"/>
                    </a:xfrm>
                    <a:prstGeom prst="rect">
                      <a:avLst/>
                    </a:prstGeom>
                    <a:noFill/>
                  </pic:spPr>
                </pic:pic>
              </a:graphicData>
            </a:graphic>
          </wp:anchor>
        </w:drawing>
      </w:r>
    </w:p>
    <w:p>
      <w:pPr>
        <w:spacing w:after="0" w:line="129"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data)</w:t>
            </w:r>
          </w:p>
        </w:tc>
        <w:tc>
          <w:tcPr>
            <w:tcW w:w="160" w:type="dxa"/>
            <w:vAlign w:val="bottom"/>
          </w:tcPr>
          <w:p>
            <w:pPr>
              <w:spacing w:after="0"/>
              <w:rPr>
                <w:sz w:val="13"/>
                <w:szCs w:val="13"/>
                <w:color w:val="auto"/>
              </w:rPr>
            </w:pPr>
          </w:p>
        </w:tc>
        <w:tc>
          <w:tcPr>
            <w:tcW w:w="1120" w:type="dxa"/>
            <w:vAlign w:val="bottom"/>
          </w:tcPr>
          <w:p>
            <w:pPr>
              <w:jc w:val="center"/>
              <w:ind w:right="7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90"/>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Numerator:</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Net loss attributable to common stockholders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(57,924)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(50,315)</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Denominator:</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Weighted average common shares outstanding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124,589,555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84,481,251</w:t>
            </w:r>
          </w:p>
        </w:tc>
        <w:tc>
          <w:tcPr>
            <w:tcW w:w="0" w:type="dxa"/>
            <w:vAlign w:val="bottom"/>
          </w:tcPr>
          <w:p>
            <w:pPr>
              <w:spacing w:after="0"/>
              <w:rPr>
                <w:sz w:val="1"/>
                <w:szCs w:val="1"/>
                <w:color w:val="auto"/>
              </w:rPr>
            </w:pPr>
          </w:p>
        </w:tc>
      </w:tr>
      <w:tr>
        <w:trPr>
          <w:trHeight w:val="199"/>
        </w:trPr>
        <w:tc>
          <w:tcPr>
            <w:tcW w:w="64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Less: Weighted-average unvested restricted shares and shares subject to</w:t>
            </w: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(17,170)</w:t>
            </w:r>
          </w:p>
        </w:tc>
        <w:tc>
          <w:tcPr>
            <w:tcW w:w="0" w:type="dxa"/>
            <w:vAlign w:val="bottom"/>
          </w:tcPr>
          <w:p>
            <w:pPr>
              <w:spacing w:after="0"/>
              <w:rPr>
                <w:sz w:val="1"/>
                <w:szCs w:val="1"/>
                <w:color w:val="auto"/>
              </w:rPr>
            </w:pPr>
          </w:p>
        </w:tc>
      </w:tr>
      <w:tr>
        <w:trPr>
          <w:trHeight w:val="255"/>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repurchase</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line="176" w:lineRule="exact"/>
              <w:rPr>
                <w:sz w:val="20"/>
                <w:szCs w:val="20"/>
                <w:color w:val="auto"/>
              </w:rPr>
            </w:pPr>
            <w:r>
              <w:rPr>
                <w:rFonts w:ascii="Times New Roman" w:cs="Times New Roman" w:eastAsia="Times New Roman" w:hAnsi="Times New Roman"/>
                <w:sz w:val="19"/>
                <w:szCs w:val="19"/>
                <w:color w:val="auto"/>
              </w:rPr>
              <w:t>Weighted average shares used in computing net loss per share attributable to</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124,589,555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84,464,081</w:t>
            </w:r>
          </w:p>
        </w:tc>
        <w:tc>
          <w:tcPr>
            <w:tcW w:w="0" w:type="dxa"/>
            <w:vAlign w:val="bottom"/>
          </w:tcPr>
          <w:p>
            <w:pPr>
              <w:spacing w:after="0"/>
              <w:rPr>
                <w:sz w:val="1"/>
                <w:szCs w:val="1"/>
                <w:color w:val="auto"/>
              </w:rPr>
            </w:pPr>
          </w:p>
        </w:tc>
      </w:tr>
      <w:tr>
        <w:trPr>
          <w:trHeight w:val="255"/>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 xml:space="preserve">common stockholders, basic and diluted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Net loss per share attributable to common stockholders, basic and diluted: </w:t>
            </w:r>
            <w:r>
              <w:rPr>
                <w:rFonts w:ascii="Times New Roman" w:cs="Times New Roman" w:eastAsia="Times New Roman" w:hAnsi="Times New Roman"/>
                <w:sz w:val="19"/>
                <w:szCs w:val="19"/>
                <w:color w:val="B4B4B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(0.46)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(0.60)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 w:right="20" w:firstLine="349"/>
        <w:spacing w:after="0" w:line="265" w:lineRule="auto"/>
        <w:rPr>
          <w:sz w:val="20"/>
          <w:szCs w:val="20"/>
          <w:color w:val="auto"/>
        </w:rPr>
      </w:pPr>
      <w:r>
        <w:rPr>
          <w:rFonts w:ascii="Times New Roman" w:cs="Times New Roman" w:eastAsia="Times New Roman" w:hAnsi="Times New Roman"/>
          <w:sz w:val="19"/>
          <w:szCs w:val="19"/>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33" w:lineRule="exact"/>
        <w:rPr>
          <w:sz w:val="20"/>
          <w:szCs w:val="20"/>
          <w:color w:val="auto"/>
        </w:rPr>
      </w:pPr>
    </w:p>
    <w:p>
      <w:pPr>
        <w:ind w:left="2" w:right="340" w:firstLine="349"/>
        <w:spacing w:after="0" w:line="274" w:lineRule="auto"/>
        <w:rPr>
          <w:sz w:val="20"/>
          <w:szCs w:val="20"/>
          <w:color w:val="auto"/>
        </w:rPr>
      </w:pPr>
      <w:r>
        <w:rPr>
          <w:rFonts w:ascii="Times New Roman" w:cs="Times New Roman" w:eastAsia="Times New Roman" w:hAnsi="Times New Roman"/>
          <w:sz w:val="19"/>
          <w:szCs w:val="19"/>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105410</wp:posOffset>
            </wp:positionV>
            <wp:extent cx="5794375" cy="906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6">
                      <a:extLst>
                        <a:ext uri="{28A0092B-C50C-407E-A947-70E740481C1C}"/>
                      </a:extLst>
                    </a:blip>
                    <a:srcRect/>
                    <a:stretch>
                      <a:fillRect/>
                    </a:stretch>
                  </pic:blipFill>
                  <pic:spPr bwMode="auto">
                    <a:xfrm>
                      <a:off x="0" y="0"/>
                      <a:ext cx="5794375" cy="906780"/>
                    </a:xfrm>
                    <a:prstGeom prst="rect">
                      <a:avLst/>
                    </a:prstGeom>
                    <a:noFill/>
                  </pic:spPr>
                </pic:pic>
              </a:graphicData>
            </a:graphic>
          </wp:anchor>
        </w:drawing>
      </w:r>
    </w:p>
    <w:p>
      <w:pPr>
        <w:spacing w:after="0" w:line="147"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155"/>
        </w:trPr>
        <w:tc>
          <w:tcPr>
            <w:tcW w:w="646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8"/>
        </w:trPr>
        <w:tc>
          <w:tcPr>
            <w:tcW w:w="646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Options to purchase common stock </w:t>
            </w:r>
            <w:r>
              <w:rPr>
                <w:rFonts w:ascii="Times New Roman" w:cs="Times New Roman" w:eastAsia="Times New Roman" w:hAnsi="Times New Roman"/>
                <w:sz w:val="19"/>
                <w:szCs w:val="19"/>
                <w:color w:val="B4B4B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11,485,443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8,550,076</w:t>
            </w: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Employee stock purchase plan </w:t>
            </w:r>
            <w:r>
              <w:rPr>
                <w:rFonts w:ascii="Times New Roman" w:cs="Times New Roman" w:eastAsia="Times New Roman" w:hAnsi="Times New Roman"/>
                <w:sz w:val="19"/>
                <w:szCs w:val="19"/>
                <w:color w:val="B4B4B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63,246</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59,085</w:t>
            </w: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potentially dilutive common share equivalents </w:t>
            </w:r>
            <w:r>
              <w:rPr>
                <w:rFonts w:ascii="Times New Roman" w:cs="Times New Roman" w:eastAsia="Times New Roman" w:hAnsi="Times New Roman"/>
                <w:sz w:val="19"/>
                <w:szCs w:val="19"/>
                <w:color w:val="B4B4B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11,548,689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8,609,161</w:t>
            </w:r>
          </w:p>
        </w:tc>
      </w:tr>
      <w:tr>
        <w:trPr>
          <w:trHeight w:val="20"/>
        </w:trPr>
        <w:tc>
          <w:tcPr>
            <w:tcW w:w="64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116</w:t>
      </w:r>
    </w:p>
    <w:p>
      <w:pPr>
        <w:sectPr>
          <w:pgSz w:w="11880" w:h="15480" w:orient="portrait"/>
          <w:cols w:equalWidth="0" w:num="1">
            <w:col w:w="9082"/>
          </w:cols>
          <w:pgMar w:left="1398" w:top="577" w:right="140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Evaluation of Disclosure Controls and Procedures</w:t>
      </w:r>
    </w:p>
    <w:p>
      <w:pPr>
        <w:spacing w:after="0" w:line="196"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133"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Management’s Report on Internal Control Over Financial Reporting</w:t>
      </w:r>
    </w:p>
    <w:p>
      <w:pPr>
        <w:spacing w:after="0" w:line="196"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2022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2022.</w:t>
      </w:r>
    </w:p>
    <w:p>
      <w:pPr>
        <w:spacing w:after="0" w:line="136" w:lineRule="exact"/>
        <w:rPr>
          <w:sz w:val="20"/>
          <w:szCs w:val="20"/>
          <w:color w:val="auto"/>
        </w:rPr>
      </w:pPr>
    </w:p>
    <w:p>
      <w:pPr>
        <w:jc w:val="both"/>
        <w:ind w:right="220" w:firstLine="349"/>
        <w:spacing w:after="0" w:line="274" w:lineRule="auto"/>
        <w:rPr>
          <w:sz w:val="20"/>
          <w:szCs w:val="20"/>
          <w:color w:val="auto"/>
        </w:rPr>
      </w:pPr>
      <w:r>
        <w:rPr>
          <w:rFonts w:ascii="Times New Roman" w:cs="Times New Roman" w:eastAsia="Times New Roman" w:hAnsi="Times New Roman"/>
          <w:sz w:val="19"/>
          <w:szCs w:val="19"/>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Changes in Internal Control over Financial Reporting</w:t>
      </w:r>
    </w:p>
    <w:p>
      <w:pPr>
        <w:spacing w:after="0" w:line="193" w:lineRule="exact"/>
        <w:rPr>
          <w:sz w:val="20"/>
          <w:szCs w:val="20"/>
          <w:color w:val="auto"/>
        </w:rPr>
      </w:pPr>
    </w:p>
    <w:p>
      <w:pPr>
        <w:jc w:val="both"/>
        <w:ind w:right="120" w:firstLine="349"/>
        <w:spacing w:after="0" w:line="274" w:lineRule="auto"/>
        <w:rPr>
          <w:sz w:val="20"/>
          <w:szCs w:val="20"/>
          <w:color w:val="auto"/>
        </w:rPr>
      </w:pPr>
      <w:r>
        <w:rPr>
          <w:rFonts w:ascii="Times New Roman" w:cs="Times New Roman" w:eastAsia="Times New Roman" w:hAnsi="Times New Roman"/>
          <w:sz w:val="19"/>
          <w:szCs w:val="19"/>
          <w:color w:val="auto"/>
        </w:rPr>
        <w:t>There was no change in our internal control over financial reporting identified in connection with the evaluation required by Rule 13a-15(d) and 15d-15(d) of the Securities Exchange Act of 1934 that occurred during the quarter ended December 31, 2022, that has materially affected, or is reasonably likely to materially affect, our internal control over financial reporting.</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Inherent Limitations on Effectiveness of Controls</w:t>
      </w:r>
    </w:p>
    <w:p>
      <w:pPr>
        <w:spacing w:after="0" w:line="196"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Not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0" w:orient="portrait"/>
          <w:cols w:equalWidth="0" w:num="1">
            <w:col w:w="9940"/>
          </w:cols>
          <w:pgMar w:left="960" w:top="81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ectPr>
          <w:pgSz w:w="11880" w:h="15480" w:orient="portrait"/>
          <w:cols w:equalWidth="0" w:num="1">
            <w:col w:w="9940"/>
          </w:cols>
          <w:pgMar w:left="960" w:top="818" w:right="980" w:bottom="0" w:gutter="0" w:footer="0" w:header="0"/>
          <w:type w:val="continuous"/>
        </w:sectPr>
      </w:pPr>
    </w:p>
    <w:bookmarkStart w:id="120" w:name="page121"/>
    <w:bookmarkEnd w:id="120"/>
    <w:p>
      <w:pPr>
        <w:ind w:left="4600"/>
        <w:spacing w:after="0"/>
        <w:rPr>
          <w:sz w:val="20"/>
          <w:szCs w:val="20"/>
          <w:color w:val="auto"/>
        </w:rPr>
      </w:pPr>
      <w:r>
        <w:rPr>
          <w:rFonts w:ascii="Times New Roman" w:cs="Times New Roman" w:eastAsia="Times New Roman" w:hAnsi="Times New Roman"/>
          <w:sz w:val="23"/>
          <w:szCs w:val="23"/>
          <w:b w:val="1"/>
          <w:bCs w:val="1"/>
          <w:color w:val="auto"/>
        </w:rPr>
        <w:t>Part III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196" w:lineRule="exact"/>
        <w:rPr>
          <w:sz w:val="20"/>
          <w:szCs w:val="20"/>
          <w:color w:val="auto"/>
        </w:rPr>
      </w:pPr>
    </w:p>
    <w:p>
      <w:pPr>
        <w:jc w:val="both"/>
        <w:ind w:right="80" w:firstLine="349"/>
        <w:spacing w:after="0" w:line="274" w:lineRule="auto"/>
        <w:rPr>
          <w:sz w:val="20"/>
          <w:szCs w:val="20"/>
          <w:color w:val="auto"/>
        </w:rPr>
      </w:pPr>
      <w:r>
        <w:rPr>
          <w:rFonts w:ascii="Times New Roman" w:cs="Times New Roman" w:eastAsia="Times New Roman" w:hAnsi="Times New Roman"/>
          <w:sz w:val="19"/>
          <w:szCs w:val="19"/>
          <w:color w:val="auto"/>
        </w:rPr>
        <w:t>The information called for by this item will be set forth in our Proxy Statement for the Annual Meeting of Stockholders to be filed with the SEC within 120 days of the fiscal year ended December 31, 2022 (the “Proxy Statement”) and is incorporated herein by reference.</w:t>
      </w:r>
    </w:p>
    <w:p>
      <w:pPr>
        <w:spacing w:after="0" w:line="125"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Our board of directors has adopted a Code of Business Conduct and Ethics applicable to all employees, officers and directors of the Company. The full text of our Code of Business Conduct and Ethics is posted on our investors relations website at http://www.nautilus.bio/investors/. We will post any amendments to our code of business conduct and ethics, or waivers of its requirements, on our website.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 and Management and Related Stockholder Matters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Accounting Fees and Services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ectPr>
          <w:pgSz w:w="11880" w:h="15480" w:orient="portrait"/>
          <w:cols w:equalWidth="0" w:num="1">
            <w:col w:w="9920"/>
          </w:cols>
          <w:pgMar w:left="960" w:top="80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118</w:t>
      </w:r>
    </w:p>
    <w:p>
      <w:pPr>
        <w:sectPr>
          <w:pgSz w:w="11880" w:h="15480" w:orient="portrait"/>
          <w:cols w:equalWidth="0" w:num="1">
            <w:col w:w="9920"/>
          </w:cols>
          <w:pgMar w:left="960" w:top="802" w:right="1000" w:bottom="0" w:gutter="0" w:footer="0" w:header="0"/>
          <w:type w:val="continuous"/>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Part IV</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 1. Financial Statements</w:t>
      </w:r>
    </w:p>
    <w:p>
      <w:pPr>
        <w:spacing w:after="0" w:line="191"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auto"/>
        </w:rPr>
        <w:t>See Index to consolidated financial statements in Part II, Item 8 of this Annual Report on Form 10-K, which is incorporated herein by reference.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 Financial Statement Schedules</w:t>
      </w:r>
    </w:p>
    <w:p>
      <w:pPr>
        <w:spacing w:after="0" w:line="191" w:lineRule="exact"/>
        <w:rPr>
          <w:sz w:val="20"/>
          <w:szCs w:val="20"/>
          <w:color w:val="auto"/>
        </w:rPr>
      </w:pPr>
    </w:p>
    <w:p>
      <w:pPr>
        <w:ind w:right="260" w:firstLine="349"/>
        <w:spacing w:after="0" w:line="293" w:lineRule="auto"/>
        <w:rPr>
          <w:sz w:val="20"/>
          <w:szCs w:val="20"/>
          <w:color w:val="auto"/>
        </w:rPr>
      </w:pPr>
      <w:r>
        <w:rPr>
          <w:rFonts w:ascii="Times New Roman" w:cs="Times New Roman" w:eastAsia="Times New Roman" w:hAnsi="Times New Roman"/>
          <w:sz w:val="19"/>
          <w:szCs w:val="19"/>
          <w:color w:val="auto"/>
        </w:rPr>
        <w:t>All financial statement schedules have been omitted because they are either not applicable or the required information is shown in the consolidated financial statements or notes thereto.</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3. Exhibits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See the Exhibit Index which precedes the signature page of this Annual Report, which is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 Exhibits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See Item 15(a)(3) above.</w:t>
      </w:r>
    </w:p>
    <w:p>
      <w:pPr>
        <w:spacing w:after="0" w:line="187" w:lineRule="exact"/>
        <w:rPr>
          <w:sz w:val="20"/>
          <w:szCs w:val="20"/>
          <w:color w:val="auto"/>
        </w:rPr>
      </w:pPr>
    </w:p>
    <w:p>
      <w:pPr>
        <w:ind w:left="360" w:right="7280" w:hanging="359"/>
        <w:spacing w:after="0" w:line="528" w:lineRule="auto"/>
        <w:tabs>
          <w:tab w:leader="none" w:pos="274"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Financial Statement Schedules </w:t>
      </w:r>
      <w:r>
        <w:rPr>
          <w:rFonts w:ascii="Times New Roman" w:cs="Times New Roman" w:eastAsia="Times New Roman" w:hAnsi="Times New Roman"/>
          <w:sz w:val="18"/>
          <w:szCs w:val="18"/>
          <w:color w:val="auto"/>
        </w:rPr>
        <w:t>See Item 15(a)(2) above.</w:t>
      </w:r>
    </w:p>
    <w:p>
      <w:pPr>
        <w:sectPr>
          <w:pgSz w:w="11880" w:h="15480" w:orient="portrait"/>
          <w:cols w:equalWidth="0" w:num="1">
            <w:col w:w="9940"/>
          </w:cols>
          <w:pgMar w:left="960" w:top="80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ectPr>
          <w:pgSz w:w="11880" w:h="15480" w:orient="portrait"/>
          <w:cols w:equalWidth="0" w:num="1">
            <w:col w:w="9940"/>
          </w:cols>
          <w:pgMar w:left="960" w:top="802" w:right="98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9"/>
          <w:szCs w:val="19"/>
          <w:b w:val="1"/>
          <w:bCs w:val="1"/>
          <w:color w:val="auto"/>
        </w:rPr>
        <w:t>EXHIBITS</w:t>
      </w:r>
    </w:p>
    <w:p>
      <w:pPr>
        <w:sectPr>
          <w:pgSz w:w="11880" w:h="15480" w:orient="portrait"/>
          <w:cols w:equalWidth="0" w:num="1">
            <w:col w:w="9300"/>
          </w:cols>
          <w:pgMar w:left="1140" w:top="1383" w:right="1440" w:bottom="0" w:gutter="0" w:footer="0" w:header="0"/>
        </w:sectPr>
      </w:pPr>
    </w:p>
    <w:p>
      <w:pPr>
        <w:spacing w:after="0" w:line="2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37465</wp:posOffset>
                </wp:positionV>
                <wp:extent cx="48958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9585" cy="4763"/>
                        </a:xfrm>
                        <a:prstGeom prst="line">
                          <a:avLst/>
                        </a:prstGeom>
                        <a:solidFill>
                          <a:srgbClr val="FFFFFF"/>
                        </a:solidFill>
                        <a:ln w="12326">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95pt" to="38.35pt,2.95pt" o:allowincell="f" strokecolor="#000000" strokeweight="0.9706pt"/>
            </w:pict>
          </mc:Fallback>
        </mc:AlternateConten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3.1</w:t>
      </w: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3.2</w:t>
      </w: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22860</wp:posOffset>
                </wp:positionV>
                <wp:extent cx="515810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58105" cy="4763"/>
                        </a:xfrm>
                        <a:prstGeom prst="line">
                          <a:avLst/>
                        </a:prstGeom>
                        <a:solidFill>
                          <a:srgbClr val="FFFFFF"/>
                        </a:solidFill>
                        <a:ln w="12326">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99pt,1.8pt" to="404pt,1.8pt" o:allowincell="f" strokecolor="#000000" strokeweight="0.9706pt"/>
            </w:pict>
          </mc:Fallback>
        </mc:AlternateContent>
      </w:r>
    </w:p>
    <w:p>
      <w:pPr>
        <w:spacing w:after="0" w:line="28"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9"/>
          <w:szCs w:val="19"/>
          <w:u w:val="single" w:color="auto"/>
          <w:color w:val="4A4A4A"/>
        </w:rPr>
        <w:t>Business Combination Agreement, dated as of February 7, 2021, by and among ARYA Sciences Acquisition Corp III, Mako Merger Sub, Inc., and Nautilus Biotechnology, Inc. (incorporated by reference to Exhibit 2.1 to the Company’s Current Report on Form 8-K filed with the SEC on February 8, 2021).</w:t>
      </w:r>
    </w:p>
    <w:p>
      <w:pPr>
        <w:spacing w:after="0" w:line="6"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9"/>
          <w:szCs w:val="19"/>
          <w:u w:val="single" w:color="auto"/>
          <w:color w:val="4A4A4A"/>
        </w:rPr>
        <w:t>Certificate of Incorporation of Nautilus Biotechnology, Inc. (incorporated by reference to Exhibit 3.1 to the Company’s Current Report on Form 8-K filed with the SEC on June 10, 2021).</w:t>
      </w:r>
    </w:p>
    <w:p>
      <w:pPr>
        <w:spacing w:after="0" w:line="2"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9"/>
          <w:szCs w:val="19"/>
          <w:u w:val="single" w:color="auto"/>
          <w:color w:val="4A4A4A"/>
        </w:rPr>
        <w:t>Amended and Restated Bylaws of Nautilus Biotechnology, Inc. (incorporated by reference to Exhibit 3.1 to the Company’s Current Report on Form 8-K filed with the SEC on November 1, 2022).</w:t>
      </w:r>
    </w:p>
    <w:p>
      <w:pPr>
        <w:spacing w:after="0" w:line="2" w:lineRule="exact"/>
        <w:rPr>
          <w:sz w:val="20"/>
          <w:szCs w:val="20"/>
          <w:color w:val="auto"/>
        </w:rPr>
      </w:pPr>
    </w:p>
    <w:p>
      <w:pPr>
        <w:ind w:right="760"/>
        <w:spacing w:after="0" w:line="250" w:lineRule="auto"/>
        <w:rPr>
          <w:sz w:val="20"/>
          <w:szCs w:val="20"/>
          <w:color w:val="auto"/>
        </w:rPr>
      </w:pPr>
      <w:r>
        <w:rPr>
          <w:rFonts w:ascii="Times New Roman" w:cs="Times New Roman" w:eastAsia="Times New Roman" w:hAnsi="Times New Roman"/>
          <w:sz w:val="19"/>
          <w:szCs w:val="19"/>
          <w:u w:val="single" w:color="auto"/>
          <w:color w:val="4A4A4A"/>
        </w:rPr>
        <w:t>Specimen Common Stock Certificate (incorporated by reference to Exhibit 4.1 to the Company’s Current Report on Form 8-K filed with the SEC on June 10, 2021).</w:t>
      </w:r>
    </w:p>
    <w:p>
      <w:pPr>
        <w:spacing w:after="0" w:line="1" w:lineRule="exact"/>
        <w:rPr>
          <w:sz w:val="20"/>
          <w:szCs w:val="20"/>
          <w:color w:val="auto"/>
        </w:rPr>
      </w:pPr>
    </w:p>
    <w:p>
      <w:pPr>
        <w:sectPr>
          <w:pgSz w:w="11880" w:h="15480" w:orient="portrait"/>
          <w:cols w:equalWidth="0" w:num="2">
            <w:col w:w="660" w:space="340"/>
            <w:col w:w="8300"/>
          </w:cols>
          <w:pgMar w:left="1140" w:top="1383" w:right="1440" w:bottom="0" w:gutter="0" w:footer="0" w:header="0"/>
          <w:type w:val="continuous"/>
        </w:sectPr>
      </w:pPr>
    </w:p>
    <w:tbl>
      <w:tblPr>
        <w:tblLayout w:type="fixed"/>
        <w:tblInd w:w="40" w:type="dxa"/>
        <w:tblCellMar>
          <w:top w:w="0" w:type="dxa"/>
          <w:left w:w="0" w:type="dxa"/>
          <w:bottom w:w="0" w:type="dxa"/>
          <w:right w:w="0" w:type="dxa"/>
        </w:tblCellMar>
      </w:tblPr>
      <w:tr>
        <w:trPr>
          <w:trHeight w:val="225"/>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8000" w:type="dxa"/>
            <w:vAlign w:val="bottom"/>
            <w:gridSpan w:val="27"/>
          </w:tcPr>
          <w:p>
            <w:pPr>
              <w:spacing w:after="0"/>
              <w:rPr>
                <w:sz w:val="20"/>
                <w:szCs w:val="20"/>
                <w:color w:val="auto"/>
              </w:rPr>
            </w:pPr>
            <w:r>
              <w:rPr>
                <w:rFonts w:ascii="Times New Roman" w:cs="Times New Roman" w:eastAsia="Times New Roman" w:hAnsi="Times New Roman"/>
                <w:sz w:val="19"/>
                <w:szCs w:val="19"/>
                <w:color w:val="4A4A4A"/>
              </w:rPr>
              <w:t>Description of Securities.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60" w:type="dxa"/>
            <w:vAlign w:val="bottom"/>
            <w:shd w:val="clear" w:color="auto" w:fill="4A4A4A"/>
          </w:tcPr>
          <w:p>
            <w:pPr>
              <w:spacing w:after="0" w:line="20" w:lineRule="exact"/>
              <w:rPr>
                <w:sz w:val="1"/>
                <w:szCs w:val="1"/>
                <w:color w:val="auto"/>
              </w:rPr>
            </w:pPr>
          </w:p>
        </w:tc>
        <w:tc>
          <w:tcPr>
            <w:tcW w:w="240" w:type="dxa"/>
            <w:vAlign w:val="bottom"/>
            <w:shd w:val="clear" w:color="auto" w:fill="4A4A4A"/>
          </w:tcPr>
          <w:p>
            <w:pPr>
              <w:spacing w:after="0" w:line="20" w:lineRule="exact"/>
              <w:rPr>
                <w:sz w:val="1"/>
                <w:szCs w:val="1"/>
                <w:color w:val="auto"/>
              </w:rPr>
            </w:pPr>
          </w:p>
        </w:tc>
        <w:tc>
          <w:tcPr>
            <w:tcW w:w="660" w:type="dxa"/>
            <w:vAlign w:val="bottom"/>
            <w:shd w:val="clear" w:color="auto" w:fill="4A4A4A"/>
          </w:tcPr>
          <w:p>
            <w:pPr>
              <w:spacing w:after="0" w:line="20" w:lineRule="exact"/>
              <w:rPr>
                <w:sz w:val="1"/>
                <w:szCs w:val="1"/>
                <w:color w:val="auto"/>
              </w:rPr>
            </w:pPr>
          </w:p>
        </w:tc>
        <w:tc>
          <w:tcPr>
            <w:tcW w:w="520" w:type="dxa"/>
            <w:vAlign w:val="bottom"/>
            <w:shd w:val="clear" w:color="auto" w:fill="4A4A4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8000" w:type="dxa"/>
            <w:vAlign w:val="bottom"/>
            <w:tcBorders>
              <w:bottom w:val="single" w:sz="8" w:color="4A4A4A"/>
            </w:tcBorders>
            <w:gridSpan w:val="27"/>
          </w:tcPr>
          <w:p>
            <w:pPr>
              <w:spacing w:after="0"/>
              <w:rPr>
                <w:sz w:val="20"/>
                <w:szCs w:val="20"/>
                <w:color w:val="auto"/>
              </w:rPr>
            </w:pPr>
            <w:r>
              <w:rPr>
                <w:rFonts w:ascii="Times New Roman" w:cs="Times New Roman" w:eastAsia="Times New Roman" w:hAnsi="Times New Roman"/>
                <w:sz w:val="19"/>
                <w:szCs w:val="19"/>
                <w:color w:val="4A4A4A"/>
              </w:rPr>
              <w:t>Form of Subscription Agreement (incorporated by reference to Exhibit 10.3 to the Company’s Current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4820" w:type="dxa"/>
            <w:vAlign w:val="bottom"/>
            <w:tcBorders>
              <w:bottom w:val="single" w:sz="8" w:color="4A4A4A"/>
            </w:tcBorders>
            <w:gridSpan w:val="6"/>
          </w:tcPr>
          <w:p>
            <w:pPr>
              <w:spacing w:after="0" w:line="174" w:lineRule="exact"/>
              <w:rPr>
                <w:sz w:val="20"/>
                <w:szCs w:val="20"/>
                <w:color w:val="auto"/>
              </w:rPr>
            </w:pPr>
            <w:r>
              <w:rPr>
                <w:rFonts w:ascii="Times New Roman" w:cs="Times New Roman" w:eastAsia="Times New Roman" w:hAnsi="Times New Roman"/>
                <w:sz w:val="19"/>
                <w:szCs w:val="19"/>
                <w:color w:val="4A4A4A"/>
              </w:rPr>
              <w:t>Report on Form 8-K filed with the SEC on February 8, 2021).</w:t>
            </w:r>
          </w:p>
        </w:tc>
        <w:tc>
          <w:tcPr>
            <w:tcW w:w="318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10.2</w:t>
            </w:r>
          </w:p>
        </w:tc>
        <w:tc>
          <w:tcPr>
            <w:tcW w:w="8000" w:type="dxa"/>
            <w:vAlign w:val="bottom"/>
            <w:gridSpan w:val="27"/>
          </w:tcPr>
          <w:p>
            <w:pPr>
              <w:spacing w:after="0"/>
              <w:rPr>
                <w:sz w:val="20"/>
                <w:szCs w:val="20"/>
                <w:color w:val="auto"/>
              </w:rPr>
            </w:pPr>
            <w:r>
              <w:rPr>
                <w:rFonts w:ascii="Times New Roman" w:cs="Times New Roman" w:eastAsia="Times New Roman" w:hAnsi="Times New Roman"/>
                <w:sz w:val="19"/>
                <w:szCs w:val="19"/>
                <w:color w:val="4A4A4A"/>
              </w:rPr>
              <w:t>Form of Amended and Restated Registration Rights and Lock-Up Agreement (incorporated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400" w:type="dxa"/>
            <w:vAlign w:val="bottom"/>
            <w:tcBorders>
              <w:top w:val="single" w:sz="8" w:color="4A4A4A"/>
              <w:bottom w:val="single" w:sz="8" w:color="4A4A4A"/>
            </w:tcBorders>
            <w:gridSpan w:val="15"/>
          </w:tcPr>
          <w:p>
            <w:pPr>
              <w:spacing w:after="0" w:line="174" w:lineRule="exact"/>
              <w:rPr>
                <w:sz w:val="20"/>
                <w:szCs w:val="20"/>
                <w:color w:val="auto"/>
              </w:rPr>
            </w:pPr>
            <w:r>
              <w:rPr>
                <w:rFonts w:ascii="Times New Roman" w:cs="Times New Roman" w:eastAsia="Times New Roman" w:hAnsi="Times New Roman"/>
                <w:sz w:val="19"/>
                <w:szCs w:val="19"/>
                <w:color w:val="4A4A4A"/>
              </w:rPr>
              <w:t>reference to Exhibit 10.2 to the Company’s Current Report on Form 8-K filed with the SEC on</w:t>
            </w:r>
          </w:p>
        </w:tc>
        <w:tc>
          <w:tcPr>
            <w:tcW w:w="20" w:type="dxa"/>
            <w:vAlign w:val="bottom"/>
            <w:tcBorders>
              <w:bottom w:val="single" w:sz="8" w:color="4A4A4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1460" w:type="dxa"/>
            <w:vAlign w:val="bottom"/>
            <w:tcBorders>
              <w:bottom w:val="single" w:sz="8" w:color="4A4A4A"/>
            </w:tcBorders>
            <w:gridSpan w:val="3"/>
          </w:tcPr>
          <w:p>
            <w:pPr>
              <w:spacing w:after="0" w:line="174" w:lineRule="exact"/>
              <w:rPr>
                <w:sz w:val="20"/>
                <w:szCs w:val="20"/>
                <w:color w:val="auto"/>
              </w:rPr>
            </w:pPr>
            <w:r>
              <w:rPr>
                <w:rFonts w:ascii="Times New Roman" w:cs="Times New Roman" w:eastAsia="Times New Roman" w:hAnsi="Times New Roman"/>
                <w:sz w:val="19"/>
                <w:szCs w:val="19"/>
                <w:color w:val="4A4A4A"/>
              </w:rPr>
              <w:t>February 8, 2021).</w:t>
            </w:r>
          </w:p>
        </w:tc>
        <w:tc>
          <w:tcPr>
            <w:tcW w:w="5960" w:type="dxa"/>
            <w:vAlign w:val="bottom"/>
            <w:gridSpan w:val="13"/>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10.3+</w:t>
            </w:r>
          </w:p>
        </w:tc>
        <w:tc>
          <w:tcPr>
            <w:tcW w:w="8000" w:type="dxa"/>
            <w:vAlign w:val="bottom"/>
            <w:gridSpan w:val="27"/>
          </w:tcPr>
          <w:p>
            <w:pPr>
              <w:spacing w:after="0"/>
              <w:rPr>
                <w:sz w:val="20"/>
                <w:szCs w:val="20"/>
                <w:color w:val="auto"/>
              </w:rPr>
            </w:pPr>
            <w:r>
              <w:rPr>
                <w:rFonts w:ascii="Times New Roman" w:cs="Times New Roman" w:eastAsia="Times New Roman" w:hAnsi="Times New Roman"/>
                <w:sz w:val="19"/>
                <w:szCs w:val="19"/>
                <w:color w:val="4A4A4A"/>
              </w:rPr>
              <w:t>Nautilus Biotechnology, Inc. 2021 Equity Incentive Plan (incorporated by reference to Exhibit 10.4 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6480" w:type="dxa"/>
            <w:vAlign w:val="bottom"/>
            <w:tcBorders>
              <w:top w:val="single" w:sz="8" w:color="4A4A4A"/>
              <w:bottom w:val="single" w:sz="8" w:color="4A4A4A"/>
            </w:tcBorders>
            <w:gridSpan w:val="7"/>
          </w:tcPr>
          <w:p>
            <w:pPr>
              <w:spacing w:after="0" w:line="174" w:lineRule="exact"/>
              <w:rPr>
                <w:sz w:val="20"/>
                <w:szCs w:val="20"/>
                <w:color w:val="auto"/>
              </w:rPr>
            </w:pPr>
            <w:r>
              <w:rPr>
                <w:rFonts w:ascii="Times New Roman" w:cs="Times New Roman" w:eastAsia="Times New Roman" w:hAnsi="Times New Roman"/>
                <w:sz w:val="19"/>
                <w:szCs w:val="19"/>
                <w:color w:val="4A4A4A"/>
              </w:rPr>
              <w:t>the Company’s Current Report on Form 8-K filed with the SEC on June 10, 2021).</w:t>
            </w:r>
          </w:p>
        </w:tc>
        <w:tc>
          <w:tcPr>
            <w:tcW w:w="1500" w:type="dxa"/>
            <w:vAlign w:val="bottom"/>
            <w:tcBorders>
              <w:top w:val="single" w:sz="8" w:color="4A4A4A"/>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000" w:type="dxa"/>
            <w:vAlign w:val="bottom"/>
            <w:gridSpan w:val="27"/>
          </w:tcPr>
          <w:p>
            <w:pPr>
              <w:spacing w:after="0"/>
              <w:rPr>
                <w:sz w:val="20"/>
                <w:szCs w:val="20"/>
                <w:color w:val="auto"/>
              </w:rPr>
            </w:pPr>
            <w:r>
              <w:rPr>
                <w:rFonts w:ascii="Times New Roman" w:cs="Times New Roman" w:eastAsia="Times New Roman" w:hAnsi="Times New Roman"/>
                <w:sz w:val="19"/>
                <w:szCs w:val="19"/>
                <w:color w:val="4A4A4A"/>
              </w:rPr>
              <w:t>Nautilus Biotechnology, Inc. 2021 Employee Stock Purchase Plan (incorporated by reference 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500" w:type="dxa"/>
            <w:vAlign w:val="bottom"/>
            <w:tcBorders>
              <w:top w:val="single" w:sz="8" w:color="4A4A4A"/>
              <w:bottom w:val="single" w:sz="8" w:color="4A4A4A"/>
            </w:tcBorders>
            <w:gridSpan w:val="17"/>
          </w:tcPr>
          <w:p>
            <w:pPr>
              <w:spacing w:after="0" w:line="174" w:lineRule="exact"/>
              <w:rPr>
                <w:sz w:val="20"/>
                <w:szCs w:val="20"/>
                <w:color w:val="auto"/>
              </w:rPr>
            </w:pPr>
            <w:r>
              <w:rPr>
                <w:rFonts w:ascii="Times New Roman" w:cs="Times New Roman" w:eastAsia="Times New Roman" w:hAnsi="Times New Roman"/>
                <w:sz w:val="19"/>
                <w:szCs w:val="19"/>
                <w:color w:val="4A4A4A"/>
              </w:rPr>
              <w:t>Exhibit 10.5 to the Company’s Current Report on Form 8-K filed with the SEC on June 10, 2021)</w:t>
            </w:r>
          </w:p>
        </w:tc>
        <w:tc>
          <w:tcPr>
            <w:tcW w:w="140" w:type="dxa"/>
            <w:vAlign w:val="bottom"/>
            <w:tcBorders>
              <w:bottom w:val="single" w:sz="8" w:color="4A4A4A"/>
            </w:tcBorders>
            <w:gridSpan w:val="2"/>
          </w:tcPr>
          <w:p>
            <w:pPr>
              <w:jc w:val="center"/>
              <w:ind w:left="3"/>
              <w:spacing w:after="0" w:line="174" w:lineRule="exact"/>
              <w:rPr>
                <w:sz w:val="20"/>
                <w:szCs w:val="20"/>
                <w:color w:val="auto"/>
              </w:rPr>
            </w:pPr>
            <w:r>
              <w:rPr>
                <w:rFonts w:ascii="Times New Roman" w:cs="Times New Roman" w:eastAsia="Times New Roman" w:hAnsi="Times New Roman"/>
                <w:sz w:val="19"/>
                <w:szCs w:val="19"/>
                <w:color w:val="4A4A4A"/>
                <w:w w:val="83"/>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8000" w:type="dxa"/>
            <w:vAlign w:val="bottom"/>
            <w:gridSpan w:val="27"/>
          </w:tcPr>
          <w:p>
            <w:pPr>
              <w:spacing w:after="0"/>
              <w:rPr>
                <w:sz w:val="20"/>
                <w:szCs w:val="20"/>
                <w:color w:val="auto"/>
              </w:rPr>
            </w:pPr>
            <w:r>
              <w:rPr>
                <w:rFonts w:ascii="Times New Roman" w:cs="Times New Roman" w:eastAsia="Times New Roman" w:hAnsi="Times New Roman"/>
                <w:sz w:val="19"/>
                <w:szCs w:val="19"/>
                <w:color w:val="4A4A4A"/>
              </w:rPr>
              <w:t>Form of Stock Option Agreement under the Nautilus Biotechnology, Inc. 2021 Equity Incentive Plan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900" w:type="dxa"/>
            <w:vAlign w:val="bottom"/>
            <w:tcBorders>
              <w:top w:val="single" w:sz="8" w:color="4A4A4A"/>
            </w:tcBorders>
            <w:gridSpan w:val="23"/>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10.7 to the Company’s Form S-4 filed with the SEC on March</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 w:type="dxa"/>
            <w:vAlign w:val="bottom"/>
            <w:tcBorders>
              <w:top w:val="single" w:sz="8" w:color="4A4A4A"/>
              <w:bottom w:val="single" w:sz="8" w:color="4A4A4A"/>
            </w:tcBorders>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660" w:type="dxa"/>
            <w:vAlign w:val="bottom"/>
            <w:tcBorders>
              <w:top w:val="single" w:sz="8" w:color="4A4A4A"/>
            </w:tcBorders>
          </w:tcPr>
          <w:p>
            <w:pPr>
              <w:spacing w:after="0"/>
              <w:rPr>
                <w:sz w:val="15"/>
                <w:szCs w:val="15"/>
                <w:color w:val="auto"/>
              </w:rPr>
            </w:pPr>
          </w:p>
        </w:tc>
        <w:tc>
          <w:tcPr>
            <w:tcW w:w="520" w:type="dxa"/>
            <w:vAlign w:val="bottom"/>
            <w:tcBorders>
              <w:top w:val="single" w:sz="8" w:color="4A4A4A"/>
            </w:tcBorders>
          </w:tcPr>
          <w:p>
            <w:pPr>
              <w:spacing w:after="0"/>
              <w:rPr>
                <w:sz w:val="15"/>
                <w:szCs w:val="15"/>
                <w:color w:val="auto"/>
              </w:rPr>
            </w:pPr>
          </w:p>
        </w:tc>
        <w:tc>
          <w:tcPr>
            <w:tcW w:w="20" w:type="dxa"/>
            <w:vAlign w:val="bottom"/>
            <w:tcBorders>
              <w:top w:val="single" w:sz="8" w:color="4A4A4A"/>
            </w:tcBorders>
          </w:tcPr>
          <w:p>
            <w:pPr>
              <w:spacing w:after="0"/>
              <w:rPr>
                <w:sz w:val="15"/>
                <w:szCs w:val="15"/>
                <w:color w:val="auto"/>
              </w:rPr>
            </w:pPr>
          </w:p>
        </w:tc>
        <w:tc>
          <w:tcPr>
            <w:tcW w:w="2820" w:type="dxa"/>
            <w:vAlign w:val="bottom"/>
            <w:tcBorders>
              <w:top w:val="single" w:sz="8" w:color="4A4A4A"/>
            </w:tcBorders>
          </w:tcPr>
          <w:p>
            <w:pPr>
              <w:spacing w:after="0"/>
              <w:rPr>
                <w:sz w:val="15"/>
                <w:szCs w:val="15"/>
                <w:color w:val="auto"/>
              </w:rPr>
            </w:pPr>
          </w:p>
        </w:tc>
        <w:tc>
          <w:tcPr>
            <w:tcW w:w="1660" w:type="dxa"/>
            <w:vAlign w:val="bottom"/>
            <w:tcBorders>
              <w:top w:val="single" w:sz="8" w:color="4A4A4A"/>
            </w:tcBorders>
          </w:tcPr>
          <w:p>
            <w:pPr>
              <w:spacing w:after="0"/>
              <w:rPr>
                <w:sz w:val="15"/>
                <w:szCs w:val="15"/>
                <w:color w:val="auto"/>
              </w:rPr>
            </w:pPr>
          </w:p>
        </w:tc>
        <w:tc>
          <w:tcPr>
            <w:tcW w:w="520" w:type="dxa"/>
            <w:vAlign w:val="bottom"/>
            <w:tcBorders>
              <w:top w:val="single" w:sz="8" w:color="4A4A4A"/>
            </w:tcBorders>
          </w:tcPr>
          <w:p>
            <w:pPr>
              <w:spacing w:after="0"/>
              <w:rPr>
                <w:sz w:val="15"/>
                <w:szCs w:val="15"/>
                <w:color w:val="auto"/>
              </w:rPr>
            </w:pPr>
          </w:p>
        </w:tc>
        <w:tc>
          <w:tcPr>
            <w:tcW w:w="40" w:type="dxa"/>
            <w:vAlign w:val="bottom"/>
            <w:tcBorders>
              <w:top w:val="single" w:sz="8" w:color="4A4A4A"/>
            </w:tcBorders>
          </w:tcPr>
          <w:p>
            <w:pPr>
              <w:spacing w:after="0"/>
              <w:rPr>
                <w:sz w:val="15"/>
                <w:szCs w:val="15"/>
                <w:color w:val="auto"/>
              </w:rPr>
            </w:pPr>
          </w:p>
        </w:tc>
        <w:tc>
          <w:tcPr>
            <w:tcW w:w="40" w:type="dxa"/>
            <w:vAlign w:val="bottom"/>
            <w:tcBorders>
              <w:top w:val="single" w:sz="8" w:color="4A4A4A"/>
            </w:tcBorders>
          </w:tcPr>
          <w:p>
            <w:pPr>
              <w:spacing w:after="0"/>
              <w:rPr>
                <w:sz w:val="15"/>
                <w:szCs w:val="15"/>
                <w:color w:val="auto"/>
              </w:rPr>
            </w:pPr>
          </w:p>
        </w:tc>
        <w:tc>
          <w:tcPr>
            <w:tcW w:w="20" w:type="dxa"/>
            <w:vAlign w:val="bottom"/>
            <w:tcBorders>
              <w:top w:val="single" w:sz="8" w:color="4A4A4A"/>
            </w:tcBorders>
          </w:tcPr>
          <w:p>
            <w:pPr>
              <w:spacing w:after="0"/>
              <w:rPr>
                <w:sz w:val="15"/>
                <w:szCs w:val="15"/>
                <w:color w:val="auto"/>
              </w:rPr>
            </w:pPr>
          </w:p>
        </w:tc>
        <w:tc>
          <w:tcPr>
            <w:tcW w:w="20" w:type="dxa"/>
            <w:vAlign w:val="bottom"/>
            <w:tcBorders>
              <w:top w:val="single" w:sz="8" w:color="4A4A4A"/>
            </w:tcBorders>
          </w:tcPr>
          <w:p>
            <w:pPr>
              <w:spacing w:after="0"/>
              <w:rPr>
                <w:sz w:val="15"/>
                <w:szCs w:val="15"/>
                <w:color w:val="auto"/>
              </w:rPr>
            </w:pPr>
          </w:p>
        </w:tc>
        <w:tc>
          <w:tcPr>
            <w:tcW w:w="200" w:type="dxa"/>
            <w:vAlign w:val="bottom"/>
            <w:tcBorders>
              <w:top w:val="single" w:sz="8" w:color="4A4A4A"/>
            </w:tcBorders>
          </w:tcPr>
          <w:p>
            <w:pPr>
              <w:spacing w:after="0"/>
              <w:rPr>
                <w:sz w:val="15"/>
                <w:szCs w:val="15"/>
                <w:color w:val="auto"/>
              </w:rPr>
            </w:pPr>
          </w:p>
        </w:tc>
        <w:tc>
          <w:tcPr>
            <w:tcW w:w="60" w:type="dxa"/>
            <w:vAlign w:val="bottom"/>
            <w:tcBorders>
              <w:top w:val="single" w:sz="8" w:color="4A4A4A"/>
            </w:tcBorders>
          </w:tcPr>
          <w:p>
            <w:pPr>
              <w:spacing w:after="0"/>
              <w:rPr>
                <w:sz w:val="15"/>
                <w:szCs w:val="15"/>
                <w:color w:val="auto"/>
              </w:rPr>
            </w:pPr>
          </w:p>
        </w:tc>
        <w:tc>
          <w:tcPr>
            <w:tcW w:w="20" w:type="dxa"/>
            <w:vAlign w:val="bottom"/>
            <w:tcBorders>
              <w:top w:val="single" w:sz="8" w:color="4A4A4A"/>
            </w:tcBorders>
          </w:tcPr>
          <w:p>
            <w:pPr>
              <w:spacing w:after="0"/>
              <w:rPr>
                <w:sz w:val="15"/>
                <w:szCs w:val="15"/>
                <w:color w:val="auto"/>
              </w:rPr>
            </w:pPr>
          </w:p>
        </w:tc>
        <w:tc>
          <w:tcPr>
            <w:tcW w:w="20" w:type="dxa"/>
            <w:vAlign w:val="bottom"/>
            <w:tcBorders>
              <w:top w:val="single" w:sz="8" w:color="4A4A4A"/>
            </w:tcBorders>
          </w:tcPr>
          <w:p>
            <w:pPr>
              <w:spacing w:after="0"/>
              <w:rPr>
                <w:sz w:val="15"/>
                <w:szCs w:val="15"/>
                <w:color w:val="auto"/>
              </w:rPr>
            </w:pPr>
          </w:p>
        </w:tc>
        <w:tc>
          <w:tcPr>
            <w:tcW w:w="80" w:type="dxa"/>
            <w:vAlign w:val="bottom"/>
            <w:tcBorders>
              <w:top w:val="single" w:sz="8" w:color="4A4A4A"/>
            </w:tcBorders>
          </w:tcPr>
          <w:p>
            <w:pPr>
              <w:spacing w:after="0"/>
              <w:rPr>
                <w:sz w:val="15"/>
                <w:szCs w:val="15"/>
                <w:color w:val="auto"/>
              </w:rPr>
            </w:pPr>
          </w:p>
        </w:tc>
        <w:tc>
          <w:tcPr>
            <w:tcW w:w="60" w:type="dxa"/>
            <w:vAlign w:val="bottom"/>
            <w:tcBorders>
              <w:top w:val="single" w:sz="8" w:color="4A4A4A"/>
            </w:tcBorders>
          </w:tcPr>
          <w:p>
            <w:pPr>
              <w:spacing w:after="0"/>
              <w:rPr>
                <w:sz w:val="15"/>
                <w:szCs w:val="15"/>
                <w:color w:val="auto"/>
              </w:rPr>
            </w:pPr>
          </w:p>
        </w:tc>
        <w:tc>
          <w:tcPr>
            <w:tcW w:w="80" w:type="dxa"/>
            <w:vAlign w:val="bottom"/>
            <w:tcBorders>
              <w:top w:val="single" w:sz="8" w:color="4A4A4A"/>
            </w:tcBorders>
          </w:tcPr>
          <w:p>
            <w:pPr>
              <w:spacing w:after="0"/>
              <w:rPr>
                <w:sz w:val="15"/>
                <w:szCs w:val="15"/>
                <w:color w:val="auto"/>
              </w:rPr>
            </w:pPr>
          </w:p>
        </w:tc>
        <w:tc>
          <w:tcPr>
            <w:tcW w:w="80" w:type="dxa"/>
            <w:vAlign w:val="bottom"/>
            <w:tcBorders>
              <w:top w:val="single" w:sz="8" w:color="4A4A4A"/>
            </w:tcBorders>
          </w:tcPr>
          <w:p>
            <w:pPr>
              <w:spacing w:after="0"/>
              <w:rPr>
                <w:sz w:val="15"/>
                <w:szCs w:val="15"/>
                <w:color w:val="auto"/>
              </w:rPr>
            </w:pPr>
          </w:p>
        </w:tc>
        <w:tc>
          <w:tcPr>
            <w:tcW w:w="60" w:type="dxa"/>
            <w:vAlign w:val="bottom"/>
            <w:tcBorders>
              <w:top w:val="single" w:sz="8" w:color="4A4A4A"/>
            </w:tcBorders>
          </w:tcPr>
          <w:p>
            <w:pPr>
              <w:spacing w:after="0"/>
              <w:rPr>
                <w:sz w:val="15"/>
                <w:szCs w:val="15"/>
                <w:color w:val="auto"/>
              </w:rPr>
            </w:pPr>
          </w:p>
        </w:tc>
        <w:tc>
          <w:tcPr>
            <w:tcW w:w="40" w:type="dxa"/>
            <w:vAlign w:val="bottom"/>
            <w:tcBorders>
              <w:top w:val="single" w:sz="8" w:color="4A4A4A"/>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10.6+</w:t>
            </w:r>
          </w:p>
        </w:tc>
        <w:tc>
          <w:tcPr>
            <w:tcW w:w="8000" w:type="dxa"/>
            <w:vAlign w:val="bottom"/>
            <w:gridSpan w:val="27"/>
          </w:tcPr>
          <w:p>
            <w:pPr>
              <w:spacing w:after="0"/>
              <w:rPr>
                <w:sz w:val="20"/>
                <w:szCs w:val="20"/>
                <w:color w:val="auto"/>
              </w:rPr>
            </w:pPr>
            <w:r>
              <w:rPr>
                <w:rFonts w:ascii="Times New Roman" w:cs="Times New Roman" w:eastAsia="Times New Roman" w:hAnsi="Times New Roman"/>
                <w:sz w:val="19"/>
                <w:szCs w:val="19"/>
                <w:color w:val="4A4A4A"/>
              </w:rPr>
              <w:t>Form of Restricted Stock Unit Agreement under the Nautilus Biotechnology, Inc. 2021 Equity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60" w:type="dxa"/>
            <w:vAlign w:val="bottom"/>
          </w:tcPr>
          <w:p>
            <w:pPr>
              <w:spacing w:after="0"/>
              <w:rPr>
                <w:sz w:val="17"/>
                <w:szCs w:val="17"/>
                <w:color w:val="auto"/>
              </w:rPr>
            </w:pPr>
          </w:p>
        </w:tc>
        <w:tc>
          <w:tcPr>
            <w:tcW w:w="7380" w:type="dxa"/>
            <w:vAlign w:val="bottom"/>
            <w:tcBorders>
              <w:top w:val="single" w:sz="8" w:color="4A4A4A"/>
            </w:tcBorders>
            <w:gridSpan w:val="14"/>
          </w:tcPr>
          <w:p>
            <w:pPr>
              <w:spacing w:after="0" w:line="197" w:lineRule="exact"/>
              <w:rPr>
                <w:sz w:val="20"/>
                <w:szCs w:val="20"/>
                <w:color w:val="auto"/>
              </w:rPr>
            </w:pPr>
            <w:r>
              <w:rPr>
                <w:rFonts w:ascii="Times New Roman" w:cs="Times New Roman" w:eastAsia="Times New Roman" w:hAnsi="Times New Roman"/>
                <w:sz w:val="19"/>
                <w:szCs w:val="19"/>
                <w:color w:val="4A4A4A"/>
              </w:rPr>
              <w:t>Incentive Plan (incorporated by reference to Exhibit 10.8 to the Company’s Form S-4 filed with</w:t>
            </w:r>
          </w:p>
        </w:tc>
        <w:tc>
          <w:tcPr>
            <w:tcW w:w="620" w:type="dxa"/>
            <w:vAlign w:val="bottom"/>
            <w:gridSpan w:val="13"/>
          </w:tcPr>
          <w:p>
            <w:pPr>
              <w:jc w:val="center"/>
              <w:ind w:right="140"/>
              <w:spacing w:after="0" w:line="197" w:lineRule="exact"/>
              <w:rPr>
                <w:sz w:val="20"/>
                <w:szCs w:val="20"/>
                <w:color w:val="auto"/>
              </w:rPr>
            </w:pPr>
            <w:r>
              <w:rPr>
                <w:rFonts w:ascii="Times New Roman" w:cs="Times New Roman" w:eastAsia="Times New Roman" w:hAnsi="Times New Roman"/>
                <w:sz w:val="19"/>
                <w:szCs w:val="19"/>
                <w:color w:val="4A4A4A"/>
              </w:rPr>
              <w:t>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60" w:type="dxa"/>
            <w:vAlign w:val="bottom"/>
          </w:tcPr>
          <w:p>
            <w:pPr>
              <w:spacing w:after="0"/>
              <w:rPr>
                <w:sz w:val="17"/>
                <w:szCs w:val="17"/>
                <w:color w:val="auto"/>
              </w:rPr>
            </w:pPr>
          </w:p>
        </w:tc>
        <w:tc>
          <w:tcPr>
            <w:tcW w:w="7780" w:type="dxa"/>
            <w:vAlign w:val="bottom"/>
            <w:tcBorders>
              <w:top w:val="single" w:sz="8" w:color="4A4A4A"/>
            </w:tcBorders>
            <w:gridSpan w:val="21"/>
          </w:tcPr>
          <w:p>
            <w:pPr>
              <w:spacing w:after="0" w:line="197" w:lineRule="exact"/>
              <w:rPr>
                <w:sz w:val="20"/>
                <w:szCs w:val="20"/>
                <w:color w:val="auto"/>
              </w:rPr>
            </w:pPr>
            <w:r>
              <w:rPr>
                <w:rFonts w:ascii="Times New Roman" w:cs="Times New Roman" w:eastAsia="Times New Roman" w:hAnsi="Times New Roman"/>
                <w:sz w:val="19"/>
                <w:szCs w:val="19"/>
                <w:color w:val="4A4A4A"/>
              </w:rPr>
              <w:t>SEC on March 26, 2021).</w:t>
            </w:r>
          </w:p>
        </w:tc>
        <w:tc>
          <w:tcPr>
            <w:tcW w:w="1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10.7+</w:t>
            </w:r>
          </w:p>
        </w:tc>
        <w:tc>
          <w:tcPr>
            <w:tcW w:w="560" w:type="dxa"/>
            <w:vAlign w:val="bottom"/>
            <w:shd w:val="clear" w:color="auto" w:fill="4A4A4A"/>
          </w:tcPr>
          <w:p>
            <w:pPr>
              <w:spacing w:after="0" w:line="20" w:lineRule="exact"/>
              <w:rPr>
                <w:sz w:val="1"/>
                <w:szCs w:val="1"/>
                <w:color w:val="auto"/>
              </w:rPr>
            </w:pPr>
          </w:p>
        </w:tc>
        <w:tc>
          <w:tcPr>
            <w:tcW w:w="1440" w:type="dxa"/>
            <w:vAlign w:val="bottom"/>
            <w:gridSpan w:val="4"/>
            <w:shd w:val="clear" w:color="auto" w:fill="4A4A4A"/>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960" w:type="dxa"/>
            <w:vAlign w:val="bottom"/>
            <w:vMerge w:val="continue"/>
          </w:tcPr>
          <w:p>
            <w:pPr>
              <w:spacing w:after="0"/>
              <w:rPr>
                <w:sz w:val="21"/>
                <w:szCs w:val="21"/>
                <w:color w:val="auto"/>
              </w:rPr>
            </w:pPr>
          </w:p>
        </w:tc>
        <w:tc>
          <w:tcPr>
            <w:tcW w:w="7560" w:type="dxa"/>
            <w:vAlign w:val="bottom"/>
            <w:tcBorders>
              <w:bottom w:val="single" w:sz="8" w:color="4A4A4A"/>
            </w:tcBorders>
            <w:gridSpan w:val="18"/>
          </w:tcPr>
          <w:p>
            <w:pPr>
              <w:spacing w:after="0"/>
              <w:rPr>
                <w:sz w:val="20"/>
                <w:szCs w:val="20"/>
                <w:color w:val="auto"/>
              </w:rPr>
            </w:pPr>
            <w:r>
              <w:rPr>
                <w:rFonts w:ascii="Times New Roman" w:cs="Times New Roman" w:eastAsia="Times New Roman" w:hAnsi="Times New Roman"/>
                <w:sz w:val="19"/>
                <w:szCs w:val="19"/>
                <w:color w:val="4A4A4A"/>
              </w:rPr>
              <w:t>Form of Restricted Stock Award Agreement under the Nautilus Biotechnology, Inc. 2021 Equity</w:t>
            </w:r>
          </w:p>
        </w:tc>
        <w:tc>
          <w:tcPr>
            <w:tcW w:w="4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0" w:type="dxa"/>
            <w:vAlign w:val="bottom"/>
            <w:gridSpan w:val="27"/>
          </w:tcPr>
          <w:p>
            <w:pPr>
              <w:spacing w:after="0" w:line="174" w:lineRule="exact"/>
              <w:rPr>
                <w:sz w:val="20"/>
                <w:szCs w:val="20"/>
                <w:color w:val="auto"/>
              </w:rPr>
            </w:pPr>
            <w:r>
              <w:rPr>
                <w:rFonts w:ascii="Times New Roman" w:cs="Times New Roman" w:eastAsia="Times New Roman" w:hAnsi="Times New Roman"/>
                <w:sz w:val="19"/>
                <w:szCs w:val="19"/>
                <w:color w:val="4A4A4A"/>
              </w:rPr>
              <w:t>Incentive Plan (incorporated by reference to Exhibit 10.9 to the Company’s Form S-4 filed with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780" w:type="dxa"/>
            <w:vAlign w:val="bottom"/>
            <w:tcBorders>
              <w:top w:val="single" w:sz="8" w:color="4A4A4A"/>
            </w:tcBorders>
            <w:gridSpan w:val="21"/>
          </w:tcPr>
          <w:p>
            <w:pPr>
              <w:spacing w:after="0" w:line="174" w:lineRule="exact"/>
              <w:rPr>
                <w:sz w:val="20"/>
                <w:szCs w:val="20"/>
                <w:color w:val="auto"/>
              </w:rPr>
            </w:pPr>
            <w:r>
              <w:rPr>
                <w:rFonts w:ascii="Times New Roman" w:cs="Times New Roman" w:eastAsia="Times New Roman" w:hAnsi="Times New Roman"/>
                <w:sz w:val="19"/>
                <w:szCs w:val="19"/>
                <w:color w:val="4A4A4A"/>
              </w:rPr>
              <w:t>SEC on March 26, 2021).</w:t>
            </w:r>
          </w:p>
        </w:tc>
        <w:tc>
          <w:tcPr>
            <w:tcW w:w="1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10.8+</w:t>
            </w:r>
          </w:p>
        </w:tc>
        <w:tc>
          <w:tcPr>
            <w:tcW w:w="560" w:type="dxa"/>
            <w:vAlign w:val="bottom"/>
            <w:shd w:val="clear" w:color="auto" w:fill="4A4A4A"/>
          </w:tcPr>
          <w:p>
            <w:pPr>
              <w:spacing w:after="0" w:line="20" w:lineRule="exact"/>
              <w:rPr>
                <w:sz w:val="1"/>
                <w:szCs w:val="1"/>
                <w:color w:val="auto"/>
              </w:rPr>
            </w:pPr>
          </w:p>
        </w:tc>
        <w:tc>
          <w:tcPr>
            <w:tcW w:w="1440" w:type="dxa"/>
            <w:vAlign w:val="bottom"/>
            <w:gridSpan w:val="4"/>
            <w:shd w:val="clear" w:color="auto" w:fill="4A4A4A"/>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960" w:type="dxa"/>
            <w:vAlign w:val="bottom"/>
            <w:vMerge w:val="continue"/>
          </w:tcPr>
          <w:p>
            <w:pPr>
              <w:spacing w:after="0"/>
              <w:rPr>
                <w:sz w:val="21"/>
                <w:szCs w:val="21"/>
                <w:color w:val="auto"/>
              </w:rPr>
            </w:pPr>
          </w:p>
        </w:tc>
        <w:tc>
          <w:tcPr>
            <w:tcW w:w="8000" w:type="dxa"/>
            <w:vAlign w:val="bottom"/>
            <w:gridSpan w:val="27"/>
          </w:tcPr>
          <w:p>
            <w:pPr>
              <w:spacing w:after="0"/>
              <w:rPr>
                <w:sz w:val="20"/>
                <w:szCs w:val="20"/>
                <w:color w:val="auto"/>
              </w:rPr>
            </w:pPr>
            <w:r>
              <w:rPr>
                <w:rFonts w:ascii="Times New Roman" w:cs="Times New Roman" w:eastAsia="Times New Roman" w:hAnsi="Times New Roman"/>
                <w:sz w:val="19"/>
                <w:szCs w:val="19"/>
                <w:color w:val="4A4A4A"/>
              </w:rPr>
              <w:t>Nautilus Biotechnology, Inc. 2017 Equity Incentive Plan and forms of agreements thereunder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320" w:type="dxa"/>
            <w:vAlign w:val="bottom"/>
            <w:tcBorders>
              <w:top w:val="single" w:sz="8" w:color="4A4A4A"/>
            </w:tcBorders>
            <w:gridSpan w:val="13"/>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10.11 to the Company’s Form S-4 filed with the SEC on</w:t>
            </w:r>
          </w:p>
        </w:tc>
        <w:tc>
          <w:tcPr>
            <w:tcW w:w="680" w:type="dxa"/>
            <w:vAlign w:val="bottom"/>
            <w:gridSpan w:val="14"/>
          </w:tcPr>
          <w:p>
            <w:pPr>
              <w:jc w:val="center"/>
              <w:ind w:right="100"/>
              <w:spacing w:after="0" w:line="174" w:lineRule="exact"/>
              <w:rPr>
                <w:sz w:val="20"/>
                <w:szCs w:val="20"/>
                <w:color w:val="auto"/>
              </w:rPr>
            </w:pPr>
            <w:r>
              <w:rPr>
                <w:rFonts w:ascii="Times New Roman" w:cs="Times New Roman" w:eastAsia="Times New Roman" w:hAnsi="Times New Roman"/>
                <w:sz w:val="19"/>
                <w:szCs w:val="19"/>
                <w:color w:val="4A4A4A"/>
              </w:rPr>
              <w:t>March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 w:type="dxa"/>
            <w:vAlign w:val="bottom"/>
            <w:tcBorders>
              <w:top w:val="single" w:sz="8" w:color="4A4A4A"/>
              <w:bottom w:val="single" w:sz="8" w:color="4A4A4A"/>
            </w:tcBorders>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660" w:type="dxa"/>
            <w:vAlign w:val="bottom"/>
            <w:tcBorders>
              <w:top w:val="single" w:sz="8" w:color="4A4A4A"/>
            </w:tcBorders>
          </w:tcPr>
          <w:p>
            <w:pPr>
              <w:spacing w:after="0"/>
              <w:rPr>
                <w:sz w:val="15"/>
                <w:szCs w:val="15"/>
                <w:color w:val="auto"/>
              </w:rPr>
            </w:pPr>
          </w:p>
        </w:tc>
        <w:tc>
          <w:tcPr>
            <w:tcW w:w="520" w:type="dxa"/>
            <w:vAlign w:val="bottom"/>
            <w:tcBorders>
              <w:top w:val="single" w:sz="8" w:color="4A4A4A"/>
            </w:tcBorders>
          </w:tcPr>
          <w:p>
            <w:pPr>
              <w:spacing w:after="0"/>
              <w:rPr>
                <w:sz w:val="15"/>
                <w:szCs w:val="15"/>
                <w:color w:val="auto"/>
              </w:rPr>
            </w:pPr>
          </w:p>
        </w:tc>
        <w:tc>
          <w:tcPr>
            <w:tcW w:w="20" w:type="dxa"/>
            <w:vAlign w:val="bottom"/>
            <w:tcBorders>
              <w:top w:val="single" w:sz="8" w:color="4A4A4A"/>
            </w:tcBorders>
          </w:tcPr>
          <w:p>
            <w:pPr>
              <w:spacing w:after="0"/>
              <w:rPr>
                <w:sz w:val="15"/>
                <w:szCs w:val="15"/>
                <w:color w:val="auto"/>
              </w:rPr>
            </w:pPr>
          </w:p>
        </w:tc>
        <w:tc>
          <w:tcPr>
            <w:tcW w:w="2820" w:type="dxa"/>
            <w:vAlign w:val="bottom"/>
            <w:tcBorders>
              <w:top w:val="single" w:sz="8" w:color="4A4A4A"/>
            </w:tcBorders>
          </w:tcPr>
          <w:p>
            <w:pPr>
              <w:spacing w:after="0"/>
              <w:rPr>
                <w:sz w:val="15"/>
                <w:szCs w:val="15"/>
                <w:color w:val="auto"/>
              </w:rPr>
            </w:pPr>
          </w:p>
        </w:tc>
        <w:tc>
          <w:tcPr>
            <w:tcW w:w="1660" w:type="dxa"/>
            <w:vAlign w:val="bottom"/>
            <w:tcBorders>
              <w:top w:val="single" w:sz="8" w:color="4A4A4A"/>
            </w:tcBorders>
          </w:tcPr>
          <w:p>
            <w:pPr>
              <w:spacing w:after="0"/>
              <w:rPr>
                <w:sz w:val="15"/>
                <w:szCs w:val="15"/>
                <w:color w:val="auto"/>
              </w:rPr>
            </w:pPr>
          </w:p>
        </w:tc>
        <w:tc>
          <w:tcPr>
            <w:tcW w:w="520" w:type="dxa"/>
            <w:vAlign w:val="bottom"/>
            <w:tcBorders>
              <w:top w:val="single" w:sz="8" w:color="4A4A4A"/>
            </w:tcBorders>
          </w:tcPr>
          <w:p>
            <w:pPr>
              <w:spacing w:after="0"/>
              <w:rPr>
                <w:sz w:val="15"/>
                <w:szCs w:val="15"/>
                <w:color w:val="auto"/>
              </w:rPr>
            </w:pPr>
          </w:p>
        </w:tc>
        <w:tc>
          <w:tcPr>
            <w:tcW w:w="40" w:type="dxa"/>
            <w:vAlign w:val="bottom"/>
            <w:tcBorders>
              <w:top w:val="single" w:sz="8" w:color="4A4A4A"/>
            </w:tcBorders>
          </w:tcPr>
          <w:p>
            <w:pPr>
              <w:spacing w:after="0"/>
              <w:rPr>
                <w:sz w:val="15"/>
                <w:szCs w:val="15"/>
                <w:color w:val="auto"/>
              </w:rPr>
            </w:pPr>
          </w:p>
        </w:tc>
        <w:tc>
          <w:tcPr>
            <w:tcW w:w="40" w:type="dxa"/>
            <w:vAlign w:val="bottom"/>
            <w:tcBorders>
              <w:top w:val="single" w:sz="8" w:color="4A4A4A"/>
            </w:tcBorders>
          </w:tcPr>
          <w:p>
            <w:pPr>
              <w:spacing w:after="0"/>
              <w:rPr>
                <w:sz w:val="15"/>
                <w:szCs w:val="15"/>
                <w:color w:val="auto"/>
              </w:rPr>
            </w:pPr>
          </w:p>
        </w:tc>
        <w:tc>
          <w:tcPr>
            <w:tcW w:w="20" w:type="dxa"/>
            <w:vAlign w:val="bottom"/>
            <w:tcBorders>
              <w:top w:val="single" w:sz="8" w:color="4A4A4A"/>
            </w:tcBorders>
          </w:tcPr>
          <w:p>
            <w:pPr>
              <w:spacing w:after="0"/>
              <w:rPr>
                <w:sz w:val="15"/>
                <w:szCs w:val="15"/>
                <w:color w:val="auto"/>
              </w:rPr>
            </w:pPr>
          </w:p>
        </w:tc>
        <w:tc>
          <w:tcPr>
            <w:tcW w:w="20" w:type="dxa"/>
            <w:vAlign w:val="bottom"/>
            <w:tcBorders>
              <w:top w:val="single" w:sz="8" w:color="4A4A4A"/>
            </w:tcBorders>
          </w:tcPr>
          <w:p>
            <w:pPr>
              <w:spacing w:after="0"/>
              <w:rPr>
                <w:sz w:val="15"/>
                <w:szCs w:val="15"/>
                <w:color w:val="auto"/>
              </w:rPr>
            </w:pPr>
          </w:p>
        </w:tc>
        <w:tc>
          <w:tcPr>
            <w:tcW w:w="200" w:type="dxa"/>
            <w:vAlign w:val="bottom"/>
            <w:tcBorders>
              <w:top w:val="single" w:sz="8" w:color="4A4A4A"/>
            </w:tcBorders>
          </w:tcPr>
          <w:p>
            <w:pPr>
              <w:spacing w:after="0"/>
              <w:rPr>
                <w:sz w:val="15"/>
                <w:szCs w:val="15"/>
                <w:color w:val="auto"/>
              </w:rPr>
            </w:pPr>
          </w:p>
        </w:tc>
        <w:tc>
          <w:tcPr>
            <w:tcW w:w="60" w:type="dxa"/>
            <w:vAlign w:val="bottom"/>
            <w:tcBorders>
              <w:top w:val="single" w:sz="8" w:color="4A4A4A"/>
            </w:tcBorders>
          </w:tcPr>
          <w:p>
            <w:pPr>
              <w:spacing w:after="0"/>
              <w:rPr>
                <w:sz w:val="15"/>
                <w:szCs w:val="15"/>
                <w:color w:val="auto"/>
              </w:rPr>
            </w:pPr>
          </w:p>
        </w:tc>
        <w:tc>
          <w:tcPr>
            <w:tcW w:w="20" w:type="dxa"/>
            <w:vAlign w:val="bottom"/>
            <w:tcBorders>
              <w:top w:val="single" w:sz="8" w:color="4A4A4A"/>
            </w:tcBorders>
          </w:tcPr>
          <w:p>
            <w:pPr>
              <w:spacing w:after="0"/>
              <w:rPr>
                <w:sz w:val="15"/>
                <w:szCs w:val="15"/>
                <w:color w:val="auto"/>
              </w:rPr>
            </w:pPr>
          </w:p>
        </w:tc>
        <w:tc>
          <w:tcPr>
            <w:tcW w:w="20" w:type="dxa"/>
            <w:vAlign w:val="bottom"/>
            <w:tcBorders>
              <w:top w:val="single" w:sz="8" w:color="4A4A4A"/>
            </w:tcBorders>
          </w:tcPr>
          <w:p>
            <w:pPr>
              <w:spacing w:after="0"/>
              <w:rPr>
                <w:sz w:val="15"/>
                <w:szCs w:val="15"/>
                <w:color w:val="auto"/>
              </w:rPr>
            </w:pPr>
          </w:p>
        </w:tc>
        <w:tc>
          <w:tcPr>
            <w:tcW w:w="80" w:type="dxa"/>
            <w:vAlign w:val="bottom"/>
            <w:tcBorders>
              <w:top w:val="single" w:sz="8" w:color="4A4A4A"/>
            </w:tcBorders>
          </w:tcPr>
          <w:p>
            <w:pPr>
              <w:spacing w:after="0"/>
              <w:rPr>
                <w:sz w:val="15"/>
                <w:szCs w:val="15"/>
                <w:color w:val="auto"/>
              </w:rPr>
            </w:pPr>
          </w:p>
        </w:tc>
        <w:tc>
          <w:tcPr>
            <w:tcW w:w="60" w:type="dxa"/>
            <w:vAlign w:val="bottom"/>
            <w:tcBorders>
              <w:top w:val="single" w:sz="8" w:color="4A4A4A"/>
            </w:tcBorders>
          </w:tcPr>
          <w:p>
            <w:pPr>
              <w:spacing w:after="0"/>
              <w:rPr>
                <w:sz w:val="15"/>
                <w:szCs w:val="15"/>
                <w:color w:val="auto"/>
              </w:rPr>
            </w:pPr>
          </w:p>
        </w:tc>
        <w:tc>
          <w:tcPr>
            <w:tcW w:w="80" w:type="dxa"/>
            <w:vAlign w:val="bottom"/>
            <w:tcBorders>
              <w:top w:val="single" w:sz="8" w:color="4A4A4A"/>
            </w:tcBorders>
          </w:tcPr>
          <w:p>
            <w:pPr>
              <w:spacing w:after="0"/>
              <w:rPr>
                <w:sz w:val="15"/>
                <w:szCs w:val="15"/>
                <w:color w:val="auto"/>
              </w:rPr>
            </w:pPr>
          </w:p>
        </w:tc>
        <w:tc>
          <w:tcPr>
            <w:tcW w:w="80" w:type="dxa"/>
            <w:vAlign w:val="bottom"/>
            <w:tcBorders>
              <w:top w:val="single" w:sz="8" w:color="4A4A4A"/>
            </w:tcBorders>
          </w:tcPr>
          <w:p>
            <w:pPr>
              <w:spacing w:after="0"/>
              <w:rPr>
                <w:sz w:val="15"/>
                <w:szCs w:val="15"/>
                <w:color w:val="auto"/>
              </w:rPr>
            </w:pPr>
          </w:p>
        </w:tc>
        <w:tc>
          <w:tcPr>
            <w:tcW w:w="60" w:type="dxa"/>
            <w:vAlign w:val="bottom"/>
            <w:tcBorders>
              <w:top w:val="single" w:sz="8" w:color="4A4A4A"/>
            </w:tcBorders>
          </w:tcPr>
          <w:p>
            <w:pPr>
              <w:spacing w:after="0"/>
              <w:rPr>
                <w:sz w:val="15"/>
                <w:szCs w:val="15"/>
                <w:color w:val="auto"/>
              </w:rPr>
            </w:pPr>
          </w:p>
        </w:tc>
        <w:tc>
          <w:tcPr>
            <w:tcW w:w="40" w:type="dxa"/>
            <w:vAlign w:val="bottom"/>
            <w:tcBorders>
              <w:top w:val="single" w:sz="8" w:color="4A4A4A"/>
            </w:tcBorders>
          </w:tcPr>
          <w:p>
            <w:pPr>
              <w:spacing w:after="0"/>
              <w:rPr>
                <w:sz w:val="15"/>
                <w:szCs w:val="15"/>
                <w:color w:val="auto"/>
              </w:rPr>
            </w:pPr>
          </w:p>
        </w:tc>
        <w:tc>
          <w:tcPr>
            <w:tcW w:w="80" w:type="dxa"/>
            <w:vAlign w:val="bottom"/>
            <w:tcBorders>
              <w:top w:val="single" w:sz="8" w:color="4A4A4A"/>
            </w:tcBorders>
          </w:tcPr>
          <w:p>
            <w:pPr>
              <w:spacing w:after="0"/>
              <w:rPr>
                <w:sz w:val="15"/>
                <w:szCs w:val="15"/>
                <w:color w:val="auto"/>
              </w:rPr>
            </w:pPr>
          </w:p>
        </w:tc>
        <w:tc>
          <w:tcPr>
            <w:tcW w:w="20" w:type="dxa"/>
            <w:vAlign w:val="bottom"/>
            <w:tcBorders>
              <w:top w:val="single" w:sz="8" w:color="4A4A4A"/>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10.9+</w:t>
            </w:r>
          </w:p>
        </w:tc>
        <w:tc>
          <w:tcPr>
            <w:tcW w:w="8000" w:type="dxa"/>
            <w:vAlign w:val="bottom"/>
            <w:gridSpan w:val="27"/>
          </w:tcPr>
          <w:p>
            <w:pPr>
              <w:spacing w:after="0"/>
              <w:rPr>
                <w:sz w:val="20"/>
                <w:szCs w:val="20"/>
                <w:color w:val="auto"/>
              </w:rPr>
            </w:pPr>
            <w:r>
              <w:rPr>
                <w:rFonts w:ascii="Times New Roman" w:cs="Times New Roman" w:eastAsia="Times New Roman" w:hAnsi="Times New Roman"/>
                <w:sz w:val="19"/>
                <w:szCs w:val="19"/>
                <w:color w:val="4A4A4A"/>
              </w:rPr>
              <w:t>Confirmatory Employment Letter between Nautilus Biotechnology, Inc. and Sujal Patel (incorporated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720" w:type="dxa"/>
            <w:vAlign w:val="bottom"/>
            <w:tcBorders>
              <w:top w:val="single" w:sz="8" w:color="4A4A4A"/>
              <w:bottom w:val="single" w:sz="8" w:color="4A4A4A"/>
            </w:tcBorders>
            <w:gridSpan w:val="20"/>
          </w:tcPr>
          <w:p>
            <w:pPr>
              <w:spacing w:after="0" w:line="174" w:lineRule="exact"/>
              <w:rPr>
                <w:sz w:val="20"/>
                <w:szCs w:val="20"/>
                <w:color w:val="auto"/>
              </w:rPr>
            </w:pPr>
            <w:r>
              <w:rPr>
                <w:rFonts w:ascii="Times New Roman" w:cs="Times New Roman" w:eastAsia="Times New Roman" w:hAnsi="Times New Roman"/>
                <w:sz w:val="19"/>
                <w:szCs w:val="19"/>
                <w:color w:val="4A4A4A"/>
              </w:rPr>
              <w:t>by reference to Exhibit 10.12 to the Company’s Form S-4/A filed with the SEC on April 26, 2021).</w:t>
            </w:r>
          </w:p>
        </w:tc>
        <w:tc>
          <w:tcPr>
            <w:tcW w:w="240" w:type="dxa"/>
            <w:vAlign w:val="bottom"/>
            <w:tcBorders>
              <w:top w:val="single" w:sz="8" w:color="4A4A4A"/>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10.10+</w:t>
            </w:r>
          </w:p>
        </w:tc>
        <w:tc>
          <w:tcPr>
            <w:tcW w:w="7100" w:type="dxa"/>
            <w:vAlign w:val="bottom"/>
            <w:tcBorders>
              <w:bottom w:val="single" w:sz="8" w:color="4A4A4A"/>
            </w:tcBorders>
            <w:gridSpan w:val="11"/>
          </w:tcPr>
          <w:p>
            <w:pPr>
              <w:spacing w:after="0"/>
              <w:rPr>
                <w:sz w:val="20"/>
                <w:szCs w:val="20"/>
                <w:color w:val="auto"/>
              </w:rPr>
            </w:pPr>
            <w:r>
              <w:rPr>
                <w:rFonts w:ascii="Times New Roman" w:cs="Times New Roman" w:eastAsia="Times New Roman" w:hAnsi="Times New Roman"/>
                <w:sz w:val="19"/>
                <w:szCs w:val="19"/>
                <w:color w:val="4A4A4A"/>
              </w:rPr>
              <w:t>Confirmatory Employment Letter between Nautilus Biotechnology, Inc. and Anna Mowry</w:t>
            </w:r>
          </w:p>
        </w:tc>
        <w:tc>
          <w:tcPr>
            <w:tcW w:w="900" w:type="dxa"/>
            <w:vAlign w:val="bottom"/>
            <w:gridSpan w:val="16"/>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0" w:type="dxa"/>
            <w:vAlign w:val="bottom"/>
            <w:tcBorders>
              <w:bottom w:val="single" w:sz="8" w:color="4A4A4A"/>
            </w:tcBorders>
            <w:gridSpan w:val="27"/>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10.13 to the Company’s Form S-4/A filed with the SEC on April</w:t>
            </w:r>
          </w:p>
        </w:tc>
        <w:tc>
          <w:tcPr>
            <w:tcW w:w="20" w:type="dxa"/>
            <w:vAlign w:val="bottom"/>
            <w:tcBorders>
              <w:bottom w:val="single" w:sz="8" w:color="4A4A4A"/>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 w:type="dxa"/>
            <w:vAlign w:val="bottom"/>
            <w:tcBorders>
              <w:bottom w:val="single" w:sz="8" w:color="4A4A4A"/>
            </w:tcBorders>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10.11+</w:t>
            </w:r>
          </w:p>
        </w:tc>
        <w:tc>
          <w:tcPr>
            <w:tcW w:w="7080" w:type="dxa"/>
            <w:vAlign w:val="bottom"/>
            <w:tcBorders>
              <w:bottom w:val="single" w:sz="8" w:color="4A4A4A"/>
            </w:tcBorders>
            <w:gridSpan w:val="10"/>
          </w:tcPr>
          <w:p>
            <w:pPr>
              <w:spacing w:after="0"/>
              <w:rPr>
                <w:sz w:val="20"/>
                <w:szCs w:val="20"/>
                <w:color w:val="auto"/>
              </w:rPr>
            </w:pPr>
            <w:r>
              <w:rPr>
                <w:rFonts w:ascii="Times New Roman" w:cs="Times New Roman" w:eastAsia="Times New Roman" w:hAnsi="Times New Roman"/>
                <w:sz w:val="19"/>
                <w:szCs w:val="19"/>
                <w:color w:val="4A4A4A"/>
              </w:rPr>
              <w:t>Confirmatory Employment Letter between Nautilus Biotechnology, Inc. and Subra Sankar</w:t>
            </w:r>
          </w:p>
        </w:tc>
        <w:tc>
          <w:tcPr>
            <w:tcW w:w="920" w:type="dxa"/>
            <w:vAlign w:val="bottom"/>
            <w:gridSpan w:val="17"/>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0" w:type="dxa"/>
            <w:vAlign w:val="bottom"/>
            <w:tcBorders>
              <w:bottom w:val="single" w:sz="8" w:color="4A4A4A"/>
            </w:tcBorders>
            <w:gridSpan w:val="27"/>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10.15 to the Company’s Form S-4/A filed with the SEC on April</w:t>
            </w:r>
          </w:p>
        </w:tc>
        <w:tc>
          <w:tcPr>
            <w:tcW w:w="20" w:type="dxa"/>
            <w:vAlign w:val="bottom"/>
            <w:tcBorders>
              <w:bottom w:val="single" w:sz="8" w:color="4A4A4A"/>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 w:type="dxa"/>
            <w:vAlign w:val="bottom"/>
            <w:tcBorders>
              <w:bottom w:val="single" w:sz="8" w:color="4A4A4A"/>
            </w:tcBorders>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7000" w:type="dxa"/>
            <w:vAlign w:val="bottom"/>
            <w:tcBorders>
              <w:bottom w:val="single" w:sz="8" w:color="4A4A4A"/>
            </w:tcBorders>
            <w:gridSpan w:val="8"/>
          </w:tcPr>
          <w:p>
            <w:pPr>
              <w:spacing w:after="0"/>
              <w:rPr>
                <w:sz w:val="20"/>
                <w:szCs w:val="20"/>
                <w:color w:val="auto"/>
              </w:rPr>
            </w:pPr>
            <w:r>
              <w:rPr>
                <w:rFonts w:ascii="Times New Roman" w:cs="Times New Roman" w:eastAsia="Times New Roman" w:hAnsi="Times New Roman"/>
                <w:sz w:val="19"/>
                <w:szCs w:val="19"/>
                <w:color w:val="4A4A4A"/>
              </w:rPr>
              <w:t>Confirmatory Employment Letter between Nautilus Biotechnology, Inc. and Nick Nelson</w:t>
            </w:r>
          </w:p>
        </w:tc>
        <w:tc>
          <w:tcPr>
            <w:tcW w:w="1000" w:type="dxa"/>
            <w:vAlign w:val="bottom"/>
            <w:gridSpan w:val="1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0" w:type="dxa"/>
            <w:vAlign w:val="bottom"/>
            <w:tcBorders>
              <w:bottom w:val="single" w:sz="8" w:color="4A4A4A"/>
            </w:tcBorders>
            <w:gridSpan w:val="27"/>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10.14 to the Company’s Form S-4/A filed with the SEC on April</w:t>
            </w:r>
          </w:p>
        </w:tc>
        <w:tc>
          <w:tcPr>
            <w:tcW w:w="20" w:type="dxa"/>
            <w:vAlign w:val="bottom"/>
            <w:tcBorders>
              <w:bottom w:val="single" w:sz="8" w:color="4A4A4A"/>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 w:type="dxa"/>
            <w:vAlign w:val="bottom"/>
            <w:tcBorders>
              <w:bottom w:val="single" w:sz="8" w:color="4A4A4A"/>
            </w:tcBorders>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7120" w:type="dxa"/>
            <w:vAlign w:val="bottom"/>
            <w:tcBorders>
              <w:bottom w:val="single" w:sz="8" w:color="4A4A4A"/>
            </w:tcBorders>
            <w:gridSpan w:val="12"/>
          </w:tcPr>
          <w:p>
            <w:pPr>
              <w:spacing w:after="0"/>
              <w:rPr>
                <w:sz w:val="20"/>
                <w:szCs w:val="20"/>
                <w:color w:val="auto"/>
              </w:rPr>
            </w:pPr>
            <w:r>
              <w:rPr>
                <w:rFonts w:ascii="Times New Roman" w:cs="Times New Roman" w:eastAsia="Times New Roman" w:hAnsi="Times New Roman"/>
                <w:sz w:val="19"/>
                <w:szCs w:val="19"/>
                <w:color w:val="4A4A4A"/>
              </w:rPr>
              <w:t>Confirmatory Employment Letter between Nautilus Biotechnology, Inc. and Parag Mallick</w:t>
            </w:r>
          </w:p>
        </w:tc>
        <w:tc>
          <w:tcPr>
            <w:tcW w:w="880" w:type="dxa"/>
            <w:vAlign w:val="bottom"/>
            <w:gridSpan w:val="1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0" w:type="dxa"/>
            <w:vAlign w:val="bottom"/>
            <w:tcBorders>
              <w:bottom w:val="single" w:sz="8" w:color="4A4A4A"/>
            </w:tcBorders>
            <w:gridSpan w:val="27"/>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10.16 to the Company’s Form S-4/A filed with the SEC on April</w:t>
            </w:r>
          </w:p>
        </w:tc>
        <w:tc>
          <w:tcPr>
            <w:tcW w:w="20" w:type="dxa"/>
            <w:vAlign w:val="bottom"/>
            <w:tcBorders>
              <w:bottom w:val="single" w:sz="8" w:color="4A4A4A"/>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 w:type="dxa"/>
            <w:vAlign w:val="bottom"/>
            <w:tcBorders>
              <w:bottom w:val="single" w:sz="8" w:color="4A4A4A"/>
            </w:tcBorders>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7080" w:type="dxa"/>
            <w:vAlign w:val="bottom"/>
            <w:tcBorders>
              <w:bottom w:val="single" w:sz="8" w:color="4A4A4A"/>
            </w:tcBorders>
            <w:gridSpan w:val="10"/>
          </w:tcPr>
          <w:p>
            <w:pPr>
              <w:spacing w:after="0"/>
              <w:rPr>
                <w:sz w:val="20"/>
                <w:szCs w:val="20"/>
                <w:color w:val="auto"/>
              </w:rPr>
            </w:pPr>
            <w:r>
              <w:rPr>
                <w:rFonts w:ascii="Times New Roman" w:cs="Times New Roman" w:eastAsia="Times New Roman" w:hAnsi="Times New Roman"/>
                <w:sz w:val="19"/>
                <w:szCs w:val="19"/>
                <w:color w:val="4A4A4A"/>
              </w:rPr>
              <w:t>Confirmatory Employment Letter between Nautilus Biotechnology, Inc. and Matt Murphy</w:t>
            </w:r>
          </w:p>
        </w:tc>
        <w:tc>
          <w:tcPr>
            <w:tcW w:w="920" w:type="dxa"/>
            <w:vAlign w:val="bottom"/>
            <w:gridSpan w:val="17"/>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0" w:type="dxa"/>
            <w:vAlign w:val="bottom"/>
            <w:tcBorders>
              <w:bottom w:val="single" w:sz="8" w:color="4A4A4A"/>
            </w:tcBorders>
            <w:gridSpan w:val="27"/>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10.17 to the Company’s Form S-4/A filed with the SEC on April</w:t>
            </w:r>
          </w:p>
        </w:tc>
        <w:tc>
          <w:tcPr>
            <w:tcW w:w="20" w:type="dxa"/>
            <w:vAlign w:val="bottom"/>
            <w:tcBorders>
              <w:bottom w:val="single" w:sz="8" w:color="4A4A4A"/>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 w:type="dxa"/>
            <w:vAlign w:val="bottom"/>
            <w:tcBorders>
              <w:bottom w:val="single" w:sz="8" w:color="4A4A4A"/>
            </w:tcBorders>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8000" w:type="dxa"/>
            <w:vAlign w:val="bottom"/>
            <w:gridSpan w:val="27"/>
          </w:tcPr>
          <w:p>
            <w:pPr>
              <w:spacing w:after="0"/>
              <w:rPr>
                <w:sz w:val="20"/>
                <w:szCs w:val="20"/>
                <w:color w:val="auto"/>
              </w:rPr>
            </w:pPr>
            <w:r>
              <w:rPr>
                <w:rFonts w:ascii="Times New Roman" w:cs="Times New Roman" w:eastAsia="Times New Roman" w:hAnsi="Times New Roman"/>
                <w:sz w:val="19"/>
                <w:szCs w:val="19"/>
                <w:color w:val="4A4A4A"/>
              </w:rPr>
              <w:t>Offer Letter between Nautilus Biotechnology, Inc. and Gwen Weld dated March 28, 2022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040" w:type="dxa"/>
            <w:vAlign w:val="bottom"/>
            <w:tcBorders>
              <w:top w:val="single" w:sz="8" w:color="4A4A4A"/>
              <w:bottom w:val="single" w:sz="8" w:color="4A4A4A"/>
            </w:tcBorders>
            <w:gridSpan w:val="9"/>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10.1 to the Company’s Form 10-Q filed with the SEC</w:t>
            </w:r>
          </w:p>
        </w:tc>
        <w:tc>
          <w:tcPr>
            <w:tcW w:w="960" w:type="dxa"/>
            <w:vAlign w:val="bottom"/>
            <w:tcBorders>
              <w:bottom w:val="single" w:sz="8" w:color="4A4A4A"/>
            </w:tcBorders>
            <w:gridSpan w:val="18"/>
          </w:tcPr>
          <w:p>
            <w:pPr>
              <w:ind w:left="120"/>
              <w:spacing w:after="0" w:line="174" w:lineRule="exact"/>
              <w:rPr>
                <w:sz w:val="20"/>
                <w:szCs w:val="20"/>
                <w:color w:val="auto"/>
              </w:rPr>
            </w:pPr>
            <w:r>
              <w:rPr>
                <w:rFonts w:ascii="Times New Roman" w:cs="Times New Roman" w:eastAsia="Times New Roman" w:hAnsi="Times New Roman"/>
                <w:sz w:val="19"/>
                <w:szCs w:val="19"/>
                <w:color w:val="4A4A4A"/>
              </w:rPr>
              <w:t>on May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560" w:type="dxa"/>
            <w:vAlign w:val="bottom"/>
            <w:tcBorders>
              <w:bottom w:val="single" w:sz="8" w:color="4A4A4A"/>
            </w:tcBorders>
          </w:tcPr>
          <w:p>
            <w:pPr>
              <w:spacing w:after="0" w:line="174" w:lineRule="exact"/>
              <w:rPr>
                <w:sz w:val="20"/>
                <w:szCs w:val="20"/>
                <w:color w:val="auto"/>
              </w:rPr>
            </w:pPr>
            <w:r>
              <w:rPr>
                <w:rFonts w:ascii="Times New Roman" w:cs="Times New Roman" w:eastAsia="Times New Roman" w:hAnsi="Times New Roman"/>
                <w:sz w:val="19"/>
                <w:szCs w:val="19"/>
                <w:color w:val="4A4A4A"/>
              </w:rPr>
              <w:t>2022).</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300"/>
          </w:cols>
          <w:pgMar w:left="1140" w:top="138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120</w:t>
      </w:r>
    </w:p>
    <w:p>
      <w:pPr>
        <w:sectPr>
          <w:pgSz w:w="11880" w:h="15480" w:orient="portrait"/>
          <w:cols w:equalWidth="0" w:num="1">
            <w:col w:w="9300"/>
          </w:cols>
          <w:pgMar w:left="1140" w:top="1383" w:right="1440" w:bottom="0" w:gutter="0" w:footer="0" w:header="0"/>
          <w:type w:val="continuous"/>
        </w:sectPr>
      </w:pPr>
    </w:p>
    <w:bookmarkStart w:id="123" w:name="page124"/>
    <w:bookmarkEnd w:id="123"/>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10.16+</w:t>
            </w:r>
          </w:p>
        </w:tc>
        <w:tc>
          <w:tcPr>
            <w:tcW w:w="7020" w:type="dxa"/>
            <w:vAlign w:val="bottom"/>
            <w:tcBorders>
              <w:bottom w:val="single" w:sz="8" w:color="4A4A4A"/>
            </w:tcBorders>
            <w:gridSpan w:val="5"/>
          </w:tcPr>
          <w:p>
            <w:pPr>
              <w:spacing w:after="0"/>
              <w:rPr>
                <w:sz w:val="20"/>
                <w:szCs w:val="20"/>
                <w:color w:val="auto"/>
              </w:rPr>
            </w:pPr>
            <w:r>
              <w:rPr>
                <w:rFonts w:ascii="Times New Roman" w:cs="Times New Roman" w:eastAsia="Times New Roman" w:hAnsi="Times New Roman"/>
                <w:sz w:val="19"/>
                <w:szCs w:val="19"/>
                <w:color w:val="4A4A4A"/>
              </w:rPr>
              <w:t>Offer Letter between Nautilus Biotechnology, Inc. and Mary Godwin dated July 26, 2022</w:t>
            </w:r>
          </w:p>
        </w:tc>
        <w:tc>
          <w:tcPr>
            <w:tcW w:w="1000" w:type="dxa"/>
            <w:vAlign w:val="bottom"/>
            <w:gridSpan w:val="10"/>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20" w:type="dxa"/>
            <w:vAlign w:val="bottom"/>
            <w:tcBorders>
              <w:bottom w:val="single" w:sz="8" w:color="4A4A4A"/>
            </w:tcBorders>
            <w:gridSpan w:val="15"/>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10.1 to the Company’s Form 10-Q filed with the SEC on August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 w:type="dxa"/>
            <w:vAlign w:val="bottom"/>
            <w:tcBorders>
              <w:bottom w:val="single" w:sz="8" w:color="4A4A4A"/>
            </w:tcBorders>
          </w:tcPr>
          <w:p>
            <w:pPr>
              <w:spacing w:after="0" w:line="174" w:lineRule="exact"/>
              <w:rPr>
                <w:sz w:val="20"/>
                <w:szCs w:val="20"/>
                <w:color w:val="auto"/>
              </w:rPr>
            </w:pPr>
            <w:r>
              <w:rPr>
                <w:rFonts w:ascii="Times New Roman" w:cs="Times New Roman" w:eastAsia="Times New Roman" w:hAnsi="Times New Roman"/>
                <w:sz w:val="19"/>
                <w:szCs w:val="19"/>
                <w:color w:val="4A4A4A"/>
              </w:rPr>
              <w:t>2, 2022).</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10.17+</w:t>
            </w:r>
          </w:p>
        </w:tc>
        <w:tc>
          <w:tcPr>
            <w:tcW w:w="7780" w:type="dxa"/>
            <w:vAlign w:val="bottom"/>
            <w:tcBorders>
              <w:bottom w:val="single" w:sz="8" w:color="4A4A4A"/>
            </w:tcBorders>
            <w:gridSpan w:val="10"/>
          </w:tcPr>
          <w:p>
            <w:pPr>
              <w:spacing w:after="0"/>
              <w:rPr>
                <w:sz w:val="20"/>
                <w:szCs w:val="20"/>
                <w:color w:val="auto"/>
              </w:rPr>
            </w:pPr>
            <w:r>
              <w:rPr>
                <w:rFonts w:ascii="Times New Roman" w:cs="Times New Roman" w:eastAsia="Times New Roman" w:hAnsi="Times New Roman"/>
                <w:sz w:val="19"/>
                <w:szCs w:val="19"/>
                <w:color w:val="4A4A4A"/>
              </w:rPr>
              <w:t>Change in Control and Severance Agreement between Nautilus Biotechnology, Inc. and Sujal Patel</w:t>
            </w:r>
          </w:p>
        </w:tc>
        <w:tc>
          <w:tcPr>
            <w:tcW w:w="240" w:type="dxa"/>
            <w:vAlign w:val="bottom"/>
            <w:gridSpan w:val="5"/>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20" w:type="dxa"/>
            <w:vAlign w:val="bottom"/>
            <w:tcBorders>
              <w:bottom w:val="single" w:sz="8" w:color="4A4A4A"/>
            </w:tcBorders>
            <w:gridSpan w:val="15"/>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10.18 to the Company’s Form S-4/A filed with the SEC on April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2300" w:type="dxa"/>
            <w:vAlign w:val="bottom"/>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10.18+</w:t>
            </w:r>
          </w:p>
        </w:tc>
        <w:tc>
          <w:tcPr>
            <w:tcW w:w="800" w:type="dxa"/>
            <w:vAlign w:val="bottom"/>
            <w:tcBorders>
              <w:right w:val="single" w:sz="8" w:color="4A4A4A"/>
            </w:tcBorders>
            <w:shd w:val="clear" w:color="auto" w:fill="4A4A4A"/>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960" w:type="dxa"/>
            <w:vAlign w:val="bottom"/>
            <w:vMerge w:val="continue"/>
          </w:tcPr>
          <w:p>
            <w:pPr>
              <w:spacing w:after="0"/>
              <w:rPr>
                <w:sz w:val="21"/>
                <w:szCs w:val="21"/>
                <w:color w:val="auto"/>
              </w:rPr>
            </w:pPr>
          </w:p>
        </w:tc>
        <w:tc>
          <w:tcPr>
            <w:tcW w:w="8020" w:type="dxa"/>
            <w:vAlign w:val="bottom"/>
            <w:tcBorders>
              <w:bottom w:val="single" w:sz="8" w:color="4A4A4A"/>
            </w:tcBorders>
            <w:gridSpan w:val="15"/>
          </w:tcPr>
          <w:p>
            <w:pPr>
              <w:spacing w:after="0"/>
              <w:rPr>
                <w:sz w:val="20"/>
                <w:szCs w:val="20"/>
                <w:color w:val="auto"/>
              </w:rPr>
            </w:pPr>
            <w:r>
              <w:rPr>
                <w:rFonts w:ascii="Times New Roman" w:cs="Times New Roman" w:eastAsia="Times New Roman" w:hAnsi="Times New Roman"/>
                <w:sz w:val="19"/>
                <w:szCs w:val="19"/>
                <w:color w:val="4A4A4A"/>
              </w:rPr>
              <w:t>Change in Control and Severance Agreement between Nautilus Biotechnology, Inc. and Anna Mowry</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20" w:type="dxa"/>
            <w:vAlign w:val="bottom"/>
            <w:tcBorders>
              <w:bottom w:val="single" w:sz="8" w:color="4A4A4A"/>
            </w:tcBorders>
            <w:gridSpan w:val="15"/>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10.19 to the Company’s Form S-4/A filed with the SEC on April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2300" w:type="dxa"/>
            <w:vAlign w:val="bottom"/>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10.19+</w:t>
            </w:r>
          </w:p>
        </w:tc>
        <w:tc>
          <w:tcPr>
            <w:tcW w:w="800" w:type="dxa"/>
            <w:vAlign w:val="bottom"/>
            <w:tcBorders>
              <w:right w:val="single" w:sz="8" w:color="4A4A4A"/>
            </w:tcBorders>
            <w:shd w:val="clear" w:color="auto" w:fill="4A4A4A"/>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960" w:type="dxa"/>
            <w:vAlign w:val="bottom"/>
            <w:vMerge w:val="continue"/>
          </w:tcPr>
          <w:p>
            <w:pPr>
              <w:spacing w:after="0"/>
              <w:rPr>
                <w:sz w:val="21"/>
                <w:szCs w:val="21"/>
                <w:color w:val="auto"/>
              </w:rPr>
            </w:pPr>
          </w:p>
        </w:tc>
        <w:tc>
          <w:tcPr>
            <w:tcW w:w="8020" w:type="dxa"/>
            <w:vAlign w:val="bottom"/>
            <w:gridSpan w:val="15"/>
          </w:tcPr>
          <w:p>
            <w:pPr>
              <w:spacing w:after="0"/>
              <w:rPr>
                <w:sz w:val="20"/>
                <w:szCs w:val="20"/>
                <w:color w:val="auto"/>
              </w:rPr>
            </w:pPr>
            <w:r>
              <w:rPr>
                <w:rFonts w:ascii="Times New Roman" w:cs="Times New Roman" w:eastAsia="Times New Roman" w:hAnsi="Times New Roman"/>
                <w:sz w:val="19"/>
                <w:szCs w:val="19"/>
                <w:color w:val="4A4A4A"/>
              </w:rPr>
              <w:t>Change in Control and Severance Agreement between Nautilus Biotechnology, Inc. and Subra Sankar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980" w:type="dxa"/>
            <w:vAlign w:val="bottom"/>
            <w:tcBorders>
              <w:top w:val="single" w:sz="8" w:color="4A4A4A"/>
              <w:bottom w:val="single" w:sz="8" w:color="4A4A4A"/>
            </w:tcBorders>
            <w:gridSpan w:val="13"/>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10.21 to the Company’s Form S-4/A filed with the SEC on April</w:t>
            </w:r>
          </w:p>
        </w:tc>
        <w:tc>
          <w:tcPr>
            <w:tcW w:w="20" w:type="dxa"/>
            <w:vAlign w:val="bottom"/>
            <w:tcBorders>
              <w:bottom w:val="single" w:sz="8" w:color="4A4A4A"/>
            </w:tcBorders>
          </w:tcPr>
          <w:p>
            <w:pPr>
              <w:spacing w:after="0"/>
              <w:rPr>
                <w:sz w:val="15"/>
                <w:szCs w:val="15"/>
                <w:color w:val="auto"/>
              </w:rPr>
            </w:pPr>
          </w:p>
        </w:tc>
        <w:tc>
          <w:tcPr>
            <w:tcW w:w="20" w:type="dxa"/>
            <w:vAlign w:val="bottom"/>
            <w:tcBorders>
              <w:bottom w:val="single" w:sz="8" w:color="4A4A4A"/>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2300" w:type="dxa"/>
            <w:vAlign w:val="bottom"/>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10.20+</w:t>
            </w:r>
          </w:p>
        </w:tc>
        <w:tc>
          <w:tcPr>
            <w:tcW w:w="800" w:type="dxa"/>
            <w:vAlign w:val="bottom"/>
            <w:tcBorders>
              <w:right w:val="single" w:sz="8" w:color="4A4A4A"/>
            </w:tcBorders>
            <w:shd w:val="clear" w:color="auto" w:fill="4A4A4A"/>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960" w:type="dxa"/>
            <w:vAlign w:val="bottom"/>
            <w:vMerge w:val="continue"/>
          </w:tcPr>
          <w:p>
            <w:pPr>
              <w:spacing w:after="0"/>
              <w:rPr>
                <w:sz w:val="21"/>
                <w:szCs w:val="21"/>
                <w:color w:val="auto"/>
              </w:rPr>
            </w:pPr>
          </w:p>
        </w:tc>
        <w:tc>
          <w:tcPr>
            <w:tcW w:w="8020" w:type="dxa"/>
            <w:vAlign w:val="bottom"/>
            <w:gridSpan w:val="15"/>
          </w:tcPr>
          <w:p>
            <w:pPr>
              <w:spacing w:after="0"/>
              <w:rPr>
                <w:sz w:val="20"/>
                <w:szCs w:val="20"/>
                <w:color w:val="auto"/>
              </w:rPr>
            </w:pPr>
            <w:r>
              <w:rPr>
                <w:rFonts w:ascii="Times New Roman" w:cs="Times New Roman" w:eastAsia="Times New Roman" w:hAnsi="Times New Roman"/>
                <w:sz w:val="19"/>
                <w:szCs w:val="19"/>
                <w:color w:val="4A4A4A"/>
              </w:rPr>
              <w:t>Change in Control and Severance Agreement between Nautilus Biotechnology, Inc. and Nick Nelson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900" w:type="dxa"/>
            <w:vAlign w:val="bottom"/>
            <w:tcBorders>
              <w:top w:val="single" w:sz="8" w:color="4A4A4A"/>
              <w:bottom w:val="single" w:sz="8" w:color="4A4A4A"/>
            </w:tcBorders>
            <w:gridSpan w:val="12"/>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10.20 to the Company’s Form S-4/A filed with the SEC on April</w:t>
            </w:r>
          </w:p>
        </w:tc>
        <w:tc>
          <w:tcPr>
            <w:tcW w:w="100" w:type="dxa"/>
            <w:vAlign w:val="bottom"/>
            <w:tcBorders>
              <w:bottom w:val="single" w:sz="8" w:color="4A4A4A"/>
            </w:tcBorders>
            <w:gridSpan w:val="2"/>
          </w:tcPr>
          <w:p>
            <w:pPr>
              <w:spacing w:after="0"/>
              <w:rPr>
                <w:sz w:val="15"/>
                <w:szCs w:val="15"/>
                <w:color w:val="auto"/>
              </w:rPr>
            </w:pPr>
          </w:p>
        </w:tc>
        <w:tc>
          <w:tcPr>
            <w:tcW w:w="20" w:type="dxa"/>
            <w:vAlign w:val="bottom"/>
            <w:tcBorders>
              <w:bottom w:val="single" w:sz="8" w:color="4A4A4A"/>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 w:type="dxa"/>
            <w:vAlign w:val="bottom"/>
            <w:tcBorders>
              <w:bottom w:val="single" w:sz="8" w:color="4A4A4A"/>
            </w:tcBorders>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10.21+</w:t>
            </w:r>
          </w:p>
        </w:tc>
        <w:tc>
          <w:tcPr>
            <w:tcW w:w="8020" w:type="dxa"/>
            <w:vAlign w:val="bottom"/>
            <w:tcBorders>
              <w:bottom w:val="single" w:sz="8" w:color="4A4A4A"/>
            </w:tcBorders>
            <w:gridSpan w:val="15"/>
          </w:tcPr>
          <w:p>
            <w:pPr>
              <w:spacing w:after="0"/>
              <w:rPr>
                <w:sz w:val="20"/>
                <w:szCs w:val="20"/>
                <w:color w:val="auto"/>
              </w:rPr>
            </w:pPr>
            <w:r>
              <w:rPr>
                <w:rFonts w:ascii="Times New Roman" w:cs="Times New Roman" w:eastAsia="Times New Roman" w:hAnsi="Times New Roman"/>
                <w:sz w:val="19"/>
                <w:szCs w:val="19"/>
                <w:color w:val="4A4A4A"/>
              </w:rPr>
              <w:t>Change in Control and Severance Agreement between Nautilus Biotechnology, Inc. and Parag Mallick</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20" w:type="dxa"/>
            <w:vAlign w:val="bottom"/>
            <w:tcBorders>
              <w:bottom w:val="single" w:sz="8" w:color="4A4A4A"/>
            </w:tcBorders>
            <w:gridSpan w:val="15"/>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10.22 to the Company’s Form S-4/A filed with the SEC on April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2300" w:type="dxa"/>
            <w:vAlign w:val="bottom"/>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10.22+</w:t>
            </w:r>
          </w:p>
        </w:tc>
        <w:tc>
          <w:tcPr>
            <w:tcW w:w="800" w:type="dxa"/>
            <w:vAlign w:val="bottom"/>
            <w:tcBorders>
              <w:right w:val="single" w:sz="8" w:color="4A4A4A"/>
            </w:tcBorders>
            <w:shd w:val="clear" w:color="auto" w:fill="4A4A4A"/>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960" w:type="dxa"/>
            <w:vAlign w:val="bottom"/>
            <w:vMerge w:val="continue"/>
          </w:tcPr>
          <w:p>
            <w:pPr>
              <w:spacing w:after="0"/>
              <w:rPr>
                <w:sz w:val="21"/>
                <w:szCs w:val="21"/>
                <w:color w:val="auto"/>
              </w:rPr>
            </w:pPr>
          </w:p>
        </w:tc>
        <w:tc>
          <w:tcPr>
            <w:tcW w:w="8020" w:type="dxa"/>
            <w:vAlign w:val="bottom"/>
            <w:gridSpan w:val="15"/>
          </w:tcPr>
          <w:p>
            <w:pPr>
              <w:spacing w:after="0"/>
              <w:rPr>
                <w:sz w:val="20"/>
                <w:szCs w:val="20"/>
                <w:color w:val="auto"/>
              </w:rPr>
            </w:pPr>
            <w:r>
              <w:rPr>
                <w:rFonts w:ascii="Times New Roman" w:cs="Times New Roman" w:eastAsia="Times New Roman" w:hAnsi="Times New Roman"/>
                <w:sz w:val="19"/>
                <w:szCs w:val="19"/>
                <w:color w:val="4A4A4A"/>
              </w:rPr>
              <w:t>Change in Control and Severance Agreement between Nautilus Biotechnology, Inc. and Matt Murphy</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00" w:type="dxa"/>
            <w:vAlign w:val="bottom"/>
            <w:tcBorders>
              <w:top w:val="single" w:sz="8" w:color="4A4A4A"/>
              <w:bottom w:val="single" w:sz="8" w:color="4A4A4A"/>
            </w:tcBorders>
            <w:gridSpan w:val="14"/>
          </w:tcPr>
          <w:p>
            <w:pPr>
              <w:spacing w:after="0" w:line="174" w:lineRule="exact"/>
              <w:rPr>
                <w:sz w:val="20"/>
                <w:szCs w:val="20"/>
                <w:color w:val="auto"/>
              </w:rPr>
            </w:pPr>
            <w:r>
              <w:rPr>
                <w:rFonts w:ascii="Times New Roman" w:cs="Times New Roman" w:eastAsia="Times New Roman" w:hAnsi="Times New Roman"/>
                <w:sz w:val="19"/>
                <w:szCs w:val="19"/>
                <w:color w:val="4A4A4A"/>
              </w:rPr>
              <w:t>(incorporated by reference to Exhibit 10.23 to the Company’s Form S-4/A filed with the SEC on April</w:t>
            </w:r>
          </w:p>
        </w:tc>
        <w:tc>
          <w:tcPr>
            <w:tcW w:w="20" w:type="dxa"/>
            <w:vAlign w:val="bottom"/>
            <w:tcBorders>
              <w:bottom w:val="single" w:sz="8" w:color="4A4A4A"/>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2300" w:type="dxa"/>
            <w:vAlign w:val="bottom"/>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26, 2021).</w:t>
            </w:r>
          </w:p>
        </w:tc>
        <w:tc>
          <w:tcPr>
            <w:tcW w:w="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10.23+</w:t>
            </w:r>
          </w:p>
        </w:tc>
        <w:tc>
          <w:tcPr>
            <w:tcW w:w="800" w:type="dxa"/>
            <w:vAlign w:val="bottom"/>
            <w:tcBorders>
              <w:right w:val="single" w:sz="8" w:color="4A4A4A"/>
            </w:tcBorders>
            <w:shd w:val="clear" w:color="auto" w:fill="4A4A4A"/>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960" w:type="dxa"/>
            <w:vAlign w:val="bottom"/>
            <w:vMerge w:val="continue"/>
          </w:tcPr>
          <w:p>
            <w:pPr>
              <w:spacing w:after="0"/>
              <w:rPr>
                <w:sz w:val="21"/>
                <w:szCs w:val="21"/>
                <w:color w:val="auto"/>
              </w:rPr>
            </w:pPr>
          </w:p>
        </w:tc>
        <w:tc>
          <w:tcPr>
            <w:tcW w:w="8020" w:type="dxa"/>
            <w:vAlign w:val="bottom"/>
            <w:gridSpan w:val="15"/>
          </w:tcPr>
          <w:p>
            <w:pPr>
              <w:spacing w:after="0"/>
              <w:rPr>
                <w:sz w:val="20"/>
                <w:szCs w:val="20"/>
                <w:color w:val="auto"/>
              </w:rPr>
            </w:pPr>
            <w:r>
              <w:rPr>
                <w:rFonts w:ascii="Times New Roman" w:cs="Times New Roman" w:eastAsia="Times New Roman" w:hAnsi="Times New Roman"/>
                <w:sz w:val="19"/>
                <w:szCs w:val="19"/>
                <w:color w:val="4A4A4A"/>
              </w:rPr>
              <w:t>Change in Control and Severance Agreement between Nautilus Biotechnology, Inc. and Gwen Weld</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860" w:type="dxa"/>
            <w:vAlign w:val="bottom"/>
            <w:tcBorders>
              <w:top w:val="single" w:sz="8" w:color="4A4A4A"/>
            </w:tcBorders>
            <w:gridSpan w:val="11"/>
          </w:tcPr>
          <w:p>
            <w:pPr>
              <w:spacing w:after="0" w:line="174" w:lineRule="exact"/>
              <w:rPr>
                <w:sz w:val="20"/>
                <w:szCs w:val="20"/>
                <w:color w:val="auto"/>
              </w:rPr>
            </w:pPr>
            <w:r>
              <w:rPr>
                <w:rFonts w:ascii="Times New Roman" w:cs="Times New Roman" w:eastAsia="Times New Roman" w:hAnsi="Times New Roman"/>
                <w:sz w:val="19"/>
                <w:szCs w:val="19"/>
                <w:color w:val="4A4A4A"/>
              </w:rPr>
              <w:t>dated April 12, 2022 (incorporated by reference to Exhibit 10.2 to the Company’s Form 10-Q filed</w:t>
            </w:r>
          </w:p>
        </w:tc>
        <w:tc>
          <w:tcPr>
            <w:tcW w:w="16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2480" w:type="dxa"/>
            <w:vAlign w:val="bottom"/>
            <w:tcBorders>
              <w:top w:val="single" w:sz="8" w:color="4A4A4A"/>
              <w:bottom w:val="single" w:sz="8" w:color="4A4A4A"/>
            </w:tcBorders>
            <w:gridSpan w:val="3"/>
          </w:tcPr>
          <w:p>
            <w:pPr>
              <w:spacing w:after="0" w:line="174" w:lineRule="exact"/>
              <w:rPr>
                <w:sz w:val="20"/>
                <w:szCs w:val="20"/>
                <w:color w:val="auto"/>
              </w:rPr>
            </w:pPr>
            <w:r>
              <w:rPr>
                <w:rFonts w:ascii="Times New Roman" w:cs="Times New Roman" w:eastAsia="Times New Roman" w:hAnsi="Times New Roman"/>
                <w:sz w:val="19"/>
                <w:szCs w:val="19"/>
                <w:color w:val="4A4A4A"/>
              </w:rPr>
              <w:t>with the SEC on May 3, 2022).</w:t>
            </w:r>
          </w:p>
        </w:tc>
        <w:tc>
          <w:tcPr>
            <w:tcW w:w="5240" w:type="dxa"/>
            <w:vAlign w:val="bottom"/>
            <w:tcBorders>
              <w:top w:val="single" w:sz="8" w:color="4A4A4A"/>
            </w:tcBorders>
            <w:gridSpan w:val="5"/>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10.24+</w:t>
            </w:r>
          </w:p>
        </w:tc>
        <w:tc>
          <w:tcPr>
            <w:tcW w:w="8020" w:type="dxa"/>
            <w:vAlign w:val="bottom"/>
            <w:tcBorders>
              <w:bottom w:val="single" w:sz="8" w:color="4A4A4A"/>
            </w:tcBorders>
            <w:gridSpan w:val="15"/>
          </w:tcPr>
          <w:p>
            <w:pPr>
              <w:spacing w:after="0"/>
              <w:rPr>
                <w:sz w:val="20"/>
                <w:szCs w:val="20"/>
                <w:color w:val="auto"/>
              </w:rPr>
            </w:pPr>
            <w:r>
              <w:rPr>
                <w:rFonts w:ascii="Times New Roman" w:cs="Times New Roman" w:eastAsia="Times New Roman" w:hAnsi="Times New Roman"/>
                <w:sz w:val="19"/>
                <w:szCs w:val="19"/>
                <w:color w:val="4A4A4A"/>
              </w:rPr>
              <w:t>Change in Control and Severance Agreement between Nautilus Biotechnology, Inc. and Mary Godwin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20" w:type="dxa"/>
            <w:vAlign w:val="bottom"/>
            <w:tcBorders>
              <w:bottom w:val="single" w:sz="8" w:color="4A4A4A"/>
            </w:tcBorders>
            <w:gridSpan w:val="15"/>
          </w:tcPr>
          <w:p>
            <w:pPr>
              <w:spacing w:after="0" w:line="174" w:lineRule="exact"/>
              <w:rPr>
                <w:sz w:val="20"/>
                <w:szCs w:val="20"/>
                <w:color w:val="auto"/>
              </w:rPr>
            </w:pPr>
            <w:r>
              <w:rPr>
                <w:rFonts w:ascii="Times New Roman" w:cs="Times New Roman" w:eastAsia="Times New Roman" w:hAnsi="Times New Roman"/>
                <w:sz w:val="19"/>
                <w:szCs w:val="19"/>
                <w:color w:val="4A4A4A"/>
              </w:rPr>
              <w:t>dated June 27, 2022 (incorporated by reference to Exhibit 10.2 to the Company’s Form 10-Q filed with</w:t>
            </w:r>
          </w:p>
        </w:tc>
        <w:tc>
          <w:tcPr>
            <w:tcW w:w="40" w:type="dxa"/>
            <w:vAlign w:val="bottom"/>
            <w:tcBorders>
              <w:bottom w:val="single" w:sz="8" w:color="4A4A4A"/>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2300" w:type="dxa"/>
            <w:vAlign w:val="bottom"/>
            <w:tcBorders>
              <w:bottom w:val="single" w:sz="8" w:color="4A4A4A"/>
            </w:tcBorders>
            <w:gridSpan w:val="2"/>
          </w:tcPr>
          <w:p>
            <w:pPr>
              <w:spacing w:after="0" w:line="174" w:lineRule="exact"/>
              <w:rPr>
                <w:sz w:val="20"/>
                <w:szCs w:val="20"/>
                <w:color w:val="auto"/>
              </w:rPr>
            </w:pPr>
            <w:r>
              <w:rPr>
                <w:rFonts w:ascii="Times New Roman" w:cs="Times New Roman" w:eastAsia="Times New Roman" w:hAnsi="Times New Roman"/>
                <w:sz w:val="19"/>
                <w:szCs w:val="19"/>
                <w:color w:val="4A4A4A"/>
              </w:rPr>
              <w:t>the SEC on August 2, 2022).</w:t>
            </w:r>
          </w:p>
        </w:tc>
        <w:tc>
          <w:tcPr>
            <w:tcW w:w="5720" w:type="dxa"/>
            <w:vAlign w:val="bottom"/>
            <w:gridSpan w:val="1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10.25</w:t>
            </w:r>
          </w:p>
        </w:tc>
        <w:tc>
          <w:tcPr>
            <w:tcW w:w="8020" w:type="dxa"/>
            <w:vAlign w:val="bottom"/>
            <w:gridSpan w:val="15"/>
          </w:tcPr>
          <w:p>
            <w:pPr>
              <w:spacing w:after="0"/>
              <w:rPr>
                <w:sz w:val="20"/>
                <w:szCs w:val="20"/>
                <w:color w:val="auto"/>
              </w:rPr>
            </w:pPr>
            <w:r>
              <w:rPr>
                <w:rFonts w:ascii="Times New Roman" w:cs="Times New Roman" w:eastAsia="Times New Roman" w:hAnsi="Times New Roman"/>
                <w:sz w:val="19"/>
                <w:szCs w:val="19"/>
                <w:color w:val="4A4A4A"/>
              </w:rPr>
              <w:t>Form of Nautilus Biotechnology, Inc. Indemnification Agreement (incorporated by reference to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480" w:type="dxa"/>
            <w:vAlign w:val="bottom"/>
            <w:tcBorders>
              <w:top w:val="single" w:sz="8" w:color="4A4A4A"/>
            </w:tcBorders>
            <w:gridSpan w:val="6"/>
          </w:tcPr>
          <w:p>
            <w:pPr>
              <w:spacing w:after="0" w:line="174" w:lineRule="exact"/>
              <w:rPr>
                <w:sz w:val="20"/>
                <w:szCs w:val="20"/>
                <w:color w:val="auto"/>
              </w:rPr>
            </w:pPr>
            <w:r>
              <w:rPr>
                <w:rFonts w:ascii="Times New Roman" w:cs="Times New Roman" w:eastAsia="Times New Roman" w:hAnsi="Times New Roman"/>
                <w:sz w:val="19"/>
                <w:szCs w:val="19"/>
                <w:color w:val="4A4A4A"/>
              </w:rPr>
              <w:t>Exhibit 10.24 to the Company’s Form S-4/A filed with the SEC on April 26, 2021).</w:t>
            </w:r>
          </w:p>
        </w:tc>
        <w:tc>
          <w:tcPr>
            <w:tcW w:w="1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6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500" w:type="dxa"/>
            <w:vAlign w:val="bottom"/>
            <w:gridSpan w:val="4"/>
            <w:shd w:val="clear" w:color="auto" w:fill="4A4A4A"/>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10.26+</w:t>
            </w:r>
          </w:p>
        </w:tc>
        <w:tc>
          <w:tcPr>
            <w:tcW w:w="8020" w:type="dxa"/>
            <w:vAlign w:val="bottom"/>
            <w:gridSpan w:val="15"/>
          </w:tcPr>
          <w:p>
            <w:pPr>
              <w:spacing w:after="0"/>
              <w:rPr>
                <w:sz w:val="20"/>
                <w:szCs w:val="20"/>
                <w:color w:val="auto"/>
              </w:rPr>
            </w:pPr>
            <w:r>
              <w:rPr>
                <w:rFonts w:ascii="Times New Roman" w:cs="Times New Roman" w:eastAsia="Times New Roman" w:hAnsi="Times New Roman"/>
                <w:sz w:val="19"/>
                <w:szCs w:val="19"/>
                <w:color w:val="4A4A4A"/>
              </w:rPr>
              <w:t>Nautilus Biotechnology, Inc. Executive Incentive Compensation Plan (incorporated by reference to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760" w:type="dxa"/>
            <w:vAlign w:val="bottom"/>
            <w:tcBorders>
              <w:top w:val="single" w:sz="8" w:color="4A4A4A"/>
            </w:tcBorders>
            <w:gridSpan w:val="9"/>
          </w:tcPr>
          <w:p>
            <w:pPr>
              <w:spacing w:after="0" w:line="174" w:lineRule="exact"/>
              <w:rPr>
                <w:sz w:val="20"/>
                <w:szCs w:val="20"/>
                <w:color w:val="auto"/>
              </w:rPr>
            </w:pPr>
            <w:r>
              <w:rPr>
                <w:rFonts w:ascii="Times New Roman" w:cs="Times New Roman" w:eastAsia="Times New Roman" w:hAnsi="Times New Roman"/>
                <w:sz w:val="19"/>
                <w:szCs w:val="19"/>
                <w:color w:val="4A4A4A"/>
              </w:rPr>
              <w:t>Exhibit 10.25 to the Company’s Form S-4/A filed with the SEC on April 26, 2021).</w:t>
            </w:r>
          </w:p>
        </w:tc>
        <w:tc>
          <w:tcPr>
            <w:tcW w:w="26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21.1</w:t>
            </w:r>
          </w:p>
        </w:tc>
        <w:tc>
          <w:tcPr>
            <w:tcW w:w="6500" w:type="dxa"/>
            <w:vAlign w:val="bottom"/>
            <w:gridSpan w:val="4"/>
            <w:shd w:val="clear" w:color="auto" w:fill="4A4A4A"/>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60" w:type="dxa"/>
            <w:vAlign w:val="bottom"/>
            <w:vMerge w:val="continue"/>
          </w:tcPr>
          <w:p>
            <w:pPr>
              <w:spacing w:after="0"/>
              <w:rPr>
                <w:sz w:val="21"/>
                <w:szCs w:val="21"/>
                <w:color w:val="auto"/>
              </w:rPr>
            </w:pPr>
          </w:p>
        </w:tc>
        <w:tc>
          <w:tcPr>
            <w:tcW w:w="7640" w:type="dxa"/>
            <w:vAlign w:val="bottom"/>
            <w:tcBorders>
              <w:bottom w:val="single" w:sz="8" w:color="4A4A4A"/>
            </w:tcBorders>
            <w:gridSpan w:val="7"/>
          </w:tcPr>
          <w:p>
            <w:pPr>
              <w:spacing w:after="0"/>
              <w:rPr>
                <w:sz w:val="20"/>
                <w:szCs w:val="20"/>
                <w:color w:val="auto"/>
              </w:rPr>
            </w:pPr>
            <w:r>
              <w:rPr>
                <w:rFonts w:ascii="Times New Roman" w:cs="Times New Roman" w:eastAsia="Times New Roman" w:hAnsi="Times New Roman"/>
                <w:sz w:val="19"/>
                <w:szCs w:val="19"/>
                <w:color w:val="4A4A4A"/>
              </w:rPr>
              <w:t>List of Subsidiaries of the Registrant (incorporated by reference to Exhibit 21.1 to the Company’s</w:t>
            </w:r>
          </w:p>
        </w:tc>
        <w:tc>
          <w:tcPr>
            <w:tcW w:w="380" w:type="dxa"/>
            <w:vAlign w:val="bottom"/>
            <w:gridSpan w:val="8"/>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880" w:h="15480" w:orient="portrait"/>
          <w:cols w:equalWidth="0" w:num="1">
            <w:col w:w="9300"/>
          </w:cols>
          <w:pgMar w:left="1140" w:top="1440" w:right="1440" w:bottom="0" w:gutter="0" w:footer="0" w:header="0"/>
        </w:sect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23.1*</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u w:val="single" w:color="auto"/>
          <w:color w:val="4A4A4A"/>
        </w:rPr>
        <w:t>Annual Report on Form 10-K filed with the SEC on February 24, 2022).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4A4A4A"/>
        </w:rPr>
        <w:t>Consent of Independent Registered Public Accounting Firm</w:t>
      </w:r>
    </w:p>
    <w:p>
      <w:pPr>
        <w:spacing w:after="0" w:line="48" w:lineRule="exact"/>
        <w:rPr>
          <w:sz w:val="20"/>
          <w:szCs w:val="20"/>
          <w:color w:val="auto"/>
        </w:rPr>
      </w:pPr>
    </w:p>
    <w:p>
      <w:pPr>
        <w:ind w:right="540"/>
        <w:spacing w:after="0" w:line="234" w:lineRule="auto"/>
        <w:rPr>
          <w:sz w:val="20"/>
          <w:szCs w:val="20"/>
          <w:color w:val="auto"/>
        </w:rPr>
      </w:pPr>
      <w:r>
        <w:rPr>
          <w:rFonts w:ascii="Times New Roman" w:cs="Times New Roman" w:eastAsia="Times New Roman" w:hAnsi="Times New Roman"/>
          <w:sz w:val="19"/>
          <w:szCs w:val="19"/>
          <w:u w:val="single" w:color="auto"/>
          <w:color w:val="4A4A4A"/>
        </w:rPr>
        <w:t>Certification of Principal Executive Officer Pursuant to Rules 13a-14(a) and 15d-14(a) under the Securities Exchange Act of 1934, as Adopted Pursuant to Section 302 of the Sarbanes-Oxley Act of 2002.</w:t>
      </w:r>
    </w:p>
    <w:p>
      <w:pPr>
        <w:spacing w:after="0" w:line="12" w:lineRule="exact"/>
        <w:rPr>
          <w:sz w:val="20"/>
          <w:szCs w:val="20"/>
          <w:color w:val="auto"/>
        </w:rPr>
      </w:pPr>
    </w:p>
    <w:p>
      <w:pPr>
        <w:sectPr>
          <w:pgSz w:w="11880" w:h="15480" w:orient="portrait"/>
          <w:cols w:equalWidth="0" w:num="2">
            <w:col w:w="440" w:space="560"/>
            <w:col w:w="8300"/>
          </w:cols>
          <w:pgMar w:left="1140" w:top="1440"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31.2*</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32.1*</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ind w:right="540"/>
        <w:spacing w:after="0" w:line="234" w:lineRule="auto"/>
        <w:rPr>
          <w:sz w:val="20"/>
          <w:szCs w:val="20"/>
          <w:color w:val="auto"/>
        </w:rPr>
      </w:pPr>
      <w:r>
        <w:rPr>
          <w:rFonts w:ascii="Times New Roman" w:cs="Times New Roman" w:eastAsia="Times New Roman" w:hAnsi="Times New Roman"/>
          <w:sz w:val="19"/>
          <w:szCs w:val="19"/>
          <w:u w:val="single" w:color="auto"/>
          <w:color w:val="4A4A4A"/>
        </w:rPr>
        <w:t>Certification of Principal Financial Officer Pursuant to Rules 13a-14(a) and 15d-14(a) under the Securities Exchange Act of 1934, as Adopted Pursuant to Section 302 of the Sarbanes-Oxley Act of 2002.</w:t>
      </w:r>
    </w:p>
    <w:p>
      <w:pPr>
        <w:spacing w:after="0" w:line="6" w:lineRule="exact"/>
        <w:rPr>
          <w:sz w:val="20"/>
          <w:szCs w:val="20"/>
          <w:color w:val="auto"/>
        </w:rPr>
      </w:pPr>
    </w:p>
    <w:p>
      <w:pPr>
        <w:ind w:right="420"/>
        <w:spacing w:after="0" w:line="247" w:lineRule="auto"/>
        <w:rPr>
          <w:sz w:val="20"/>
          <w:szCs w:val="20"/>
          <w:color w:val="auto"/>
        </w:rPr>
      </w:pPr>
      <w:r>
        <w:rPr>
          <w:rFonts w:ascii="Times New Roman" w:cs="Times New Roman" w:eastAsia="Times New Roman" w:hAnsi="Times New Roman"/>
          <w:sz w:val="19"/>
          <w:szCs w:val="19"/>
          <w:u w:val="single" w:color="auto"/>
          <w:color w:val="4A4A4A"/>
        </w:rPr>
        <w:t>Certification of Principal Executive Officer Pursuant to 18 U.S.C. Section 1350, as Adopted Pursuant to Section 906 of the Sarbanes-Oxley Act of 2002.</w:t>
      </w:r>
    </w:p>
    <w:p>
      <w:pPr>
        <w:spacing w:after="0" w:line="2" w:lineRule="exact"/>
        <w:rPr>
          <w:sz w:val="20"/>
          <w:szCs w:val="20"/>
          <w:color w:val="auto"/>
        </w:rPr>
      </w:pPr>
    </w:p>
    <w:p>
      <w:pPr>
        <w:sectPr>
          <w:pgSz w:w="11880" w:h="15480" w:orient="portrait"/>
          <w:cols w:equalWidth="0" w:num="2">
            <w:col w:w="520" w:space="480"/>
            <w:col w:w="8300"/>
          </w:cols>
          <w:pgMar w:left="1140" w:top="1440" w:right="1440" w:bottom="0" w:gutter="0" w:footer="0" w:header="0"/>
          <w:type w:val="continuous"/>
        </w:sectPr>
      </w:pPr>
    </w:p>
    <w:p>
      <w:pPr>
        <w:ind w:left="1000" w:right="460" w:hanging="960"/>
        <w:spacing w:after="0" w:line="247" w:lineRule="auto"/>
        <w:tabs>
          <w:tab w:leader="none" w:pos="980" w:val="left"/>
        </w:tabs>
        <w:rPr>
          <w:sz w:val="20"/>
          <w:szCs w:val="20"/>
          <w:color w:val="auto"/>
        </w:rPr>
      </w:pPr>
      <w:r>
        <w:rPr>
          <w:rFonts w:ascii="Times New Roman" w:cs="Times New Roman" w:eastAsia="Times New Roman" w:hAnsi="Times New Roman"/>
          <w:sz w:val="17"/>
          <w:szCs w:val="17"/>
          <w:color w:val="auto"/>
        </w:rPr>
        <w:t>32.2*</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9"/>
          <w:szCs w:val="19"/>
          <w:u w:val="single" w:color="auto"/>
          <w:color w:val="4A4A4A"/>
        </w:rPr>
        <w:t>Certification of Principal Financial Officer Pursuant to 18 U.S.C. Section 1350, as Adopted Pursuant to Section 906 of the Sarbanes-Oxley Act of 2002.</w:t>
      </w:r>
    </w:p>
    <w:p>
      <w:pPr>
        <w:spacing w:after="0" w:line="2" w:lineRule="exact"/>
        <w:rPr>
          <w:sz w:val="20"/>
          <w:szCs w:val="20"/>
          <w:color w:val="auto"/>
        </w:rPr>
      </w:pPr>
    </w:p>
    <w:p>
      <w:pPr>
        <w:ind w:left="1000" w:right="400" w:hanging="960"/>
        <w:spacing w:after="0" w:line="250" w:lineRule="auto"/>
        <w:tabs>
          <w:tab w:leader="none" w:pos="980" w:val="left"/>
        </w:tabs>
        <w:rPr>
          <w:sz w:val="20"/>
          <w:szCs w:val="20"/>
          <w:color w:val="auto"/>
        </w:rPr>
      </w:pPr>
      <w:r>
        <w:rPr>
          <w:rFonts w:ascii="Times New Roman" w:cs="Times New Roman" w:eastAsia="Times New Roman" w:hAnsi="Times New Roman"/>
          <w:sz w:val="17"/>
          <w:szCs w:val="17"/>
          <w:color w:val="auto"/>
        </w:rPr>
        <w:t>101.INS</w:t>
      </w:r>
      <w:r>
        <w:rPr>
          <w:sz w:val="20"/>
          <w:szCs w:val="20"/>
          <w:color w:val="auto"/>
        </w:rPr>
        <w:tab/>
      </w:r>
      <w:r>
        <w:rPr>
          <w:rFonts w:ascii="Times New Roman" w:cs="Times New Roman" w:eastAsia="Times New Roman" w:hAnsi="Times New Roman"/>
          <w:sz w:val="19"/>
          <w:szCs w:val="19"/>
          <w:color w:val="auto"/>
        </w:rPr>
        <w:t>Inline XBRL Instance Document – the instance document does not appear in the Interactive Data File because XBRL tags are embedded within the Inline XBRL document</w:t>
      </w:r>
    </w:p>
    <w:p>
      <w:pPr>
        <w:sectPr>
          <w:pgSz w:w="11880" w:h="15480" w:orient="portrait"/>
          <w:cols w:equalWidth="0" w:num="1">
            <w:col w:w="9300"/>
          </w:cols>
          <w:pgMar w:left="1140" w:top="1440" w:right="1440" w:bottom="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101.SCH</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101.CAL</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101.DEF</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101.LAB</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p>
      <w:pPr>
        <w:spacing w:after="0" w:line="58" w:lineRule="exact"/>
        <w:rPr>
          <w:sz w:val="20"/>
          <w:szCs w:val="20"/>
          <w:color w:val="auto"/>
        </w:rPr>
      </w:pPr>
    </w:p>
    <w:p>
      <w:pPr>
        <w:ind w:right="2940"/>
        <w:spacing w:after="0" w:line="299" w:lineRule="auto"/>
        <w:rPr>
          <w:sz w:val="20"/>
          <w:szCs w:val="20"/>
          <w:color w:val="auto"/>
        </w:rPr>
      </w:pPr>
      <w:r>
        <w:rPr>
          <w:rFonts w:ascii="Times New Roman" w:cs="Times New Roman" w:eastAsia="Times New Roman" w:hAnsi="Times New Roman"/>
          <w:sz w:val="19"/>
          <w:szCs w:val="19"/>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1" w:lineRule="exact"/>
        <w:rPr>
          <w:sz w:val="20"/>
          <w:szCs w:val="20"/>
          <w:color w:val="auto"/>
        </w:rPr>
      </w:pPr>
    </w:p>
    <w:p>
      <w:pPr>
        <w:sectPr>
          <w:pgSz w:w="11880" w:h="15480" w:orient="portrait"/>
          <w:cols w:equalWidth="0" w:num="2">
            <w:col w:w="700" w:space="300"/>
            <w:col w:w="8300"/>
          </w:cols>
          <w:pgMar w:left="1140" w:top="1440" w:right="1440" w:bottom="0" w:gutter="0" w:footer="0" w:header="0"/>
          <w:type w:val="continuous"/>
        </w:sectPr>
      </w:pPr>
    </w:p>
    <w:p>
      <w:pPr>
        <w:ind w:left="1000" w:hanging="953"/>
        <w:spacing w:after="0" w:line="182" w:lineRule="auto"/>
        <w:tabs>
          <w:tab w:leader="none" w:pos="1000" w:val="left"/>
        </w:tabs>
        <w:numPr>
          <w:ilvl w:val="0"/>
          <w:numId w:val="6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Cover page Interactive Data File (embedded with the Inline XBRL document)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management contract or compensatory plan.</w:t>
      </w:r>
    </w:p>
    <w:p>
      <w:pPr>
        <w:sectPr>
          <w:pgSz w:w="11880" w:h="15480" w:orient="portrait"/>
          <w:cols w:equalWidth="0" w:num="1">
            <w:col w:w="9300"/>
          </w:cols>
          <w:pgMar w:left="11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121</w:t>
      </w:r>
    </w:p>
    <w:p>
      <w:pPr>
        <w:sectPr>
          <w:pgSz w:w="11880" w:h="15480" w:orient="portrait"/>
          <w:cols w:equalWidth="0" w:num="1">
            <w:col w:w="9300"/>
          </w:cols>
          <w:pgMar w:left="1140" w:top="1440" w:right="1440" w:bottom="0" w:gutter="0" w:footer="0" w:header="0"/>
          <w:type w:val="continuous"/>
        </w:sectPr>
      </w:pPr>
    </w:p>
    <w:bookmarkStart w:id="124" w:name="page125"/>
    <w:bookmarkEnd w:id="124"/>
    <w:p>
      <w:pPr>
        <w:ind w:left="344" w:right="80" w:hanging="344"/>
        <w:spacing w:after="0" w:line="251" w:lineRule="auto"/>
        <w:tabs>
          <w:tab w:leader="none" w:pos="11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32.2 that accompany this Annual Report on Form 10-K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Annual Report on Form 10-K, irrespective of any general incorporation language contained in such filing.</w:t>
      </w:r>
    </w:p>
    <w:p>
      <w:pPr>
        <w:sectPr>
          <w:pgSz w:w="11880" w:h="15480" w:orient="portrait"/>
          <w:cols w:equalWidth="0" w:num="1">
            <w:col w:w="9304"/>
          </w:cols>
          <w:pgMar w:left="1136" w:top="14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7"/>
          <w:szCs w:val="17"/>
          <w:color w:val="auto"/>
        </w:rPr>
        <w:t>122</w:t>
      </w:r>
    </w:p>
    <w:p>
      <w:pPr>
        <w:sectPr>
          <w:pgSz w:w="11880" w:h="15480" w:orient="portrait"/>
          <w:cols w:equalWidth="0" w:num="1">
            <w:col w:w="9304"/>
          </w:cols>
          <w:pgMar w:left="1136" w:top="1401" w:right="144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ectPr>
          <w:pgSz w:w="11880" w:h="15480" w:orient="portrait"/>
          <w:cols w:equalWidth="0" w:num="1">
            <w:col w:w="9480"/>
          </w:cols>
          <w:pgMar w:left="960" w:top="815" w:right="1440" w:bottom="0" w:gutter="0" w:footer="0" w:header="0"/>
        </w:sectPr>
      </w:pP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ectPr>
          <w:pgSz w:w="11880" w:h="15480" w:orient="portrait"/>
          <w:cols w:equalWidth="0" w:num="1">
            <w:col w:w="9480"/>
          </w:cols>
          <w:pgMar w:left="960" w:top="81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123</w:t>
      </w:r>
    </w:p>
    <w:p>
      <w:pPr>
        <w:sectPr>
          <w:pgSz w:w="11880" w:h="15480" w:orient="portrait"/>
          <w:cols w:equalWidth="0" w:num="1">
            <w:col w:w="9480"/>
          </w:cols>
          <w:pgMar w:left="960" w:top="815" w:right="1440" w:bottom="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96" w:lineRule="exact"/>
        <w:rPr>
          <w:sz w:val="20"/>
          <w:szCs w:val="20"/>
          <w:color w:val="auto"/>
        </w:rPr>
      </w:pPr>
    </w:p>
    <w:p>
      <w:pPr>
        <w:ind w:right="380" w:firstLine="349"/>
        <w:spacing w:after="0" w:line="293" w:lineRule="auto"/>
        <w:rPr>
          <w:sz w:val="20"/>
          <w:szCs w:val="20"/>
          <w:color w:val="auto"/>
        </w:rPr>
      </w:pPr>
      <w:r>
        <w:rPr>
          <w:rFonts w:ascii="Times New Roman" w:cs="Times New Roman" w:eastAsia="Times New Roman" w:hAnsi="Times New Roman"/>
          <w:sz w:val="19"/>
          <w:szCs w:val="19"/>
          <w:color w:val="auto"/>
        </w:rPr>
        <w:t>Pursuant to the requirements of Section 13 or 15(d) of the Exchange Act the Registrant has duly caused this Annual Report to be signed on its behalf by the undersigned, thereunto duly authorized.</w:t>
      </w:r>
    </w:p>
    <w:p>
      <w:pPr>
        <w:spacing w:after="0" w:line="17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9"/>
          <w:szCs w:val="19"/>
          <w:b w:val="1"/>
          <w:bCs w:val="1"/>
          <w:color w:val="auto"/>
        </w:rPr>
        <w:t>NAUTILUS BIOTECHNOLOGY, INC.</w:t>
      </w:r>
    </w:p>
    <w:p>
      <w:pPr>
        <w:spacing w:after="0" w:line="33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9"/>
          <w:szCs w:val="19"/>
          <w:color w:val="auto"/>
        </w:rPr>
        <w:t>By: /s/ Sujal Patel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3631565</wp:posOffset>
                </wp:positionH>
                <wp:positionV relativeFrom="paragraph">
                  <wp:posOffset>29845</wp:posOffset>
                </wp:positionV>
                <wp:extent cx="213550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55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95pt,2.35pt" to="454.1pt,2.35pt" o:allowincell="f" strokecolor="#000000" strokeweight="1pt"/>
            </w:pict>
          </mc:Fallback>
        </mc:AlternateContent>
      </w:r>
    </w:p>
    <w:p>
      <w:pPr>
        <w:spacing w:after="0" w:line="3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9"/>
          <w:szCs w:val="19"/>
          <w:color w:val="auto"/>
        </w:rPr>
        <w:t>Sujal Patel</w:t>
      </w:r>
    </w:p>
    <w:p>
      <w:pPr>
        <w:spacing w:after="0" w:line="5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KNOW ALL PERSONS BY THESE PRESENTS, that each person whose signature appears below hereby constitutes and appoints Sujal Patel and Anna Mowry, and each of them, as his or her true and lawful attorney-in-fact and agent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spacing w:after="0" w:line="141"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as amended, this report has been signed by the following persons in the capacities and on the dates indicated:</w:t>
      </w:r>
    </w:p>
    <w:p>
      <w:pPr>
        <w:sectPr>
          <w:pgSz w:w="11880" w:h="15480" w:orient="portrait"/>
          <w:cols w:equalWidth="0" w:num="1">
            <w:col w:w="9080"/>
          </w:cols>
          <w:pgMar w:left="1400" w:top="1383"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ectPr>
          <w:pgSz w:w="11880" w:h="15480" w:orient="portrait"/>
          <w:cols w:equalWidth="0" w:num="1">
            <w:col w:w="9080"/>
          </w:cols>
          <w:pgMar w:left="1400" w:top="1383" w:right="1400" w:bottom="0" w:gutter="0" w:footer="0" w:header="0"/>
          <w:type w:val="continuous"/>
        </w:sectPr>
      </w:pPr>
    </w:p>
    <w:bookmarkStart w:id="127" w:name="page128"/>
    <w:bookmarkEnd w:id="12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60" w:type="dxa"/>
            <w:vAlign w:val="bottom"/>
          </w:tcPr>
          <w:p>
            <w:pPr>
              <w:spacing w:after="0"/>
              <w:rPr>
                <w:sz w:val="18"/>
                <w:szCs w:val="18"/>
                <w:color w:val="auto"/>
              </w:rPr>
            </w:pPr>
          </w:p>
        </w:tc>
        <w:tc>
          <w:tcPr>
            <w:tcW w:w="41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6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533"/>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Sujal Patel</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Executive Officer, President and 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23, 2023</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Sujal Patel</w:t>
            </w:r>
          </w:p>
        </w:tc>
        <w:tc>
          <w:tcPr>
            <w:tcW w:w="60" w:type="dxa"/>
            <w:vAlign w:val="bottom"/>
          </w:tcPr>
          <w:p>
            <w:pPr>
              <w:spacing w:after="0"/>
              <w:rPr>
                <w:sz w:val="22"/>
                <w:szCs w:val="22"/>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(Principal Executive Officer)</w:t>
            </w: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Anna Mowry</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Financial Officer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23, 2023</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Anna Mowry</w:t>
            </w:r>
          </w:p>
        </w:tc>
        <w:tc>
          <w:tcPr>
            <w:tcW w:w="60" w:type="dxa"/>
            <w:vAlign w:val="bottom"/>
          </w:tcPr>
          <w:p>
            <w:pPr>
              <w:spacing w:after="0"/>
              <w:rPr>
                <w:sz w:val="22"/>
                <w:szCs w:val="22"/>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(Principal Financial and Accounting Officer)</w:t>
            </w: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Michael Altman</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23, 2023</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Michael Altman</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Melissa Epperly</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23, 2023</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Melissa Epperly</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Parag Mallick</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23, 2023</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Parag Mallick</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Matthew McIlwain</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23, 2023</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Matthew McIlwain</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Farzad Nazem</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23, 2023</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Farzad Nazem</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Vijay Pande</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23, 2023</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Vijay Pande</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Matthew L. Posard</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23, 2023</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Matthew L. Posard</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Karen Akinsanya</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23, 2023</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Karen Akinsanya</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080"/>
          </w:cols>
          <w:pgMar w:left="1400" w:top="144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ectPr>
          <w:pgSz w:w="11880" w:h="15480" w:orient="portrait"/>
          <w:cols w:equalWidth="0" w:num="1">
            <w:col w:w="9080"/>
          </w:cols>
          <w:pgMar w:left="1400" w:top="1440" w:right="1400" w:bottom="0" w:gutter="0" w:footer="0" w:header="0"/>
          <w:type w:val="continuous"/>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29" w:name="page130"/>
    <w:bookmarkEnd w:id="129"/>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0" w:name="page131"/>
    <w:bookmarkEnd w:id="130"/>
    <w:p>
      <w:pPr>
        <w:spacing w:after="0" w:line="2" w:lineRule="exact"/>
        <w:rPr>
          <w:sz w:val="20"/>
          <w:szCs w:val="20"/>
          <w:color w:val="auto"/>
        </w:rPr>
      </w:pPr>
    </w:p>
    <w:p>
      <w:pPr>
        <w:ind w:left="20" w:right="440"/>
        <w:spacing w:after="0"/>
        <w:rPr>
          <w:sz w:val="20"/>
          <w:szCs w:val="20"/>
          <w:color w:val="auto"/>
        </w:rPr>
      </w:pPr>
      <w:r>
        <w:rPr>
          <w:rFonts w:ascii="Times New Roman" w:cs="Times New Roman" w:eastAsia="Times New Roman" w:hAnsi="Times New Roman"/>
          <w:sz w:val="16"/>
          <w:szCs w:val="16"/>
          <w:b w:val="1"/>
          <w:bCs w:val="1"/>
          <w:color w:val="auto"/>
        </w:rPr>
        <w:t>BOARD OF DIRECTORS AND MANAGEMENT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Matthew L. Posard, </w:t>
      </w:r>
      <w:r>
        <w:rPr>
          <w:rFonts w:ascii="Times New Roman" w:cs="Times New Roman" w:eastAsia="Times New Roman" w:hAnsi="Times New Roman"/>
          <w:sz w:val="14"/>
          <w:szCs w:val="14"/>
          <w:i w:val="1"/>
          <w:iCs w:val="1"/>
          <w:color w:val="auto"/>
        </w:rPr>
        <w:t>Chairperson</w:t>
      </w:r>
    </w:p>
    <w:p>
      <w:pPr>
        <w:ind w:left="20" w:right="680" w:firstLine="117"/>
        <w:spacing w:after="0" w:line="333" w:lineRule="auto"/>
        <w:rPr>
          <w:sz w:val="20"/>
          <w:szCs w:val="20"/>
          <w:color w:val="auto"/>
        </w:rPr>
      </w:pPr>
      <w:r>
        <w:rPr>
          <w:rFonts w:ascii="Times New Roman" w:cs="Times New Roman" w:eastAsia="Times New Roman" w:hAnsi="Times New Roman"/>
          <w:sz w:val="14"/>
          <w:szCs w:val="14"/>
          <w:i w:val="1"/>
          <w:iCs w:val="1"/>
          <w:color w:val="auto"/>
        </w:rPr>
        <w:t xml:space="preserve">Founding Partner, Explore-DNA </w:t>
      </w:r>
      <w:r>
        <w:rPr>
          <w:rFonts w:ascii="Times New Roman" w:cs="Times New Roman" w:eastAsia="Times New Roman" w:hAnsi="Times New Roman"/>
          <w:sz w:val="14"/>
          <w:szCs w:val="14"/>
          <w:color w:val="auto"/>
        </w:rPr>
        <w:t>Karen Akinsanya</w:t>
      </w:r>
    </w:p>
    <w:p>
      <w:pPr>
        <w:ind w:left="120" w:right="20"/>
        <w:spacing w:after="0" w:line="258" w:lineRule="auto"/>
        <w:rPr>
          <w:sz w:val="20"/>
          <w:szCs w:val="20"/>
          <w:color w:val="auto"/>
        </w:rPr>
      </w:pPr>
      <w:r>
        <w:rPr>
          <w:rFonts w:ascii="Times New Roman" w:cs="Times New Roman" w:eastAsia="Times New Roman" w:hAnsi="Times New Roman"/>
          <w:sz w:val="14"/>
          <w:szCs w:val="14"/>
          <w:i w:val="1"/>
          <w:iCs w:val="1"/>
          <w:color w:val="auto"/>
        </w:rPr>
        <w:t>President of R&amp;D, Therapeutics, Scrodinger, Inc.</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Michael Altman</w:t>
      </w:r>
    </w:p>
    <w:p>
      <w:pPr>
        <w:ind w:left="140"/>
        <w:spacing w:after="0"/>
        <w:rPr>
          <w:sz w:val="20"/>
          <w:szCs w:val="20"/>
          <w:color w:val="auto"/>
        </w:rPr>
      </w:pPr>
      <w:r>
        <w:rPr>
          <w:rFonts w:ascii="Times New Roman" w:cs="Times New Roman" w:eastAsia="Times New Roman" w:hAnsi="Times New Roman"/>
          <w:sz w:val="14"/>
          <w:szCs w:val="14"/>
          <w:i w:val="1"/>
          <w:iCs w:val="1"/>
          <w:color w:val="auto"/>
        </w:rPr>
        <w:t>Managing Director, Perceptive Advisors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Melissa Epperly</w:t>
      </w:r>
    </w:p>
    <w:p>
      <w:pPr>
        <w:ind w:left="140"/>
        <w:spacing w:after="0" w:line="208" w:lineRule="auto"/>
        <w:rPr>
          <w:sz w:val="20"/>
          <w:szCs w:val="20"/>
          <w:color w:val="auto"/>
        </w:rPr>
      </w:pPr>
      <w:r>
        <w:rPr>
          <w:rFonts w:ascii="Times New Roman" w:cs="Times New Roman" w:eastAsia="Times New Roman" w:hAnsi="Times New Roman"/>
          <w:sz w:val="14"/>
          <w:szCs w:val="14"/>
          <w:i w:val="1"/>
          <w:iCs w:val="1"/>
          <w:color w:val="auto"/>
        </w:rPr>
        <w:t>Chief Financial Officer, Zentalis</w:t>
      </w:r>
    </w:p>
    <w:p>
      <w:pPr>
        <w:ind w:left="140"/>
        <w:spacing w:after="0"/>
        <w:rPr>
          <w:sz w:val="20"/>
          <w:szCs w:val="20"/>
          <w:color w:val="auto"/>
        </w:rPr>
      </w:pPr>
      <w:r>
        <w:rPr>
          <w:rFonts w:ascii="Times New Roman" w:cs="Times New Roman" w:eastAsia="Times New Roman" w:hAnsi="Times New Roman"/>
          <w:sz w:val="14"/>
          <w:szCs w:val="14"/>
          <w:i w:val="1"/>
          <w:iCs w:val="1"/>
          <w:color w:val="auto"/>
        </w:rPr>
        <w:t>Pharmaeuticals, Inc.</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Parag Mallick</w:t>
      </w:r>
    </w:p>
    <w:p>
      <w:pPr>
        <w:ind w:left="140"/>
        <w:spacing w:after="0"/>
        <w:rPr>
          <w:sz w:val="20"/>
          <w:szCs w:val="20"/>
          <w:color w:val="auto"/>
        </w:rPr>
      </w:pPr>
      <w:r>
        <w:rPr>
          <w:rFonts w:ascii="Times New Roman" w:cs="Times New Roman" w:eastAsia="Times New Roman" w:hAnsi="Times New Roman"/>
          <w:sz w:val="14"/>
          <w:szCs w:val="14"/>
          <w:i w:val="1"/>
          <w:iCs w:val="1"/>
          <w:color w:val="auto"/>
        </w:rPr>
        <w:t>Chief Scientist and Director</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Matthew McIlwain</w:t>
      </w:r>
    </w:p>
    <w:p>
      <w:pPr>
        <w:ind w:left="20" w:firstLine="114"/>
        <w:spacing w:after="0" w:line="328" w:lineRule="auto"/>
        <w:rPr>
          <w:sz w:val="20"/>
          <w:szCs w:val="20"/>
          <w:color w:val="auto"/>
        </w:rPr>
      </w:pPr>
      <w:r>
        <w:rPr>
          <w:rFonts w:ascii="Times New Roman" w:cs="Times New Roman" w:eastAsia="Times New Roman" w:hAnsi="Times New Roman"/>
          <w:sz w:val="14"/>
          <w:szCs w:val="14"/>
          <w:i w:val="1"/>
          <w:iCs w:val="1"/>
          <w:color w:val="auto"/>
        </w:rPr>
        <w:t xml:space="preserve">Managing Director, Madrona Venture Group </w:t>
      </w:r>
      <w:r>
        <w:rPr>
          <w:rFonts w:ascii="Times New Roman" w:cs="Times New Roman" w:eastAsia="Times New Roman" w:hAnsi="Times New Roman"/>
          <w:sz w:val="14"/>
          <w:szCs w:val="14"/>
          <w:color w:val="auto"/>
        </w:rPr>
        <w:t>Farzad Nazem</w:t>
      </w:r>
    </w:p>
    <w:p>
      <w:pPr>
        <w:ind w:left="140" w:right="80"/>
        <w:spacing w:after="0" w:line="238" w:lineRule="auto"/>
        <w:rPr>
          <w:sz w:val="20"/>
          <w:szCs w:val="20"/>
          <w:color w:val="auto"/>
        </w:rPr>
      </w:pPr>
      <w:r>
        <w:rPr>
          <w:rFonts w:ascii="Times New Roman" w:cs="Times New Roman" w:eastAsia="Times New Roman" w:hAnsi="Times New Roman"/>
          <w:sz w:val="14"/>
          <w:szCs w:val="14"/>
          <w:i w:val="1"/>
          <w:iCs w:val="1"/>
          <w:color w:val="auto"/>
        </w:rPr>
        <w:t>Private Investor and Advisor; Former Chief Technology Officer, Yahoo! Inc.</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Vijay Pande</w:t>
      </w:r>
    </w:p>
    <w:p>
      <w:pPr>
        <w:ind w:left="140"/>
        <w:spacing w:after="0"/>
        <w:rPr>
          <w:sz w:val="20"/>
          <w:szCs w:val="20"/>
          <w:color w:val="auto"/>
        </w:rPr>
      </w:pPr>
      <w:r>
        <w:rPr>
          <w:rFonts w:ascii="Times New Roman" w:cs="Times New Roman" w:eastAsia="Times New Roman" w:hAnsi="Times New Roman"/>
          <w:sz w:val="14"/>
          <w:szCs w:val="14"/>
          <w:i w:val="1"/>
          <w:iCs w:val="1"/>
          <w:color w:val="auto"/>
        </w:rPr>
        <w:t>General Partner, Andreessen Horowitz</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Sujal Patel</w:t>
      </w:r>
    </w:p>
    <w:p>
      <w:pPr>
        <w:ind w:left="140" w:right="40"/>
        <w:spacing w:after="0" w:line="238" w:lineRule="auto"/>
        <w:rPr>
          <w:sz w:val="20"/>
          <w:szCs w:val="20"/>
          <w:color w:val="auto"/>
        </w:rPr>
      </w:pPr>
      <w:r>
        <w:rPr>
          <w:rFonts w:ascii="Times New Roman" w:cs="Times New Roman" w:eastAsia="Times New Roman" w:hAnsi="Times New Roman"/>
          <w:sz w:val="14"/>
          <w:szCs w:val="14"/>
          <w:i w:val="1"/>
          <w:iCs w:val="1"/>
          <w:color w:val="auto"/>
        </w:rPr>
        <w:t>Chief Executive Officer, President, Secretary and Director</w:t>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Sujal Patel</w:t>
      </w:r>
    </w:p>
    <w:p>
      <w:pPr>
        <w:ind w:left="140" w:right="40"/>
        <w:spacing w:after="0" w:line="251" w:lineRule="auto"/>
        <w:rPr>
          <w:sz w:val="20"/>
          <w:szCs w:val="20"/>
          <w:color w:val="auto"/>
        </w:rPr>
      </w:pPr>
      <w:r>
        <w:rPr>
          <w:rFonts w:ascii="Times New Roman" w:cs="Times New Roman" w:eastAsia="Times New Roman" w:hAnsi="Times New Roman"/>
          <w:sz w:val="14"/>
          <w:szCs w:val="14"/>
          <w:i w:val="1"/>
          <w:iCs w:val="1"/>
          <w:color w:val="auto"/>
        </w:rPr>
        <w:t>Chief Executive Officer, President, Secretary and Director</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Parag Mallick</w:t>
      </w:r>
    </w:p>
    <w:p>
      <w:pPr>
        <w:ind w:left="140"/>
        <w:spacing w:after="0"/>
        <w:rPr>
          <w:sz w:val="20"/>
          <w:szCs w:val="20"/>
          <w:color w:val="auto"/>
        </w:rPr>
      </w:pPr>
      <w:r>
        <w:rPr>
          <w:rFonts w:ascii="Times New Roman" w:cs="Times New Roman" w:eastAsia="Times New Roman" w:hAnsi="Times New Roman"/>
          <w:sz w:val="14"/>
          <w:szCs w:val="14"/>
          <w:i w:val="1"/>
          <w:iCs w:val="1"/>
          <w:color w:val="auto"/>
        </w:rPr>
        <w:t>Chief Scientist and Director</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Anna Mowry</w:t>
      </w:r>
    </w:p>
    <w:p>
      <w:pPr>
        <w:ind w:left="140"/>
        <w:spacing w:after="0"/>
        <w:rPr>
          <w:sz w:val="20"/>
          <w:szCs w:val="20"/>
          <w:color w:val="auto"/>
        </w:rPr>
      </w:pPr>
      <w:r>
        <w:rPr>
          <w:rFonts w:ascii="Times New Roman" w:cs="Times New Roman" w:eastAsia="Times New Roman" w:hAnsi="Times New Roman"/>
          <w:sz w:val="14"/>
          <w:szCs w:val="14"/>
          <w:i w:val="1"/>
          <w:iCs w:val="1"/>
          <w:color w:val="auto"/>
        </w:rPr>
        <w:t>Chief Financial Officer and Treasurer</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Nick Nelson</w:t>
      </w:r>
    </w:p>
    <w:p>
      <w:pPr>
        <w:ind w:left="140" w:right="360"/>
        <w:spacing w:after="0" w:line="337" w:lineRule="auto"/>
        <w:rPr>
          <w:sz w:val="20"/>
          <w:szCs w:val="20"/>
          <w:color w:val="auto"/>
        </w:rPr>
      </w:pPr>
      <w:r>
        <w:rPr>
          <w:rFonts w:ascii="Times New Roman" w:cs="Times New Roman" w:eastAsia="Times New Roman" w:hAnsi="Times New Roman"/>
          <w:sz w:val="12"/>
          <w:szCs w:val="12"/>
          <w:i w:val="1"/>
          <w:iCs w:val="1"/>
          <w:color w:val="auto"/>
        </w:rPr>
        <w:t>Chief Business Officer and Senior Vice President, Business Development</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Subra Sankar</w:t>
      </w:r>
    </w:p>
    <w:p>
      <w:pPr>
        <w:ind w:left="140"/>
        <w:spacing w:after="0"/>
        <w:rPr>
          <w:sz w:val="20"/>
          <w:szCs w:val="20"/>
          <w:color w:val="auto"/>
        </w:rPr>
      </w:pPr>
      <w:r>
        <w:rPr>
          <w:rFonts w:ascii="Times New Roman" w:cs="Times New Roman" w:eastAsia="Times New Roman" w:hAnsi="Times New Roman"/>
          <w:sz w:val="12"/>
          <w:szCs w:val="12"/>
          <w:i w:val="1"/>
          <w:iCs w:val="1"/>
          <w:color w:val="auto"/>
        </w:rPr>
        <w:t>Senior Vice President, Product Development</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Matthew Murphy</w:t>
      </w:r>
    </w:p>
    <w:p>
      <w:pPr>
        <w:ind w:left="140"/>
        <w:spacing w:after="0"/>
        <w:rPr>
          <w:sz w:val="20"/>
          <w:szCs w:val="20"/>
          <w:color w:val="auto"/>
        </w:rPr>
      </w:pPr>
      <w:r>
        <w:rPr>
          <w:rFonts w:ascii="Times New Roman" w:cs="Times New Roman" w:eastAsia="Times New Roman" w:hAnsi="Times New Roman"/>
          <w:sz w:val="14"/>
          <w:szCs w:val="14"/>
          <w:i w:val="1"/>
          <w:iCs w:val="1"/>
          <w:color w:val="auto"/>
        </w:rPr>
        <w:t>General Counsel</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Gwen Weld</w:t>
      </w:r>
    </w:p>
    <w:p>
      <w:pPr>
        <w:ind w:left="140"/>
        <w:spacing w:after="0"/>
        <w:rPr>
          <w:sz w:val="20"/>
          <w:szCs w:val="20"/>
          <w:color w:val="auto"/>
        </w:rPr>
      </w:pPr>
      <w:r>
        <w:rPr>
          <w:rFonts w:ascii="Times New Roman" w:cs="Times New Roman" w:eastAsia="Times New Roman" w:hAnsi="Times New Roman"/>
          <w:sz w:val="14"/>
          <w:szCs w:val="14"/>
          <w:i w:val="1"/>
          <w:iCs w:val="1"/>
          <w:color w:val="auto"/>
        </w:rPr>
        <w:t>Chief People Officer</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Mary Godwin</w:t>
      </w:r>
    </w:p>
    <w:p>
      <w:pPr>
        <w:ind w:left="140"/>
        <w:spacing w:after="0"/>
        <w:rPr>
          <w:sz w:val="20"/>
          <w:szCs w:val="20"/>
          <w:color w:val="auto"/>
        </w:rPr>
      </w:pPr>
      <w:r>
        <w:rPr>
          <w:rFonts w:ascii="Times New Roman" w:cs="Times New Roman" w:eastAsia="Times New Roman" w:hAnsi="Times New Roman"/>
          <w:sz w:val="14"/>
          <w:szCs w:val="14"/>
          <w:i w:val="1"/>
          <w:iCs w:val="1"/>
          <w:color w:val="auto"/>
        </w:rPr>
        <w:t>Senior Vice President, Operations</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Headquarters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Nautilus Biotechnology, Inc.</w:t>
      </w:r>
    </w:p>
    <w:p>
      <w:pPr>
        <w:spacing w:after="0" w:line="197" w:lineRule="auto"/>
        <w:rPr>
          <w:sz w:val="20"/>
          <w:szCs w:val="20"/>
          <w:color w:val="auto"/>
        </w:rPr>
      </w:pPr>
      <w:r>
        <w:rPr>
          <w:rFonts w:ascii="Times New Roman" w:cs="Times New Roman" w:eastAsia="Times New Roman" w:hAnsi="Times New Roman"/>
          <w:sz w:val="14"/>
          <w:szCs w:val="14"/>
          <w:color w:val="auto"/>
        </w:rPr>
        <w:t>2701 Eastlake Avenue East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Seattle, WA 98102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Meeting</w:t>
      </w:r>
    </w:p>
    <w:p>
      <w:pPr>
        <w:spacing w:after="0" w:line="97"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4"/>
          <w:szCs w:val="14"/>
          <w:color w:val="auto"/>
        </w:rPr>
        <w:t>Our 2023 Annual Meeting of Stockholders will take place on Wednesday, June 14, 2023 at 10:00 a.m. The annual meeting will be conducted virtually via live audio webcast. You will be able to attend the annual meeting virtually by visiting www.vitrualshareholdermeeting.com/NAUT2023, where you will be able to listen to the meeting live, submit questions and vote online during the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Independent Auditors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PricewaterhouseCoopers, LLP</w:t>
      </w:r>
    </w:p>
    <w:p>
      <w:pPr>
        <w:spacing w:after="0"/>
        <w:rPr>
          <w:sz w:val="20"/>
          <w:szCs w:val="20"/>
          <w:color w:val="auto"/>
        </w:rPr>
      </w:pPr>
      <w:r>
        <w:rPr>
          <w:rFonts w:ascii="Times New Roman" w:cs="Times New Roman" w:eastAsia="Times New Roman" w:hAnsi="Times New Roman"/>
          <w:sz w:val="14"/>
          <w:szCs w:val="14"/>
          <w:color w:val="auto"/>
        </w:rPr>
        <w:t>Seattle, WA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Counsel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Wilson Sonsini Goodrich &amp; Rosati, P.C.</w:t>
      </w:r>
    </w:p>
    <w:p>
      <w:pPr>
        <w:spacing w:after="0"/>
        <w:rPr>
          <w:sz w:val="20"/>
          <w:szCs w:val="20"/>
          <w:color w:val="auto"/>
        </w:rPr>
      </w:pPr>
      <w:r>
        <w:rPr>
          <w:rFonts w:ascii="Times New Roman" w:cs="Times New Roman" w:eastAsia="Times New Roman" w:hAnsi="Times New Roman"/>
          <w:sz w:val="14"/>
          <w:szCs w:val="14"/>
          <w:color w:val="auto"/>
        </w:rPr>
        <w:t>Palo Alto, California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Services</w:t>
      </w:r>
    </w:p>
    <w:p>
      <w:pPr>
        <w:spacing w:after="0" w:line="95" w:lineRule="exact"/>
        <w:rPr>
          <w:sz w:val="20"/>
          <w:szCs w:val="20"/>
          <w:color w:val="auto"/>
        </w:rPr>
      </w:pPr>
    </w:p>
    <w:p>
      <w:pPr>
        <w:ind w:right="120" w:hanging="1"/>
        <w:spacing w:after="0" w:line="247" w:lineRule="auto"/>
        <w:rPr>
          <w:sz w:val="20"/>
          <w:szCs w:val="20"/>
          <w:color w:val="auto"/>
        </w:rPr>
      </w:pPr>
      <w:r>
        <w:rPr>
          <w:rFonts w:ascii="Times New Roman" w:cs="Times New Roman" w:eastAsia="Times New Roman" w:hAnsi="Times New Roman"/>
          <w:sz w:val="12"/>
          <w:szCs w:val="12"/>
          <w:color w:val="auto"/>
        </w:rPr>
        <w:t>You may contact our transfer agent Continental Stock Transfer &amp; Trust Company, by telephone at</w:t>
      </w:r>
    </w:p>
    <w:p>
      <w:pPr>
        <w:ind w:firstLine="2"/>
        <w:spacing w:after="0" w:line="220" w:lineRule="auto"/>
        <w:tabs>
          <w:tab w:leader="none" w:pos="32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509-4000, or by writing Continental Stock Transfer &amp; Trust Company, at 1 State Street 30th Floor, New York, NY 1004- 1561. You may also access instructions with respect to certain stockholder matters (e.g., change of address) via the Internet at https://continentalstock.com/.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Exchange Information</w:t>
      </w:r>
    </w:p>
    <w:p>
      <w:pPr>
        <w:spacing w:after="0" w:line="10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NAUT.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Internet Address Information</w:t>
      </w:r>
    </w:p>
    <w:p>
      <w:pPr>
        <w:spacing w:after="0" w:line="100"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4"/>
          <w:szCs w:val="14"/>
          <w:color w:val="auto"/>
        </w:rPr>
        <w:t>Our investor relations website is located at http://www.nautilus.bio/investors/. Our 2022 Annual Report is available online at http://www.nautilus.bio/investors/.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ANNUAL REPORT ON FORM 10-K</w:t>
      </w:r>
    </w:p>
    <w:p>
      <w:pPr>
        <w:spacing w:after="0" w:line="20" w:lineRule="exact"/>
        <w:rPr>
          <w:sz w:val="20"/>
          <w:szCs w:val="20"/>
          <w:color w:val="auto"/>
        </w:rPr>
      </w:pPr>
    </w:p>
    <w:p>
      <w:pPr>
        <w:spacing w:after="0" w:line="2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2"/>
          <w:szCs w:val="12"/>
          <w:b w:val="1"/>
          <w:bCs w:val="1"/>
          <w:color w:val="auto"/>
        </w:rPr>
        <w:t>Stockholders may receive a copy of our annual report on Form 10- K, including the financial statements and the financial statement schedules, free of charge upon written request. Please send such requests to Nautilus Biotechnology, Inc., 2701 Eastlake Avenue East, Seattle, Washington 98102, Attention: Investor Relations.</w:t>
      </w:r>
    </w:p>
    <w:p>
      <w:pPr>
        <w:spacing w:after="0" w:line="133" w:lineRule="exact"/>
        <w:rPr>
          <w:sz w:val="20"/>
          <w:szCs w:val="20"/>
          <w:color w:val="auto"/>
        </w:rPr>
      </w:pPr>
    </w:p>
    <w:p>
      <w:pPr>
        <w:ind w:right="500" w:hanging="1"/>
        <w:spacing w:after="0" w:line="216" w:lineRule="auto"/>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2"/>
          <w:szCs w:val="12"/>
          <w:i w:val="1"/>
          <w:iCs w:val="1"/>
          <w:color w:val="auto"/>
        </w:rPr>
        <w:t>This Annual Report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sections of our Annual Report entitled “Business,” “Risk factors,” and “Management’s discussion and analysis of financial condition and results of operations.” .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Forward-looking statements include, but are not limited to, statements regarding Nautilus’ expectations regarding the company’s business operations, financial performance and results of operations; expectations regarding our collaborations and strategic partnerships, including our expectations with respect to the suitability of the Nautilus product platform to investigate proteins and proteoforms, and the ability of our strategic partnership to accelerate technology development and enhance protein detection; and expectations with respect to the functionality and performance of Nautilus’ product platform, its potential impact on pharmaceutical development and drug discovery. These statements are based on numerous assumptions concerning the development of Nautilus’ products and target markets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Annual Report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and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filed with the SEC on February 23, 2023 and in our subsequent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i w:val="1"/>
          <w:iCs w:val="1"/>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 w:lineRule="exact"/>
        <w:rPr>
          <w:sz w:val="20"/>
          <w:szCs w:val="20"/>
          <w:color w:val="auto"/>
        </w:rPr>
      </w:pPr>
    </w:p>
    <w:p>
      <w:pPr>
        <w:sectPr>
          <w:pgSz w:w="11880" w:h="15481" w:orient="portrait"/>
          <w:cols w:equalWidth="0" w:num="3">
            <w:col w:w="2620" w:space="600"/>
            <w:col w:w="2840" w:space="260"/>
            <w:col w:w="2940"/>
          </w:cols>
          <w:pgMar w:left="1440" w:top="1437" w:right="1181"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7">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24"/>
          <w:szCs w:val="24"/>
          <w:color w:val="FFFFFF"/>
        </w:rPr>
        <w:t>Nautilus Biotechnology</w:t>
      </w:r>
    </w:p>
    <w:p>
      <w:pPr>
        <w:spacing w:after="0" w:line="88" w:lineRule="exact"/>
        <w:rPr>
          <w:sz w:val="20"/>
          <w:szCs w:val="20"/>
          <w:color w:val="auto"/>
        </w:rPr>
      </w:pPr>
    </w:p>
    <w:p>
      <w:pPr>
        <w:ind w:left="7520"/>
        <w:spacing w:after="0"/>
        <w:rPr>
          <w:sz w:val="20"/>
          <w:szCs w:val="20"/>
          <w:color w:val="auto"/>
        </w:rPr>
      </w:pPr>
      <w:r>
        <w:rPr>
          <w:rFonts w:ascii="Arial" w:cs="Arial" w:eastAsia="Arial" w:hAnsi="Arial"/>
          <w:sz w:val="17"/>
          <w:szCs w:val="17"/>
          <w:color w:val="FFFFFF"/>
        </w:rPr>
        <w:t>2701 Eastlake Avenue East</w:t>
      </w:r>
    </w:p>
    <w:p>
      <w:pPr>
        <w:spacing w:after="0" w:line="49" w:lineRule="exact"/>
        <w:rPr>
          <w:sz w:val="20"/>
          <w:szCs w:val="20"/>
          <w:color w:val="auto"/>
        </w:rPr>
      </w:pPr>
    </w:p>
    <w:p>
      <w:pPr>
        <w:ind w:left="8160"/>
        <w:spacing w:after="0"/>
        <w:rPr>
          <w:sz w:val="20"/>
          <w:szCs w:val="20"/>
          <w:color w:val="auto"/>
        </w:rPr>
      </w:pPr>
      <w:r>
        <w:rPr>
          <w:rFonts w:ascii="Arial" w:cs="Arial" w:eastAsia="Arial" w:hAnsi="Arial"/>
          <w:sz w:val="18"/>
          <w:szCs w:val="18"/>
          <w:color w:val="FFFFFF"/>
        </w:rPr>
        <w:t>Seattle, WA 98102</w:t>
      </w:r>
    </w:p>
    <w:p>
      <w:pPr>
        <w:spacing w:after="0" w:line="119" w:lineRule="exact"/>
        <w:rPr>
          <w:sz w:val="20"/>
          <w:szCs w:val="20"/>
          <w:color w:val="auto"/>
        </w:rPr>
      </w:pPr>
    </w:p>
    <w:p>
      <w:pPr>
        <w:ind w:left="6440"/>
        <w:spacing w:after="0"/>
        <w:rPr>
          <w:sz w:val="20"/>
          <w:szCs w:val="20"/>
          <w:color w:val="auto"/>
        </w:rPr>
      </w:pPr>
      <w:r>
        <w:rPr>
          <w:rFonts w:ascii="Arial" w:cs="Arial" w:eastAsia="Arial" w:hAnsi="Arial"/>
          <w:sz w:val="19"/>
          <w:szCs w:val="19"/>
          <w:color w:val="FFFFFF"/>
        </w:rPr>
        <w:t xml:space="preserve">+1 (206) 333-2001 </w:t>
      </w:r>
      <w:r>
        <w:rPr>
          <w:rFonts w:ascii="Arial" w:cs="Arial" w:eastAsia="Arial" w:hAnsi="Arial"/>
          <w:sz w:val="19"/>
          <w:szCs w:val="19"/>
          <w:color w:val="FA663B"/>
        </w:rPr>
        <w:t>|</w:t>
      </w:r>
      <w:r>
        <w:rPr>
          <w:rFonts w:ascii="Arial" w:cs="Arial" w:eastAsia="Arial" w:hAnsi="Arial"/>
          <w:sz w:val="19"/>
          <w:szCs w:val="19"/>
          <w:color w:val="FFFFFF"/>
        </w:rPr>
        <w:t xml:space="preserve"> www.nautilus.bio</w:t>
      </w:r>
    </w:p>
    <w:sectPr>
      <w:pgSz w:w="11880" w:h="15481" w:orient="portrait"/>
      <w:cols w:equalWidth="0" w:num="1">
        <w:col w:w="9700"/>
      </w:cols>
      <w:pgMar w:left="1440" w:top="1440" w:right="741" w:bottom="16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2"/>
    </w:lvl>
  </w:abstractNum>
  <w:abstractNum w:abstractNumId="11">
    <w:nsid w:val="3855585C"/>
    <w:multiLevelType w:val="hybridMultilevel"/>
    <w:lvl w:ilvl="0">
      <w:lvlJc w:val="left"/>
      <w:lvlText w:val="%1."/>
      <w:numFmt w:val="decimal"/>
      <w:start w:val="3"/>
    </w:lvl>
  </w:abstractNum>
  <w:abstractNum w:abstractNumId="12">
    <w:nsid w:val="70A64E2A"/>
    <w:multiLevelType w:val="hybridMultilevel"/>
    <w:lvl w:ilvl="0">
      <w:lvlJc w:val="left"/>
      <w:lvlText w:val="%1."/>
      <w:numFmt w:val="decimal"/>
      <w:start w:val="4"/>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2"/>
    </w:lvl>
  </w:abstractNum>
  <w:abstractNum w:abstractNumId="58">
    <w:nsid w:val="2F305DEF"/>
    <w:multiLevelType w:val="hybridMultilevel"/>
    <w:lvl w:ilvl="0">
      <w:lvlJc w:val="left"/>
      <w:lvlText w:val="%1."/>
      <w:numFmt w:val="decimal"/>
      <w:start w:val="3"/>
    </w:lvl>
  </w:abstractNum>
  <w:abstractNum w:abstractNumId="59">
    <w:nsid w:val="25A70BF7"/>
    <w:multiLevelType w:val="hybridMultilevel"/>
    <w:lvl w:ilvl="0">
      <w:lvlJc w:val="left"/>
      <w:lvlText w:val="%1."/>
      <w:numFmt w:val="decimal"/>
      <w:start w:val="4"/>
    </w:lvl>
  </w:abstractNum>
  <w:abstractNum w:abstractNumId="60">
    <w:nsid w:val="1DBABF00"/>
    <w:multiLevelType w:val="hybridMultilevel"/>
    <w:lvl w:ilvl="0">
      <w:lvlJc w:val="left"/>
      <w:lvlText w:val="%1."/>
      <w:numFmt w:val="decimal"/>
      <w:start w:val="5"/>
    </w:lvl>
  </w:abstractNum>
  <w:abstractNum w:abstractNumId="61">
    <w:nsid w:val="4AD084E9"/>
    <w:multiLevelType w:val="hybridMultilevel"/>
    <w:lvl w:ilvl="0">
      <w:lvlJc w:val="left"/>
      <w:lvlText w:val="%1."/>
      <w:numFmt w:val="decimal"/>
      <w:start w:val="7"/>
    </w:lvl>
  </w:abstractNum>
  <w:abstractNum w:abstractNumId="62">
    <w:nsid w:val="1F48EAA1"/>
    <w:multiLevelType w:val="hybridMultilevel"/>
    <w:lvl w:ilvl="0">
      <w:lvlJc w:val="left"/>
      <w:lvlText w:val="%1."/>
      <w:numFmt w:val="decimal"/>
      <w:start w:val="8"/>
    </w:lvl>
  </w:abstractNum>
  <w:abstractNum w:abstractNumId="63">
    <w:nsid w:val="1381823A"/>
    <w:multiLevelType w:val="hybridMultilevel"/>
    <w:lvl w:ilvl="0">
      <w:lvlJc w:val="left"/>
      <w:lvlText w:val="%1."/>
      <w:numFmt w:val="decimal"/>
      <w:start w:val="9"/>
    </w:lvl>
  </w:abstractNum>
  <w:abstractNum w:abstractNumId="64">
    <w:nsid w:val="5DB70AE5"/>
    <w:multiLevelType w:val="hybridMultilevel"/>
    <w:lvl w:ilvl="0">
      <w:lvlJc w:val="left"/>
      <w:lvlText w:val="%1)"/>
      <w:numFmt w:val="decimal"/>
      <w:start w:val="3"/>
    </w:lvl>
  </w:abstractNum>
  <w:abstractNum w:abstractNumId="65">
    <w:nsid w:val="100F8FCA"/>
    <w:multiLevelType w:val="hybridMultilevel"/>
    <w:lvl w:ilvl="0">
      <w:lvlJc w:val="left"/>
      <w:lvlText w:val="%1."/>
      <w:numFmt w:val="decimal"/>
      <w:start w:val="10"/>
    </w:lvl>
  </w:abstractNum>
  <w:abstractNum w:abstractNumId="66">
    <w:nsid w:val="6590700B"/>
    <w:multiLevelType w:val="hybridMultilevel"/>
    <w:lvl w:ilvl="0">
      <w:lvlJc w:val="left"/>
      <w:lvlText w:val="%1."/>
      <w:numFmt w:val="decimal"/>
      <w:start w:val="11"/>
    </w:lvl>
  </w:abstractNum>
  <w:abstractNum w:abstractNumId="67">
    <w:nsid w:val="15014ACB"/>
    <w:multiLevelType w:val="hybridMultilevel"/>
    <w:lvl w:ilvl="0">
      <w:lvlJc w:val="left"/>
      <w:lvlText w:val="(%1)"/>
      <w:numFmt w:val="lowerLetter"/>
      <w:start w:val="3"/>
    </w:lvl>
  </w:abstractNum>
  <w:abstractNum w:abstractNumId="68">
    <w:nsid w:val="5F5E7FD0"/>
    <w:multiLevelType w:val="hybridMultilevel"/>
    <w:lvl w:ilvl="0">
      <w:lvlJc w:val="left"/>
      <w:lvlText w:val="%1"/>
      <w:numFmt w:val="decimal"/>
      <w:start w:val="104"/>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2023-04-29T00:42:12Z</dcterms:created>
  <dcterms:modified xsi:type="dcterms:W3CDTF">2023-04-29T00:42:12Z</dcterms:modified>
</cp:coreProperties>
</file>