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28, 2024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On February 28, 2024, Nautilus Biotechnology, Inc. issued a press release reporting its financial results for the quarter and fiscal year ended December 31, 2023. A copy of the press release is furnished herewith as Exhibit 99.1 to this Current Report on Form 8-K.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dated February 28, 2024.</w:t>
      </w:r>
    </w:p>
    <w:p>
      <w:pPr>
        <w:spacing w:after="0" w:line="27" w:lineRule="exact"/>
        <w:rPr>
          <w:sz w:val="20"/>
          <w:szCs w:val="20"/>
          <w:color w:val="auto"/>
        </w:rPr>
      </w:pPr>
    </w:p>
    <w:p>
      <w:pPr>
        <w:ind w:left="980" w:hanging="95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28, 2024</w:t>
      </w:r>
    </w:p>
    <w:p>
      <w:pPr>
        <w:spacing w:after="0" w:line="2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Reports Fourth Quarter and Fiscal Year 2023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SEATTLE, WA, February 28, 2024 </w:t>
      </w:r>
      <w:r>
        <w:rPr>
          <w:rFonts w:ascii="Times New Roman" w:cs="Times New Roman" w:eastAsia="Times New Roman" w:hAnsi="Times New Roman"/>
          <w:sz w:val="18"/>
          <w:szCs w:val="18"/>
          <w:color w:val="auto"/>
        </w:rPr>
        <w:t>– Nautilus Biotechnology, Inc. (NASDAQ: NAUT; or “Nautilus”), a company pioneering a single molecule proteome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platform, today reported financial results for the fourth quarter and fiscal year ended December 31, 2023.</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“2023 was a year of significant accomplishment and foundational progress for Nautilus; progress that will continue to build our momentum as we move through 2024 and into the planned launch of our proteome analysis platform”, said Sujal Patel, CEO of Nautilus. “We are building a groundbreaking, ‘first-in-the-world’ platform designed to unlock significant breakthroughs in biological research. Doing so requires that a number of meaningful innovations across each element of our platform - consumables, instrument, and software - weave together seamlessly. We continue to refine each of these platform elements and look forward to getting the collective work of our team into the hands of researchers where it can do so much good. I’m particularly pleased that we’ve been able to drive such meaningful scientific progress while maintaining exceptional fiscal discipline and preserving our balance sheet.”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Financial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were $76.2 million for the year ended December 31, 2023, a $12.5 million or 20% increase from $63.6 million for the year ended December 31, 2022. The increase in operating expenses was driven primarily by an increase in headcount to support ongoing development of our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$63.7 million for the year ended December 31, 2023, as compared to a net loss of $57.9 million for the corresponding prior year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were $264.1 million as of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2024 Outlook</w:t>
      </w:r>
    </w:p>
    <w:p>
      <w:pPr>
        <w:spacing w:after="0" w:line="3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full year operating expense to grow by approximately 25% relative to 2023</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cash and cash equivalents and investments of $264.1 million as of December 31, 2023 to provide a runway into the second half of 2026</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launch our platform, instruments, consumables, and software in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Nautilus will host a conference call to discuss the fourth quarter and fiscal year 2023 financial results, business developments and outlook before market open on Wednesday, February 28, 2024 at 5:30 AM Pacific Time / 8:30 AM Eastern Time. Live audio of the webcast will be available on the “Investors” section of the company website at: </w:t>
      </w:r>
      <w:r>
        <w:rPr>
          <w:rFonts w:ascii="Times New Roman" w:cs="Times New Roman" w:eastAsia="Times New Roman" w:hAnsi="Times New Roman"/>
          <w:sz w:val="18"/>
          <w:szCs w:val="18"/>
          <w:u w:val="single" w:color="auto"/>
          <w:color w:val="0563C1"/>
        </w:rPr>
        <w:t>www.nautilus.bio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with respect to any revenue timing or projections, expectations with respect to the timing of the launch of Nautilus’ product platform and full commercial availability, the functionality and performance of Nautilus’ product platform, its potential impact on providing proteome access, pharmaceutical development and drug discovery, expanding research horizons, and enabling scientific explorations and discovery,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to be filed for the year ended December 31, 2023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Information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press@nautilus.bio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of December 31, 2023 and 2022 (Unaudited)</w:t>
      </w:r>
    </w:p>
    <w:p>
      <w:pPr>
        <w:spacing w:after="0" w:line="306" w:lineRule="exact"/>
        <w:rPr>
          <w:sz w:val="20"/>
          <w:szCs w:val="20"/>
          <w:color w:val="auto"/>
        </w:rPr>
      </w:pPr>
    </w:p>
    <w:tbl>
      <w:tblPr>
        <w:tblLayout w:type="fixed"/>
        <w:tblInd w:w="480" w:type="dxa"/>
        <w:tblCellMar>
          <w:top w:w="0" w:type="dxa"/>
          <w:left w:w="0" w:type="dxa"/>
          <w:bottom w:w="0" w:type="dxa"/>
          <w:right w:w="0" w:type="dxa"/>
        </w:tblCellMar>
      </w:tblPr>
      <w:tr>
        <w:trPr>
          <w:trHeight w:val="19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0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69,948</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187,209</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350,052</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35,128</w:t>
            </w:r>
          </w:p>
        </w:tc>
        <w:tc>
          <w:tcPr>
            <w:tcW w:w="0" w:type="dxa"/>
            <w:vAlign w:val="bottom"/>
          </w:tcPr>
          <w:p>
            <w:pPr>
              <w:spacing w:after="0"/>
              <w:rPr>
                <w:sz w:val="1"/>
                <w:szCs w:val="1"/>
                <w:color w:val="auto"/>
              </w:rPr>
            </w:pPr>
          </w:p>
        </w:tc>
      </w:tr>
      <w:tr>
        <w:trPr>
          <w:trHeight w:val="236"/>
        </w:trPr>
        <w:tc>
          <w:tcPr>
            <w:tcW w:w="7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455,330</w:t>
            </w: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(138,564)</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314,924</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350,052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340" w:top="140" w:right="8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Three Months and Year Ended December 31, 2023 and 2022 (Unaudited)</w:t>
      </w:r>
    </w:p>
    <w:p>
      <w:pPr>
        <w:spacing w:after="0" w:line="306"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Pr>
          <w:p>
            <w:pPr>
              <w:spacing w:after="0"/>
              <w:rPr>
                <w:sz w:val="16"/>
                <w:szCs w:val="16"/>
                <w:color w:val="auto"/>
              </w:rPr>
            </w:pPr>
          </w:p>
        </w:tc>
        <w:tc>
          <w:tcPr>
            <w:tcW w:w="26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37,672</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0" w:type="dxa"/>
            <w:vAlign w:val="bottom"/>
          </w:tcPr>
          <w:p>
            <w:pPr>
              <w:spacing w:after="0"/>
              <w:rPr>
                <w:sz w:val="1"/>
                <w:szCs w:val="1"/>
                <w:color w:val="auto"/>
              </w:rPr>
            </w:pPr>
          </w:p>
        </w:tc>
      </w:tr>
      <w:tr>
        <w:trPr>
          <w:trHeight w:val="223"/>
        </w:trPr>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63,618</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880" w:type="dxa"/>
            <w:vAlign w:val="bottom"/>
            <w:vMerge w:val="continue"/>
          </w:tcPr>
          <w:p>
            <w:pPr>
              <w:spacing w:after="0"/>
              <w:rPr>
                <w:sz w:val="10"/>
                <w:szCs w:val="10"/>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0"/>
                <w:szCs w:val="10"/>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21"/>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2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124,984,918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124,789,542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124,919,144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124,589,555</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40" w:top="140" w:right="5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 Ended December 31, 2023 and 2022 (Unaudited)</w:t>
      </w:r>
    </w:p>
    <w:p>
      <w:pPr>
        <w:spacing w:after="0" w:line="200" w:lineRule="exact"/>
        <w:rPr>
          <w:sz w:val="20"/>
          <w:szCs w:val="20"/>
          <w:color w:val="auto"/>
        </w:rPr>
      </w:pPr>
    </w:p>
    <w:p>
      <w:pPr>
        <w:spacing w:after="0" w:line="349" w:lineRule="exact"/>
        <w:rPr>
          <w:sz w:val="20"/>
          <w:szCs w:val="20"/>
          <w:color w:val="auto"/>
        </w:rPr>
      </w:pPr>
    </w:p>
    <w:tbl>
      <w:tblPr>
        <w:tblLayout w:type="fixed"/>
        <w:tblInd w:w="48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(57,924)</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(accretion) of premiums (discount) on securities,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(45,806)</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(186,591)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163,175</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0" w:type="dxa"/>
            <w:vAlign w:val="bottom"/>
          </w:tcPr>
          <w:p>
            <w:pPr>
              <w:spacing w:after="0"/>
              <w:rPr>
                <w:sz w:val="1"/>
                <w:szCs w:val="1"/>
                <w:color w:val="auto"/>
              </w:rPr>
            </w:pPr>
          </w:p>
        </w:tc>
      </w:tr>
      <w:tr>
        <w:trPr>
          <w:trHeight w:val="20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3"/>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(70,984)</w:t>
            </w:r>
          </w:p>
        </w:tc>
        <w:tc>
          <w:tcPr>
            <w:tcW w:w="0" w:type="dxa"/>
            <w:vAlign w:val="bottom"/>
          </w:tcPr>
          <w:p>
            <w:pPr>
              <w:spacing w:after="0"/>
              <w:rPr>
                <w:sz w:val="1"/>
                <w:szCs w:val="1"/>
                <w:color w:val="auto"/>
              </w:rPr>
            </w:pPr>
          </w:p>
        </w:tc>
      </w:tr>
      <w:tr>
        <w:trPr>
          <w:trHeight w:val="256"/>
        </w:trPr>
        <w:tc>
          <w:tcPr>
            <w:tcW w:w="7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115,477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186,461</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740"/>
      </w:cols>
      <w:pgMar w:left="340" w:top="14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2024-02-28T06:15:40Z</dcterms:created>
  <dcterms:modified xsi:type="dcterms:W3CDTF">2024-02-28T06:15:40Z</dcterms:modified>
</cp:coreProperties>
</file>